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88" w:rsidRPr="00A36B8B" w:rsidRDefault="002C6224" w:rsidP="002C6224">
      <w:pPr>
        <w:pBdr>
          <w:bottom w:val="single" w:sz="4" w:space="31" w:color="FFFFFF"/>
        </w:pBd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Pr="00A36B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8</w:t>
      </w:r>
      <w:r w:rsidRPr="00A36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6B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жылға қоршаған ортаны қорғау бойынша іс-шаралардың орындалуына қатысты аналитикалық анықтама</w:t>
      </w:r>
    </w:p>
    <w:p w:rsidR="002C6224" w:rsidRPr="00A36B8B" w:rsidRDefault="002C6224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Қазақстан Республикасы Экологиялық кодексінің 17-бабының 29) тармақшасына сәйкес Қазақстан Республикасы Энергетика министрінің 2016 жылғы 31 мамырдағы № 231</w:t>
      </w:r>
      <w:r w:rsidR="006F3455" w:rsidRPr="00A36B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 xml:space="preserve"> бұйрығымен ақпа</w:t>
      </w:r>
      <w:r w:rsidRPr="00A36B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ратты ұсыну нысаны бекітілді: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 w:rsidRPr="00A36B8B">
        <w:rPr>
          <w:lang w:val="kk-KZ"/>
        </w:rPr>
        <w:t xml:space="preserve"> </w:t>
      </w: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қоршаған ортаға эмиссиялар үшін түсетін түсімдер;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 w:rsidRPr="00A36B8B">
        <w:rPr>
          <w:lang w:val="kk-KZ"/>
        </w:rPr>
        <w:t xml:space="preserve"> </w:t>
      </w: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қоршаған ортаға келтірілген залалды өндіріп алудан түсетін түсімдер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-Қазақстан Республикасының экологиялық заңнамасын бұзғаны үшін айыппұлдардан түсетін түсімдер;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 w:rsidRPr="00A36B8B">
        <w:rPr>
          <w:lang w:val="kk-KZ"/>
        </w:rPr>
        <w:t xml:space="preserve"> </w:t>
      </w:r>
      <w:r w:rsidRPr="00A36B8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қоршаған ортаны қорғау шараларына бюджет шығындары.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Қазақстан Республикасы Экологиялық кодексінің 163-бабының 3-тармағына сәйкес 1 және 4 қосымшаларға қатысты ақпарат жыл сайын 1 мамырға дейін жергілікті атқарушы органдардың интернет-ресурстарында орналастырылады.</w:t>
      </w:r>
    </w:p>
    <w:p w:rsidR="00D653DE" w:rsidRPr="00A36B8B" w:rsidRDefault="00441A05" w:rsidP="00D653DE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«Қоршаған ортаны қорғаудың ақпараттық-талдау орталығы» РМК</w:t>
      </w:r>
      <w:r w:rsidR="00D653DE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Меклекеттік экологиялық ақпарат қорын жүргізу бойынша жұмыстарды орындау кестесінің 29-т. сәйкес (18.02.2019 ж. мемлекеттік сатып алулар туралы №12 шартқа) ҚОҚ бойынша іс-шараларына бюджет шығындары мен эмиссия төлемдерінен бюджетке түсетін төлемдерге мониторинг жүргізілді.</w:t>
      </w:r>
    </w:p>
    <w:p w:rsidR="007E4188" w:rsidRPr="00A36B8B" w:rsidRDefault="007E4188" w:rsidP="006F3455">
      <w:pPr>
        <w:suppressAutoHyphens/>
        <w:spacing w:after="0" w:line="240" w:lineRule="auto"/>
        <w:jc w:val="center"/>
        <w:rPr>
          <w:rFonts w:ascii="Times New Roman" w:eastAsia="MS Mincho" w:hAnsi="Times New Roman" w:cs="Courier New"/>
          <w:b/>
          <w:iCs/>
          <w:sz w:val="24"/>
          <w:szCs w:val="24"/>
          <w:lang w:val="kk-KZ"/>
        </w:rPr>
      </w:pPr>
      <w:r w:rsidRPr="00A36B8B">
        <w:rPr>
          <w:rFonts w:ascii="Times New Roman" w:eastAsia="MS Mincho" w:hAnsi="Times New Roman" w:cs="Courier New"/>
          <w:b/>
          <w:iCs/>
          <w:sz w:val="24"/>
          <w:szCs w:val="24"/>
          <w:lang w:val="kk-KZ"/>
        </w:rPr>
        <w:t>Табиғат қорғау іс-шараларына бюджеттік түсімдер және шығындар бойынша жиынтық кесте</w:t>
      </w:r>
    </w:p>
    <w:tbl>
      <w:tblPr>
        <w:tblpPr w:leftFromText="180" w:rightFromText="180" w:bottomFromText="160" w:vertAnchor="text" w:horzAnchor="margin" w:tblpXSpec="center" w:tblpY="304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38"/>
        <w:gridCol w:w="1766"/>
        <w:gridCol w:w="1331"/>
        <w:gridCol w:w="1767"/>
        <w:gridCol w:w="1767"/>
        <w:gridCol w:w="922"/>
      </w:tblGrid>
      <w:tr w:rsidR="007E4188" w:rsidRPr="00A36B8B" w:rsidTr="006F3455">
        <w:trPr>
          <w:trHeight w:val="2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8" w:rsidRPr="00A36B8B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7E4188" w:rsidRPr="00A36B8B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4188" w:rsidRPr="00A36B8B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4188" w:rsidRPr="00A36B8B" w:rsidRDefault="007E4188" w:rsidP="007E4188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Іс-шараның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атауы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Pr="00A36B8B" w:rsidRDefault="007E4188" w:rsidP="005B4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ортаға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эмиссиялар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үшін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төлемақы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түсімдер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жоспары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, млн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ортаға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эм</w:t>
            </w:r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иссия </w:t>
            </w:r>
            <w:proofErr w:type="spellStart"/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үшін</w:t>
            </w:r>
            <w:proofErr w:type="spellEnd"/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төлемдер</w:t>
            </w:r>
            <w:proofErr w:type="spellEnd"/>
            <w:r w:rsidR="005B4CA0"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, млн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ортаны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қорғау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іс-шаралары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үшін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бөлінген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сома,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мың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Қоршаған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ортаны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қорғауға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жұмсалған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қаражат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сомасы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мың</w:t>
            </w:r>
            <w:proofErr w:type="spellEnd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теңге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4188" w:rsidRPr="00A36B8B" w:rsidRDefault="007E4188" w:rsidP="007E41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F3455" w:rsidRPr="00A36B8B" w:rsidTr="005237E4">
        <w:trPr>
          <w:trHeight w:val="4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Нұр-Сұлтан</w:t>
            </w:r>
            <w:proofErr w:type="spellEnd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қ.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1 786,502 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1 817,755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4 535 373,0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4 461 895,8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245, 4</w:t>
            </w:r>
          </w:p>
        </w:tc>
      </w:tr>
      <w:tr w:rsidR="006F3455" w:rsidRPr="00A36B8B" w:rsidTr="005237E4">
        <w:trPr>
          <w:trHeight w:val="4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 қ.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1 274, 120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1 571,224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3 956 722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3 956 722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251,0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Ақмола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обласы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2 915, 926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860, 663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162 321,6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169 152,7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19,6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Ақтөбе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10 012,1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9 449,9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10 743 171,3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10 785 578,8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114,4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Алматы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1218,2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1 241,8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55" w:rsidRPr="00A36B8B" w:rsidRDefault="006F3455" w:rsidP="006F3455">
            <w:pPr>
              <w:pStyle w:val="a3"/>
              <w:spacing w:before="0" w:beforeAutospacing="0" w:after="0"/>
              <w:jc w:val="center"/>
              <w:rPr>
                <w:rFonts w:eastAsia="MS Mincho"/>
                <w:bCs/>
                <w:lang w:eastAsia="en-US"/>
              </w:rPr>
            </w:pPr>
            <w:r w:rsidRPr="00A36B8B">
              <w:rPr>
                <w:rFonts w:eastAsia="MS Mincho"/>
                <w:bCs/>
                <w:lang w:eastAsia="en-US"/>
              </w:rPr>
              <w:t>401 229, 539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55" w:rsidRPr="00A36B8B" w:rsidRDefault="006F3455" w:rsidP="006F3455">
            <w:pPr>
              <w:pStyle w:val="a3"/>
              <w:spacing w:before="0" w:beforeAutospacing="0" w:after="0"/>
              <w:jc w:val="center"/>
              <w:rPr>
                <w:rFonts w:eastAsia="MS Mincho"/>
                <w:bCs/>
                <w:lang w:eastAsia="en-US"/>
              </w:rPr>
            </w:pPr>
            <w:r w:rsidRPr="00A36B8B">
              <w:rPr>
                <w:rFonts w:eastAsia="MS Mincho"/>
                <w:bCs/>
                <w:lang w:eastAsia="en-US"/>
              </w:rPr>
              <w:t>401 229, 539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32,3</w:t>
            </w:r>
          </w:p>
        </w:tc>
      </w:tr>
      <w:tr w:rsidR="006F3455" w:rsidRPr="00A36B8B" w:rsidTr="005237E4">
        <w:trPr>
          <w:trHeight w:val="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Атырау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9 896, 185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9 916,89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6 877 450,1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6 877 450,1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69,3</w:t>
            </w:r>
          </w:p>
        </w:tc>
      </w:tr>
      <w:tr w:rsidR="006F3455" w:rsidRPr="00A36B8B" w:rsidTr="005237E4">
        <w:trPr>
          <w:trHeight w:val="3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3DE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="00D653DE"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ығыс</w:t>
            </w:r>
            <w:proofErr w:type="spellEnd"/>
            <w:r w:rsidR="00D653DE"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653DE"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Қазақстан</w:t>
            </w:r>
            <w:proofErr w:type="spellEnd"/>
            <w:r w:rsidR="00D653DE"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653DE"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5 336,415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5 978,538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5 290 540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5 167 450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86,4</w:t>
            </w:r>
          </w:p>
        </w:tc>
      </w:tr>
      <w:tr w:rsidR="006F3455" w:rsidRPr="00A36B8B" w:rsidTr="005237E4">
        <w:trPr>
          <w:trHeight w:val="2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Батыс</w:t>
            </w:r>
            <w:proofErr w:type="spellEnd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2 443,891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2 329,683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187 954, 804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183 581, 074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7,8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Жамбыл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2 812,201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2 865,923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70 876,269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70 876,269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2,47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</w:p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Қарағанды</w:t>
            </w:r>
            <w:proofErr w:type="spellEnd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14 251, 977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14 340, 736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3 856 934,8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3 602 780,78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25,1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Қостанай</w:t>
            </w:r>
            <w:proofErr w:type="spellEnd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4 415,577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5 640,728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4 223  221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4 213 654,4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74,7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Қызылорда</w:t>
            </w:r>
            <w:proofErr w:type="spellEnd"/>
            <w:r w:rsidRPr="00A36B8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10 288,3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10 607,9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806 164,0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803 400,2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7,5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Маңғыстау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5 137,107</w:t>
            </w:r>
          </w:p>
        </w:tc>
        <w:tc>
          <w:tcPr>
            <w:tcW w:w="1331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1 776, 280</w:t>
            </w:r>
          </w:p>
        </w:tc>
        <w:tc>
          <w:tcPr>
            <w:tcW w:w="1767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336 743,868</w:t>
            </w:r>
          </w:p>
        </w:tc>
        <w:tc>
          <w:tcPr>
            <w:tcW w:w="1767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336 743,868</w:t>
            </w:r>
          </w:p>
        </w:tc>
        <w:tc>
          <w:tcPr>
            <w:tcW w:w="922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18,95</w:t>
            </w:r>
          </w:p>
        </w:tc>
      </w:tr>
      <w:tr w:rsidR="006F3455" w:rsidRPr="00A36B8B" w:rsidTr="005237E4">
        <w:trPr>
          <w:trHeight w:val="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176"/>
              </w:tabs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Павлодар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13 603,168</w:t>
            </w:r>
          </w:p>
        </w:tc>
        <w:tc>
          <w:tcPr>
            <w:tcW w:w="1331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13 673,399</w:t>
            </w:r>
          </w:p>
        </w:tc>
        <w:tc>
          <w:tcPr>
            <w:tcW w:w="1767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122 816,0</w:t>
            </w:r>
          </w:p>
        </w:tc>
        <w:tc>
          <w:tcPr>
            <w:tcW w:w="1767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118 646,0</w:t>
            </w:r>
          </w:p>
        </w:tc>
        <w:tc>
          <w:tcPr>
            <w:tcW w:w="922" w:type="dxa"/>
            <w:shd w:val="clear" w:color="auto" w:fill="auto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0,88</w:t>
            </w:r>
          </w:p>
        </w:tc>
      </w:tr>
      <w:tr w:rsidR="006F3455" w:rsidRPr="00A36B8B" w:rsidTr="005237E4">
        <w:trPr>
          <w:trHeight w:val="2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6B8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Солтүстік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Қазақстан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1 559,624</w:t>
            </w:r>
          </w:p>
        </w:tc>
        <w:tc>
          <w:tcPr>
            <w:tcW w:w="1331" w:type="dxa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1 597,752</w:t>
            </w:r>
          </w:p>
        </w:tc>
        <w:tc>
          <w:tcPr>
            <w:tcW w:w="1767" w:type="dxa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883 189,6</w:t>
            </w:r>
          </w:p>
        </w:tc>
        <w:tc>
          <w:tcPr>
            <w:tcW w:w="1767" w:type="dxa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876 757,213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54</w:t>
            </w:r>
          </w:p>
        </w:tc>
      </w:tr>
      <w:tr w:rsidR="006F3455" w:rsidRPr="00A36B8B" w:rsidTr="005237E4">
        <w:trPr>
          <w:trHeight w:val="2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6B8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  <w:t>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Түркістан</w:t>
            </w:r>
            <w:proofErr w:type="spellEnd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облысы</w:t>
            </w:r>
            <w:proofErr w:type="spellEnd"/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1 066,5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1119,8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286 053,0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286 053,0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eastAsia="MS Mincho" w:hAnsi="Times New Roman"/>
                <w:bCs/>
                <w:sz w:val="24"/>
                <w:szCs w:val="24"/>
              </w:rPr>
              <w:t>25</w:t>
            </w:r>
          </w:p>
        </w:tc>
      </w:tr>
      <w:tr w:rsidR="006F3455" w:rsidRPr="00A36B8B" w:rsidTr="005237E4">
        <w:trPr>
          <w:trHeight w:val="2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6B8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  <w:t>17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6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Шымкент қ.</w:t>
            </w:r>
          </w:p>
        </w:tc>
        <w:tc>
          <w:tcPr>
            <w:tcW w:w="1766" w:type="dxa"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B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1331" w:type="dxa"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B8B">
              <w:rPr>
                <w:rFonts w:ascii="Times New Roman" w:hAnsi="Times New Roman"/>
                <w:sz w:val="24"/>
                <w:szCs w:val="24"/>
              </w:rPr>
              <w:t>334,8</w:t>
            </w:r>
          </w:p>
        </w:tc>
        <w:tc>
          <w:tcPr>
            <w:tcW w:w="1767" w:type="dxa"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455" w:rsidRPr="00A36B8B" w:rsidTr="005237E4">
        <w:trPr>
          <w:trHeight w:val="2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5" w:rsidRPr="00A36B8B" w:rsidRDefault="006F3455" w:rsidP="006F345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6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ЖИЫНЫ </w:t>
            </w:r>
          </w:p>
        </w:tc>
        <w:tc>
          <w:tcPr>
            <w:tcW w:w="1766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36 889,03</w:t>
            </w:r>
          </w:p>
        </w:tc>
        <w:tc>
          <w:tcPr>
            <w:tcW w:w="1331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37 343,85</w:t>
            </w:r>
          </w:p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25 465 380,97</w:t>
            </w:r>
          </w:p>
        </w:tc>
        <w:tc>
          <w:tcPr>
            <w:tcW w:w="1767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33 231 510,95</w:t>
            </w:r>
          </w:p>
        </w:tc>
        <w:tc>
          <w:tcPr>
            <w:tcW w:w="922" w:type="dxa"/>
            <w:hideMark/>
          </w:tcPr>
          <w:p w:rsidR="006F3455" w:rsidRPr="00A36B8B" w:rsidRDefault="006F3455" w:rsidP="006F3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A36B8B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</w:tbl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Қоршаған ортаны қорғауға қаражат бөлуде бірінші үштікте  Ақтөбе облысы (1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0,7 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млрд теңге), А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тырау 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қ. (6,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млрд теңге) және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Шығыс Қазақстан облысы 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(5,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млрд теңге). Ең аз соманы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Жамбыл </w:t>
      </w:r>
      <w:r w:rsidR="001241D4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облысы (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70 </w:t>
      </w:r>
      <w:r w:rsidR="001241D4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млн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241D4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еңге) бөледі. </w:t>
      </w:r>
    </w:p>
    <w:p w:rsidR="00D653DE" w:rsidRPr="00A36B8B" w:rsidRDefault="007E4188" w:rsidP="00D653DE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Айта кету керек, бұл қалада. Алматы және Астана қалаларына қоршаған ортаға эмиссиялар үшін бюджетке түсетін түсімдер 1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 571,2 және 1 817,7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млн теңге құрайды, тиісінше, табиғат қорғау іс-шараларына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3 956,7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4 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35,0 млн тең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ге бөлінген. Сондай-ақ Ақтөбе облысының әкімдігімен табиғат қорғау іс-шараларына бөлінген сомасы эмиссиялар бойынша нақты төлемдерге сәйкес келеді (бөлінген сома - 1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0 743,1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млн теңге, нақты төлемдер сомасы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9 449,9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млн теңге). Қостанай облысында табиғат қорғау іс-шараларына бөлінген сома эмиссия үшін нақты төлемдерден айтарлықтай жоғары емес (төлемдер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5 640,728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млн теңге, шараға бөлінген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4 223,2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млн теңге). </w:t>
      </w:r>
      <w:r w:rsidR="00D653DE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Бөлінген бюджет қаражаттың толық игерілмеуі 7 облыста байқалады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D653DE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Шығыс Қазақстан, Павлодар, Батыс Қазақстан, Қарағанды, Қостанай, Қызылорда, Солтүстік Қазақстан, облыстары.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Шымкент</w:t>
      </w:r>
      <w:r w:rsidR="00D653DE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қаласында 2018 жылға қаржы бөлу жоспарланбаған. </w:t>
      </w:r>
    </w:p>
    <w:p w:rsidR="00D653DE" w:rsidRPr="00A36B8B" w:rsidRDefault="007E4188" w:rsidP="005B4CA0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Табиғат қорғау іс-шараларына ең төменгі шығындар </w:t>
      </w:r>
      <w:r w:rsidR="00180ABA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Ақмола, Жамбыл, Павлодар, Батыс Қазақстан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облыстарында байқалады. </w:t>
      </w:r>
      <w:r w:rsidR="00D653DE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Мәселен, Жамбыл облысында 2 865,9 млн теңге көлемінде қоршаған ортаға шығарылатын эмиссиялар үшін төлемдер алған кезде қоршаған орта</w:t>
      </w:r>
      <w:r w:rsidR="005B4CA0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ны қорғау шараларына 70,8 млн т</w:t>
      </w:r>
      <w:r w:rsidR="00D653DE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еңге бөлінді, бұл жалпы соманың 2,4% -ын құрайды.</w:t>
      </w:r>
      <w:r w:rsidR="005B4CA0" w:rsidRPr="00A36B8B">
        <w:rPr>
          <w:lang w:val="kk-KZ"/>
        </w:rPr>
        <w:t xml:space="preserve"> </w:t>
      </w:r>
      <w:r w:rsidR="005B4CA0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Павлодар және Батыс Қазақстан облыстарында бюджетке түскен сома 13 673,3 млн теңге және 2 232,6 млн теңге, қоршаған ортаны қорғау шараларына 122,8 млн теңге және 187,9 млн теңге бөлінді (сәйкесінше бюджет түсімдерінің жалпы сомасының 0,88% және 7,8%).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Қалған облыстарда қоршаған ортаны қорғау жөніндегі іс-шараларға қаражат бөлу және эмиссиялар үшін нақты төлемдер пайыздық көрсеткіші 1</w:t>
      </w:r>
      <w:r w:rsidR="00441A05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441A05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% - дан </w:t>
      </w:r>
      <w:r w:rsidR="00441A05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86,4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% - ға дейін түрленеді.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Аймақтарда қаражат негізінен келесі іс-шараларды орындауға бөлінеді: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- СҚА шекарасында атмосфералық ауаның ластануына мониторинг жүргізу;</w:t>
      </w:r>
    </w:p>
    <w:p w:rsidR="00441A05" w:rsidRPr="00A36B8B" w:rsidRDefault="007E4188" w:rsidP="00441A05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="00441A05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қалалар мен елді мекендерді көркейту, көгалдандыру, саябақтар мен парктерді жетілдіру, салу, ормандарды молықтыру, күзету, қорғау, және орман өсіру, орман дақылдарын құру, жануарлар дүниесін қорғау, балықтарды өсіру және су айдындарын балықтандыру;</w:t>
      </w:r>
    </w:p>
    <w:p w:rsidR="007E4188" w:rsidRPr="00A36B8B" w:rsidRDefault="00441A05" w:rsidP="00441A05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7E4188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көлік құрылымын дамыту, автомобиль жолдарын, инфрақұрылымды күрделі жөндеу;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- суаратын су құбырлары жүйелерінің құрылысы, арық желілері және нөсер канализациясын қайта құру, техникалық және авторлық қадағалауды жүзеге асыру;</w:t>
      </w:r>
    </w:p>
    <w:p w:rsidR="007E4188" w:rsidRPr="00A36B8B" w:rsidRDefault="007E4188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- -</w:t>
      </w:r>
      <w:r w:rsidRPr="00A36B8B">
        <w:rPr>
          <w:lang w:val="kk-KZ"/>
        </w:rPr>
        <w:t xml:space="preserve"> </w:t>
      </w: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рұқсат етілмеген қоқыс орындарын жою, люминесцентті шамдарын жинау және кәдеге жарату, орман қорының аумағын тазарту;</w:t>
      </w:r>
    </w:p>
    <w:p w:rsidR="007E4188" w:rsidRPr="00A36B8B" w:rsidRDefault="00441A05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r w:rsidR="007E4188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у қорғау аймақтары мен белдеулерін абаттандыру, түпті тереңдету және түбін тазалау іс-шаралары, өзендер суын айдынын тазарту;</w:t>
      </w:r>
    </w:p>
    <w:p w:rsidR="007E4188" w:rsidRDefault="00441A05" w:rsidP="007E4188">
      <w:pPr>
        <w:pBdr>
          <w:bottom w:val="single" w:sz="4" w:space="31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- қ</w:t>
      </w:r>
      <w:r w:rsidR="007E4188" w:rsidRPr="00A36B8B">
        <w:rPr>
          <w:rFonts w:ascii="Times New Roman" w:eastAsia="Calibri" w:hAnsi="Times New Roman" w:cs="Times New Roman"/>
          <w:sz w:val="24"/>
          <w:szCs w:val="24"/>
          <w:lang w:val="kk-KZ"/>
        </w:rPr>
        <w:t>оршаған ортаны қорғау саласындағы халық арасында ағарту жұмыстары бойынша  іс-шара жоспарын жүзеге асыру, соның ішінде  балалар мен жастар арасында.</w:t>
      </w:r>
      <w:bookmarkStart w:id="0" w:name="_GoBack"/>
      <w:bookmarkEnd w:id="0"/>
    </w:p>
    <w:sectPr w:rsidR="007E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45"/>
    <w:rsid w:val="0007278A"/>
    <w:rsid w:val="001241D4"/>
    <w:rsid w:val="00147B1A"/>
    <w:rsid w:val="00180ABA"/>
    <w:rsid w:val="002C6224"/>
    <w:rsid w:val="00441A05"/>
    <w:rsid w:val="005B4CA0"/>
    <w:rsid w:val="005B6740"/>
    <w:rsid w:val="006F0845"/>
    <w:rsid w:val="006F3455"/>
    <w:rsid w:val="007E4188"/>
    <w:rsid w:val="00A36B8B"/>
    <w:rsid w:val="00A616FA"/>
    <w:rsid w:val="00A930D6"/>
    <w:rsid w:val="00D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F04B-0EDA-4891-BC63-BA8432E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 Кайратова</dc:creator>
  <cp:keywords/>
  <dc:description/>
  <cp:lastModifiedBy>Гульсара Ескендирова</cp:lastModifiedBy>
  <cp:revision>2</cp:revision>
  <dcterms:created xsi:type="dcterms:W3CDTF">2019-06-26T10:41:00Z</dcterms:created>
  <dcterms:modified xsi:type="dcterms:W3CDTF">2019-06-26T10:41:00Z</dcterms:modified>
</cp:coreProperties>
</file>