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CC6BCF" w14:textId="77777777" w:rsidR="00F674A4" w:rsidRPr="008448D8" w:rsidRDefault="00F674A4" w:rsidP="008727D9">
      <w:pPr>
        <w:ind w:firstLine="709"/>
        <w:jc w:val="both"/>
        <w:rPr>
          <w:rStyle w:val="af1"/>
          <w:color w:val="000000" w:themeColor="text1"/>
          <w:lang w:val="en-US"/>
        </w:rPr>
      </w:pPr>
    </w:p>
    <w:p w14:paraId="1D50D678" w14:textId="77777777" w:rsidR="00F674A4" w:rsidRPr="00F0736F" w:rsidRDefault="00F674A4" w:rsidP="00570E76">
      <w:pPr>
        <w:jc w:val="center"/>
        <w:rPr>
          <w:color w:val="000000" w:themeColor="text1"/>
          <w:sz w:val="26"/>
          <w:szCs w:val="26"/>
        </w:rPr>
      </w:pPr>
      <w:r w:rsidRPr="00F0736F">
        <w:rPr>
          <w:rFonts w:ascii="Times New Roman" w:hAnsi="Times New Roman" w:cs="Times New Roman"/>
          <w:b/>
          <w:bCs/>
          <w:color w:val="000000" w:themeColor="text1"/>
          <w:sz w:val="26"/>
          <w:szCs w:val="26"/>
        </w:rPr>
        <w:t>Министерство экологии, геологии и природных ресурсов</w:t>
      </w:r>
    </w:p>
    <w:p w14:paraId="41406D25" w14:textId="77777777" w:rsidR="00F674A4" w:rsidRPr="00F0736F" w:rsidRDefault="00F674A4" w:rsidP="00570E76">
      <w:pPr>
        <w:jc w:val="center"/>
        <w:rPr>
          <w:color w:val="000000" w:themeColor="text1"/>
          <w:sz w:val="26"/>
          <w:szCs w:val="26"/>
        </w:rPr>
      </w:pPr>
      <w:r w:rsidRPr="00F0736F">
        <w:rPr>
          <w:rFonts w:ascii="Times New Roman" w:hAnsi="Times New Roman" w:cs="Times New Roman"/>
          <w:b/>
          <w:bCs/>
          <w:color w:val="000000" w:themeColor="text1"/>
          <w:sz w:val="26"/>
          <w:szCs w:val="26"/>
        </w:rPr>
        <w:t>Республики Казахстан</w:t>
      </w:r>
    </w:p>
    <w:p w14:paraId="5FA7FD14" w14:textId="43A11AB0" w:rsidR="00F674A4" w:rsidRPr="00F864ED" w:rsidRDefault="00D80848" w:rsidP="00570E76">
      <w:pPr>
        <w:pStyle w:val="LTGliederung13"/>
        <w:widowControl/>
        <w:shd w:val="clear" w:color="auto" w:fill="FFFFFF"/>
        <w:overflowPunct w:val="0"/>
        <w:spacing w:before="0"/>
        <w:jc w:val="center"/>
        <w:rPr>
          <w:color w:val="000000" w:themeColor="text1"/>
          <w:sz w:val="26"/>
          <w:szCs w:val="26"/>
        </w:rPr>
      </w:pPr>
      <w:r>
        <w:rPr>
          <w:rFonts w:ascii="Times New Roman" w:hAnsi="Times New Roman" w:cs="Times New Roman"/>
          <w:b/>
          <w:bCs/>
          <w:color w:val="000000" w:themeColor="text1"/>
          <w:sz w:val="26"/>
          <w:szCs w:val="26"/>
        </w:rPr>
        <w:t xml:space="preserve"> </w:t>
      </w:r>
    </w:p>
    <w:p w14:paraId="4AA4E3E6" w14:textId="77777777" w:rsidR="00F674A4" w:rsidRPr="00F0736F" w:rsidRDefault="00F674A4" w:rsidP="00570E76">
      <w:pPr>
        <w:jc w:val="center"/>
        <w:rPr>
          <w:rFonts w:ascii="Times New Roman" w:hAnsi="Times New Roman" w:cs="Times New Roman"/>
          <w:b/>
          <w:bCs/>
          <w:color w:val="000000" w:themeColor="text1"/>
          <w:sz w:val="26"/>
          <w:szCs w:val="26"/>
        </w:rPr>
      </w:pPr>
    </w:p>
    <w:p w14:paraId="32C7BD28"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33B06FC3"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12BC6994"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612B0F28"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4BF15ACE" w14:textId="77777777" w:rsidR="00F674A4" w:rsidRPr="00F0736F" w:rsidRDefault="00F674A4" w:rsidP="008727D9">
      <w:pPr>
        <w:ind w:firstLine="709"/>
        <w:jc w:val="both"/>
        <w:rPr>
          <w:rFonts w:ascii="Times New Roman" w:hAnsi="Times New Roman" w:cs="Times New Roman"/>
          <w:b/>
          <w:bCs/>
          <w:color w:val="000000" w:themeColor="text1"/>
          <w:sz w:val="26"/>
          <w:szCs w:val="26"/>
        </w:rPr>
      </w:pPr>
      <w:bookmarkStart w:id="0" w:name="__DdeLink__29607_2500326771"/>
      <w:bookmarkEnd w:id="0"/>
    </w:p>
    <w:p w14:paraId="0535728C"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6E7812F0"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0F7B763B"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0E735E6C" w14:textId="77777777" w:rsidR="00F674A4" w:rsidRPr="00F0736F" w:rsidRDefault="00F674A4" w:rsidP="008727D9">
      <w:pPr>
        <w:ind w:firstLine="709"/>
        <w:jc w:val="both"/>
        <w:rPr>
          <w:rFonts w:ascii="Times New Roman" w:hAnsi="Times New Roman" w:cs="Times New Roman"/>
          <w:b/>
          <w:bCs/>
          <w:color w:val="000000" w:themeColor="text1"/>
        </w:rPr>
      </w:pPr>
    </w:p>
    <w:p w14:paraId="7AFA166B" w14:textId="77777777" w:rsidR="00F674A4" w:rsidRPr="00F0736F" w:rsidRDefault="00F674A4" w:rsidP="008727D9">
      <w:pPr>
        <w:ind w:firstLine="709"/>
        <w:jc w:val="both"/>
        <w:rPr>
          <w:rFonts w:ascii="Times New Roman" w:hAnsi="Times New Roman" w:cs="Times New Roman"/>
          <w:b/>
          <w:bCs/>
          <w:color w:val="000000" w:themeColor="text1"/>
        </w:rPr>
      </w:pPr>
    </w:p>
    <w:p w14:paraId="673B081F" w14:textId="77777777" w:rsidR="00F674A4" w:rsidRPr="00F0736F" w:rsidRDefault="00F674A4" w:rsidP="008727D9">
      <w:pPr>
        <w:ind w:firstLine="709"/>
        <w:jc w:val="both"/>
        <w:rPr>
          <w:rFonts w:ascii="Times New Roman" w:hAnsi="Times New Roman" w:cs="Times New Roman"/>
          <w:b/>
          <w:bCs/>
          <w:color w:val="000000" w:themeColor="text1"/>
        </w:rPr>
      </w:pPr>
    </w:p>
    <w:p w14:paraId="5EB373D6" w14:textId="77777777" w:rsidR="00F674A4" w:rsidRPr="00F0736F" w:rsidRDefault="00F674A4" w:rsidP="008727D9">
      <w:pPr>
        <w:ind w:firstLine="709"/>
        <w:jc w:val="both"/>
        <w:rPr>
          <w:rFonts w:ascii="Times New Roman" w:hAnsi="Times New Roman" w:cs="Times New Roman"/>
          <w:b/>
          <w:bCs/>
          <w:color w:val="000000" w:themeColor="text1"/>
        </w:rPr>
      </w:pPr>
    </w:p>
    <w:p w14:paraId="256FCC22" w14:textId="77777777" w:rsidR="00F674A4" w:rsidRPr="00F0736F" w:rsidRDefault="00F674A4" w:rsidP="008727D9">
      <w:pPr>
        <w:ind w:firstLine="709"/>
        <w:jc w:val="both"/>
        <w:rPr>
          <w:rFonts w:ascii="Times New Roman" w:hAnsi="Times New Roman" w:cs="Times New Roman"/>
          <w:b/>
          <w:bCs/>
          <w:color w:val="000000" w:themeColor="text1"/>
        </w:rPr>
      </w:pPr>
    </w:p>
    <w:p w14:paraId="4CF703B3" w14:textId="77777777" w:rsidR="00F674A4" w:rsidRPr="00F0736F" w:rsidRDefault="00F674A4" w:rsidP="008727D9">
      <w:pPr>
        <w:ind w:firstLine="709"/>
        <w:jc w:val="both"/>
        <w:rPr>
          <w:rFonts w:ascii="Times New Roman" w:hAnsi="Times New Roman" w:cs="Times New Roman"/>
          <w:b/>
          <w:bCs/>
          <w:color w:val="000000" w:themeColor="text1"/>
        </w:rPr>
      </w:pPr>
    </w:p>
    <w:p w14:paraId="3B55D194" w14:textId="77777777" w:rsidR="00F674A4" w:rsidRPr="00F0736F" w:rsidRDefault="00F674A4" w:rsidP="008727D9">
      <w:pPr>
        <w:ind w:firstLine="709"/>
        <w:jc w:val="both"/>
        <w:rPr>
          <w:rFonts w:ascii="Times New Roman" w:hAnsi="Times New Roman" w:cs="Times New Roman"/>
          <w:b/>
          <w:bCs/>
          <w:color w:val="000000" w:themeColor="text1"/>
        </w:rPr>
      </w:pPr>
    </w:p>
    <w:p w14:paraId="6655F5A7" w14:textId="77777777" w:rsidR="00F674A4" w:rsidRPr="00F0736F" w:rsidRDefault="00F674A4" w:rsidP="00570E76">
      <w:pPr>
        <w:jc w:val="center"/>
        <w:rPr>
          <w:color w:val="000000" w:themeColor="text1"/>
        </w:rPr>
      </w:pPr>
      <w:r w:rsidRPr="00F0736F">
        <w:rPr>
          <w:rFonts w:ascii="Times New Roman" w:hAnsi="Times New Roman" w:cs="Times New Roman"/>
          <w:b/>
          <w:bCs/>
          <w:color w:val="000000" w:themeColor="text1"/>
          <w:sz w:val="28"/>
          <w:szCs w:val="28"/>
        </w:rPr>
        <w:t>Национальный доклад по переходу Республики Казахстан к</w:t>
      </w:r>
    </w:p>
    <w:p w14:paraId="0ABDEE2C" w14:textId="77777777" w:rsidR="00F674A4" w:rsidRPr="00F0736F" w:rsidRDefault="00F674A4" w:rsidP="00570E76">
      <w:pPr>
        <w:jc w:val="center"/>
        <w:rPr>
          <w:color w:val="000000" w:themeColor="text1"/>
        </w:rPr>
      </w:pPr>
      <w:r w:rsidRPr="00F0736F">
        <w:rPr>
          <w:rFonts w:ascii="Times New Roman" w:hAnsi="Times New Roman" w:cs="Times New Roman"/>
          <w:b/>
          <w:bCs/>
          <w:color w:val="000000" w:themeColor="text1"/>
          <w:sz w:val="28"/>
          <w:szCs w:val="28"/>
        </w:rPr>
        <w:t>«зеленой экономике» за 2017 - 2019 годы</w:t>
      </w:r>
    </w:p>
    <w:p w14:paraId="3366D40B" w14:textId="77777777" w:rsidR="00F674A4" w:rsidRPr="00F0736F" w:rsidRDefault="00F674A4" w:rsidP="008727D9">
      <w:pPr>
        <w:ind w:firstLine="709"/>
        <w:jc w:val="both"/>
        <w:rPr>
          <w:rFonts w:ascii="Times New Roman" w:hAnsi="Times New Roman" w:cs="Times New Roman"/>
          <w:b/>
          <w:bCs/>
          <w:color w:val="000000" w:themeColor="text1"/>
        </w:rPr>
      </w:pPr>
    </w:p>
    <w:p w14:paraId="0AE17D78" w14:textId="77777777" w:rsidR="00F674A4" w:rsidRPr="00F0736F" w:rsidRDefault="00F674A4" w:rsidP="008727D9">
      <w:pPr>
        <w:ind w:firstLine="709"/>
        <w:jc w:val="both"/>
        <w:rPr>
          <w:rFonts w:ascii="Times New Roman" w:hAnsi="Times New Roman" w:cs="Times New Roman"/>
          <w:b/>
          <w:bCs/>
          <w:color w:val="000000" w:themeColor="text1"/>
        </w:rPr>
      </w:pPr>
    </w:p>
    <w:p w14:paraId="07972569" w14:textId="77777777" w:rsidR="00F674A4" w:rsidRPr="00F0736F" w:rsidRDefault="00F674A4" w:rsidP="008727D9">
      <w:pPr>
        <w:ind w:firstLine="709"/>
        <w:jc w:val="both"/>
        <w:rPr>
          <w:rFonts w:ascii="Times New Roman" w:hAnsi="Times New Roman" w:cs="Times New Roman"/>
          <w:b/>
          <w:bCs/>
          <w:color w:val="000000" w:themeColor="text1"/>
        </w:rPr>
      </w:pPr>
    </w:p>
    <w:p w14:paraId="4C82E531" w14:textId="77777777" w:rsidR="00F674A4" w:rsidRPr="00F0736F" w:rsidRDefault="00AA7069" w:rsidP="00D65A8B">
      <w:pPr>
        <w:ind w:firstLine="709"/>
        <w:jc w:val="center"/>
        <w:rPr>
          <w:color w:val="000000" w:themeColor="text1"/>
        </w:rPr>
      </w:pPr>
      <w:r w:rsidRPr="00F0736F">
        <w:rPr>
          <w:rFonts w:ascii="Times New Roman" w:hAnsi="Times New Roman" w:cs="Times New Roman"/>
          <w:b/>
          <w:bCs/>
          <w:color w:val="000000" w:themeColor="text1"/>
        </w:rPr>
        <w:t xml:space="preserve"> </w:t>
      </w:r>
    </w:p>
    <w:p w14:paraId="549F5D8B" w14:textId="77777777" w:rsidR="00F674A4" w:rsidRPr="00F0736F" w:rsidRDefault="00F674A4" w:rsidP="008727D9">
      <w:pPr>
        <w:ind w:firstLine="709"/>
        <w:jc w:val="both"/>
        <w:rPr>
          <w:rFonts w:ascii="Times New Roman" w:hAnsi="Times New Roman" w:cs="Times New Roman"/>
          <w:b/>
          <w:bCs/>
          <w:color w:val="000000" w:themeColor="text1"/>
        </w:rPr>
      </w:pPr>
    </w:p>
    <w:p w14:paraId="00D4880C" w14:textId="77777777" w:rsidR="00F674A4" w:rsidRPr="00F0736F" w:rsidRDefault="00F674A4" w:rsidP="008727D9">
      <w:pPr>
        <w:ind w:firstLine="709"/>
        <w:jc w:val="both"/>
        <w:rPr>
          <w:rFonts w:ascii="Times New Roman" w:hAnsi="Times New Roman" w:cs="Times New Roman"/>
          <w:b/>
          <w:bCs/>
          <w:color w:val="000000" w:themeColor="text1"/>
        </w:rPr>
      </w:pPr>
    </w:p>
    <w:p w14:paraId="7473F312" w14:textId="77777777" w:rsidR="00F674A4" w:rsidRPr="00F0736F" w:rsidRDefault="00F674A4" w:rsidP="008727D9">
      <w:pPr>
        <w:ind w:firstLine="709"/>
        <w:jc w:val="both"/>
        <w:rPr>
          <w:rFonts w:ascii="Times New Roman" w:hAnsi="Times New Roman" w:cs="Times New Roman"/>
          <w:b/>
          <w:bCs/>
          <w:color w:val="000000" w:themeColor="text1"/>
        </w:rPr>
      </w:pPr>
    </w:p>
    <w:p w14:paraId="1F40FB05" w14:textId="77777777" w:rsidR="00F674A4" w:rsidRPr="00F0736F" w:rsidRDefault="00F674A4" w:rsidP="008727D9">
      <w:pPr>
        <w:ind w:firstLine="709"/>
        <w:jc w:val="both"/>
        <w:rPr>
          <w:rFonts w:ascii="Times New Roman" w:hAnsi="Times New Roman" w:cs="Times New Roman"/>
          <w:b/>
          <w:bCs/>
          <w:color w:val="000000" w:themeColor="text1"/>
        </w:rPr>
      </w:pPr>
    </w:p>
    <w:p w14:paraId="1AEAA90A" w14:textId="77777777" w:rsidR="00F674A4" w:rsidRPr="00F0736F" w:rsidRDefault="00F674A4" w:rsidP="008727D9">
      <w:pPr>
        <w:ind w:firstLine="709"/>
        <w:jc w:val="both"/>
        <w:rPr>
          <w:rFonts w:ascii="Times New Roman" w:hAnsi="Times New Roman" w:cs="Times New Roman"/>
          <w:b/>
          <w:bCs/>
          <w:color w:val="000000" w:themeColor="text1"/>
        </w:rPr>
      </w:pPr>
    </w:p>
    <w:p w14:paraId="37639D48" w14:textId="77777777" w:rsidR="00F674A4" w:rsidRPr="00F0736F" w:rsidRDefault="00F674A4" w:rsidP="008727D9">
      <w:pPr>
        <w:ind w:firstLine="709"/>
        <w:jc w:val="both"/>
        <w:rPr>
          <w:rFonts w:ascii="Times New Roman" w:hAnsi="Times New Roman" w:cs="Times New Roman"/>
          <w:b/>
          <w:bCs/>
          <w:color w:val="000000" w:themeColor="text1"/>
        </w:rPr>
      </w:pPr>
    </w:p>
    <w:p w14:paraId="039592ED" w14:textId="77777777" w:rsidR="00F674A4" w:rsidRPr="00F0736F" w:rsidRDefault="00F674A4" w:rsidP="008727D9">
      <w:pPr>
        <w:ind w:firstLine="709"/>
        <w:jc w:val="both"/>
        <w:rPr>
          <w:rFonts w:ascii="Times New Roman" w:hAnsi="Times New Roman" w:cs="Times New Roman"/>
          <w:b/>
          <w:bCs/>
          <w:color w:val="000000" w:themeColor="text1"/>
        </w:rPr>
      </w:pPr>
    </w:p>
    <w:p w14:paraId="1C323151" w14:textId="77777777" w:rsidR="00F674A4" w:rsidRPr="00F0736F" w:rsidRDefault="00F674A4" w:rsidP="008727D9">
      <w:pPr>
        <w:ind w:firstLine="709"/>
        <w:jc w:val="both"/>
        <w:rPr>
          <w:rFonts w:ascii="Times New Roman" w:hAnsi="Times New Roman" w:cs="Times New Roman"/>
          <w:b/>
          <w:bCs/>
          <w:color w:val="000000" w:themeColor="text1"/>
        </w:rPr>
      </w:pPr>
    </w:p>
    <w:p w14:paraId="4C9AB223" w14:textId="77777777" w:rsidR="00F674A4" w:rsidRPr="00F0736F" w:rsidRDefault="00F674A4" w:rsidP="008727D9">
      <w:pPr>
        <w:ind w:firstLine="709"/>
        <w:jc w:val="both"/>
        <w:rPr>
          <w:rFonts w:ascii="Times New Roman" w:hAnsi="Times New Roman" w:cs="Times New Roman"/>
          <w:b/>
          <w:bCs/>
          <w:color w:val="000000" w:themeColor="text1"/>
        </w:rPr>
      </w:pPr>
    </w:p>
    <w:p w14:paraId="65B0CE04" w14:textId="77777777" w:rsidR="00F674A4" w:rsidRPr="00F0736F" w:rsidRDefault="00F674A4" w:rsidP="008727D9">
      <w:pPr>
        <w:ind w:firstLine="709"/>
        <w:jc w:val="both"/>
        <w:rPr>
          <w:rFonts w:ascii="Times New Roman" w:hAnsi="Times New Roman" w:cs="Times New Roman"/>
          <w:b/>
          <w:bCs/>
          <w:color w:val="000000" w:themeColor="text1"/>
        </w:rPr>
      </w:pPr>
    </w:p>
    <w:p w14:paraId="4ADC5F78" w14:textId="77777777" w:rsidR="00F674A4" w:rsidRPr="00F0736F" w:rsidRDefault="00F674A4" w:rsidP="008727D9">
      <w:pPr>
        <w:ind w:firstLine="709"/>
        <w:jc w:val="both"/>
        <w:rPr>
          <w:rFonts w:ascii="Times New Roman" w:hAnsi="Times New Roman" w:cs="Times New Roman"/>
          <w:b/>
          <w:bCs/>
          <w:color w:val="000000" w:themeColor="text1"/>
        </w:rPr>
      </w:pPr>
    </w:p>
    <w:p w14:paraId="03476DA4" w14:textId="77777777" w:rsidR="00F674A4" w:rsidRPr="00F0736F" w:rsidRDefault="00F674A4" w:rsidP="008727D9">
      <w:pPr>
        <w:ind w:firstLine="709"/>
        <w:jc w:val="both"/>
        <w:rPr>
          <w:rFonts w:ascii="Times New Roman" w:hAnsi="Times New Roman" w:cs="Times New Roman"/>
          <w:b/>
          <w:bCs/>
          <w:color w:val="000000" w:themeColor="text1"/>
        </w:rPr>
      </w:pPr>
    </w:p>
    <w:p w14:paraId="6645E765"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22CAFE17"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60826E27"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06C8B80C"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5D494AB9"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5FC4750B" w14:textId="77777777" w:rsidR="00F674A4" w:rsidRPr="00F0736F" w:rsidRDefault="00F674A4" w:rsidP="008727D9">
      <w:pPr>
        <w:ind w:firstLine="709"/>
        <w:jc w:val="both"/>
        <w:rPr>
          <w:rFonts w:ascii="Times New Roman" w:hAnsi="Times New Roman" w:cs="Times New Roman"/>
          <w:b/>
          <w:bCs/>
          <w:color w:val="000000" w:themeColor="text1"/>
          <w:sz w:val="26"/>
          <w:szCs w:val="26"/>
        </w:rPr>
      </w:pPr>
    </w:p>
    <w:p w14:paraId="22EBCB01" w14:textId="67379831" w:rsidR="00F674A4" w:rsidRPr="00F0736F" w:rsidRDefault="00F674A4" w:rsidP="007272FB">
      <w:pPr>
        <w:jc w:val="center"/>
        <w:rPr>
          <w:color w:val="000000" w:themeColor="text1"/>
        </w:rPr>
      </w:pPr>
      <w:r w:rsidRPr="00F0736F">
        <w:rPr>
          <w:rFonts w:ascii="Times New Roman" w:eastAsia="Calibri" w:hAnsi="Times New Roman" w:cs="Times New Roman"/>
          <w:b/>
          <w:bCs/>
          <w:color w:val="000000" w:themeColor="text1"/>
          <w:sz w:val="26"/>
          <w:szCs w:val="26"/>
          <w:lang w:eastAsia="en-US"/>
        </w:rPr>
        <w:t>Нур-Султан, 2020</w:t>
      </w:r>
    </w:p>
    <w:p w14:paraId="4AD7B1F1" w14:textId="5AD68F7A" w:rsidR="00F674A4" w:rsidRDefault="00F674A4" w:rsidP="008727D9">
      <w:pPr>
        <w:tabs>
          <w:tab w:val="left" w:pos="142"/>
        </w:tabs>
        <w:ind w:firstLine="709"/>
        <w:jc w:val="both"/>
        <w:rPr>
          <w:rFonts w:ascii="Times New Roman" w:hAnsi="Times New Roman" w:cs="Times New Roman"/>
          <w:color w:val="000000" w:themeColor="text1"/>
        </w:rPr>
      </w:pPr>
    </w:p>
    <w:p w14:paraId="744B28F0" w14:textId="07B022AE" w:rsidR="007272FB" w:rsidRDefault="007272FB">
      <w:pPr>
        <w:suppressAutoHyphens w:val="0"/>
        <w:overflowPunct/>
        <w:rPr>
          <w:rFonts w:ascii="Times New Roman" w:hAnsi="Times New Roman" w:cs="Times New Roman"/>
          <w:color w:val="000000" w:themeColor="text1"/>
        </w:rPr>
      </w:pPr>
      <w:r>
        <w:rPr>
          <w:rFonts w:ascii="Times New Roman" w:hAnsi="Times New Roman" w:cs="Times New Roman"/>
          <w:color w:val="000000" w:themeColor="text1"/>
        </w:rPr>
        <w:br w:type="page"/>
      </w:r>
    </w:p>
    <w:sdt>
      <w:sdtPr>
        <w:rPr>
          <w:rFonts w:ascii="Liberation Serif" w:eastAsia="NSimSun" w:hAnsi="Liberation Serif" w:cs="Lucida Sans"/>
          <w:color w:val="auto"/>
          <w:kern w:val="2"/>
          <w:sz w:val="24"/>
          <w:szCs w:val="24"/>
          <w:lang w:eastAsia="zh-CN" w:bidi="hi-IN"/>
        </w:rPr>
        <w:id w:val="-1361587034"/>
        <w:docPartObj>
          <w:docPartGallery w:val="Table of Contents"/>
          <w:docPartUnique/>
        </w:docPartObj>
      </w:sdtPr>
      <w:sdtEndPr>
        <w:rPr>
          <w:b/>
          <w:bCs/>
        </w:rPr>
      </w:sdtEndPr>
      <w:sdtContent>
        <w:p w14:paraId="58A9CFF1" w14:textId="45117C2A" w:rsidR="00A12740" w:rsidRPr="00A12740" w:rsidRDefault="00A12740" w:rsidP="00A12740">
          <w:pPr>
            <w:pStyle w:val="afffff4"/>
            <w:jc w:val="center"/>
            <w:rPr>
              <w:rFonts w:ascii="Times New Roman" w:hAnsi="Times New Roman" w:cs="Times New Roman"/>
              <w:b/>
              <w:bCs/>
              <w:color w:val="auto"/>
              <w:sz w:val="24"/>
              <w:szCs w:val="24"/>
            </w:rPr>
          </w:pPr>
          <w:r w:rsidRPr="00A12740">
            <w:rPr>
              <w:rFonts w:ascii="Times New Roman" w:hAnsi="Times New Roman" w:cs="Times New Roman"/>
              <w:b/>
              <w:bCs/>
              <w:color w:val="auto"/>
              <w:sz w:val="24"/>
              <w:szCs w:val="24"/>
            </w:rPr>
            <w:t>Содержание</w:t>
          </w:r>
        </w:p>
        <w:p w14:paraId="27A1C0AB" w14:textId="0B6EC1CD" w:rsidR="00A12740" w:rsidRDefault="00A12740">
          <w:pPr>
            <w:pStyle w:val="1ff6"/>
            <w:tabs>
              <w:tab w:val="right" w:leader="dot" w:pos="9839"/>
            </w:tabs>
            <w:rPr>
              <w:noProof/>
            </w:rPr>
          </w:pPr>
          <w:r>
            <w:fldChar w:fldCharType="begin"/>
          </w:r>
          <w:r>
            <w:instrText xml:space="preserve"> TOC \o "1-3" \h \z \u </w:instrText>
          </w:r>
          <w:r>
            <w:fldChar w:fldCharType="separate"/>
          </w:r>
          <w:hyperlink w:anchor="_Toc57818720" w:history="1">
            <w:r w:rsidRPr="00DB00B4">
              <w:rPr>
                <w:rStyle w:val="a6"/>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_Toc57818720 \h </w:instrText>
            </w:r>
            <w:r>
              <w:rPr>
                <w:noProof/>
                <w:webHidden/>
              </w:rPr>
            </w:r>
            <w:r>
              <w:rPr>
                <w:noProof/>
                <w:webHidden/>
              </w:rPr>
              <w:fldChar w:fldCharType="separate"/>
            </w:r>
            <w:r>
              <w:rPr>
                <w:noProof/>
                <w:webHidden/>
              </w:rPr>
              <w:t>3</w:t>
            </w:r>
            <w:r>
              <w:rPr>
                <w:noProof/>
                <w:webHidden/>
              </w:rPr>
              <w:fldChar w:fldCharType="end"/>
            </w:r>
          </w:hyperlink>
        </w:p>
        <w:p w14:paraId="03691600" w14:textId="295CE32D" w:rsidR="00A12740" w:rsidRDefault="00314538">
          <w:pPr>
            <w:pStyle w:val="1ff6"/>
            <w:tabs>
              <w:tab w:val="right" w:leader="dot" w:pos="9839"/>
            </w:tabs>
            <w:rPr>
              <w:noProof/>
            </w:rPr>
          </w:pPr>
          <w:hyperlink w:anchor="_Toc57818721" w:history="1">
            <w:r w:rsidR="00A12740" w:rsidRPr="00DB00B4">
              <w:rPr>
                <w:rStyle w:val="a6"/>
                <w:rFonts w:ascii="Times New Roman" w:hAnsi="Times New Roman" w:cs="Times New Roman"/>
                <w:noProof/>
              </w:rPr>
              <w:t>1. Реализация мероприятий и достижение показателей перехода Республики Казахстан к «зеленой экономике»</w:t>
            </w:r>
            <w:r w:rsidR="00A12740">
              <w:rPr>
                <w:noProof/>
                <w:webHidden/>
              </w:rPr>
              <w:tab/>
            </w:r>
            <w:r w:rsidR="00A12740">
              <w:rPr>
                <w:noProof/>
                <w:webHidden/>
              </w:rPr>
              <w:fldChar w:fldCharType="begin"/>
            </w:r>
            <w:r w:rsidR="00A12740">
              <w:rPr>
                <w:noProof/>
                <w:webHidden/>
              </w:rPr>
              <w:instrText xml:space="preserve"> PAGEREF _Toc57818721 \h </w:instrText>
            </w:r>
            <w:r w:rsidR="00A12740">
              <w:rPr>
                <w:noProof/>
                <w:webHidden/>
              </w:rPr>
            </w:r>
            <w:r w:rsidR="00A12740">
              <w:rPr>
                <w:noProof/>
                <w:webHidden/>
              </w:rPr>
              <w:fldChar w:fldCharType="separate"/>
            </w:r>
            <w:r w:rsidR="00A12740">
              <w:rPr>
                <w:noProof/>
                <w:webHidden/>
              </w:rPr>
              <w:t>5</w:t>
            </w:r>
            <w:r w:rsidR="00A12740">
              <w:rPr>
                <w:noProof/>
                <w:webHidden/>
              </w:rPr>
              <w:fldChar w:fldCharType="end"/>
            </w:r>
          </w:hyperlink>
        </w:p>
        <w:p w14:paraId="717DA21D" w14:textId="4081A190" w:rsidR="00A12740" w:rsidRDefault="00314538">
          <w:pPr>
            <w:pStyle w:val="2e"/>
            <w:tabs>
              <w:tab w:val="right" w:leader="dot" w:pos="9839"/>
            </w:tabs>
            <w:rPr>
              <w:noProof/>
            </w:rPr>
          </w:pPr>
          <w:hyperlink w:anchor="_Toc57818722" w:history="1">
            <w:r w:rsidR="00A12740" w:rsidRPr="00DB00B4">
              <w:rPr>
                <w:rStyle w:val="a6"/>
                <w:rFonts w:ascii="Times New Roman" w:eastAsia="Times New Roman" w:hAnsi="Times New Roman" w:cs="Times New Roman"/>
                <w:noProof/>
              </w:rPr>
              <w:t xml:space="preserve">1.1. </w:t>
            </w:r>
            <w:r w:rsidR="00A12740" w:rsidRPr="00DB00B4">
              <w:rPr>
                <w:rStyle w:val="a6"/>
                <w:rFonts w:ascii="Times New Roman" w:hAnsi="Times New Roman" w:cs="Times New Roman"/>
                <w:noProof/>
              </w:rPr>
              <w:t>Устойчивое использование водных ресурсов</w:t>
            </w:r>
            <w:r w:rsidR="00A12740">
              <w:rPr>
                <w:noProof/>
                <w:webHidden/>
              </w:rPr>
              <w:tab/>
            </w:r>
            <w:r w:rsidR="00A12740">
              <w:rPr>
                <w:noProof/>
                <w:webHidden/>
              </w:rPr>
              <w:fldChar w:fldCharType="begin"/>
            </w:r>
            <w:r w:rsidR="00A12740">
              <w:rPr>
                <w:noProof/>
                <w:webHidden/>
              </w:rPr>
              <w:instrText xml:space="preserve"> PAGEREF _Toc57818722 \h </w:instrText>
            </w:r>
            <w:r w:rsidR="00A12740">
              <w:rPr>
                <w:noProof/>
                <w:webHidden/>
              </w:rPr>
            </w:r>
            <w:r w:rsidR="00A12740">
              <w:rPr>
                <w:noProof/>
                <w:webHidden/>
              </w:rPr>
              <w:fldChar w:fldCharType="separate"/>
            </w:r>
            <w:r w:rsidR="00A12740">
              <w:rPr>
                <w:noProof/>
                <w:webHidden/>
              </w:rPr>
              <w:t>5</w:t>
            </w:r>
            <w:r w:rsidR="00A12740">
              <w:rPr>
                <w:noProof/>
                <w:webHidden/>
              </w:rPr>
              <w:fldChar w:fldCharType="end"/>
            </w:r>
          </w:hyperlink>
        </w:p>
        <w:p w14:paraId="7BC12180" w14:textId="0C0B8327" w:rsidR="00A12740" w:rsidRDefault="00314538">
          <w:pPr>
            <w:pStyle w:val="2e"/>
            <w:tabs>
              <w:tab w:val="right" w:leader="dot" w:pos="9839"/>
            </w:tabs>
            <w:rPr>
              <w:noProof/>
            </w:rPr>
          </w:pPr>
          <w:hyperlink w:anchor="_Toc57818723" w:history="1">
            <w:r w:rsidR="00A12740" w:rsidRPr="00DB00B4">
              <w:rPr>
                <w:rStyle w:val="a6"/>
                <w:rFonts w:ascii="Times New Roman" w:eastAsia="Times New Roman" w:hAnsi="Times New Roman" w:cs="Times New Roman"/>
                <w:noProof/>
              </w:rPr>
              <w:t>1.2. Развитие устойчивого и высокопроизводительного сельского хозяйства</w:t>
            </w:r>
            <w:r w:rsidR="00A12740">
              <w:rPr>
                <w:noProof/>
                <w:webHidden/>
              </w:rPr>
              <w:tab/>
            </w:r>
            <w:r w:rsidR="00A12740">
              <w:rPr>
                <w:noProof/>
                <w:webHidden/>
              </w:rPr>
              <w:fldChar w:fldCharType="begin"/>
            </w:r>
            <w:r w:rsidR="00A12740">
              <w:rPr>
                <w:noProof/>
                <w:webHidden/>
              </w:rPr>
              <w:instrText xml:space="preserve"> PAGEREF _Toc57818723 \h </w:instrText>
            </w:r>
            <w:r w:rsidR="00A12740">
              <w:rPr>
                <w:noProof/>
                <w:webHidden/>
              </w:rPr>
            </w:r>
            <w:r w:rsidR="00A12740">
              <w:rPr>
                <w:noProof/>
                <w:webHidden/>
              </w:rPr>
              <w:fldChar w:fldCharType="separate"/>
            </w:r>
            <w:r w:rsidR="00A12740">
              <w:rPr>
                <w:noProof/>
                <w:webHidden/>
              </w:rPr>
              <w:t>23</w:t>
            </w:r>
            <w:r w:rsidR="00A12740">
              <w:rPr>
                <w:noProof/>
                <w:webHidden/>
              </w:rPr>
              <w:fldChar w:fldCharType="end"/>
            </w:r>
          </w:hyperlink>
        </w:p>
        <w:p w14:paraId="3B2F2C27" w14:textId="64C61448" w:rsidR="00A12740" w:rsidRDefault="00314538">
          <w:pPr>
            <w:pStyle w:val="2e"/>
            <w:tabs>
              <w:tab w:val="right" w:leader="dot" w:pos="9839"/>
            </w:tabs>
            <w:rPr>
              <w:noProof/>
            </w:rPr>
          </w:pPr>
          <w:hyperlink w:anchor="_Toc57818724" w:history="1">
            <w:r w:rsidR="00A12740" w:rsidRPr="00DB00B4">
              <w:rPr>
                <w:rStyle w:val="a6"/>
                <w:rFonts w:ascii="Times New Roman" w:eastAsia="Times New Roman" w:hAnsi="Times New Roman" w:cs="Times New Roman"/>
                <w:noProof/>
              </w:rPr>
              <w:t>1.3. Энергосбережение и повышение энергоэффективности</w:t>
            </w:r>
            <w:r w:rsidR="00A12740">
              <w:rPr>
                <w:noProof/>
                <w:webHidden/>
              </w:rPr>
              <w:tab/>
            </w:r>
            <w:r w:rsidR="00A12740">
              <w:rPr>
                <w:noProof/>
                <w:webHidden/>
              </w:rPr>
              <w:fldChar w:fldCharType="begin"/>
            </w:r>
            <w:r w:rsidR="00A12740">
              <w:rPr>
                <w:noProof/>
                <w:webHidden/>
              </w:rPr>
              <w:instrText xml:space="preserve"> PAGEREF _Toc57818724 \h </w:instrText>
            </w:r>
            <w:r w:rsidR="00A12740">
              <w:rPr>
                <w:noProof/>
                <w:webHidden/>
              </w:rPr>
            </w:r>
            <w:r w:rsidR="00A12740">
              <w:rPr>
                <w:noProof/>
                <w:webHidden/>
              </w:rPr>
              <w:fldChar w:fldCharType="separate"/>
            </w:r>
            <w:r w:rsidR="00A12740">
              <w:rPr>
                <w:noProof/>
                <w:webHidden/>
              </w:rPr>
              <w:t>37</w:t>
            </w:r>
            <w:r w:rsidR="00A12740">
              <w:rPr>
                <w:noProof/>
                <w:webHidden/>
              </w:rPr>
              <w:fldChar w:fldCharType="end"/>
            </w:r>
          </w:hyperlink>
        </w:p>
        <w:p w14:paraId="1BBDA95D" w14:textId="40AECBFE" w:rsidR="00A12740" w:rsidRDefault="00314538">
          <w:pPr>
            <w:pStyle w:val="2e"/>
            <w:tabs>
              <w:tab w:val="right" w:leader="dot" w:pos="9839"/>
            </w:tabs>
            <w:rPr>
              <w:noProof/>
            </w:rPr>
          </w:pPr>
          <w:hyperlink w:anchor="_Toc57818725" w:history="1">
            <w:r w:rsidR="00A12740" w:rsidRPr="00DB00B4">
              <w:rPr>
                <w:rStyle w:val="a6"/>
                <w:rFonts w:ascii="Times New Roman" w:eastAsia="Times New Roman" w:hAnsi="Times New Roman" w:cs="Times New Roman"/>
                <w:noProof/>
              </w:rPr>
              <w:t>1.4. Развитие электроэнергетики</w:t>
            </w:r>
            <w:r w:rsidR="00A12740">
              <w:rPr>
                <w:noProof/>
                <w:webHidden/>
              </w:rPr>
              <w:tab/>
            </w:r>
            <w:r w:rsidR="00A12740">
              <w:rPr>
                <w:noProof/>
                <w:webHidden/>
              </w:rPr>
              <w:fldChar w:fldCharType="begin"/>
            </w:r>
            <w:r w:rsidR="00A12740">
              <w:rPr>
                <w:noProof/>
                <w:webHidden/>
              </w:rPr>
              <w:instrText xml:space="preserve"> PAGEREF _Toc57818725 \h </w:instrText>
            </w:r>
            <w:r w:rsidR="00A12740">
              <w:rPr>
                <w:noProof/>
                <w:webHidden/>
              </w:rPr>
            </w:r>
            <w:r w:rsidR="00A12740">
              <w:rPr>
                <w:noProof/>
                <w:webHidden/>
              </w:rPr>
              <w:fldChar w:fldCharType="separate"/>
            </w:r>
            <w:r w:rsidR="00A12740">
              <w:rPr>
                <w:noProof/>
                <w:webHidden/>
              </w:rPr>
              <w:t>47</w:t>
            </w:r>
            <w:r w:rsidR="00A12740">
              <w:rPr>
                <w:noProof/>
                <w:webHidden/>
              </w:rPr>
              <w:fldChar w:fldCharType="end"/>
            </w:r>
          </w:hyperlink>
        </w:p>
        <w:p w14:paraId="56171C6A" w14:textId="57513938" w:rsidR="00A12740" w:rsidRDefault="00314538">
          <w:pPr>
            <w:pStyle w:val="2e"/>
            <w:tabs>
              <w:tab w:val="right" w:leader="dot" w:pos="9839"/>
            </w:tabs>
            <w:rPr>
              <w:noProof/>
            </w:rPr>
          </w:pPr>
          <w:hyperlink w:anchor="_Toc57818726" w:history="1">
            <w:r w:rsidR="00A12740" w:rsidRPr="00DB00B4">
              <w:rPr>
                <w:rStyle w:val="a6"/>
                <w:rFonts w:ascii="Times New Roman" w:eastAsia="Times New Roman" w:hAnsi="Times New Roman" w:cs="Times New Roman"/>
                <w:noProof/>
              </w:rPr>
              <w:t>1.5. Система управления отходами</w:t>
            </w:r>
            <w:r w:rsidR="00A12740">
              <w:rPr>
                <w:noProof/>
                <w:webHidden/>
              </w:rPr>
              <w:tab/>
            </w:r>
            <w:r w:rsidR="00A12740">
              <w:rPr>
                <w:noProof/>
                <w:webHidden/>
              </w:rPr>
              <w:fldChar w:fldCharType="begin"/>
            </w:r>
            <w:r w:rsidR="00A12740">
              <w:rPr>
                <w:noProof/>
                <w:webHidden/>
              </w:rPr>
              <w:instrText xml:space="preserve"> PAGEREF _Toc57818726 \h </w:instrText>
            </w:r>
            <w:r w:rsidR="00A12740">
              <w:rPr>
                <w:noProof/>
                <w:webHidden/>
              </w:rPr>
            </w:r>
            <w:r w:rsidR="00A12740">
              <w:rPr>
                <w:noProof/>
                <w:webHidden/>
              </w:rPr>
              <w:fldChar w:fldCharType="separate"/>
            </w:r>
            <w:r w:rsidR="00A12740">
              <w:rPr>
                <w:noProof/>
                <w:webHidden/>
              </w:rPr>
              <w:t>60</w:t>
            </w:r>
            <w:r w:rsidR="00A12740">
              <w:rPr>
                <w:noProof/>
                <w:webHidden/>
              </w:rPr>
              <w:fldChar w:fldCharType="end"/>
            </w:r>
          </w:hyperlink>
        </w:p>
        <w:p w14:paraId="4FAA0139" w14:textId="2A0773A3" w:rsidR="00A12740" w:rsidRDefault="00314538">
          <w:pPr>
            <w:pStyle w:val="2e"/>
            <w:tabs>
              <w:tab w:val="right" w:leader="dot" w:pos="9839"/>
            </w:tabs>
            <w:rPr>
              <w:noProof/>
            </w:rPr>
          </w:pPr>
          <w:hyperlink w:anchor="_Toc57818727" w:history="1">
            <w:r w:rsidR="00A12740" w:rsidRPr="00DB00B4">
              <w:rPr>
                <w:rStyle w:val="a6"/>
                <w:rFonts w:ascii="Times New Roman" w:eastAsia="Times New Roman" w:hAnsi="Times New Roman" w:cs="Times New Roman"/>
                <w:noProof/>
              </w:rPr>
              <w:t>1.6. Снижение загрязнения воздуха</w:t>
            </w:r>
            <w:r w:rsidR="00A12740">
              <w:rPr>
                <w:noProof/>
                <w:webHidden/>
              </w:rPr>
              <w:tab/>
            </w:r>
            <w:r w:rsidR="00A12740">
              <w:rPr>
                <w:noProof/>
                <w:webHidden/>
              </w:rPr>
              <w:fldChar w:fldCharType="begin"/>
            </w:r>
            <w:r w:rsidR="00A12740">
              <w:rPr>
                <w:noProof/>
                <w:webHidden/>
              </w:rPr>
              <w:instrText xml:space="preserve"> PAGEREF _Toc57818727 \h </w:instrText>
            </w:r>
            <w:r w:rsidR="00A12740">
              <w:rPr>
                <w:noProof/>
                <w:webHidden/>
              </w:rPr>
            </w:r>
            <w:r w:rsidR="00A12740">
              <w:rPr>
                <w:noProof/>
                <w:webHidden/>
              </w:rPr>
              <w:fldChar w:fldCharType="separate"/>
            </w:r>
            <w:r w:rsidR="00A12740">
              <w:rPr>
                <w:noProof/>
                <w:webHidden/>
              </w:rPr>
              <w:t>81</w:t>
            </w:r>
            <w:r w:rsidR="00A12740">
              <w:rPr>
                <w:noProof/>
                <w:webHidden/>
              </w:rPr>
              <w:fldChar w:fldCharType="end"/>
            </w:r>
          </w:hyperlink>
        </w:p>
        <w:p w14:paraId="47FDC511" w14:textId="4D0C3EF2" w:rsidR="00A12740" w:rsidRDefault="00314538">
          <w:pPr>
            <w:pStyle w:val="2e"/>
            <w:tabs>
              <w:tab w:val="right" w:leader="dot" w:pos="9839"/>
            </w:tabs>
            <w:rPr>
              <w:noProof/>
            </w:rPr>
          </w:pPr>
          <w:hyperlink w:anchor="_Toc57818728" w:history="1">
            <w:r w:rsidR="00A12740" w:rsidRPr="00DB00B4">
              <w:rPr>
                <w:rStyle w:val="a6"/>
                <w:rFonts w:ascii="Times New Roman" w:eastAsia="Times New Roman" w:hAnsi="Times New Roman" w:cs="Times New Roman"/>
                <w:noProof/>
              </w:rPr>
              <w:t>1.7. Снижение выбросов парниковых газов</w:t>
            </w:r>
            <w:r w:rsidR="00A12740">
              <w:rPr>
                <w:noProof/>
                <w:webHidden/>
              </w:rPr>
              <w:tab/>
            </w:r>
            <w:r w:rsidR="00A12740">
              <w:rPr>
                <w:noProof/>
                <w:webHidden/>
              </w:rPr>
              <w:fldChar w:fldCharType="begin"/>
            </w:r>
            <w:r w:rsidR="00A12740">
              <w:rPr>
                <w:noProof/>
                <w:webHidden/>
              </w:rPr>
              <w:instrText xml:space="preserve"> PAGEREF _Toc57818728 \h </w:instrText>
            </w:r>
            <w:r w:rsidR="00A12740">
              <w:rPr>
                <w:noProof/>
                <w:webHidden/>
              </w:rPr>
            </w:r>
            <w:r w:rsidR="00A12740">
              <w:rPr>
                <w:noProof/>
                <w:webHidden/>
              </w:rPr>
              <w:fldChar w:fldCharType="separate"/>
            </w:r>
            <w:r w:rsidR="00A12740">
              <w:rPr>
                <w:noProof/>
                <w:webHidden/>
              </w:rPr>
              <w:t>94</w:t>
            </w:r>
            <w:r w:rsidR="00A12740">
              <w:rPr>
                <w:noProof/>
                <w:webHidden/>
              </w:rPr>
              <w:fldChar w:fldCharType="end"/>
            </w:r>
          </w:hyperlink>
        </w:p>
        <w:p w14:paraId="6D7E0373" w14:textId="137AD4B7" w:rsidR="00A12740" w:rsidRDefault="00314538">
          <w:pPr>
            <w:pStyle w:val="2e"/>
            <w:tabs>
              <w:tab w:val="right" w:leader="dot" w:pos="9839"/>
            </w:tabs>
            <w:rPr>
              <w:noProof/>
            </w:rPr>
          </w:pPr>
          <w:hyperlink w:anchor="_Toc57818729" w:history="1">
            <w:r w:rsidR="00A12740" w:rsidRPr="00DB00B4">
              <w:rPr>
                <w:rStyle w:val="a6"/>
                <w:rFonts w:ascii="Times New Roman" w:eastAsia="Times New Roman" w:hAnsi="Times New Roman" w:cs="Times New Roman"/>
                <w:noProof/>
              </w:rPr>
              <w:t>1.8. Сохранение и эффективное управление экосистемами</w:t>
            </w:r>
            <w:r w:rsidR="00A12740">
              <w:rPr>
                <w:noProof/>
                <w:webHidden/>
              </w:rPr>
              <w:tab/>
            </w:r>
            <w:r w:rsidR="00A12740">
              <w:rPr>
                <w:noProof/>
                <w:webHidden/>
              </w:rPr>
              <w:fldChar w:fldCharType="begin"/>
            </w:r>
            <w:r w:rsidR="00A12740">
              <w:rPr>
                <w:noProof/>
                <w:webHidden/>
              </w:rPr>
              <w:instrText xml:space="preserve"> PAGEREF _Toc57818729 \h </w:instrText>
            </w:r>
            <w:r w:rsidR="00A12740">
              <w:rPr>
                <w:noProof/>
                <w:webHidden/>
              </w:rPr>
            </w:r>
            <w:r w:rsidR="00A12740">
              <w:rPr>
                <w:noProof/>
                <w:webHidden/>
              </w:rPr>
              <w:fldChar w:fldCharType="separate"/>
            </w:r>
            <w:r w:rsidR="00A12740">
              <w:rPr>
                <w:noProof/>
                <w:webHidden/>
              </w:rPr>
              <w:t>106</w:t>
            </w:r>
            <w:r w:rsidR="00A12740">
              <w:rPr>
                <w:noProof/>
                <w:webHidden/>
              </w:rPr>
              <w:fldChar w:fldCharType="end"/>
            </w:r>
          </w:hyperlink>
        </w:p>
        <w:p w14:paraId="165750A9" w14:textId="1552E8A9" w:rsidR="00A12740" w:rsidRDefault="00314538">
          <w:pPr>
            <w:pStyle w:val="2e"/>
            <w:tabs>
              <w:tab w:val="right" w:leader="dot" w:pos="9839"/>
            </w:tabs>
            <w:rPr>
              <w:noProof/>
            </w:rPr>
          </w:pPr>
          <w:hyperlink w:anchor="_Toc57818730" w:history="1">
            <w:r w:rsidR="00A12740" w:rsidRPr="00DB00B4">
              <w:rPr>
                <w:rStyle w:val="a6"/>
                <w:rFonts w:ascii="Times New Roman" w:eastAsia="Times New Roman" w:hAnsi="Times New Roman" w:cs="Times New Roman"/>
                <w:noProof/>
              </w:rPr>
              <w:t>1.9. Формирование экологической культуры населения</w:t>
            </w:r>
            <w:r w:rsidR="00A12740">
              <w:rPr>
                <w:noProof/>
                <w:webHidden/>
              </w:rPr>
              <w:tab/>
            </w:r>
            <w:r w:rsidR="00A12740">
              <w:rPr>
                <w:noProof/>
                <w:webHidden/>
              </w:rPr>
              <w:fldChar w:fldCharType="begin"/>
            </w:r>
            <w:r w:rsidR="00A12740">
              <w:rPr>
                <w:noProof/>
                <w:webHidden/>
              </w:rPr>
              <w:instrText xml:space="preserve"> PAGEREF _Toc57818730 \h </w:instrText>
            </w:r>
            <w:r w:rsidR="00A12740">
              <w:rPr>
                <w:noProof/>
                <w:webHidden/>
              </w:rPr>
            </w:r>
            <w:r w:rsidR="00A12740">
              <w:rPr>
                <w:noProof/>
                <w:webHidden/>
              </w:rPr>
              <w:fldChar w:fldCharType="separate"/>
            </w:r>
            <w:r w:rsidR="00A12740">
              <w:rPr>
                <w:noProof/>
                <w:webHidden/>
              </w:rPr>
              <w:t>137</w:t>
            </w:r>
            <w:r w:rsidR="00A12740">
              <w:rPr>
                <w:noProof/>
                <w:webHidden/>
              </w:rPr>
              <w:fldChar w:fldCharType="end"/>
            </w:r>
          </w:hyperlink>
        </w:p>
        <w:p w14:paraId="2EBE1CDE" w14:textId="277F1B7B" w:rsidR="00A12740" w:rsidRDefault="00314538">
          <w:pPr>
            <w:pStyle w:val="2e"/>
            <w:tabs>
              <w:tab w:val="right" w:leader="dot" w:pos="9839"/>
            </w:tabs>
            <w:rPr>
              <w:noProof/>
            </w:rPr>
          </w:pPr>
          <w:hyperlink w:anchor="_Toc57818731" w:history="1">
            <w:r w:rsidR="00A12740" w:rsidRPr="00DB00B4">
              <w:rPr>
                <w:rStyle w:val="a6"/>
                <w:rFonts w:ascii="Times New Roman" w:eastAsia="Times New Roman" w:hAnsi="Times New Roman" w:cs="Times New Roman"/>
                <w:noProof/>
              </w:rPr>
              <w:t>1.10. Совет по переходу к «зеленой экономике»</w:t>
            </w:r>
            <w:r w:rsidR="00A12740">
              <w:rPr>
                <w:noProof/>
                <w:webHidden/>
              </w:rPr>
              <w:tab/>
            </w:r>
            <w:r w:rsidR="00A12740">
              <w:rPr>
                <w:noProof/>
                <w:webHidden/>
              </w:rPr>
              <w:fldChar w:fldCharType="begin"/>
            </w:r>
            <w:r w:rsidR="00A12740">
              <w:rPr>
                <w:noProof/>
                <w:webHidden/>
              </w:rPr>
              <w:instrText xml:space="preserve"> PAGEREF _Toc57818731 \h </w:instrText>
            </w:r>
            <w:r w:rsidR="00A12740">
              <w:rPr>
                <w:noProof/>
                <w:webHidden/>
              </w:rPr>
            </w:r>
            <w:r w:rsidR="00A12740">
              <w:rPr>
                <w:noProof/>
                <w:webHidden/>
              </w:rPr>
              <w:fldChar w:fldCharType="separate"/>
            </w:r>
            <w:r w:rsidR="00A12740">
              <w:rPr>
                <w:noProof/>
                <w:webHidden/>
              </w:rPr>
              <w:t>149</w:t>
            </w:r>
            <w:r w:rsidR="00A12740">
              <w:rPr>
                <w:noProof/>
                <w:webHidden/>
              </w:rPr>
              <w:fldChar w:fldCharType="end"/>
            </w:r>
          </w:hyperlink>
        </w:p>
        <w:p w14:paraId="4E663056" w14:textId="14D8B02C" w:rsidR="00A12740" w:rsidRDefault="00314538">
          <w:pPr>
            <w:pStyle w:val="2e"/>
            <w:tabs>
              <w:tab w:val="right" w:leader="dot" w:pos="9839"/>
            </w:tabs>
            <w:rPr>
              <w:noProof/>
            </w:rPr>
          </w:pPr>
          <w:hyperlink w:anchor="_Toc57818732" w:history="1">
            <w:r w:rsidR="00A12740" w:rsidRPr="00DB00B4">
              <w:rPr>
                <w:rStyle w:val="a6"/>
                <w:rFonts w:ascii="Times New Roman" w:eastAsia="Times New Roman" w:hAnsi="Times New Roman" w:cs="Times New Roman"/>
                <w:noProof/>
              </w:rPr>
              <w:t>1.11. Международное сотрудничество по вопросам «зеленой экономики»</w:t>
            </w:r>
            <w:r w:rsidR="00A12740">
              <w:rPr>
                <w:noProof/>
                <w:webHidden/>
              </w:rPr>
              <w:tab/>
            </w:r>
            <w:r w:rsidR="00A12740">
              <w:rPr>
                <w:noProof/>
                <w:webHidden/>
              </w:rPr>
              <w:fldChar w:fldCharType="begin"/>
            </w:r>
            <w:r w:rsidR="00A12740">
              <w:rPr>
                <w:noProof/>
                <w:webHidden/>
              </w:rPr>
              <w:instrText xml:space="preserve"> PAGEREF _Toc57818732 \h </w:instrText>
            </w:r>
            <w:r w:rsidR="00A12740">
              <w:rPr>
                <w:noProof/>
                <w:webHidden/>
              </w:rPr>
            </w:r>
            <w:r w:rsidR="00A12740">
              <w:rPr>
                <w:noProof/>
                <w:webHidden/>
              </w:rPr>
              <w:fldChar w:fldCharType="separate"/>
            </w:r>
            <w:r w:rsidR="00A12740">
              <w:rPr>
                <w:noProof/>
                <w:webHidden/>
              </w:rPr>
              <w:t>150</w:t>
            </w:r>
            <w:r w:rsidR="00A12740">
              <w:rPr>
                <w:noProof/>
                <w:webHidden/>
              </w:rPr>
              <w:fldChar w:fldCharType="end"/>
            </w:r>
          </w:hyperlink>
        </w:p>
        <w:p w14:paraId="41593C38" w14:textId="759CF7D0" w:rsidR="00A12740" w:rsidRDefault="00314538">
          <w:pPr>
            <w:pStyle w:val="2e"/>
            <w:tabs>
              <w:tab w:val="right" w:leader="dot" w:pos="9839"/>
            </w:tabs>
            <w:rPr>
              <w:noProof/>
            </w:rPr>
          </w:pPr>
          <w:hyperlink w:anchor="_Toc57818733" w:history="1">
            <w:r w:rsidR="00A12740" w:rsidRPr="00DB00B4">
              <w:rPr>
                <w:rStyle w:val="a6"/>
                <w:rFonts w:ascii="Times New Roman" w:eastAsia="Times New Roman" w:hAnsi="Times New Roman" w:cs="Times New Roman"/>
                <w:noProof/>
              </w:rPr>
              <w:t>1.12. Предложения по корректировке установочных параметров Концепции перехода Республики Казахстан к «зеленой экономике»</w:t>
            </w:r>
            <w:r w:rsidR="00A12740">
              <w:rPr>
                <w:noProof/>
                <w:webHidden/>
              </w:rPr>
              <w:tab/>
            </w:r>
            <w:r w:rsidR="00A12740">
              <w:rPr>
                <w:noProof/>
                <w:webHidden/>
              </w:rPr>
              <w:fldChar w:fldCharType="begin"/>
            </w:r>
            <w:r w:rsidR="00A12740">
              <w:rPr>
                <w:noProof/>
                <w:webHidden/>
              </w:rPr>
              <w:instrText xml:space="preserve"> PAGEREF _Toc57818733 \h </w:instrText>
            </w:r>
            <w:r w:rsidR="00A12740">
              <w:rPr>
                <w:noProof/>
                <w:webHidden/>
              </w:rPr>
            </w:r>
            <w:r w:rsidR="00A12740">
              <w:rPr>
                <w:noProof/>
                <w:webHidden/>
              </w:rPr>
              <w:fldChar w:fldCharType="separate"/>
            </w:r>
            <w:r w:rsidR="00A12740">
              <w:rPr>
                <w:noProof/>
                <w:webHidden/>
              </w:rPr>
              <w:t>152</w:t>
            </w:r>
            <w:r w:rsidR="00A12740">
              <w:rPr>
                <w:noProof/>
                <w:webHidden/>
              </w:rPr>
              <w:fldChar w:fldCharType="end"/>
            </w:r>
          </w:hyperlink>
        </w:p>
        <w:p w14:paraId="1767F62E" w14:textId="0B678802" w:rsidR="00A12740" w:rsidRDefault="00314538">
          <w:pPr>
            <w:pStyle w:val="1ff6"/>
            <w:tabs>
              <w:tab w:val="right" w:leader="dot" w:pos="9839"/>
            </w:tabs>
            <w:rPr>
              <w:noProof/>
            </w:rPr>
          </w:pPr>
          <w:hyperlink w:anchor="_Toc57818734" w:history="1">
            <w:r w:rsidR="00A12740" w:rsidRPr="00DB00B4">
              <w:rPr>
                <w:rStyle w:val="a6"/>
                <w:rFonts w:ascii="Times New Roman" w:hAnsi="Times New Roman" w:cs="Times New Roman"/>
                <w:noProof/>
              </w:rPr>
              <w:t>2. Реализация мероприятий и достижение показателей перехода к «зеленой экономике» в регионах Республики Казахстан</w:t>
            </w:r>
            <w:r w:rsidR="00A12740">
              <w:rPr>
                <w:noProof/>
                <w:webHidden/>
              </w:rPr>
              <w:tab/>
            </w:r>
            <w:r w:rsidR="00A12740">
              <w:rPr>
                <w:noProof/>
                <w:webHidden/>
              </w:rPr>
              <w:fldChar w:fldCharType="begin"/>
            </w:r>
            <w:r w:rsidR="00A12740">
              <w:rPr>
                <w:noProof/>
                <w:webHidden/>
              </w:rPr>
              <w:instrText xml:space="preserve"> PAGEREF _Toc57818734 \h </w:instrText>
            </w:r>
            <w:r w:rsidR="00A12740">
              <w:rPr>
                <w:noProof/>
                <w:webHidden/>
              </w:rPr>
            </w:r>
            <w:r w:rsidR="00A12740">
              <w:rPr>
                <w:noProof/>
                <w:webHidden/>
              </w:rPr>
              <w:fldChar w:fldCharType="separate"/>
            </w:r>
            <w:r w:rsidR="00A12740">
              <w:rPr>
                <w:noProof/>
                <w:webHidden/>
              </w:rPr>
              <w:t>156</w:t>
            </w:r>
            <w:r w:rsidR="00A12740">
              <w:rPr>
                <w:noProof/>
                <w:webHidden/>
              </w:rPr>
              <w:fldChar w:fldCharType="end"/>
            </w:r>
          </w:hyperlink>
        </w:p>
        <w:p w14:paraId="0A5C0148" w14:textId="36B65920" w:rsidR="00A12740" w:rsidRDefault="00314538">
          <w:pPr>
            <w:pStyle w:val="2e"/>
            <w:tabs>
              <w:tab w:val="right" w:leader="dot" w:pos="9839"/>
            </w:tabs>
            <w:rPr>
              <w:noProof/>
            </w:rPr>
          </w:pPr>
          <w:hyperlink w:anchor="_Toc57818735" w:history="1">
            <w:r w:rsidR="00A12740" w:rsidRPr="00DB00B4">
              <w:rPr>
                <w:rStyle w:val="a6"/>
                <w:rFonts w:ascii="Times New Roman" w:eastAsia="Times New Roman" w:hAnsi="Times New Roman" w:cs="Times New Roman"/>
                <w:noProof/>
              </w:rPr>
              <w:t>2.1. Акмолинская область</w:t>
            </w:r>
            <w:r w:rsidR="00A12740">
              <w:rPr>
                <w:noProof/>
                <w:webHidden/>
              </w:rPr>
              <w:tab/>
            </w:r>
            <w:r w:rsidR="00A12740">
              <w:rPr>
                <w:noProof/>
                <w:webHidden/>
              </w:rPr>
              <w:fldChar w:fldCharType="begin"/>
            </w:r>
            <w:r w:rsidR="00A12740">
              <w:rPr>
                <w:noProof/>
                <w:webHidden/>
              </w:rPr>
              <w:instrText xml:space="preserve"> PAGEREF _Toc57818735 \h </w:instrText>
            </w:r>
            <w:r w:rsidR="00A12740">
              <w:rPr>
                <w:noProof/>
                <w:webHidden/>
              </w:rPr>
            </w:r>
            <w:r w:rsidR="00A12740">
              <w:rPr>
                <w:noProof/>
                <w:webHidden/>
              </w:rPr>
              <w:fldChar w:fldCharType="separate"/>
            </w:r>
            <w:r w:rsidR="00A12740">
              <w:rPr>
                <w:noProof/>
                <w:webHidden/>
              </w:rPr>
              <w:t>156</w:t>
            </w:r>
            <w:r w:rsidR="00A12740">
              <w:rPr>
                <w:noProof/>
                <w:webHidden/>
              </w:rPr>
              <w:fldChar w:fldCharType="end"/>
            </w:r>
          </w:hyperlink>
        </w:p>
        <w:p w14:paraId="06A9CDF9" w14:textId="0B4B1461" w:rsidR="00A12740" w:rsidRDefault="00314538">
          <w:pPr>
            <w:pStyle w:val="2e"/>
            <w:tabs>
              <w:tab w:val="right" w:leader="dot" w:pos="9839"/>
            </w:tabs>
            <w:rPr>
              <w:noProof/>
            </w:rPr>
          </w:pPr>
          <w:hyperlink w:anchor="_Toc57818736" w:history="1">
            <w:r w:rsidR="00A12740" w:rsidRPr="00DB00B4">
              <w:rPr>
                <w:rStyle w:val="a6"/>
                <w:rFonts w:ascii="Times New Roman" w:eastAsia="Times New Roman" w:hAnsi="Times New Roman" w:cs="Times New Roman"/>
                <w:noProof/>
              </w:rPr>
              <w:t>2.2. Актюбинская область</w:t>
            </w:r>
            <w:r w:rsidR="00A12740">
              <w:rPr>
                <w:noProof/>
                <w:webHidden/>
              </w:rPr>
              <w:tab/>
            </w:r>
            <w:r w:rsidR="00A12740">
              <w:rPr>
                <w:noProof/>
                <w:webHidden/>
              </w:rPr>
              <w:fldChar w:fldCharType="begin"/>
            </w:r>
            <w:r w:rsidR="00A12740">
              <w:rPr>
                <w:noProof/>
                <w:webHidden/>
              </w:rPr>
              <w:instrText xml:space="preserve"> PAGEREF _Toc57818736 \h </w:instrText>
            </w:r>
            <w:r w:rsidR="00A12740">
              <w:rPr>
                <w:noProof/>
                <w:webHidden/>
              </w:rPr>
            </w:r>
            <w:r w:rsidR="00A12740">
              <w:rPr>
                <w:noProof/>
                <w:webHidden/>
              </w:rPr>
              <w:fldChar w:fldCharType="separate"/>
            </w:r>
            <w:r w:rsidR="00A12740">
              <w:rPr>
                <w:noProof/>
                <w:webHidden/>
              </w:rPr>
              <w:t>165</w:t>
            </w:r>
            <w:r w:rsidR="00A12740">
              <w:rPr>
                <w:noProof/>
                <w:webHidden/>
              </w:rPr>
              <w:fldChar w:fldCharType="end"/>
            </w:r>
          </w:hyperlink>
        </w:p>
        <w:p w14:paraId="3B4F8061" w14:textId="37FC0F06" w:rsidR="00A12740" w:rsidRDefault="00314538">
          <w:pPr>
            <w:pStyle w:val="2e"/>
            <w:tabs>
              <w:tab w:val="right" w:leader="dot" w:pos="9839"/>
            </w:tabs>
            <w:rPr>
              <w:noProof/>
            </w:rPr>
          </w:pPr>
          <w:hyperlink w:anchor="_Toc57818737" w:history="1">
            <w:r w:rsidR="00A12740" w:rsidRPr="00DB00B4">
              <w:rPr>
                <w:rStyle w:val="a6"/>
                <w:rFonts w:ascii="Times New Roman" w:eastAsia="Times New Roman" w:hAnsi="Times New Roman" w:cs="Times New Roman"/>
                <w:noProof/>
              </w:rPr>
              <w:t>2.3. Алматинская область</w:t>
            </w:r>
            <w:r w:rsidR="00A12740">
              <w:rPr>
                <w:noProof/>
                <w:webHidden/>
              </w:rPr>
              <w:tab/>
            </w:r>
            <w:r w:rsidR="00A12740">
              <w:rPr>
                <w:noProof/>
                <w:webHidden/>
              </w:rPr>
              <w:fldChar w:fldCharType="begin"/>
            </w:r>
            <w:r w:rsidR="00A12740">
              <w:rPr>
                <w:noProof/>
                <w:webHidden/>
              </w:rPr>
              <w:instrText xml:space="preserve"> PAGEREF _Toc57818737 \h </w:instrText>
            </w:r>
            <w:r w:rsidR="00A12740">
              <w:rPr>
                <w:noProof/>
                <w:webHidden/>
              </w:rPr>
            </w:r>
            <w:r w:rsidR="00A12740">
              <w:rPr>
                <w:noProof/>
                <w:webHidden/>
              </w:rPr>
              <w:fldChar w:fldCharType="separate"/>
            </w:r>
            <w:r w:rsidR="00A12740">
              <w:rPr>
                <w:noProof/>
                <w:webHidden/>
              </w:rPr>
              <w:t>176</w:t>
            </w:r>
            <w:r w:rsidR="00A12740">
              <w:rPr>
                <w:noProof/>
                <w:webHidden/>
              </w:rPr>
              <w:fldChar w:fldCharType="end"/>
            </w:r>
          </w:hyperlink>
        </w:p>
        <w:p w14:paraId="73FCE88B" w14:textId="33315EE6" w:rsidR="00A12740" w:rsidRDefault="00314538">
          <w:pPr>
            <w:pStyle w:val="2e"/>
            <w:tabs>
              <w:tab w:val="right" w:leader="dot" w:pos="9839"/>
            </w:tabs>
            <w:rPr>
              <w:noProof/>
            </w:rPr>
          </w:pPr>
          <w:hyperlink w:anchor="_Toc57818738" w:history="1">
            <w:r w:rsidR="00A12740" w:rsidRPr="00DB00B4">
              <w:rPr>
                <w:rStyle w:val="a6"/>
                <w:rFonts w:ascii="Times New Roman" w:eastAsia="Times New Roman" w:hAnsi="Times New Roman" w:cs="Times New Roman"/>
                <w:noProof/>
              </w:rPr>
              <w:t>2.4. Атырауская область</w:t>
            </w:r>
            <w:r w:rsidR="00A12740">
              <w:rPr>
                <w:noProof/>
                <w:webHidden/>
              </w:rPr>
              <w:tab/>
            </w:r>
            <w:r w:rsidR="00A12740">
              <w:rPr>
                <w:noProof/>
                <w:webHidden/>
              </w:rPr>
              <w:fldChar w:fldCharType="begin"/>
            </w:r>
            <w:r w:rsidR="00A12740">
              <w:rPr>
                <w:noProof/>
                <w:webHidden/>
              </w:rPr>
              <w:instrText xml:space="preserve"> PAGEREF _Toc57818738 \h </w:instrText>
            </w:r>
            <w:r w:rsidR="00A12740">
              <w:rPr>
                <w:noProof/>
                <w:webHidden/>
              </w:rPr>
            </w:r>
            <w:r w:rsidR="00A12740">
              <w:rPr>
                <w:noProof/>
                <w:webHidden/>
              </w:rPr>
              <w:fldChar w:fldCharType="separate"/>
            </w:r>
            <w:r w:rsidR="00A12740">
              <w:rPr>
                <w:noProof/>
                <w:webHidden/>
              </w:rPr>
              <w:t>186</w:t>
            </w:r>
            <w:r w:rsidR="00A12740">
              <w:rPr>
                <w:noProof/>
                <w:webHidden/>
              </w:rPr>
              <w:fldChar w:fldCharType="end"/>
            </w:r>
          </w:hyperlink>
        </w:p>
        <w:p w14:paraId="48721E7F" w14:textId="46DD167A" w:rsidR="00A12740" w:rsidRDefault="00314538">
          <w:pPr>
            <w:pStyle w:val="2e"/>
            <w:tabs>
              <w:tab w:val="right" w:leader="dot" w:pos="9839"/>
            </w:tabs>
            <w:rPr>
              <w:noProof/>
            </w:rPr>
          </w:pPr>
          <w:hyperlink w:anchor="_Toc57818739" w:history="1">
            <w:r w:rsidR="00A12740" w:rsidRPr="00DB00B4">
              <w:rPr>
                <w:rStyle w:val="a6"/>
                <w:rFonts w:ascii="Times New Roman" w:eastAsia="Times New Roman" w:hAnsi="Times New Roman" w:cs="Times New Roman"/>
                <w:noProof/>
              </w:rPr>
              <w:t>2.5. Восточно-Казахстанская область</w:t>
            </w:r>
            <w:r w:rsidR="00A12740">
              <w:rPr>
                <w:noProof/>
                <w:webHidden/>
              </w:rPr>
              <w:tab/>
            </w:r>
            <w:r w:rsidR="00A12740">
              <w:rPr>
                <w:noProof/>
                <w:webHidden/>
              </w:rPr>
              <w:fldChar w:fldCharType="begin"/>
            </w:r>
            <w:r w:rsidR="00A12740">
              <w:rPr>
                <w:noProof/>
                <w:webHidden/>
              </w:rPr>
              <w:instrText xml:space="preserve"> PAGEREF _Toc57818739 \h </w:instrText>
            </w:r>
            <w:r w:rsidR="00A12740">
              <w:rPr>
                <w:noProof/>
                <w:webHidden/>
              </w:rPr>
            </w:r>
            <w:r w:rsidR="00A12740">
              <w:rPr>
                <w:noProof/>
                <w:webHidden/>
              </w:rPr>
              <w:fldChar w:fldCharType="separate"/>
            </w:r>
            <w:r w:rsidR="00A12740">
              <w:rPr>
                <w:noProof/>
                <w:webHidden/>
              </w:rPr>
              <w:t>195</w:t>
            </w:r>
            <w:r w:rsidR="00A12740">
              <w:rPr>
                <w:noProof/>
                <w:webHidden/>
              </w:rPr>
              <w:fldChar w:fldCharType="end"/>
            </w:r>
          </w:hyperlink>
        </w:p>
        <w:p w14:paraId="5D08CDAB" w14:textId="5AAA3D6B" w:rsidR="00A12740" w:rsidRDefault="00314538">
          <w:pPr>
            <w:pStyle w:val="2e"/>
            <w:tabs>
              <w:tab w:val="right" w:leader="dot" w:pos="9839"/>
            </w:tabs>
            <w:rPr>
              <w:noProof/>
            </w:rPr>
          </w:pPr>
          <w:hyperlink w:anchor="_Toc57818740" w:history="1">
            <w:r w:rsidR="00A12740" w:rsidRPr="00DB00B4">
              <w:rPr>
                <w:rStyle w:val="a6"/>
                <w:rFonts w:ascii="Times New Roman" w:eastAsia="Times New Roman" w:hAnsi="Times New Roman" w:cs="Times New Roman"/>
                <w:noProof/>
              </w:rPr>
              <w:t>2.6. Жамбылская область</w:t>
            </w:r>
            <w:r w:rsidR="00A12740">
              <w:rPr>
                <w:noProof/>
                <w:webHidden/>
              </w:rPr>
              <w:tab/>
            </w:r>
            <w:r w:rsidR="00A12740">
              <w:rPr>
                <w:noProof/>
                <w:webHidden/>
              </w:rPr>
              <w:fldChar w:fldCharType="begin"/>
            </w:r>
            <w:r w:rsidR="00A12740">
              <w:rPr>
                <w:noProof/>
                <w:webHidden/>
              </w:rPr>
              <w:instrText xml:space="preserve"> PAGEREF _Toc57818740 \h </w:instrText>
            </w:r>
            <w:r w:rsidR="00A12740">
              <w:rPr>
                <w:noProof/>
                <w:webHidden/>
              </w:rPr>
            </w:r>
            <w:r w:rsidR="00A12740">
              <w:rPr>
                <w:noProof/>
                <w:webHidden/>
              </w:rPr>
              <w:fldChar w:fldCharType="separate"/>
            </w:r>
            <w:r w:rsidR="00A12740">
              <w:rPr>
                <w:noProof/>
                <w:webHidden/>
              </w:rPr>
              <w:t>210</w:t>
            </w:r>
            <w:r w:rsidR="00A12740">
              <w:rPr>
                <w:noProof/>
                <w:webHidden/>
              </w:rPr>
              <w:fldChar w:fldCharType="end"/>
            </w:r>
          </w:hyperlink>
        </w:p>
        <w:p w14:paraId="35C709AA" w14:textId="23D049A8" w:rsidR="00A12740" w:rsidRDefault="00314538">
          <w:pPr>
            <w:pStyle w:val="2e"/>
            <w:tabs>
              <w:tab w:val="right" w:leader="dot" w:pos="9839"/>
            </w:tabs>
            <w:rPr>
              <w:noProof/>
            </w:rPr>
          </w:pPr>
          <w:hyperlink w:anchor="_Toc57818741" w:history="1">
            <w:r w:rsidR="00A12740" w:rsidRPr="00DB00B4">
              <w:rPr>
                <w:rStyle w:val="a6"/>
                <w:rFonts w:ascii="Times New Roman" w:eastAsia="Times New Roman" w:hAnsi="Times New Roman" w:cs="Times New Roman"/>
                <w:noProof/>
              </w:rPr>
              <w:t>2.7. Западно-Казахстанская область</w:t>
            </w:r>
            <w:r w:rsidR="00A12740">
              <w:rPr>
                <w:noProof/>
                <w:webHidden/>
              </w:rPr>
              <w:tab/>
            </w:r>
            <w:r w:rsidR="00A12740">
              <w:rPr>
                <w:noProof/>
                <w:webHidden/>
              </w:rPr>
              <w:fldChar w:fldCharType="begin"/>
            </w:r>
            <w:r w:rsidR="00A12740">
              <w:rPr>
                <w:noProof/>
                <w:webHidden/>
              </w:rPr>
              <w:instrText xml:space="preserve"> PAGEREF _Toc57818741 \h </w:instrText>
            </w:r>
            <w:r w:rsidR="00A12740">
              <w:rPr>
                <w:noProof/>
                <w:webHidden/>
              </w:rPr>
            </w:r>
            <w:r w:rsidR="00A12740">
              <w:rPr>
                <w:noProof/>
                <w:webHidden/>
              </w:rPr>
              <w:fldChar w:fldCharType="separate"/>
            </w:r>
            <w:r w:rsidR="00A12740">
              <w:rPr>
                <w:noProof/>
                <w:webHidden/>
              </w:rPr>
              <w:t>216</w:t>
            </w:r>
            <w:r w:rsidR="00A12740">
              <w:rPr>
                <w:noProof/>
                <w:webHidden/>
              </w:rPr>
              <w:fldChar w:fldCharType="end"/>
            </w:r>
          </w:hyperlink>
        </w:p>
        <w:p w14:paraId="2FCA91DB" w14:textId="756DFCEB" w:rsidR="00A12740" w:rsidRDefault="00314538">
          <w:pPr>
            <w:pStyle w:val="2e"/>
            <w:tabs>
              <w:tab w:val="right" w:leader="dot" w:pos="9839"/>
            </w:tabs>
            <w:rPr>
              <w:noProof/>
            </w:rPr>
          </w:pPr>
          <w:hyperlink w:anchor="_Toc57818742" w:history="1">
            <w:r w:rsidR="00A12740" w:rsidRPr="00DB00B4">
              <w:rPr>
                <w:rStyle w:val="a6"/>
                <w:rFonts w:ascii="Times New Roman" w:eastAsia="Times New Roman" w:hAnsi="Times New Roman" w:cs="Times New Roman"/>
                <w:noProof/>
              </w:rPr>
              <w:t>2.8. Карагандинская область</w:t>
            </w:r>
            <w:r w:rsidR="00A12740">
              <w:rPr>
                <w:noProof/>
                <w:webHidden/>
              </w:rPr>
              <w:tab/>
            </w:r>
            <w:r w:rsidR="00A12740">
              <w:rPr>
                <w:noProof/>
                <w:webHidden/>
              </w:rPr>
              <w:fldChar w:fldCharType="begin"/>
            </w:r>
            <w:r w:rsidR="00A12740">
              <w:rPr>
                <w:noProof/>
                <w:webHidden/>
              </w:rPr>
              <w:instrText xml:space="preserve"> PAGEREF _Toc57818742 \h </w:instrText>
            </w:r>
            <w:r w:rsidR="00A12740">
              <w:rPr>
                <w:noProof/>
                <w:webHidden/>
              </w:rPr>
            </w:r>
            <w:r w:rsidR="00A12740">
              <w:rPr>
                <w:noProof/>
                <w:webHidden/>
              </w:rPr>
              <w:fldChar w:fldCharType="separate"/>
            </w:r>
            <w:r w:rsidR="00A12740">
              <w:rPr>
                <w:noProof/>
                <w:webHidden/>
              </w:rPr>
              <w:t>225</w:t>
            </w:r>
            <w:r w:rsidR="00A12740">
              <w:rPr>
                <w:noProof/>
                <w:webHidden/>
              </w:rPr>
              <w:fldChar w:fldCharType="end"/>
            </w:r>
          </w:hyperlink>
        </w:p>
        <w:p w14:paraId="094A42E6" w14:textId="0BE4AAD9" w:rsidR="00A12740" w:rsidRDefault="00314538">
          <w:pPr>
            <w:pStyle w:val="2e"/>
            <w:tabs>
              <w:tab w:val="right" w:leader="dot" w:pos="9839"/>
            </w:tabs>
            <w:rPr>
              <w:noProof/>
            </w:rPr>
          </w:pPr>
          <w:hyperlink w:anchor="_Toc57818743" w:history="1">
            <w:r w:rsidR="00A12740" w:rsidRPr="00DB00B4">
              <w:rPr>
                <w:rStyle w:val="a6"/>
                <w:rFonts w:ascii="Times New Roman" w:eastAsia="Times New Roman" w:hAnsi="Times New Roman" w:cs="Times New Roman"/>
                <w:noProof/>
              </w:rPr>
              <w:t>2.9. Костанайская область</w:t>
            </w:r>
            <w:r w:rsidR="00A12740">
              <w:rPr>
                <w:noProof/>
                <w:webHidden/>
              </w:rPr>
              <w:tab/>
            </w:r>
            <w:r w:rsidR="00A12740">
              <w:rPr>
                <w:noProof/>
                <w:webHidden/>
              </w:rPr>
              <w:fldChar w:fldCharType="begin"/>
            </w:r>
            <w:r w:rsidR="00A12740">
              <w:rPr>
                <w:noProof/>
                <w:webHidden/>
              </w:rPr>
              <w:instrText xml:space="preserve"> PAGEREF _Toc57818743 \h </w:instrText>
            </w:r>
            <w:r w:rsidR="00A12740">
              <w:rPr>
                <w:noProof/>
                <w:webHidden/>
              </w:rPr>
            </w:r>
            <w:r w:rsidR="00A12740">
              <w:rPr>
                <w:noProof/>
                <w:webHidden/>
              </w:rPr>
              <w:fldChar w:fldCharType="separate"/>
            </w:r>
            <w:r w:rsidR="00A12740">
              <w:rPr>
                <w:noProof/>
                <w:webHidden/>
              </w:rPr>
              <w:t>234</w:t>
            </w:r>
            <w:r w:rsidR="00A12740">
              <w:rPr>
                <w:noProof/>
                <w:webHidden/>
              </w:rPr>
              <w:fldChar w:fldCharType="end"/>
            </w:r>
          </w:hyperlink>
        </w:p>
        <w:p w14:paraId="00F517D9" w14:textId="302C0B80" w:rsidR="00A12740" w:rsidRDefault="00314538">
          <w:pPr>
            <w:pStyle w:val="2e"/>
            <w:tabs>
              <w:tab w:val="right" w:leader="dot" w:pos="9839"/>
            </w:tabs>
            <w:rPr>
              <w:noProof/>
            </w:rPr>
          </w:pPr>
          <w:hyperlink w:anchor="_Toc57818744" w:history="1">
            <w:r w:rsidR="00A12740" w:rsidRPr="00DB00B4">
              <w:rPr>
                <w:rStyle w:val="a6"/>
                <w:rFonts w:ascii="Times New Roman" w:eastAsia="Times New Roman" w:hAnsi="Times New Roman" w:cs="Times New Roman"/>
                <w:noProof/>
              </w:rPr>
              <w:t>2.10. Кызылординская область</w:t>
            </w:r>
            <w:r w:rsidR="00A12740">
              <w:rPr>
                <w:noProof/>
                <w:webHidden/>
              </w:rPr>
              <w:tab/>
            </w:r>
            <w:r w:rsidR="00A12740">
              <w:rPr>
                <w:noProof/>
                <w:webHidden/>
              </w:rPr>
              <w:fldChar w:fldCharType="begin"/>
            </w:r>
            <w:r w:rsidR="00A12740">
              <w:rPr>
                <w:noProof/>
                <w:webHidden/>
              </w:rPr>
              <w:instrText xml:space="preserve"> PAGEREF _Toc57818744 \h </w:instrText>
            </w:r>
            <w:r w:rsidR="00A12740">
              <w:rPr>
                <w:noProof/>
                <w:webHidden/>
              </w:rPr>
            </w:r>
            <w:r w:rsidR="00A12740">
              <w:rPr>
                <w:noProof/>
                <w:webHidden/>
              </w:rPr>
              <w:fldChar w:fldCharType="separate"/>
            </w:r>
            <w:r w:rsidR="00A12740">
              <w:rPr>
                <w:noProof/>
                <w:webHidden/>
              </w:rPr>
              <w:t>241</w:t>
            </w:r>
            <w:r w:rsidR="00A12740">
              <w:rPr>
                <w:noProof/>
                <w:webHidden/>
              </w:rPr>
              <w:fldChar w:fldCharType="end"/>
            </w:r>
          </w:hyperlink>
        </w:p>
        <w:p w14:paraId="55A08C57" w14:textId="4086DE76" w:rsidR="00A12740" w:rsidRDefault="00314538">
          <w:pPr>
            <w:pStyle w:val="2e"/>
            <w:tabs>
              <w:tab w:val="right" w:leader="dot" w:pos="9839"/>
            </w:tabs>
            <w:rPr>
              <w:noProof/>
            </w:rPr>
          </w:pPr>
          <w:hyperlink w:anchor="_Toc57818745" w:history="1">
            <w:r w:rsidR="00A12740" w:rsidRPr="00DB00B4">
              <w:rPr>
                <w:rStyle w:val="a6"/>
                <w:rFonts w:ascii="Times New Roman" w:eastAsia="Times New Roman" w:hAnsi="Times New Roman" w:cs="Times New Roman"/>
                <w:noProof/>
              </w:rPr>
              <w:t>2.11. Мангистауская область</w:t>
            </w:r>
            <w:r w:rsidR="00A12740">
              <w:rPr>
                <w:noProof/>
                <w:webHidden/>
              </w:rPr>
              <w:tab/>
            </w:r>
            <w:r w:rsidR="00A12740">
              <w:rPr>
                <w:noProof/>
                <w:webHidden/>
              </w:rPr>
              <w:fldChar w:fldCharType="begin"/>
            </w:r>
            <w:r w:rsidR="00A12740">
              <w:rPr>
                <w:noProof/>
                <w:webHidden/>
              </w:rPr>
              <w:instrText xml:space="preserve"> PAGEREF _Toc57818745 \h </w:instrText>
            </w:r>
            <w:r w:rsidR="00A12740">
              <w:rPr>
                <w:noProof/>
                <w:webHidden/>
              </w:rPr>
            </w:r>
            <w:r w:rsidR="00A12740">
              <w:rPr>
                <w:noProof/>
                <w:webHidden/>
              </w:rPr>
              <w:fldChar w:fldCharType="separate"/>
            </w:r>
            <w:r w:rsidR="00A12740">
              <w:rPr>
                <w:noProof/>
                <w:webHidden/>
              </w:rPr>
              <w:t>249</w:t>
            </w:r>
            <w:r w:rsidR="00A12740">
              <w:rPr>
                <w:noProof/>
                <w:webHidden/>
              </w:rPr>
              <w:fldChar w:fldCharType="end"/>
            </w:r>
          </w:hyperlink>
        </w:p>
        <w:p w14:paraId="0B34BB67" w14:textId="5BA9C261" w:rsidR="00A12740" w:rsidRDefault="00314538">
          <w:pPr>
            <w:pStyle w:val="2e"/>
            <w:tabs>
              <w:tab w:val="right" w:leader="dot" w:pos="9839"/>
            </w:tabs>
            <w:rPr>
              <w:noProof/>
            </w:rPr>
          </w:pPr>
          <w:hyperlink w:anchor="_Toc57818746" w:history="1">
            <w:r w:rsidR="00A12740" w:rsidRPr="00DB00B4">
              <w:rPr>
                <w:rStyle w:val="a6"/>
                <w:rFonts w:ascii="Times New Roman" w:eastAsia="Times New Roman" w:hAnsi="Times New Roman" w:cs="Times New Roman"/>
                <w:noProof/>
              </w:rPr>
              <w:t>2.12. Павлодарская область</w:t>
            </w:r>
            <w:r w:rsidR="00A12740">
              <w:rPr>
                <w:noProof/>
                <w:webHidden/>
              </w:rPr>
              <w:tab/>
            </w:r>
            <w:r w:rsidR="00A12740">
              <w:rPr>
                <w:noProof/>
                <w:webHidden/>
              </w:rPr>
              <w:fldChar w:fldCharType="begin"/>
            </w:r>
            <w:r w:rsidR="00A12740">
              <w:rPr>
                <w:noProof/>
                <w:webHidden/>
              </w:rPr>
              <w:instrText xml:space="preserve"> PAGEREF _Toc57818746 \h </w:instrText>
            </w:r>
            <w:r w:rsidR="00A12740">
              <w:rPr>
                <w:noProof/>
                <w:webHidden/>
              </w:rPr>
            </w:r>
            <w:r w:rsidR="00A12740">
              <w:rPr>
                <w:noProof/>
                <w:webHidden/>
              </w:rPr>
              <w:fldChar w:fldCharType="separate"/>
            </w:r>
            <w:r w:rsidR="00A12740">
              <w:rPr>
                <w:noProof/>
                <w:webHidden/>
              </w:rPr>
              <w:t>259</w:t>
            </w:r>
            <w:r w:rsidR="00A12740">
              <w:rPr>
                <w:noProof/>
                <w:webHidden/>
              </w:rPr>
              <w:fldChar w:fldCharType="end"/>
            </w:r>
          </w:hyperlink>
        </w:p>
        <w:p w14:paraId="01061C8A" w14:textId="13CFC50C" w:rsidR="00A12740" w:rsidRDefault="00314538">
          <w:pPr>
            <w:pStyle w:val="2e"/>
            <w:tabs>
              <w:tab w:val="right" w:leader="dot" w:pos="9839"/>
            </w:tabs>
            <w:rPr>
              <w:noProof/>
            </w:rPr>
          </w:pPr>
          <w:hyperlink w:anchor="_Toc57818747" w:history="1">
            <w:r w:rsidR="00A12740" w:rsidRPr="00DB00B4">
              <w:rPr>
                <w:rStyle w:val="a6"/>
                <w:rFonts w:ascii="Times New Roman" w:eastAsia="Times New Roman" w:hAnsi="Times New Roman" w:cs="Times New Roman"/>
                <w:noProof/>
              </w:rPr>
              <w:t>2.13. Северо-Казахстанская область</w:t>
            </w:r>
            <w:r w:rsidR="00A12740">
              <w:rPr>
                <w:noProof/>
                <w:webHidden/>
              </w:rPr>
              <w:tab/>
            </w:r>
            <w:r w:rsidR="00A12740">
              <w:rPr>
                <w:noProof/>
                <w:webHidden/>
              </w:rPr>
              <w:fldChar w:fldCharType="begin"/>
            </w:r>
            <w:r w:rsidR="00A12740">
              <w:rPr>
                <w:noProof/>
                <w:webHidden/>
              </w:rPr>
              <w:instrText xml:space="preserve"> PAGEREF _Toc57818747 \h </w:instrText>
            </w:r>
            <w:r w:rsidR="00A12740">
              <w:rPr>
                <w:noProof/>
                <w:webHidden/>
              </w:rPr>
            </w:r>
            <w:r w:rsidR="00A12740">
              <w:rPr>
                <w:noProof/>
                <w:webHidden/>
              </w:rPr>
              <w:fldChar w:fldCharType="separate"/>
            </w:r>
            <w:r w:rsidR="00A12740">
              <w:rPr>
                <w:noProof/>
                <w:webHidden/>
              </w:rPr>
              <w:t>268</w:t>
            </w:r>
            <w:r w:rsidR="00A12740">
              <w:rPr>
                <w:noProof/>
                <w:webHidden/>
              </w:rPr>
              <w:fldChar w:fldCharType="end"/>
            </w:r>
          </w:hyperlink>
        </w:p>
        <w:p w14:paraId="62817D7F" w14:textId="042B4FED" w:rsidR="00A12740" w:rsidRDefault="00314538">
          <w:pPr>
            <w:pStyle w:val="2e"/>
            <w:tabs>
              <w:tab w:val="right" w:leader="dot" w:pos="9839"/>
            </w:tabs>
            <w:rPr>
              <w:noProof/>
            </w:rPr>
          </w:pPr>
          <w:hyperlink w:anchor="_Toc57818748" w:history="1">
            <w:r w:rsidR="00A12740" w:rsidRPr="00DB00B4">
              <w:rPr>
                <w:rStyle w:val="a6"/>
                <w:rFonts w:ascii="Times New Roman" w:eastAsia="Times New Roman" w:hAnsi="Times New Roman" w:cs="Times New Roman"/>
                <w:noProof/>
              </w:rPr>
              <w:t>2.14. Туркестанская (Южно-Казахстанская) область</w:t>
            </w:r>
            <w:r w:rsidR="00A12740">
              <w:rPr>
                <w:noProof/>
                <w:webHidden/>
              </w:rPr>
              <w:tab/>
            </w:r>
            <w:r w:rsidR="00A12740">
              <w:rPr>
                <w:noProof/>
                <w:webHidden/>
              </w:rPr>
              <w:fldChar w:fldCharType="begin"/>
            </w:r>
            <w:r w:rsidR="00A12740">
              <w:rPr>
                <w:noProof/>
                <w:webHidden/>
              </w:rPr>
              <w:instrText xml:space="preserve"> PAGEREF _Toc57818748 \h </w:instrText>
            </w:r>
            <w:r w:rsidR="00A12740">
              <w:rPr>
                <w:noProof/>
                <w:webHidden/>
              </w:rPr>
            </w:r>
            <w:r w:rsidR="00A12740">
              <w:rPr>
                <w:noProof/>
                <w:webHidden/>
              </w:rPr>
              <w:fldChar w:fldCharType="separate"/>
            </w:r>
            <w:r w:rsidR="00A12740">
              <w:rPr>
                <w:noProof/>
                <w:webHidden/>
              </w:rPr>
              <w:t>277</w:t>
            </w:r>
            <w:r w:rsidR="00A12740">
              <w:rPr>
                <w:noProof/>
                <w:webHidden/>
              </w:rPr>
              <w:fldChar w:fldCharType="end"/>
            </w:r>
          </w:hyperlink>
        </w:p>
        <w:p w14:paraId="1CB86727" w14:textId="54A63541" w:rsidR="00A12740" w:rsidRDefault="00314538">
          <w:pPr>
            <w:pStyle w:val="2e"/>
            <w:tabs>
              <w:tab w:val="right" w:leader="dot" w:pos="9839"/>
            </w:tabs>
            <w:rPr>
              <w:noProof/>
            </w:rPr>
          </w:pPr>
          <w:hyperlink w:anchor="_Toc57818749" w:history="1">
            <w:r w:rsidR="00A12740" w:rsidRPr="00DB00B4">
              <w:rPr>
                <w:rStyle w:val="a6"/>
                <w:rFonts w:ascii="Times New Roman" w:eastAsia="Times New Roman" w:hAnsi="Times New Roman" w:cs="Times New Roman"/>
                <w:noProof/>
              </w:rPr>
              <w:t>2.15. Город Нур-Султан (Астана).</w:t>
            </w:r>
            <w:r w:rsidR="00A12740">
              <w:rPr>
                <w:noProof/>
                <w:webHidden/>
              </w:rPr>
              <w:tab/>
            </w:r>
            <w:r w:rsidR="00A12740">
              <w:rPr>
                <w:noProof/>
                <w:webHidden/>
              </w:rPr>
              <w:fldChar w:fldCharType="begin"/>
            </w:r>
            <w:r w:rsidR="00A12740">
              <w:rPr>
                <w:noProof/>
                <w:webHidden/>
              </w:rPr>
              <w:instrText xml:space="preserve"> PAGEREF _Toc57818749 \h </w:instrText>
            </w:r>
            <w:r w:rsidR="00A12740">
              <w:rPr>
                <w:noProof/>
                <w:webHidden/>
              </w:rPr>
            </w:r>
            <w:r w:rsidR="00A12740">
              <w:rPr>
                <w:noProof/>
                <w:webHidden/>
              </w:rPr>
              <w:fldChar w:fldCharType="separate"/>
            </w:r>
            <w:r w:rsidR="00A12740">
              <w:rPr>
                <w:noProof/>
                <w:webHidden/>
              </w:rPr>
              <w:t>286</w:t>
            </w:r>
            <w:r w:rsidR="00A12740">
              <w:rPr>
                <w:noProof/>
                <w:webHidden/>
              </w:rPr>
              <w:fldChar w:fldCharType="end"/>
            </w:r>
          </w:hyperlink>
        </w:p>
        <w:p w14:paraId="695A0554" w14:textId="0440C19A" w:rsidR="00A12740" w:rsidRDefault="00314538">
          <w:pPr>
            <w:pStyle w:val="2e"/>
            <w:tabs>
              <w:tab w:val="right" w:leader="dot" w:pos="9839"/>
            </w:tabs>
            <w:rPr>
              <w:noProof/>
            </w:rPr>
          </w:pPr>
          <w:hyperlink w:anchor="_Toc57818750" w:history="1">
            <w:r w:rsidR="00A12740" w:rsidRPr="00DB00B4">
              <w:rPr>
                <w:rStyle w:val="a6"/>
                <w:rFonts w:ascii="Times New Roman" w:eastAsia="Times New Roman" w:hAnsi="Times New Roman" w:cs="Times New Roman"/>
                <w:noProof/>
              </w:rPr>
              <w:t>2.16. Город Алматы</w:t>
            </w:r>
            <w:r w:rsidR="00A12740">
              <w:rPr>
                <w:noProof/>
                <w:webHidden/>
              </w:rPr>
              <w:tab/>
            </w:r>
            <w:r w:rsidR="00A12740">
              <w:rPr>
                <w:noProof/>
                <w:webHidden/>
              </w:rPr>
              <w:fldChar w:fldCharType="begin"/>
            </w:r>
            <w:r w:rsidR="00A12740">
              <w:rPr>
                <w:noProof/>
                <w:webHidden/>
              </w:rPr>
              <w:instrText xml:space="preserve"> PAGEREF _Toc57818750 \h </w:instrText>
            </w:r>
            <w:r w:rsidR="00A12740">
              <w:rPr>
                <w:noProof/>
                <w:webHidden/>
              </w:rPr>
            </w:r>
            <w:r w:rsidR="00A12740">
              <w:rPr>
                <w:noProof/>
                <w:webHidden/>
              </w:rPr>
              <w:fldChar w:fldCharType="separate"/>
            </w:r>
            <w:r w:rsidR="00A12740">
              <w:rPr>
                <w:noProof/>
                <w:webHidden/>
              </w:rPr>
              <w:t>293</w:t>
            </w:r>
            <w:r w:rsidR="00A12740">
              <w:rPr>
                <w:noProof/>
                <w:webHidden/>
              </w:rPr>
              <w:fldChar w:fldCharType="end"/>
            </w:r>
          </w:hyperlink>
        </w:p>
        <w:p w14:paraId="3D8B5044" w14:textId="681DD5E2" w:rsidR="00A12740" w:rsidRDefault="00314538">
          <w:pPr>
            <w:pStyle w:val="2e"/>
            <w:tabs>
              <w:tab w:val="right" w:leader="dot" w:pos="9839"/>
            </w:tabs>
            <w:rPr>
              <w:noProof/>
            </w:rPr>
          </w:pPr>
          <w:hyperlink w:anchor="_Toc57818751" w:history="1">
            <w:r w:rsidR="00A12740" w:rsidRPr="00DB00B4">
              <w:rPr>
                <w:rStyle w:val="a6"/>
                <w:rFonts w:ascii="Times New Roman" w:eastAsia="Times New Roman" w:hAnsi="Times New Roman" w:cs="Times New Roman"/>
                <w:noProof/>
              </w:rPr>
              <w:t>2.17. Город Шымкент</w:t>
            </w:r>
            <w:r w:rsidR="00A12740">
              <w:rPr>
                <w:noProof/>
                <w:webHidden/>
              </w:rPr>
              <w:tab/>
            </w:r>
            <w:r w:rsidR="00A12740">
              <w:rPr>
                <w:noProof/>
                <w:webHidden/>
              </w:rPr>
              <w:fldChar w:fldCharType="begin"/>
            </w:r>
            <w:r w:rsidR="00A12740">
              <w:rPr>
                <w:noProof/>
                <w:webHidden/>
              </w:rPr>
              <w:instrText xml:space="preserve"> PAGEREF _Toc57818751 \h </w:instrText>
            </w:r>
            <w:r w:rsidR="00A12740">
              <w:rPr>
                <w:noProof/>
                <w:webHidden/>
              </w:rPr>
            </w:r>
            <w:r w:rsidR="00A12740">
              <w:rPr>
                <w:noProof/>
                <w:webHidden/>
              </w:rPr>
              <w:fldChar w:fldCharType="separate"/>
            </w:r>
            <w:r w:rsidR="00A12740">
              <w:rPr>
                <w:noProof/>
                <w:webHidden/>
              </w:rPr>
              <w:t>307</w:t>
            </w:r>
            <w:r w:rsidR="00A12740">
              <w:rPr>
                <w:noProof/>
                <w:webHidden/>
              </w:rPr>
              <w:fldChar w:fldCharType="end"/>
            </w:r>
          </w:hyperlink>
        </w:p>
        <w:p w14:paraId="249317FF" w14:textId="1D312E02" w:rsidR="00A12740" w:rsidRDefault="00314538">
          <w:pPr>
            <w:pStyle w:val="1ff6"/>
            <w:tabs>
              <w:tab w:val="right" w:leader="dot" w:pos="9839"/>
            </w:tabs>
            <w:rPr>
              <w:noProof/>
            </w:rPr>
          </w:pPr>
          <w:hyperlink w:anchor="_Toc57818752" w:history="1">
            <w:r w:rsidR="00A12740" w:rsidRPr="00DB00B4">
              <w:rPr>
                <w:rStyle w:val="a6"/>
                <w:rFonts w:ascii="Times New Roman" w:hAnsi="Times New Roman" w:cs="Times New Roman"/>
                <w:noProof/>
              </w:rPr>
              <w:t>Краткое резюме (заключение)</w:t>
            </w:r>
            <w:r w:rsidR="00A12740">
              <w:rPr>
                <w:noProof/>
                <w:webHidden/>
              </w:rPr>
              <w:tab/>
            </w:r>
            <w:r w:rsidR="00A12740">
              <w:rPr>
                <w:noProof/>
                <w:webHidden/>
              </w:rPr>
              <w:fldChar w:fldCharType="begin"/>
            </w:r>
            <w:r w:rsidR="00A12740">
              <w:rPr>
                <w:noProof/>
                <w:webHidden/>
              </w:rPr>
              <w:instrText xml:space="preserve"> PAGEREF _Toc57818752 \h </w:instrText>
            </w:r>
            <w:r w:rsidR="00A12740">
              <w:rPr>
                <w:noProof/>
                <w:webHidden/>
              </w:rPr>
            </w:r>
            <w:r w:rsidR="00A12740">
              <w:rPr>
                <w:noProof/>
                <w:webHidden/>
              </w:rPr>
              <w:fldChar w:fldCharType="separate"/>
            </w:r>
            <w:r w:rsidR="00A12740">
              <w:rPr>
                <w:noProof/>
                <w:webHidden/>
              </w:rPr>
              <w:t>313</w:t>
            </w:r>
            <w:r w:rsidR="00A12740">
              <w:rPr>
                <w:noProof/>
                <w:webHidden/>
              </w:rPr>
              <w:fldChar w:fldCharType="end"/>
            </w:r>
          </w:hyperlink>
        </w:p>
        <w:p w14:paraId="3A0C5C91" w14:textId="699D17D8" w:rsidR="00A12740" w:rsidRDefault="00314538">
          <w:pPr>
            <w:pStyle w:val="1ff6"/>
            <w:tabs>
              <w:tab w:val="right" w:leader="dot" w:pos="9839"/>
            </w:tabs>
            <w:rPr>
              <w:noProof/>
            </w:rPr>
          </w:pPr>
          <w:hyperlink w:anchor="_Toc57818753" w:history="1">
            <w:r w:rsidR="00A12740" w:rsidRPr="00DB00B4">
              <w:rPr>
                <w:rStyle w:val="a6"/>
                <w:rFonts w:ascii="Times New Roman" w:hAnsi="Times New Roman" w:cs="Times New Roman"/>
                <w:noProof/>
              </w:rPr>
              <w:t>Список сокращений</w:t>
            </w:r>
            <w:r w:rsidR="00A12740">
              <w:rPr>
                <w:noProof/>
                <w:webHidden/>
              </w:rPr>
              <w:tab/>
            </w:r>
            <w:r w:rsidR="00A12740">
              <w:rPr>
                <w:noProof/>
                <w:webHidden/>
              </w:rPr>
              <w:fldChar w:fldCharType="begin"/>
            </w:r>
            <w:r w:rsidR="00A12740">
              <w:rPr>
                <w:noProof/>
                <w:webHidden/>
              </w:rPr>
              <w:instrText xml:space="preserve"> PAGEREF _Toc57818753 \h </w:instrText>
            </w:r>
            <w:r w:rsidR="00A12740">
              <w:rPr>
                <w:noProof/>
                <w:webHidden/>
              </w:rPr>
            </w:r>
            <w:r w:rsidR="00A12740">
              <w:rPr>
                <w:noProof/>
                <w:webHidden/>
              </w:rPr>
              <w:fldChar w:fldCharType="separate"/>
            </w:r>
            <w:r w:rsidR="00A12740">
              <w:rPr>
                <w:noProof/>
                <w:webHidden/>
              </w:rPr>
              <w:t>320</w:t>
            </w:r>
            <w:r w:rsidR="00A12740">
              <w:rPr>
                <w:noProof/>
                <w:webHidden/>
              </w:rPr>
              <w:fldChar w:fldCharType="end"/>
            </w:r>
          </w:hyperlink>
        </w:p>
        <w:p w14:paraId="0747F2BB" w14:textId="445E15E0" w:rsidR="00A12740" w:rsidRDefault="00314538">
          <w:pPr>
            <w:pStyle w:val="1ff6"/>
            <w:tabs>
              <w:tab w:val="right" w:leader="dot" w:pos="9839"/>
            </w:tabs>
            <w:rPr>
              <w:noProof/>
            </w:rPr>
          </w:pPr>
          <w:hyperlink w:anchor="_Toc57818754" w:history="1">
            <w:r w:rsidR="00A12740" w:rsidRPr="00DB00B4">
              <w:rPr>
                <w:rStyle w:val="a6"/>
                <w:rFonts w:ascii="Times New Roman" w:hAnsi="Times New Roman" w:cs="Times New Roman"/>
                <w:noProof/>
              </w:rPr>
              <w:t>Источники информации</w:t>
            </w:r>
            <w:r w:rsidR="00A12740">
              <w:rPr>
                <w:noProof/>
                <w:webHidden/>
              </w:rPr>
              <w:tab/>
            </w:r>
            <w:r w:rsidR="00A12740">
              <w:rPr>
                <w:noProof/>
                <w:webHidden/>
              </w:rPr>
              <w:fldChar w:fldCharType="begin"/>
            </w:r>
            <w:r w:rsidR="00A12740">
              <w:rPr>
                <w:noProof/>
                <w:webHidden/>
              </w:rPr>
              <w:instrText xml:space="preserve"> PAGEREF _Toc57818754 \h </w:instrText>
            </w:r>
            <w:r w:rsidR="00A12740">
              <w:rPr>
                <w:noProof/>
                <w:webHidden/>
              </w:rPr>
            </w:r>
            <w:r w:rsidR="00A12740">
              <w:rPr>
                <w:noProof/>
                <w:webHidden/>
              </w:rPr>
              <w:fldChar w:fldCharType="separate"/>
            </w:r>
            <w:r w:rsidR="00A12740">
              <w:rPr>
                <w:noProof/>
                <w:webHidden/>
              </w:rPr>
              <w:t>323</w:t>
            </w:r>
            <w:r w:rsidR="00A12740">
              <w:rPr>
                <w:noProof/>
                <w:webHidden/>
              </w:rPr>
              <w:fldChar w:fldCharType="end"/>
            </w:r>
          </w:hyperlink>
        </w:p>
        <w:p w14:paraId="059B418C" w14:textId="67E1C887" w:rsidR="00A12740" w:rsidRDefault="00A12740">
          <w:r>
            <w:rPr>
              <w:b/>
              <w:bCs/>
            </w:rPr>
            <w:fldChar w:fldCharType="end"/>
          </w:r>
        </w:p>
      </w:sdtContent>
    </w:sdt>
    <w:p w14:paraId="6BBF3D32" w14:textId="1CC329C7" w:rsidR="007272FB" w:rsidRPr="007272FB" w:rsidRDefault="007272FB" w:rsidP="007272FB">
      <w:pPr>
        <w:pStyle w:val="1"/>
        <w:rPr>
          <w:rFonts w:ascii="Times New Roman" w:hAnsi="Times New Roman" w:cs="Times New Roman"/>
          <w:color w:val="000000" w:themeColor="text1"/>
          <w:sz w:val="24"/>
          <w:szCs w:val="24"/>
        </w:rPr>
      </w:pPr>
      <w:bookmarkStart w:id="1" w:name="_Toc57818720"/>
      <w:r w:rsidRPr="007272FB">
        <w:rPr>
          <w:rFonts w:ascii="Times New Roman" w:hAnsi="Times New Roman" w:cs="Times New Roman"/>
          <w:color w:val="000000" w:themeColor="text1"/>
          <w:sz w:val="24"/>
          <w:szCs w:val="24"/>
        </w:rPr>
        <w:t>Введение</w:t>
      </w:r>
      <w:bookmarkEnd w:id="1"/>
    </w:p>
    <w:p w14:paraId="01687D1E" w14:textId="77777777" w:rsidR="007272FB" w:rsidRDefault="007272FB" w:rsidP="008727D9">
      <w:pPr>
        <w:tabs>
          <w:tab w:val="left" w:pos="142"/>
        </w:tabs>
        <w:ind w:firstLine="709"/>
        <w:jc w:val="both"/>
        <w:rPr>
          <w:rFonts w:ascii="Times New Roman" w:hAnsi="Times New Roman" w:cs="Times New Roman"/>
          <w:color w:val="000000" w:themeColor="text1"/>
        </w:rPr>
      </w:pPr>
    </w:p>
    <w:p w14:paraId="4FD23674" w14:textId="5B8CCC83"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xml:space="preserve">Экологическая политика Республики Казахстан строится в соответствии с основным стратегическим документом - </w:t>
      </w:r>
      <w:r w:rsidRPr="00F0736F">
        <w:rPr>
          <w:rFonts w:ascii="Times New Roman" w:hAnsi="Times New Roman" w:cs="Times New Roman"/>
          <w:b/>
          <w:bCs/>
          <w:color w:val="000000" w:themeColor="text1"/>
        </w:rPr>
        <w:t>Стратегией «Казахстан-2050»</w:t>
      </w:r>
      <w:r w:rsidRPr="00F0736F">
        <w:rPr>
          <w:rStyle w:val="a4"/>
          <w:rFonts w:ascii="Times New Roman" w:hAnsi="Times New Roman" w:cs="Times New Roman"/>
          <w:b/>
          <w:bCs/>
          <w:color w:val="000000" w:themeColor="text1"/>
        </w:rPr>
        <w:footnoteReference w:id="1"/>
      </w:r>
      <w:r w:rsidRPr="00F0736F">
        <w:rPr>
          <w:rFonts w:ascii="Times New Roman" w:hAnsi="Times New Roman" w:cs="Times New Roman"/>
          <w:color w:val="000000" w:themeColor="text1"/>
        </w:rPr>
        <w:t xml:space="preserve"> – новый политический курс для нового Казахстана в быстро меняющихся исторических ус</w:t>
      </w:r>
      <w:r w:rsidR="002D07BB" w:rsidRPr="00F0736F">
        <w:rPr>
          <w:rFonts w:ascii="Times New Roman" w:hAnsi="Times New Roman" w:cs="Times New Roman"/>
          <w:color w:val="000000" w:themeColor="text1"/>
        </w:rPr>
        <w:t>ловиях. В данном П</w:t>
      </w:r>
      <w:r w:rsidRPr="00F0736F">
        <w:rPr>
          <w:rFonts w:ascii="Times New Roman" w:hAnsi="Times New Roman" w:cs="Times New Roman"/>
          <w:color w:val="000000" w:themeColor="text1"/>
        </w:rPr>
        <w:t xml:space="preserve">ослании народу Казахстана Первый Президент Республики Казахстан – Елбасы Н.А. Назарбаев отметил: </w:t>
      </w:r>
      <w:r w:rsidRPr="00F0736F">
        <w:rPr>
          <w:rFonts w:ascii="Times New Roman" w:hAnsi="Times New Roman" w:cs="Times New Roman"/>
          <w:color w:val="000000" w:themeColor="text1"/>
          <w:szCs w:val="22"/>
        </w:rPr>
        <w:t>«Нам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4E7FDA0E" w14:textId="45BE3E8E" w:rsidR="00921F54" w:rsidRPr="00F0736F" w:rsidRDefault="00921F54" w:rsidP="00921F54">
      <w:pPr>
        <w:tabs>
          <w:tab w:val="left" w:pos="142"/>
        </w:tabs>
        <w:ind w:firstLine="709"/>
        <w:jc w:val="both"/>
        <w:rPr>
          <w:rFonts w:ascii="Times New Roman" w:hAnsi="Times New Roman" w:cs="Times New Roman"/>
          <w:bCs/>
          <w:color w:val="000000" w:themeColor="text1"/>
        </w:rPr>
      </w:pPr>
      <w:r w:rsidRPr="00F0736F">
        <w:rPr>
          <w:rFonts w:ascii="Times New Roman" w:hAnsi="Times New Roman" w:cs="Times New Roman"/>
          <w:color w:val="000000" w:themeColor="text1"/>
        </w:rPr>
        <w:t>Главной целью Стратегии «Казахстан-2050»</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 xml:space="preserve">определено создание к 2050 году общества благоденствия на основе сильного государства, развитой экономики и возможностей всеобщего труда. Индикатором достижения этой главной цели является вхождение к 2050 году в число </w:t>
      </w:r>
      <w:r w:rsidR="00A1027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30-ти самых развитых государств мира.  </w:t>
      </w:r>
    </w:p>
    <w:p w14:paraId="19DD23BB"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Новым направлением в развитии страны стал переход к «зеленой экономике», путем принятия в 2013 году Концепции по переходу Республики Казахстан к «зеленой экономике»</w:t>
      </w:r>
      <w:r w:rsidRPr="00F0736F">
        <w:rPr>
          <w:rStyle w:val="a4"/>
          <w:rFonts w:ascii="Times New Roman" w:hAnsi="Times New Roman" w:cs="Times New Roman"/>
          <w:color w:val="000000" w:themeColor="text1"/>
        </w:rPr>
        <w:footnoteReference w:id="2"/>
      </w:r>
      <w:r w:rsidRPr="00F0736F">
        <w:rPr>
          <w:rStyle w:val="FootnoteCharacters"/>
          <w:rFonts w:ascii="Times New Roman" w:hAnsi="Times New Roman" w:cs="Times New Roman"/>
          <w:color w:val="000000" w:themeColor="text1"/>
        </w:rPr>
        <w:t xml:space="preserve"> </w:t>
      </w:r>
      <w:r w:rsidRPr="00F0736F">
        <w:rPr>
          <w:rFonts w:ascii="Times New Roman" w:hAnsi="Times New Roman" w:cs="Times New Roman"/>
          <w:color w:val="000000" w:themeColor="text1"/>
        </w:rPr>
        <w:t>(далее Концепция по переходу к «зеленой экономике»).</w:t>
      </w:r>
      <w:r w:rsidRPr="00F0736F">
        <w:rPr>
          <w:rFonts w:ascii="Times New Roman" w:hAnsi="Times New Roman" w:cs="Times New Roman"/>
          <w:bCs/>
          <w:i/>
          <w:iCs/>
          <w:color w:val="000000" w:themeColor="text1"/>
        </w:rPr>
        <w:t xml:space="preserve"> </w:t>
      </w:r>
      <w:r w:rsidRPr="00F0736F">
        <w:rPr>
          <w:rFonts w:ascii="Times New Roman" w:hAnsi="Times New Roman" w:cs="Times New Roman"/>
          <w:color w:val="000000" w:themeColor="text1"/>
        </w:rPr>
        <w:t>«Зеленая экономика» в данном документе определяется как экономика с высоким уровнем качества жизни населения, бережным и рациональным использованием природных ресурсов в интересах нынешнего и будущих поколений, в соответствии с принятыми страной международными экологическими обязательствами, в том числе с Рио-де-Жанейрскими принципами, Повесткой дня на XXI век, Йоханнесбургским планом и Декларацией Тысячелетия.</w:t>
      </w:r>
    </w:p>
    <w:p w14:paraId="53B06BD6" w14:textId="542391A9" w:rsidR="00921F54" w:rsidRPr="00F0736F" w:rsidRDefault="00921F54" w:rsidP="00921F54">
      <w:pPr>
        <w:tabs>
          <w:tab w:val="left" w:pos="142"/>
        </w:tabs>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Меры по переходу к «зеленой экономике», согласно Концепции, реализуются по направлениям: устойчивое использование водных ресурсов, развитие устойчивого и высокопроизводительного сельского хозяйства, энергосбережение и повышение энергоэффективности, развитие электроэнергетики, система управления отходами, снижение загрязнения воздуха</w:t>
      </w:r>
      <w:r w:rsidR="009E67F9"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rPr>
        <w:t>сохранение и эффективное управление экосистемами.</w:t>
      </w:r>
    </w:p>
    <w:p w14:paraId="3225E5B5"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bCs/>
          <w:color w:val="000000" w:themeColor="text1"/>
        </w:rPr>
        <w:t xml:space="preserve">Основные приоритетные задачи </w:t>
      </w:r>
      <w:r w:rsidRPr="00F0736F">
        <w:rPr>
          <w:rFonts w:ascii="Times New Roman" w:hAnsi="Times New Roman" w:cs="Times New Roman"/>
          <w:color w:val="000000" w:themeColor="text1"/>
        </w:rPr>
        <w:t>по переходу к «зеленой экономике», определенные Концепцией по переходу к «зеленой экономике»</w:t>
      </w:r>
      <w:r w:rsidR="002D07B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следующие: </w:t>
      </w:r>
    </w:p>
    <w:p w14:paraId="72EA18FB"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xml:space="preserve">1) повышение эффективности использования ресурсов (водных, земельных, биологических и др.) и управления ими; </w:t>
      </w:r>
    </w:p>
    <w:p w14:paraId="19CD5949"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2) модернизация существующей и строительство новой инфраструктуры;</w:t>
      </w:r>
    </w:p>
    <w:p w14:paraId="75E701FC"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3) повышение благополучия населения и качества окружающей среды через рентабельные пути смягчения давления на окружающую среду;</w:t>
      </w:r>
    </w:p>
    <w:p w14:paraId="3A4410CA"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4) повышение национальной безопасности, в том числе водной безопасности.</w:t>
      </w:r>
    </w:p>
    <w:p w14:paraId="6044F31E" w14:textId="77777777" w:rsidR="00921F54" w:rsidRPr="00F0736F" w:rsidRDefault="00921F54" w:rsidP="00921F54">
      <w:pPr>
        <w:tabs>
          <w:tab w:val="left" w:pos="142"/>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Целевые индикаторы, нормы и мероприятия «зеленой» экономики нашли свое отражение в законодательных актах и программных документах нашей страны, являются ориентирами для всех уровней власти и всех секторов гражданского общества.</w:t>
      </w:r>
    </w:p>
    <w:p w14:paraId="502FA8A7" w14:textId="77777777" w:rsidR="00921F54" w:rsidRPr="00F0736F" w:rsidRDefault="00921F54" w:rsidP="00921F54">
      <w:pPr>
        <w:tabs>
          <w:tab w:val="left" w:pos="142"/>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План мероприятий по реализации Концепции по переходу Республики Казахстан к «зеленой экономике» на 2013-2020 годы утвержден постановлением Правительства Республики Казахстан от 31 июля 2013 г. № 750 (далее – План).</w:t>
      </w:r>
    </w:p>
    <w:p w14:paraId="4F65F7F1"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xml:space="preserve">В 2018 году принят </w:t>
      </w:r>
      <w:r w:rsidRPr="00F0736F">
        <w:rPr>
          <w:rFonts w:ascii="Times New Roman" w:hAnsi="Times New Roman" w:cs="Times New Roman"/>
          <w:bCs/>
          <w:color w:val="000000" w:themeColor="text1"/>
        </w:rPr>
        <w:t>Стратегический план развития Республики Казахстан до 2025 г.</w:t>
      </w:r>
      <w:r w:rsidRPr="00F0736F">
        <w:rPr>
          <w:rFonts w:ascii="Times New Roman" w:hAnsi="Times New Roman" w:cs="Times New Roman"/>
          <w:color w:val="000000" w:themeColor="text1"/>
        </w:rPr>
        <w:t xml:space="preserve"> (Указ Президента № 636 от 15.02.2018 г.), который пришел на смену Стратегическому плану развития до 2020 года. </w:t>
      </w:r>
    </w:p>
    <w:p w14:paraId="15E5BA43"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«Зеленая экономика» и окружающая среда являются одним из семи направлений политики нового стратегического плана</w:t>
      </w:r>
      <w:r w:rsidR="00F678C2" w:rsidRPr="00F0736F">
        <w:rPr>
          <w:rFonts w:ascii="Times New Roman" w:hAnsi="Times New Roman" w:cs="Times New Roman"/>
          <w:color w:val="000000" w:themeColor="text1"/>
        </w:rPr>
        <w:t xml:space="preserve">, который </w:t>
      </w:r>
      <w:r w:rsidRPr="00F0736F">
        <w:rPr>
          <w:rFonts w:ascii="Times New Roman" w:hAnsi="Times New Roman" w:cs="Times New Roman"/>
          <w:color w:val="000000" w:themeColor="text1"/>
        </w:rPr>
        <w:t>включает в себя следующие задачи:</w:t>
      </w:r>
    </w:p>
    <w:p w14:paraId="29274A6C"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выполнение обязательств в рамках Парижского соглашения;</w:t>
      </w:r>
    </w:p>
    <w:p w14:paraId="635EDFE8"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определение источников финансирования, учет зеленых финансов и привлечения инвестиций;</w:t>
      </w:r>
    </w:p>
    <w:p w14:paraId="49C0BCD8"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стимулирование инвестиций в «зеленые» технологии;</w:t>
      </w:r>
    </w:p>
    <w:p w14:paraId="02198416"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декарбонизация экономики; повышение эффективности использования и охрана водных ресурсов;</w:t>
      </w:r>
    </w:p>
    <w:p w14:paraId="27ECFCC3"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развитие ВИЭ и совершенствование традиционных источников энергии;</w:t>
      </w:r>
    </w:p>
    <w:p w14:paraId="49A9843B"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сохранение биоразнообразия;</w:t>
      </w:r>
    </w:p>
    <w:p w14:paraId="0742AF8B"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развитие малоотходной экономики;</w:t>
      </w:r>
    </w:p>
    <w:p w14:paraId="24550E63"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управление отходами, что полностью соответствует Концепции по переходу к «зеленой экономике».</w:t>
      </w:r>
    </w:p>
    <w:p w14:paraId="6E15A9DA" w14:textId="77777777" w:rsidR="00921F54" w:rsidRPr="00F0736F" w:rsidRDefault="00921F54" w:rsidP="00F678C2">
      <w:pPr>
        <w:tabs>
          <w:tab w:val="left" w:pos="142"/>
        </w:tabs>
        <w:ind w:firstLine="709"/>
        <w:jc w:val="both"/>
        <w:rPr>
          <w:color w:val="000000" w:themeColor="text1"/>
        </w:rPr>
      </w:pPr>
      <w:r w:rsidRPr="00F0736F">
        <w:rPr>
          <w:rFonts w:ascii="Times New Roman" w:eastAsia="Times New Roman" w:hAnsi="Times New Roman" w:cs="Times New Roman"/>
          <w:bCs/>
          <w:color w:val="000000" w:themeColor="text1"/>
        </w:rPr>
        <w:t>Целью Государственной программы «Цифровой Казахстан» (Постановление Правительства</w:t>
      </w:r>
      <w:r w:rsidR="00F678C2" w:rsidRPr="00F0736F">
        <w:rPr>
          <w:rFonts w:ascii="Times New Roman" w:eastAsia="Times New Roman" w:hAnsi="Times New Roman" w:cs="Times New Roman"/>
          <w:bCs/>
          <w:color w:val="000000" w:themeColor="text1"/>
        </w:rPr>
        <w:t xml:space="preserve"> от 12.12.2017 года</w:t>
      </w:r>
      <w:r w:rsidRPr="00F0736F">
        <w:rPr>
          <w:rFonts w:ascii="Times New Roman" w:eastAsia="Times New Roman" w:hAnsi="Times New Roman" w:cs="Times New Roman"/>
          <w:bCs/>
          <w:color w:val="000000" w:themeColor="text1"/>
        </w:rPr>
        <w:t xml:space="preserve"> №</w:t>
      </w:r>
      <w:r w:rsidR="005B5FA3" w:rsidRPr="00F0736F">
        <w:rPr>
          <w:rFonts w:ascii="Times New Roman" w:eastAsia="Times New Roman" w:hAnsi="Times New Roman" w:cs="Times New Roman"/>
          <w:bCs/>
          <w:color w:val="000000" w:themeColor="text1"/>
        </w:rPr>
        <w:t xml:space="preserve"> </w:t>
      </w:r>
      <w:r w:rsidRPr="00F0736F">
        <w:rPr>
          <w:rFonts w:ascii="Times New Roman" w:eastAsia="Times New Roman" w:hAnsi="Times New Roman" w:cs="Times New Roman"/>
          <w:bCs/>
          <w:color w:val="000000" w:themeColor="text1"/>
        </w:rPr>
        <w:t xml:space="preserve">827) является цифровизация ключевых секторов экономики.   План мероприятий по ее реализации предусматривает оказание поддержки в создании единой государственной информационной системы мониторинга окружающей среды и природных ресурсов. Данная Государственная программа также предусматривает мероприятия по внедрению автоматизированного мониторинга рыбных ресурсов, биоразнообразия, особо охраняемых природных территорий, водного фонда и водохозяйственных сооружений, </w:t>
      </w:r>
      <w:r w:rsidR="00F678C2" w:rsidRPr="00F0736F">
        <w:rPr>
          <w:rFonts w:ascii="Times New Roman" w:eastAsia="Times New Roman" w:hAnsi="Times New Roman" w:cs="Times New Roman"/>
          <w:bCs/>
          <w:color w:val="000000" w:themeColor="text1"/>
        </w:rPr>
        <w:t xml:space="preserve">которые </w:t>
      </w:r>
      <w:r w:rsidRPr="00F0736F">
        <w:rPr>
          <w:rFonts w:ascii="Times New Roman" w:eastAsia="Times New Roman" w:hAnsi="Times New Roman" w:cs="Times New Roman"/>
          <w:bCs/>
          <w:color w:val="000000" w:themeColor="text1"/>
        </w:rPr>
        <w:t xml:space="preserve">не упомянуты в </w:t>
      </w:r>
      <w:r w:rsidR="00F678C2" w:rsidRPr="00F0736F">
        <w:rPr>
          <w:rFonts w:ascii="Times New Roman" w:eastAsia="Times New Roman" w:hAnsi="Times New Roman" w:cs="Times New Roman"/>
          <w:bCs/>
          <w:color w:val="000000" w:themeColor="text1"/>
        </w:rPr>
        <w:t>П</w:t>
      </w:r>
      <w:r w:rsidRPr="00F0736F">
        <w:rPr>
          <w:rFonts w:ascii="Times New Roman" w:eastAsia="Times New Roman" w:hAnsi="Times New Roman" w:cs="Times New Roman"/>
          <w:bCs/>
          <w:color w:val="000000" w:themeColor="text1"/>
        </w:rPr>
        <w:t xml:space="preserve">лане мероприятий. Одним из приоритетных направлений программы является концепция «умных» городов, которая, помимо прочего, предусматривает автоматизацию систем теплоснабжения, </w:t>
      </w:r>
      <w:r w:rsidRPr="00F0736F">
        <w:rPr>
          <w:rFonts w:ascii="Times New Roman" w:hAnsi="Times New Roman" w:cs="Times New Roman"/>
          <w:color w:val="000000" w:themeColor="text1"/>
        </w:rPr>
        <w:t>что также полностью соответствует Концепции по переходу к «зеленой экономике».</w:t>
      </w:r>
      <w:r w:rsidR="00F678C2" w:rsidRPr="00F0736F">
        <w:rPr>
          <w:color w:val="000000" w:themeColor="text1"/>
        </w:rPr>
        <w:t xml:space="preserve"> </w:t>
      </w:r>
      <w:r w:rsidRPr="00F0736F">
        <w:rPr>
          <w:rFonts w:ascii="Times New Roman" w:hAnsi="Times New Roman" w:cs="Times New Roman"/>
          <w:color w:val="000000" w:themeColor="text1"/>
        </w:rPr>
        <w:t>Кроме того, мероприятия по переходу к «зеленой экономике» включены в стратегические планы всех министерств, ответственных за реализацию Концепции по переходу к «зеленой экономике».</w:t>
      </w:r>
    </w:p>
    <w:p w14:paraId="502211BF" w14:textId="3D055205" w:rsidR="00921F54" w:rsidRPr="00F0736F" w:rsidRDefault="00921F54" w:rsidP="00921F54">
      <w:pPr>
        <w:tabs>
          <w:tab w:val="left" w:pos="142"/>
        </w:tabs>
        <w:ind w:firstLine="709"/>
        <w:jc w:val="both"/>
        <w:rPr>
          <w:color w:val="000000" w:themeColor="text1"/>
        </w:rPr>
      </w:pPr>
      <w:r w:rsidRPr="00F0736F">
        <w:rPr>
          <w:rFonts w:ascii="Times New Roman" w:eastAsia="Consolas" w:hAnsi="Times New Roman" w:cs="Times New Roman"/>
          <w:color w:val="000000" w:themeColor="text1"/>
        </w:rPr>
        <w:t>Комитетом по статистике Министерства национальной экономики РК (далее - Комитет по статистике)</w:t>
      </w:r>
      <w:r w:rsidR="00F678C2"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 xml:space="preserve"> в соответствии с методологией ОЭСР по зеленому росту, разработаны и на ежегодной основе публикуются показатели «зелено</w:t>
      </w:r>
      <w:r w:rsidR="00A10275" w:rsidRPr="00F0736F">
        <w:rPr>
          <w:rFonts w:ascii="Times New Roman" w:eastAsia="Consolas" w:hAnsi="Times New Roman" w:cs="Times New Roman"/>
          <w:color w:val="000000" w:themeColor="text1"/>
        </w:rPr>
        <w:t xml:space="preserve">й </w:t>
      </w:r>
      <w:r w:rsidRPr="00F0736F">
        <w:rPr>
          <w:rFonts w:ascii="Times New Roman" w:eastAsia="Consolas" w:hAnsi="Times New Roman" w:cs="Times New Roman"/>
          <w:color w:val="000000" w:themeColor="text1"/>
        </w:rPr>
        <w:t>экономики</w:t>
      </w:r>
      <w:r w:rsidR="00A10275"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 xml:space="preserve"> на Интернет-ресурсе www.stat.gov.kz.</w:t>
      </w:r>
    </w:p>
    <w:p w14:paraId="3A159745" w14:textId="00FFEEAA" w:rsidR="00921F54" w:rsidRPr="00137211" w:rsidRDefault="00921F54" w:rsidP="00137211">
      <w:pPr>
        <w:tabs>
          <w:tab w:val="left" w:pos="142"/>
        </w:tabs>
        <w:ind w:firstLine="709"/>
        <w:jc w:val="both"/>
        <w:rPr>
          <w:color w:val="000000" w:themeColor="text1"/>
        </w:rPr>
      </w:pPr>
      <w:r w:rsidRPr="00F0736F">
        <w:rPr>
          <w:rFonts w:ascii="Times New Roman" w:hAnsi="Times New Roman" w:cs="Times New Roman"/>
          <w:color w:val="000000" w:themeColor="text1"/>
        </w:rPr>
        <w:t xml:space="preserve">В 2018 году экспертами Европейской экономической комиссии ООН (ЕЭК ООН) завершен </w:t>
      </w:r>
      <w:r w:rsidRPr="00F0736F">
        <w:rPr>
          <w:rFonts w:ascii="Times New Roman" w:hAnsi="Times New Roman" w:cs="Times New Roman"/>
          <w:bCs/>
          <w:color w:val="000000" w:themeColor="text1"/>
        </w:rPr>
        <w:t>Третий Обзор результативности экологической деятельности по Казахстану (ОРЭД). Рекомендации данного Обзора широко использованы при составлении настоящего</w:t>
      </w:r>
      <w:r w:rsidRPr="00F0736F">
        <w:rPr>
          <w:rFonts w:ascii="Times New Roman" w:hAnsi="Times New Roman" w:cs="Times New Roman"/>
          <w:color w:val="000000" w:themeColor="text1"/>
        </w:rPr>
        <w:t xml:space="preserve"> доклада при определении проблемных областей охраны окружающей среды и использования природных ресурсов и при определении планируемых направлений дальнейшей деятельност</w:t>
      </w:r>
      <w:r w:rsidR="00137211">
        <w:rPr>
          <w:rFonts w:ascii="Times New Roman" w:hAnsi="Times New Roman" w:cs="Times New Roman"/>
          <w:color w:val="000000" w:themeColor="text1"/>
        </w:rPr>
        <w:t>и.</w:t>
      </w:r>
    </w:p>
    <w:p w14:paraId="695907A2" w14:textId="700AC950"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 xml:space="preserve">Указом Президента РК от 31 января </w:t>
      </w:r>
      <w:r w:rsidR="002D07BB" w:rsidRPr="00F0736F">
        <w:rPr>
          <w:rFonts w:ascii="Times New Roman" w:hAnsi="Times New Roman" w:cs="Times New Roman"/>
          <w:color w:val="000000" w:themeColor="text1"/>
        </w:rPr>
        <w:t xml:space="preserve">2017 года </w:t>
      </w:r>
      <w:r w:rsidRPr="00F0736F">
        <w:rPr>
          <w:rFonts w:ascii="Times New Roman" w:hAnsi="Times New Roman" w:cs="Times New Roman"/>
          <w:color w:val="000000" w:themeColor="text1"/>
        </w:rPr>
        <w:t>№</w:t>
      </w:r>
      <w:r w:rsidR="00BD63F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415</w:t>
      </w:r>
      <w:r w:rsidR="002D07B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приняты «Основные направления государственной политики Республики Казахстан в сфере официальной помощи развитию на 2017</w:t>
      </w:r>
      <w:r w:rsidR="00F678C2" w:rsidRPr="00F0736F">
        <w:rPr>
          <w:rFonts w:ascii="Times New Roman" w:hAnsi="Times New Roman" w:cs="Times New Roman"/>
          <w:color w:val="000000" w:themeColor="text1"/>
        </w:rPr>
        <w:t xml:space="preserve"> - </w:t>
      </w:r>
      <w:r w:rsidRPr="00F0736F">
        <w:rPr>
          <w:rFonts w:ascii="Times New Roman" w:hAnsi="Times New Roman" w:cs="Times New Roman"/>
          <w:color w:val="000000" w:themeColor="text1"/>
        </w:rPr>
        <w:t>2020 г</w:t>
      </w:r>
      <w:r w:rsidR="00F678C2" w:rsidRPr="00F0736F">
        <w:rPr>
          <w:rFonts w:ascii="Times New Roman" w:hAnsi="Times New Roman" w:cs="Times New Roman"/>
          <w:color w:val="000000" w:themeColor="text1"/>
        </w:rPr>
        <w:t>оды</w:t>
      </w:r>
      <w:r w:rsidRPr="00F0736F">
        <w:rPr>
          <w:rFonts w:ascii="Times New Roman" w:hAnsi="Times New Roman" w:cs="Times New Roman"/>
          <w:color w:val="000000" w:themeColor="text1"/>
        </w:rPr>
        <w:t>»</w:t>
      </w:r>
      <w:r w:rsidR="002D07B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2D07BB" w:rsidRPr="00F0736F">
        <w:rPr>
          <w:rFonts w:ascii="Times New Roman" w:hAnsi="Times New Roman" w:cs="Times New Roman"/>
          <w:color w:val="000000" w:themeColor="text1"/>
        </w:rPr>
        <w:t>в которых ставил</w:t>
      </w:r>
      <w:r w:rsidR="00137211">
        <w:rPr>
          <w:rFonts w:ascii="Times New Roman" w:hAnsi="Times New Roman" w:cs="Times New Roman"/>
          <w:color w:val="000000" w:themeColor="text1"/>
        </w:rPr>
        <w:t>а</w:t>
      </w:r>
      <w:r w:rsidR="002D07BB" w:rsidRPr="00F0736F">
        <w:rPr>
          <w:rFonts w:ascii="Times New Roman" w:hAnsi="Times New Roman" w:cs="Times New Roman"/>
          <w:color w:val="000000" w:themeColor="text1"/>
        </w:rPr>
        <w:t xml:space="preserve">сь </w:t>
      </w:r>
      <w:r w:rsidRPr="00F0736F">
        <w:rPr>
          <w:rFonts w:ascii="Times New Roman" w:hAnsi="Times New Roman" w:cs="Times New Roman"/>
          <w:color w:val="000000" w:themeColor="text1"/>
        </w:rPr>
        <w:t>задача достижения ЦУР</w:t>
      </w:r>
      <w:r w:rsidR="00F678C2" w:rsidRPr="00F0736F">
        <w:rPr>
          <w:rFonts w:ascii="Times New Roman" w:hAnsi="Times New Roman" w:cs="Times New Roman"/>
          <w:color w:val="000000" w:themeColor="text1"/>
        </w:rPr>
        <w:t>. В</w:t>
      </w:r>
      <w:r w:rsidRPr="00F0736F">
        <w:rPr>
          <w:rFonts w:ascii="Times New Roman" w:hAnsi="Times New Roman" w:cs="Times New Roman"/>
          <w:color w:val="000000" w:themeColor="text1"/>
        </w:rPr>
        <w:t xml:space="preserve"> 2018 году под руководством заместителя Премьер-Министра РК создан Координационный совет для координации реализации и мониторинга ЦУР и п</w:t>
      </w:r>
      <w:r w:rsidRPr="00F0736F">
        <w:rPr>
          <w:rFonts w:ascii="Times New Roman" w:eastAsia="Calibri" w:hAnsi="Times New Roman" w:cs="Times New Roman"/>
          <w:color w:val="000000" w:themeColor="text1"/>
        </w:rPr>
        <w:t>ять межведомственных рабочих групп (Мир; Люди; Планета; Процветание; Партнерство), заседающих один раз в квартал, которые отвечают за обмен мнениями и выработку рекомендаций по достижению соответствующих ЦУР в Казахстане.</w:t>
      </w:r>
    </w:p>
    <w:p w14:paraId="1786BC54" w14:textId="77777777" w:rsidR="00921F54" w:rsidRPr="00F0736F" w:rsidRDefault="00921F54" w:rsidP="00921F54">
      <w:pPr>
        <w:tabs>
          <w:tab w:val="left" w:pos="142"/>
        </w:tabs>
        <w:ind w:firstLine="709"/>
        <w:jc w:val="both"/>
        <w:rPr>
          <w:color w:val="000000" w:themeColor="text1"/>
        </w:rPr>
      </w:pPr>
      <w:r w:rsidRPr="00F0736F">
        <w:rPr>
          <w:rFonts w:ascii="Times New Roman" w:eastAsia="Calibri" w:hAnsi="Times New Roman" w:cs="Times New Roman"/>
          <w:color w:val="000000" w:themeColor="text1"/>
        </w:rPr>
        <w:t>Добровольный национальный обзор Казахстана по достижению ЦУР опубликован в 2019 году на сайте ООН</w:t>
      </w:r>
      <w:r w:rsidRPr="00F0736F">
        <w:rPr>
          <w:rStyle w:val="a4"/>
          <w:rFonts w:ascii="Times New Roman" w:eastAsia="Calibri" w:hAnsi="Times New Roman" w:cs="Times New Roman"/>
          <w:color w:val="000000" w:themeColor="text1"/>
        </w:rPr>
        <w:footnoteReference w:id="3"/>
      </w:r>
      <w:r w:rsidRPr="00F0736F">
        <w:rPr>
          <w:rFonts w:ascii="Times New Roman" w:eastAsia="Calibri" w:hAnsi="Times New Roman" w:cs="Times New Roman"/>
          <w:color w:val="000000" w:themeColor="text1"/>
        </w:rPr>
        <w:t xml:space="preserve">. </w:t>
      </w:r>
    </w:p>
    <w:p w14:paraId="26F39A44" w14:textId="77777777" w:rsidR="00921F54" w:rsidRPr="00F0736F" w:rsidRDefault="00921F54" w:rsidP="00921F54">
      <w:pPr>
        <w:tabs>
          <w:tab w:val="left" w:pos="142"/>
        </w:tabs>
        <w:ind w:firstLine="709"/>
        <w:jc w:val="both"/>
        <w:rPr>
          <w:rFonts w:ascii="Calibri" w:hAnsi="Calibri"/>
          <w:color w:val="000000" w:themeColor="text1"/>
        </w:rPr>
      </w:pPr>
      <w:r w:rsidRPr="00F0736F">
        <w:rPr>
          <w:rFonts w:ascii="Times New Roman" w:hAnsi="Times New Roman" w:cs="Times New Roman"/>
          <w:color w:val="000000" w:themeColor="text1"/>
        </w:rPr>
        <w:t>Под руководством Комитета по статистике был подготовлен проект национальной структуры индикаторов ЦУР</w:t>
      </w:r>
      <w:r w:rsidR="00F678C2" w:rsidRPr="00F0736F">
        <w:rPr>
          <w:rFonts w:ascii="Times New Roman" w:hAnsi="Times New Roman" w:cs="Times New Roman"/>
          <w:color w:val="000000" w:themeColor="text1"/>
        </w:rPr>
        <w:t>, а также в</w:t>
      </w:r>
      <w:r w:rsidRPr="00F0736F">
        <w:rPr>
          <w:rFonts w:ascii="Times New Roman" w:hAnsi="Times New Roman" w:cs="Times New Roman"/>
          <w:color w:val="000000" w:themeColor="text1"/>
        </w:rPr>
        <w:t xml:space="preserve">едется работа по запуску на веб-сайте Комитета национальной платформы/страницы для отчетности по ЦУР. </w:t>
      </w:r>
      <w:r w:rsidR="00F678C2" w:rsidRPr="00F0736F">
        <w:rPr>
          <w:rFonts w:ascii="Times New Roman" w:hAnsi="Times New Roman" w:cs="Times New Roman"/>
          <w:color w:val="000000" w:themeColor="text1"/>
        </w:rPr>
        <w:t>Однако</w:t>
      </w:r>
      <w:r w:rsidRPr="00F0736F">
        <w:rPr>
          <w:rFonts w:ascii="Times New Roman" w:hAnsi="Times New Roman" w:cs="Times New Roman"/>
          <w:color w:val="000000" w:themeColor="text1"/>
        </w:rPr>
        <w:t xml:space="preserve">, уровень осведомленности о ЦУР среди должностных лиц центральных органов государственной власти и на субнациональном уровне является низким.  </w:t>
      </w:r>
    </w:p>
    <w:p w14:paraId="6A71DB92" w14:textId="77777777" w:rsidR="00921F54" w:rsidRPr="00F0736F" w:rsidRDefault="00921F54" w:rsidP="00921F54">
      <w:pPr>
        <w:tabs>
          <w:tab w:val="left" w:pos="142"/>
        </w:tabs>
        <w:ind w:firstLine="709"/>
        <w:jc w:val="both"/>
        <w:rPr>
          <w:color w:val="000000" w:themeColor="text1"/>
        </w:rPr>
      </w:pPr>
      <w:r w:rsidRPr="00F0736F">
        <w:rPr>
          <w:rFonts w:ascii="Times New Roman" w:eastAsia="Times New Roman" w:hAnsi="Times New Roman" w:cs="Times New Roman"/>
          <w:bCs/>
          <w:color w:val="000000" w:themeColor="text1"/>
        </w:rPr>
        <w:t>В 2016</w:t>
      </w:r>
      <w:r w:rsidRPr="00F0736F">
        <w:rPr>
          <w:rFonts w:ascii="Times New Roman" w:eastAsia="Times New Roman" w:hAnsi="Times New Roman" w:cs="Times New Roman"/>
          <w:bCs/>
          <w:color w:val="000000" w:themeColor="text1"/>
          <w:lang w:val="fr-CH"/>
        </w:rPr>
        <w:t xml:space="preserve"> </w:t>
      </w:r>
      <w:r w:rsidRPr="00F0736F">
        <w:rPr>
          <w:rFonts w:ascii="Times New Roman" w:eastAsia="Times New Roman" w:hAnsi="Times New Roman" w:cs="Times New Roman"/>
          <w:bCs/>
          <w:color w:val="000000" w:themeColor="text1"/>
        </w:rPr>
        <w:t>г</w:t>
      </w:r>
      <w:r w:rsidR="002D07BB" w:rsidRPr="00F0736F">
        <w:rPr>
          <w:rFonts w:ascii="Times New Roman" w:eastAsia="Times New Roman" w:hAnsi="Times New Roman" w:cs="Times New Roman"/>
          <w:bCs/>
          <w:color w:val="000000" w:themeColor="text1"/>
        </w:rPr>
        <w:t xml:space="preserve">оду </w:t>
      </w:r>
      <w:r w:rsidRPr="00F0736F">
        <w:rPr>
          <w:rFonts w:ascii="Times New Roman" w:eastAsia="Times New Roman" w:hAnsi="Times New Roman" w:cs="Times New Roman"/>
          <w:bCs/>
          <w:color w:val="000000" w:themeColor="text1"/>
        </w:rPr>
        <w:t xml:space="preserve">Казахстан присоединился к </w:t>
      </w:r>
      <w:r w:rsidRPr="00F0736F">
        <w:rPr>
          <w:rFonts w:ascii="Times New Roman" w:eastAsia="Times New Roman" w:hAnsi="Times New Roman" w:cs="Times New Roman"/>
          <w:color w:val="000000" w:themeColor="text1"/>
        </w:rPr>
        <w:t>Декларации о «зеленом росте» ОЭСР</w:t>
      </w:r>
      <w:r w:rsidRPr="00F0736F">
        <w:rPr>
          <w:rStyle w:val="a4"/>
          <w:rFonts w:ascii="Times New Roman" w:eastAsia="Times New Roman" w:hAnsi="Times New Roman" w:cs="Times New Roman"/>
          <w:color w:val="000000" w:themeColor="text1"/>
        </w:rPr>
        <w:footnoteReference w:id="4"/>
      </w:r>
      <w:r w:rsidRPr="00F0736F">
        <w:rPr>
          <w:rFonts w:ascii="Times New Roman" w:eastAsia="Times New Roman" w:hAnsi="Times New Roman" w:cs="Times New Roman"/>
          <w:color w:val="000000" w:themeColor="text1"/>
        </w:rPr>
        <w:t xml:space="preserve"> и Декларации о сокращении рисков, связанных со свинцом, в соответствии с которыми</w:t>
      </w:r>
      <w:r w:rsidRPr="00F0736F">
        <w:rPr>
          <w:rFonts w:ascii="Times New Roman" w:eastAsia="Times New Roman" w:hAnsi="Times New Roman" w:cs="Times New Roman"/>
          <w:bCs/>
          <w:color w:val="000000" w:themeColor="text1"/>
        </w:rPr>
        <w:t xml:space="preserve"> подписавшие их страны заявляют о своих усилиях по реализации стратегий «зеленого роста», поощрению «зеленых» инвестиций и устойчиво</w:t>
      </w:r>
      <w:r w:rsidR="002D07BB" w:rsidRPr="00F0736F">
        <w:rPr>
          <w:rFonts w:ascii="Times New Roman" w:eastAsia="Times New Roman" w:hAnsi="Times New Roman" w:cs="Times New Roman"/>
          <w:bCs/>
          <w:color w:val="000000" w:themeColor="text1"/>
        </w:rPr>
        <w:t>му</w:t>
      </w:r>
      <w:r w:rsidRPr="00F0736F">
        <w:rPr>
          <w:rFonts w:ascii="Times New Roman" w:eastAsia="Times New Roman" w:hAnsi="Times New Roman" w:cs="Times New Roman"/>
          <w:bCs/>
          <w:color w:val="000000" w:themeColor="text1"/>
        </w:rPr>
        <w:t xml:space="preserve"> управлени</w:t>
      </w:r>
      <w:r w:rsidR="004E31D4" w:rsidRPr="00F0736F">
        <w:rPr>
          <w:rFonts w:ascii="Times New Roman" w:eastAsia="Times New Roman" w:hAnsi="Times New Roman" w:cs="Times New Roman"/>
          <w:bCs/>
          <w:color w:val="000000" w:themeColor="text1"/>
        </w:rPr>
        <w:t>ю</w:t>
      </w:r>
      <w:r w:rsidRPr="00F0736F">
        <w:rPr>
          <w:rFonts w:ascii="Times New Roman" w:eastAsia="Times New Roman" w:hAnsi="Times New Roman" w:cs="Times New Roman"/>
          <w:bCs/>
          <w:color w:val="000000" w:themeColor="text1"/>
        </w:rPr>
        <w:t xml:space="preserve"> природными ресурсами, а также реформированию внутренней политики с целью ликвидации экологически вредных мер, таких как субсидии на ископаемые виды топлива. Страна стремится активно участвовать в работе Комитета по экологической политике ОЭСР и его вспомогательных органов, обмениваться передовым опытом и использовать методические рекомендации ОЭСР в целях укрепления собственной политики «зеленого роста».</w:t>
      </w:r>
    </w:p>
    <w:p w14:paraId="2D016B13" w14:textId="03C2C05B" w:rsidR="00921F54" w:rsidRPr="00F0736F" w:rsidRDefault="00921F54" w:rsidP="00921F54">
      <w:pPr>
        <w:tabs>
          <w:tab w:val="left" w:pos="142"/>
        </w:tabs>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Настоящий доклад подготовлен НАО «Международный центр зеленых технологий и инвестиционных проектов» (МЦЗТИП) по заказу Министерства экологии, геологии и природных ресурсов Республики Казахстан (МЭГПР), в соответствии с Планом мероприятий по реализации Концепции по переходу Республики Казахстан к «зеленой экономике» на 2013 - 2020 годы, утвержденным Постановлением Правительства Республики Казахстан от 31 июля 2013 года №</w:t>
      </w:r>
      <w:r w:rsidR="00F678C2"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750. В соответствии с данным планом</w:t>
      </w:r>
      <w:r w:rsidR="004E31D4"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подобные доклады должны готовиться один раз в три года и первый доклад охватывал 2014 - 2016 годы. Настоящий доклад охватывает 2017 — 2019 годы, существенным дополнением по сравнению с первым является анализ проблем достижения целей устойчивого развития (ЦУР), приведенный по каждому направлению Концепции. </w:t>
      </w:r>
      <w:r w:rsidRPr="00F0736F">
        <w:rPr>
          <w:rFonts w:ascii="Times New Roman" w:eastAsia="Times New Roman" w:hAnsi="Times New Roman" w:cs="Times New Roman"/>
          <w:bCs/>
          <w:color w:val="000000" w:themeColor="text1"/>
        </w:rPr>
        <w:t xml:space="preserve"> </w:t>
      </w:r>
      <w:r w:rsidR="00F678C2" w:rsidRPr="00F0736F">
        <w:rPr>
          <w:rFonts w:ascii="Times New Roman" w:eastAsia="Times New Roman" w:hAnsi="Times New Roman" w:cs="Times New Roman"/>
          <w:bCs/>
          <w:color w:val="000000" w:themeColor="text1"/>
        </w:rPr>
        <w:t>П</w:t>
      </w:r>
      <w:r w:rsidRPr="00F0736F">
        <w:rPr>
          <w:rFonts w:ascii="Times New Roman" w:eastAsia="Times New Roman" w:hAnsi="Times New Roman" w:cs="Times New Roman"/>
          <w:bCs/>
          <w:color w:val="000000" w:themeColor="text1"/>
        </w:rPr>
        <w:t>ри составлении доклада</w:t>
      </w:r>
      <w:r w:rsidR="004E31D4" w:rsidRPr="00F0736F">
        <w:rPr>
          <w:rFonts w:ascii="Times New Roman" w:eastAsia="Times New Roman" w:hAnsi="Times New Roman" w:cs="Times New Roman"/>
          <w:bCs/>
          <w:color w:val="000000" w:themeColor="text1"/>
        </w:rPr>
        <w:t xml:space="preserve"> </w:t>
      </w:r>
      <w:r w:rsidRPr="00F0736F">
        <w:rPr>
          <w:rFonts w:ascii="Times New Roman" w:eastAsia="Times New Roman" w:hAnsi="Times New Roman" w:cs="Times New Roman"/>
          <w:bCs/>
          <w:color w:val="000000" w:themeColor="text1"/>
        </w:rPr>
        <w:t xml:space="preserve">использованы </w:t>
      </w:r>
      <w:r w:rsidRPr="00F0736F">
        <w:rPr>
          <w:rFonts w:ascii="Times New Roman" w:eastAsia="Times New Roman" w:hAnsi="Times New Roman" w:cs="Times New Roman"/>
          <w:color w:val="000000" w:themeColor="text1"/>
          <w:lang w:eastAsia="ru-RU"/>
        </w:rPr>
        <w:t>материалы Министерства энергетики Республики Казахстан, Министерства экологии, геологии и природных ресурсов Республики Казахстан, Министерства здравоохранения Республики Казахстан, Министерства сельского хозяйства</w:t>
      </w:r>
      <w:r w:rsidR="004E31D4" w:rsidRPr="00F0736F">
        <w:rPr>
          <w:rFonts w:ascii="Times New Roman" w:eastAsia="Times New Roman" w:hAnsi="Times New Roman" w:cs="Times New Roman"/>
          <w:color w:val="000000" w:themeColor="text1"/>
          <w:lang w:eastAsia="ru-RU"/>
        </w:rPr>
        <w:t xml:space="preserve"> Республики Казахстан</w:t>
      </w:r>
      <w:r w:rsidRPr="00F0736F">
        <w:rPr>
          <w:rFonts w:ascii="Times New Roman" w:eastAsia="Times New Roman" w:hAnsi="Times New Roman" w:cs="Times New Roman"/>
          <w:color w:val="000000" w:themeColor="text1"/>
          <w:lang w:eastAsia="ru-RU"/>
        </w:rPr>
        <w:t>, Министерства индустрии и инфраструктурного развития Республики Казахстан, Министерства внутренних дел Республики Казахстан, Комитета по статистике Министерства национальной экономики Республики Казахстан, акиматов областей, городов республиканского значения и столицы, международных и общественных организаций, СМИ и иных опубликованных источников информации.</w:t>
      </w:r>
    </w:p>
    <w:p w14:paraId="2A75751F" w14:textId="77777777" w:rsidR="00921F54" w:rsidRPr="00F0736F" w:rsidRDefault="00921F54" w:rsidP="00921F54">
      <w:pPr>
        <w:pStyle w:val="2b"/>
        <w:shd w:val="clear" w:color="auto" w:fill="FFFFFF"/>
        <w:tabs>
          <w:tab w:val="left" w:pos="142"/>
        </w:tabs>
        <w:ind w:firstLine="709"/>
        <w:jc w:val="both"/>
        <w:rPr>
          <w:color w:val="000000" w:themeColor="text1"/>
        </w:rPr>
      </w:pPr>
      <w:r w:rsidRPr="00F0736F">
        <w:rPr>
          <w:rStyle w:val="CharStyle62"/>
          <w:rFonts w:ascii="Times New Roman" w:hAnsi="Times New Roman" w:cs="Times New Roman"/>
          <w:color w:val="000000" w:themeColor="text1"/>
          <w:sz w:val="24"/>
          <w:szCs w:val="24"/>
        </w:rPr>
        <w:t>В настоящем докладе также представлен анализ международного опыта по всем реализуемым направлениям, с учетом его возможного использования в Республике Казахстан.</w:t>
      </w:r>
    </w:p>
    <w:p w14:paraId="771AE918" w14:textId="77777777" w:rsidR="00921F54" w:rsidRPr="00F0736F" w:rsidRDefault="00921F54" w:rsidP="00921F54">
      <w:pPr>
        <w:pStyle w:val="2b"/>
        <w:shd w:val="clear" w:color="auto" w:fill="FFFFFF"/>
        <w:tabs>
          <w:tab w:val="left" w:pos="142"/>
        </w:tabs>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 xml:space="preserve">Приведенные планы на будущее тесно увязаны с действующими стратегическими и программными документами, в том числе принятыми в 2017, 2018 и 2019 годах, а рекомендации в основном вытекают из анализа международного опыта и обзоров по Казахстану, осуществленных международными организациями.  </w:t>
      </w:r>
    </w:p>
    <w:p w14:paraId="5E6D3ED2" w14:textId="77777777" w:rsidR="00921F54" w:rsidRPr="00F0736F" w:rsidRDefault="00921F54" w:rsidP="00921F54">
      <w:pPr>
        <w:pStyle w:val="2b"/>
        <w:shd w:val="clear" w:color="auto" w:fill="FFFFFF"/>
        <w:tabs>
          <w:tab w:val="left" w:pos="142"/>
        </w:tabs>
        <w:ind w:firstLine="709"/>
        <w:jc w:val="both"/>
        <w:rPr>
          <w:color w:val="000000" w:themeColor="text1"/>
        </w:rPr>
      </w:pPr>
      <w:r w:rsidRPr="00F0736F">
        <w:rPr>
          <w:rStyle w:val="CharStyle62"/>
          <w:rFonts w:ascii="Times New Roman" w:hAnsi="Times New Roman" w:cs="Times New Roman"/>
          <w:color w:val="000000" w:themeColor="text1"/>
          <w:sz w:val="24"/>
          <w:szCs w:val="24"/>
        </w:rPr>
        <w:t>Обширные информационно-аналитические материалы национального доклада предназначены для центральных и местных государственных органов, депутатов всех уровней, широких слоев населения, общественных организаций и бизнеса и обеспечивают гласность и открытость деятельности Правительства РК по реализации государственных, отраслевых и региональных программ и достижении целевых показателей Концепции по переходу к «зеленой экономике».</w:t>
      </w:r>
    </w:p>
    <w:p w14:paraId="200FD6EE" w14:textId="77777777" w:rsidR="00921F54" w:rsidRPr="00F0736F" w:rsidRDefault="00921F54" w:rsidP="00921F54">
      <w:pPr>
        <w:tabs>
          <w:tab w:val="left" w:pos="142"/>
        </w:tabs>
        <w:ind w:firstLine="709"/>
        <w:jc w:val="both"/>
        <w:rPr>
          <w:color w:val="000000" w:themeColor="text1"/>
        </w:rPr>
      </w:pPr>
      <w:r w:rsidRPr="00F0736F">
        <w:rPr>
          <w:rFonts w:ascii="Times New Roman" w:hAnsi="Times New Roman" w:cs="Times New Roman"/>
          <w:color w:val="000000" w:themeColor="text1"/>
        </w:rPr>
        <w:t>Для расчетов и анализа использовались данные Комитета по статистике - общие показатели по Казахстану:</w:t>
      </w:r>
    </w:p>
    <w:p w14:paraId="1AB53DBB" w14:textId="19C1DC66" w:rsidR="00921F54" w:rsidRPr="00F0736F" w:rsidRDefault="00F678C2" w:rsidP="00921F54">
      <w:pPr>
        <w:tabs>
          <w:tab w:val="left" w:pos="142"/>
        </w:tabs>
        <w:ind w:firstLine="709"/>
        <w:jc w:val="both"/>
        <w:rPr>
          <w:color w:val="000000" w:themeColor="text1"/>
        </w:rPr>
      </w:pPr>
      <w:r w:rsidRPr="00F0736F">
        <w:rPr>
          <w:rFonts w:ascii="Times New Roman" w:hAnsi="Times New Roman" w:cs="Times New Roman"/>
          <w:color w:val="000000" w:themeColor="text1"/>
        </w:rPr>
        <w:t>ч</w:t>
      </w:r>
      <w:r w:rsidR="00921F54" w:rsidRPr="00F0736F">
        <w:rPr>
          <w:rFonts w:ascii="Times New Roman" w:hAnsi="Times New Roman" w:cs="Times New Roman"/>
          <w:color w:val="000000" w:themeColor="text1"/>
        </w:rPr>
        <w:t xml:space="preserve">исленность населения (на конец года) в 2017 году </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18</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 xml:space="preserve">157,3 тыс. человек, в 2018 году </w:t>
      </w:r>
      <w:r w:rsidR="00A10275" w:rsidRPr="00F0736F">
        <w:rPr>
          <w:rFonts w:ascii="Times New Roman" w:hAnsi="Times New Roman" w:cs="Times New Roman"/>
          <w:color w:val="000000" w:themeColor="text1"/>
        </w:rPr>
        <w:t>-</w:t>
      </w:r>
      <w:r w:rsidR="00921F54" w:rsidRPr="00F0736F">
        <w:rPr>
          <w:rFonts w:ascii="Times New Roman" w:hAnsi="Times New Roman" w:cs="Times New Roman"/>
          <w:color w:val="000000" w:themeColor="text1"/>
        </w:rPr>
        <w:t xml:space="preserve"> 18</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 xml:space="preserve">395,7 тыс. человек, в 2019 году </w:t>
      </w:r>
      <w:r w:rsidR="00A10275" w:rsidRPr="00F0736F">
        <w:rPr>
          <w:rFonts w:ascii="Times New Roman" w:hAnsi="Times New Roman" w:cs="Times New Roman"/>
          <w:color w:val="000000" w:themeColor="text1"/>
        </w:rPr>
        <w:t>-</w:t>
      </w:r>
      <w:r w:rsidR="00921F54" w:rsidRPr="00F0736F">
        <w:rPr>
          <w:rFonts w:ascii="Times New Roman" w:hAnsi="Times New Roman" w:cs="Times New Roman"/>
          <w:color w:val="000000" w:themeColor="text1"/>
        </w:rPr>
        <w:t xml:space="preserve"> 18</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632,2 тыс. человек;</w:t>
      </w:r>
    </w:p>
    <w:p w14:paraId="360DFD89" w14:textId="18DAAC41" w:rsidR="00921F54" w:rsidRPr="00F0736F" w:rsidRDefault="00F678C2" w:rsidP="00921F54">
      <w:pPr>
        <w:tabs>
          <w:tab w:val="left" w:pos="142"/>
        </w:tabs>
        <w:ind w:firstLine="709"/>
        <w:jc w:val="both"/>
        <w:rPr>
          <w:color w:val="000000" w:themeColor="text1"/>
        </w:rPr>
      </w:pPr>
      <w:r w:rsidRPr="00F0736F">
        <w:rPr>
          <w:rFonts w:ascii="Times New Roman" w:hAnsi="Times New Roman" w:cs="Times New Roman"/>
          <w:color w:val="000000" w:themeColor="text1"/>
        </w:rPr>
        <w:t>в</w:t>
      </w:r>
      <w:r w:rsidR="00921F54" w:rsidRPr="00F0736F">
        <w:rPr>
          <w:rFonts w:ascii="Times New Roman" w:hAnsi="Times New Roman" w:cs="Times New Roman"/>
          <w:color w:val="000000" w:themeColor="text1"/>
        </w:rPr>
        <w:t>аловой внутренний продукт</w:t>
      </w:r>
      <w:r w:rsidR="00921F54" w:rsidRPr="00F0736F">
        <w:rPr>
          <w:rFonts w:ascii="Times New Roman" w:hAnsi="Times New Roman" w:cs="Times New Roman"/>
          <w:color w:val="000000" w:themeColor="text1"/>
          <w:lang w:val="kk-KZ"/>
        </w:rPr>
        <w:t xml:space="preserve"> (ВВП)</w:t>
      </w:r>
      <w:r w:rsidR="00921F54" w:rsidRPr="00F0736F">
        <w:rPr>
          <w:rFonts w:ascii="Times New Roman" w:hAnsi="Times New Roman" w:cs="Times New Roman"/>
          <w:color w:val="000000" w:themeColor="text1"/>
        </w:rPr>
        <w:t xml:space="preserve"> методом производства </w:t>
      </w:r>
      <w:r w:rsidR="00921F54" w:rsidRPr="00F0736F">
        <w:rPr>
          <w:rFonts w:ascii="Times New Roman" w:hAnsi="Times New Roman" w:cs="Times New Roman"/>
          <w:color w:val="000000" w:themeColor="text1"/>
          <w:lang w:val="kk-KZ"/>
        </w:rPr>
        <w:t xml:space="preserve">в 2017 году </w:t>
      </w:r>
      <w:r w:rsidR="00A10275" w:rsidRPr="00F0736F">
        <w:rPr>
          <w:rFonts w:ascii="Times New Roman" w:hAnsi="Times New Roman" w:cs="Times New Roman"/>
          <w:color w:val="000000" w:themeColor="text1"/>
          <w:lang w:val="kk-KZ"/>
        </w:rPr>
        <w:t>-</w:t>
      </w:r>
      <w:r w:rsidR="00921F54"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rPr>
        <w:t>54</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378,9 млрд</w:t>
      </w:r>
      <w:r w:rsidR="00921F54" w:rsidRPr="00F0736F">
        <w:rPr>
          <w:rFonts w:ascii="Times New Roman" w:hAnsi="Times New Roman" w:cs="Times New Roman"/>
          <w:color w:val="000000" w:themeColor="text1"/>
          <w:lang w:val="kk-KZ"/>
        </w:rPr>
        <w:t xml:space="preserve">. тенге, в 2018 году </w:t>
      </w:r>
      <w:r w:rsidR="00A10275" w:rsidRPr="00F0736F">
        <w:rPr>
          <w:rFonts w:ascii="Times New Roman" w:hAnsi="Times New Roman" w:cs="Times New Roman"/>
          <w:color w:val="000000" w:themeColor="text1"/>
          <w:lang w:val="kk-KZ"/>
        </w:rPr>
        <w:t>-</w:t>
      </w:r>
      <w:r w:rsidR="00921F54"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rPr>
        <w:t>61</w:t>
      </w:r>
      <w:r w:rsidR="00A10275"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 xml:space="preserve">819,5 млрд. </w:t>
      </w:r>
      <w:r w:rsidR="00921F54" w:rsidRPr="00F0736F">
        <w:rPr>
          <w:rFonts w:ascii="Times New Roman" w:hAnsi="Times New Roman" w:cs="Times New Roman"/>
          <w:color w:val="000000" w:themeColor="text1"/>
          <w:lang w:val="kk-KZ"/>
        </w:rPr>
        <w:t xml:space="preserve">тенге, в 2019 году </w:t>
      </w:r>
      <w:r w:rsidR="00A10275" w:rsidRPr="00F0736F">
        <w:rPr>
          <w:rFonts w:ascii="Times New Roman" w:hAnsi="Times New Roman" w:cs="Times New Roman"/>
          <w:color w:val="000000" w:themeColor="text1"/>
          <w:lang w:val="kk-KZ"/>
        </w:rPr>
        <w:t>-</w:t>
      </w:r>
      <w:r w:rsidR="004E31D4"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lang w:val="kk-KZ"/>
        </w:rPr>
        <w:t>69</w:t>
      </w:r>
      <w:r w:rsidR="00A10275"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lang w:val="kk-KZ"/>
        </w:rPr>
        <w:t>532,6 млрд. тенге;</w:t>
      </w:r>
    </w:p>
    <w:p w14:paraId="51C43900" w14:textId="4391DD58" w:rsidR="00921F54" w:rsidRPr="00F0736F" w:rsidRDefault="00F678C2" w:rsidP="00921F54">
      <w:pPr>
        <w:tabs>
          <w:tab w:val="left" w:pos="142"/>
        </w:tabs>
        <w:ind w:firstLine="709"/>
        <w:jc w:val="both"/>
        <w:rPr>
          <w:color w:val="000000" w:themeColor="text1"/>
        </w:rPr>
      </w:pPr>
      <w:r w:rsidRPr="00F0736F">
        <w:rPr>
          <w:rFonts w:ascii="Times New Roman" w:hAnsi="Times New Roman" w:cs="Times New Roman"/>
          <w:color w:val="000000" w:themeColor="text1"/>
        </w:rPr>
        <w:t>в</w:t>
      </w:r>
      <w:r w:rsidR="00921F54" w:rsidRPr="00F0736F">
        <w:rPr>
          <w:rFonts w:ascii="Times New Roman" w:hAnsi="Times New Roman" w:cs="Times New Roman"/>
          <w:color w:val="000000" w:themeColor="text1"/>
        </w:rPr>
        <w:t>аловой выпуск продукции (услуг) с</w:t>
      </w:r>
      <w:r w:rsidR="004E31D4" w:rsidRPr="00F0736F">
        <w:rPr>
          <w:rFonts w:ascii="Times New Roman" w:hAnsi="Times New Roman" w:cs="Times New Roman"/>
          <w:color w:val="000000" w:themeColor="text1"/>
        </w:rPr>
        <w:t xml:space="preserve">ельского хозяйства в 2017 году </w:t>
      </w:r>
      <w:r w:rsidR="00A10275" w:rsidRPr="00F0736F">
        <w:rPr>
          <w:rFonts w:ascii="Times New Roman" w:hAnsi="Times New Roman" w:cs="Times New Roman"/>
          <w:color w:val="000000" w:themeColor="text1"/>
        </w:rPr>
        <w:t>-</w:t>
      </w:r>
      <w:r w:rsidR="004E31D4"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lang w:val="kk-KZ"/>
        </w:rPr>
        <w:t>4</w:t>
      </w:r>
      <w:r w:rsidR="00A10275" w:rsidRPr="00F0736F">
        <w:rPr>
          <w:rFonts w:ascii="Times New Roman" w:hAnsi="Times New Roman" w:cs="Times New Roman"/>
          <w:color w:val="000000" w:themeColor="text1"/>
          <w:lang w:val="kk-KZ"/>
        </w:rPr>
        <w:t xml:space="preserve"> </w:t>
      </w:r>
      <w:r w:rsidR="004E31D4" w:rsidRPr="00F0736F">
        <w:rPr>
          <w:rFonts w:ascii="Times New Roman" w:hAnsi="Times New Roman" w:cs="Times New Roman"/>
          <w:color w:val="000000" w:themeColor="text1"/>
          <w:lang w:val="kk-KZ"/>
        </w:rPr>
        <w:t xml:space="preserve">070,9 млрд. тенге, в 2018 году </w:t>
      </w:r>
      <w:r w:rsidR="00A10275" w:rsidRPr="00F0736F">
        <w:rPr>
          <w:rFonts w:ascii="Times New Roman" w:hAnsi="Times New Roman" w:cs="Times New Roman"/>
          <w:color w:val="000000" w:themeColor="text1"/>
          <w:lang w:val="kk-KZ"/>
        </w:rPr>
        <w:t>-</w:t>
      </w:r>
      <w:r w:rsidR="004E31D4"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lang w:val="kk-KZ"/>
        </w:rPr>
        <w:t>4</w:t>
      </w:r>
      <w:r w:rsidR="00A10275"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lang w:val="kk-KZ"/>
        </w:rPr>
        <w:t>474,1 млрд. тенге, в 2019 году</w:t>
      </w:r>
      <w:r w:rsidR="004E31D4" w:rsidRPr="00F0736F">
        <w:rPr>
          <w:rFonts w:ascii="Times New Roman" w:hAnsi="Times New Roman" w:cs="Times New Roman"/>
          <w:color w:val="000000" w:themeColor="text1"/>
          <w:lang w:val="kk-KZ"/>
        </w:rPr>
        <w:t xml:space="preserve"> </w:t>
      </w:r>
      <w:r w:rsidR="00A10275" w:rsidRPr="00F0736F">
        <w:rPr>
          <w:rFonts w:ascii="Times New Roman" w:hAnsi="Times New Roman" w:cs="Times New Roman"/>
          <w:color w:val="000000" w:themeColor="text1"/>
          <w:lang w:val="kk-KZ"/>
        </w:rPr>
        <w:t>-</w:t>
      </w:r>
      <w:r w:rsidR="00921F54" w:rsidRPr="00F0736F">
        <w:rPr>
          <w:rFonts w:ascii="Times New Roman" w:hAnsi="Times New Roman" w:cs="Times New Roman"/>
          <w:color w:val="000000" w:themeColor="text1"/>
          <w:lang w:val="kk-KZ"/>
        </w:rPr>
        <w:t xml:space="preserve"> 5</w:t>
      </w:r>
      <w:r w:rsidR="00A10275"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lang w:val="kk-KZ"/>
        </w:rPr>
        <w:t>151,2 млрд. тенге;</w:t>
      </w:r>
    </w:p>
    <w:p w14:paraId="6FCB92BC" w14:textId="10A0D6E5" w:rsidR="00921F54" w:rsidRPr="00F0736F" w:rsidRDefault="00F678C2" w:rsidP="00921F54">
      <w:pPr>
        <w:tabs>
          <w:tab w:val="left" w:pos="142"/>
        </w:tabs>
        <w:ind w:firstLine="709"/>
        <w:jc w:val="both"/>
        <w:rPr>
          <w:color w:val="000000" w:themeColor="text1"/>
        </w:rPr>
      </w:pPr>
      <w:r w:rsidRPr="00F0736F">
        <w:rPr>
          <w:rFonts w:ascii="Times New Roman" w:hAnsi="Times New Roman" w:cs="Times New Roman"/>
          <w:color w:val="000000" w:themeColor="text1"/>
        </w:rPr>
        <w:t>о</w:t>
      </w:r>
      <w:r w:rsidR="00921F54" w:rsidRPr="00F0736F">
        <w:rPr>
          <w:rFonts w:ascii="Times New Roman" w:hAnsi="Times New Roman" w:cs="Times New Roman"/>
          <w:color w:val="000000" w:themeColor="text1"/>
        </w:rPr>
        <w:t>бъем производства промышленной продукции</w:t>
      </w:r>
      <w:r w:rsidR="00921F54" w:rsidRPr="00F0736F">
        <w:rPr>
          <w:rFonts w:ascii="Times New Roman" w:hAnsi="Times New Roman" w:cs="Times New Roman"/>
          <w:color w:val="000000" w:themeColor="text1"/>
          <w:lang w:val="kk-KZ"/>
        </w:rPr>
        <w:t xml:space="preserve"> </w:t>
      </w:r>
      <w:r w:rsidR="00921F54" w:rsidRPr="00F0736F">
        <w:rPr>
          <w:rFonts w:ascii="Times New Roman" w:hAnsi="Times New Roman" w:cs="Times New Roman"/>
          <w:color w:val="000000" w:themeColor="text1"/>
        </w:rPr>
        <w:t xml:space="preserve">(товаров, услуг)  в 2017 году </w:t>
      </w:r>
      <w:r w:rsidR="00570E76" w:rsidRPr="00F0736F">
        <w:rPr>
          <w:rFonts w:ascii="Times New Roman" w:hAnsi="Times New Roman" w:cs="Times New Roman"/>
          <w:color w:val="000000" w:themeColor="text1"/>
        </w:rPr>
        <w:t>-</w:t>
      </w:r>
      <w:r w:rsidR="00921F54" w:rsidRPr="00F0736F">
        <w:rPr>
          <w:rFonts w:ascii="Times New Roman" w:hAnsi="Times New Roman" w:cs="Times New Roman"/>
          <w:color w:val="000000" w:themeColor="text1"/>
        </w:rPr>
        <w:t xml:space="preserve"> 22</w:t>
      </w:r>
      <w:r w:rsidR="00570E76"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 xml:space="preserve">790,2 млрд. тенге, в 2018 году </w:t>
      </w:r>
      <w:r w:rsidR="00570E76" w:rsidRPr="00F0736F">
        <w:rPr>
          <w:rFonts w:ascii="Times New Roman" w:hAnsi="Times New Roman" w:cs="Times New Roman"/>
          <w:color w:val="000000" w:themeColor="text1"/>
        </w:rPr>
        <w:t>-</w:t>
      </w:r>
      <w:r w:rsidR="00921F54" w:rsidRPr="00F0736F">
        <w:rPr>
          <w:rFonts w:ascii="Times New Roman" w:hAnsi="Times New Roman" w:cs="Times New Roman"/>
          <w:color w:val="000000" w:themeColor="text1"/>
        </w:rPr>
        <w:t xml:space="preserve"> 27</w:t>
      </w:r>
      <w:r w:rsidR="00570E76"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 xml:space="preserve">218,1 млрд. тенге, в 2019 году </w:t>
      </w:r>
      <w:r w:rsidR="00570E76" w:rsidRPr="00F0736F">
        <w:rPr>
          <w:rFonts w:ascii="Times New Roman" w:hAnsi="Times New Roman" w:cs="Times New Roman"/>
          <w:color w:val="000000" w:themeColor="text1"/>
        </w:rPr>
        <w:t>-</w:t>
      </w:r>
      <w:r w:rsidR="004E31D4" w:rsidRPr="00F0736F">
        <w:rPr>
          <w:rFonts w:ascii="Times New Roman" w:hAnsi="Times New Roman" w:cs="Times New Roman"/>
          <w:color w:val="000000" w:themeColor="text1"/>
        </w:rPr>
        <w:t xml:space="preserve"> </w:t>
      </w:r>
      <w:r w:rsidR="00921F54" w:rsidRPr="00F0736F">
        <w:rPr>
          <w:rFonts w:ascii="Times New Roman" w:hAnsi="Times New Roman" w:cs="Times New Roman"/>
          <w:color w:val="000000" w:themeColor="text1"/>
        </w:rPr>
        <w:t>29 380,3 млрд. тенге.</w:t>
      </w:r>
    </w:p>
    <w:p w14:paraId="6FC9190D" w14:textId="77777777" w:rsidR="00F674A4" w:rsidRPr="00F0736F" w:rsidRDefault="00F674A4" w:rsidP="008727D9">
      <w:pPr>
        <w:tabs>
          <w:tab w:val="left" w:pos="142"/>
        </w:tabs>
        <w:ind w:firstLine="709"/>
        <w:jc w:val="both"/>
        <w:rPr>
          <w:rFonts w:ascii="Times New Roman" w:hAnsi="Times New Roman" w:cs="Times New Roman"/>
          <w:b/>
          <w:bCs/>
          <w:color w:val="000000" w:themeColor="text1"/>
        </w:rPr>
      </w:pPr>
    </w:p>
    <w:p w14:paraId="10D2F126" w14:textId="77777777" w:rsidR="000B0D4E" w:rsidRPr="00F0736F" w:rsidRDefault="000B0D4E" w:rsidP="008727D9">
      <w:pPr>
        <w:tabs>
          <w:tab w:val="left" w:pos="142"/>
        </w:tabs>
        <w:ind w:firstLine="709"/>
        <w:jc w:val="both"/>
        <w:rPr>
          <w:rFonts w:ascii="Times New Roman" w:hAnsi="Times New Roman" w:cs="Times New Roman"/>
          <w:b/>
          <w:bCs/>
          <w:color w:val="000000" w:themeColor="text1"/>
          <w:lang w:val="kk-KZ"/>
        </w:rPr>
      </w:pPr>
    </w:p>
    <w:p w14:paraId="077A082A" w14:textId="77777777" w:rsidR="00F674A4" w:rsidRPr="007272FB" w:rsidRDefault="00F674A4" w:rsidP="007272FB">
      <w:pPr>
        <w:pStyle w:val="1"/>
        <w:ind w:firstLine="709"/>
        <w:rPr>
          <w:rFonts w:ascii="Times New Roman" w:hAnsi="Times New Roman" w:cs="Times New Roman"/>
          <w:color w:val="000000" w:themeColor="text1"/>
          <w:sz w:val="24"/>
          <w:szCs w:val="24"/>
        </w:rPr>
      </w:pPr>
      <w:bookmarkStart w:id="2" w:name="_Toc57818721"/>
      <w:r w:rsidRPr="007272FB">
        <w:rPr>
          <w:rFonts w:ascii="Times New Roman" w:hAnsi="Times New Roman" w:cs="Times New Roman"/>
          <w:color w:val="000000" w:themeColor="text1"/>
          <w:sz w:val="24"/>
          <w:szCs w:val="24"/>
        </w:rPr>
        <w:t>1. Реализация мероприятий и достижение показателей перехода Республики Казахстан к «зеленой экономике»</w:t>
      </w:r>
      <w:bookmarkEnd w:id="2"/>
    </w:p>
    <w:p w14:paraId="6F97E010" w14:textId="77777777" w:rsidR="00F674A4" w:rsidRPr="00F0736F" w:rsidRDefault="00F674A4" w:rsidP="008727D9">
      <w:pPr>
        <w:ind w:firstLine="709"/>
        <w:jc w:val="both"/>
        <w:rPr>
          <w:rFonts w:ascii="Times New Roman" w:hAnsi="Times New Roman" w:cs="Times New Roman"/>
          <w:b/>
          <w:bCs/>
          <w:color w:val="000000" w:themeColor="text1"/>
        </w:rPr>
      </w:pPr>
    </w:p>
    <w:p w14:paraId="307BB77B" w14:textId="40043637" w:rsidR="00F674A4" w:rsidRPr="007272FB" w:rsidRDefault="007272FB" w:rsidP="007272FB">
      <w:pPr>
        <w:pStyle w:val="2"/>
        <w:ind w:firstLine="709"/>
        <w:rPr>
          <w:color w:val="000000" w:themeColor="text1"/>
          <w:sz w:val="24"/>
          <w:szCs w:val="24"/>
        </w:rPr>
      </w:pPr>
      <w:bookmarkStart w:id="3" w:name="_Toc57818722"/>
      <w:r w:rsidRPr="007272FB">
        <w:rPr>
          <w:rFonts w:ascii="Times New Roman" w:eastAsia="Times New Roman" w:hAnsi="Times New Roman" w:cs="Times New Roman"/>
          <w:color w:val="000000" w:themeColor="text1"/>
          <w:sz w:val="24"/>
          <w:szCs w:val="24"/>
        </w:rPr>
        <w:t>1.1.</w:t>
      </w:r>
      <w:r w:rsidR="00F674A4" w:rsidRPr="007272FB">
        <w:rPr>
          <w:rFonts w:ascii="Times New Roman" w:eastAsia="Times New Roman" w:hAnsi="Times New Roman" w:cs="Times New Roman"/>
          <w:color w:val="000000" w:themeColor="text1"/>
          <w:sz w:val="24"/>
          <w:szCs w:val="24"/>
        </w:rPr>
        <w:t xml:space="preserve"> </w:t>
      </w:r>
      <w:r w:rsidR="00F674A4" w:rsidRPr="007272FB">
        <w:rPr>
          <w:rFonts w:ascii="Times New Roman" w:hAnsi="Times New Roman" w:cs="Times New Roman"/>
          <w:color w:val="000000" w:themeColor="text1"/>
          <w:sz w:val="24"/>
          <w:szCs w:val="24"/>
        </w:rPr>
        <w:t>Устойчивое использование водных ресурсов</w:t>
      </w:r>
      <w:bookmarkEnd w:id="3"/>
    </w:p>
    <w:p w14:paraId="153AB24B" w14:textId="77777777" w:rsidR="00F674A4" w:rsidRPr="00F0736F" w:rsidRDefault="00F674A4" w:rsidP="008727D9">
      <w:pPr>
        <w:ind w:firstLine="709"/>
        <w:jc w:val="both"/>
        <w:rPr>
          <w:rFonts w:ascii="Times New Roman" w:hAnsi="Times New Roman" w:cs="Times New Roman"/>
          <w:color w:val="000000" w:themeColor="text1"/>
        </w:rPr>
      </w:pPr>
    </w:p>
    <w:p w14:paraId="07D69B1A"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4F08DC3B"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 xml:space="preserve">В </w:t>
      </w:r>
      <w:r w:rsidRPr="00F0736F">
        <w:rPr>
          <w:rFonts w:ascii="Times New Roman" w:hAnsi="Times New Roman" w:cs="Times New Roman"/>
          <w:color w:val="000000" w:themeColor="text1"/>
        </w:rPr>
        <w:t>Концепции по переходу к «зеленой экономике»</w:t>
      </w:r>
      <w:r w:rsidRPr="00F0736F">
        <w:rPr>
          <w:rFonts w:ascii="Times New Roman" w:eastAsia="Calibri" w:hAnsi="Times New Roman" w:cs="Times New Roman"/>
          <w:color w:val="000000" w:themeColor="text1"/>
        </w:rPr>
        <w:t xml:space="preserve"> отмечается, что угроза дефицита воды и неэффективное управление водными ресурсами могут стать основным препятствием для устойчивого экономического роста и социального развития Казахстана. Проблемы нарастающего дефицита водных ресурсов предполагается решить путем повышения эффективности использования воды в сельском хозяйстве, промышленности и жилищно-коммунальном хозяйстве, а также за счет международных мероприятий по повышению надежности стока трансграничных рек.</w:t>
      </w:r>
    </w:p>
    <w:p w14:paraId="21F5AE95" w14:textId="77777777" w:rsidR="00F674A4" w:rsidRPr="00F0736F" w:rsidRDefault="00F674A4" w:rsidP="008727D9">
      <w:pPr>
        <w:ind w:firstLine="709"/>
        <w:jc w:val="both"/>
        <w:rPr>
          <w:color w:val="000000" w:themeColor="text1"/>
        </w:rPr>
      </w:pPr>
      <w:r w:rsidRPr="00F0736F">
        <w:rPr>
          <w:rFonts w:ascii="Times New Roman" w:hAnsi="Times New Roman" w:cs="Times New Roman"/>
          <w:bCs/>
          <w:color w:val="000000" w:themeColor="text1"/>
        </w:rPr>
        <w:t>Общие запасы пресной воды Казахстана</w:t>
      </w:r>
      <w:r w:rsidRPr="00F0736F">
        <w:rPr>
          <w:rFonts w:ascii="Times New Roman" w:hAnsi="Times New Roman" w:cs="Times New Roman"/>
          <w:color w:val="000000" w:themeColor="text1"/>
        </w:rPr>
        <w:t xml:space="preserve"> оцениваются в 429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в том числе:</w:t>
      </w:r>
    </w:p>
    <w:p w14:paraId="69375A3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- 80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 приходится на ледники;</w:t>
      </w:r>
    </w:p>
    <w:p w14:paraId="0B8D439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- 190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 сосредоточено в озерах;</w:t>
      </w:r>
    </w:p>
    <w:p w14:paraId="45665CC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- 101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 ресурсы рек;</w:t>
      </w:r>
    </w:p>
    <w:p w14:paraId="0303351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- 58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 прогнозные запасы подземных вод.</w:t>
      </w:r>
    </w:p>
    <w:p w14:paraId="2D185633" w14:textId="77777777" w:rsidR="00F674A4" w:rsidRPr="00F0736F" w:rsidRDefault="00F674A4" w:rsidP="008727D9">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 xml:space="preserve">Комитетом по водным ресурсам МЭГПР РК </w:t>
      </w:r>
      <w:r w:rsidRPr="00F0736F">
        <w:rPr>
          <w:rFonts w:ascii="Times New Roman" w:eastAsia="Calibri" w:hAnsi="Times New Roman" w:cs="Times New Roman"/>
          <w:bCs/>
          <w:color w:val="000000" w:themeColor="text1"/>
        </w:rPr>
        <w:t>среднемноголетний сток рек</w:t>
      </w:r>
      <w:r w:rsidRPr="00F0736F">
        <w:rPr>
          <w:rFonts w:ascii="Times New Roman" w:eastAsia="Calibri" w:hAnsi="Times New Roman" w:cs="Times New Roman"/>
          <w:color w:val="000000" w:themeColor="text1"/>
        </w:rPr>
        <w:t xml:space="preserve"> Республики Казахстан определяется в размере </w:t>
      </w:r>
      <w:r w:rsidR="00B14B73" w:rsidRPr="00F0736F">
        <w:rPr>
          <w:rFonts w:ascii="Times New Roman" w:eastAsia="Calibri" w:hAnsi="Times New Roman" w:cs="Times New Roman"/>
          <w:color w:val="000000" w:themeColor="text1"/>
        </w:rPr>
        <w:t xml:space="preserve">90,0 </w:t>
      </w:r>
      <w:r w:rsidRPr="00F0736F">
        <w:rPr>
          <w:rFonts w:ascii="Times New Roman" w:eastAsia="Calibri" w:hAnsi="Times New Roman" w:cs="Times New Roman"/>
          <w:color w:val="000000" w:themeColor="text1"/>
        </w:rPr>
        <w:t>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Из них поступает с сопредельных государств </w:t>
      </w:r>
      <w:r w:rsidRPr="00F0736F">
        <w:rPr>
          <w:rFonts w:ascii="Times New Roman" w:eastAsia="Calibri" w:hAnsi="Times New Roman" w:cs="Times New Roman"/>
          <w:strike/>
          <w:color w:val="000000" w:themeColor="text1"/>
        </w:rPr>
        <w:t>44</w:t>
      </w:r>
      <w:r w:rsidRPr="00F0736F">
        <w:rPr>
          <w:rFonts w:ascii="Times New Roman" w:eastAsia="Calibri" w:hAnsi="Times New Roman" w:cs="Times New Roman"/>
          <w:color w:val="000000" w:themeColor="text1"/>
        </w:rPr>
        <w:t xml:space="preserve"> </w:t>
      </w:r>
      <w:r w:rsidR="009D332B" w:rsidRPr="00F0736F">
        <w:rPr>
          <w:rFonts w:ascii="Times New Roman" w:eastAsia="Calibri" w:hAnsi="Times New Roman" w:cs="Times New Roman"/>
          <w:color w:val="000000" w:themeColor="text1"/>
        </w:rPr>
        <w:t xml:space="preserve">50,8  </w:t>
      </w:r>
      <w:r w:rsidRPr="00F0736F">
        <w:rPr>
          <w:rFonts w:ascii="Times New Roman" w:eastAsia="Calibri" w:hAnsi="Times New Roman" w:cs="Times New Roman"/>
          <w:color w:val="000000" w:themeColor="text1"/>
        </w:rPr>
        <w:t>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формируется на территории Казахстана </w:t>
      </w:r>
      <w:r w:rsidR="009D332B" w:rsidRPr="00F0736F">
        <w:rPr>
          <w:rFonts w:ascii="Times New Roman" w:eastAsia="Calibri" w:hAnsi="Times New Roman" w:cs="Times New Roman"/>
          <w:color w:val="000000" w:themeColor="text1"/>
        </w:rPr>
        <w:t xml:space="preserve">54,5 </w:t>
      </w:r>
      <w:r w:rsidRPr="00F0736F">
        <w:rPr>
          <w:rFonts w:ascii="Times New Roman" w:eastAsia="Calibri" w:hAnsi="Times New Roman" w:cs="Times New Roman"/>
          <w:color w:val="000000" w:themeColor="text1"/>
        </w:rPr>
        <w:t>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перетекает в сопредельные государства </w:t>
      </w:r>
      <w:r w:rsidR="009D332B" w:rsidRPr="00F0736F">
        <w:rPr>
          <w:rFonts w:ascii="Times New Roman" w:eastAsia="Calibri" w:hAnsi="Times New Roman" w:cs="Times New Roman"/>
          <w:color w:val="000000" w:themeColor="text1"/>
        </w:rPr>
        <w:t xml:space="preserve">47,1 </w:t>
      </w:r>
      <w:r w:rsidRPr="00F0736F">
        <w:rPr>
          <w:rFonts w:ascii="Times New Roman" w:eastAsia="Calibri" w:hAnsi="Times New Roman" w:cs="Times New Roman"/>
          <w:color w:val="000000" w:themeColor="text1"/>
        </w:rPr>
        <w:t>км</w:t>
      </w:r>
      <w:r w:rsidRPr="00F0736F">
        <w:rPr>
          <w:rFonts w:ascii="Times New Roman" w:eastAsia="Calibri" w:hAnsi="Times New Roman" w:cs="Times New Roman"/>
          <w:color w:val="000000" w:themeColor="text1"/>
          <w:vertAlign w:val="superscript"/>
        </w:rPr>
        <w:t>3</w:t>
      </w:r>
      <w:r w:rsidR="009D332B" w:rsidRPr="00F0736F">
        <w:rPr>
          <w:rFonts w:ascii="Times New Roman" w:eastAsia="Calibri" w:hAnsi="Times New Roman" w:cs="Times New Roman"/>
          <w:color w:val="000000" w:themeColor="text1"/>
        </w:rPr>
        <w:t xml:space="preserve"> (из них 3,70 возвратные ресурсы)</w:t>
      </w:r>
      <w:r w:rsidRPr="00F0736F">
        <w:rPr>
          <w:rFonts w:ascii="Times New Roman" w:eastAsia="Calibri" w:hAnsi="Times New Roman" w:cs="Times New Roman"/>
          <w:color w:val="000000" w:themeColor="text1"/>
        </w:rPr>
        <w:t>, теряется на фильтрацию и испарение 15,5 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Однако данные цифры не являются постоянными и ежегодно меняются в зависимости от водности года и климатических изменений</w:t>
      </w:r>
      <w:r w:rsidR="00274143"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Так</w:t>
      </w:r>
      <w:r w:rsidR="00C86DCB"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в последние годы отмечается некоторое увеличение водности (по сравнению со среднемноголетними значениями), что совпадает с климатическим прогнозом о возможности кратковременного увеличения водности в связи с потеплением климата и ускорением таяния горных ледников.</w:t>
      </w:r>
    </w:p>
    <w:p w14:paraId="19AFA7C4"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В частности, по данным Государственного водного кадастра</w:t>
      </w:r>
      <w:r w:rsidRPr="00F0736F">
        <w:rPr>
          <w:rStyle w:val="a4"/>
          <w:rFonts w:ascii="Times New Roman" w:eastAsia="Calibri" w:hAnsi="Times New Roman" w:cs="Times New Roman"/>
          <w:color w:val="000000" w:themeColor="text1"/>
        </w:rPr>
        <w:footnoteReference w:id="5"/>
      </w:r>
      <w:r w:rsidRPr="00F0736F">
        <w:rPr>
          <w:rFonts w:ascii="Times New Roman" w:eastAsia="Calibri" w:hAnsi="Times New Roman" w:cs="Times New Roman"/>
          <w:color w:val="000000" w:themeColor="text1"/>
        </w:rPr>
        <w:t>, с</w:t>
      </w:r>
      <w:r w:rsidRPr="00F0736F">
        <w:rPr>
          <w:rStyle w:val="a6"/>
          <w:rFonts w:ascii="Times New Roman" w:eastAsia="Calibri" w:hAnsi="Times New Roman" w:cs="Times New Roman"/>
          <w:color w:val="000000" w:themeColor="text1"/>
          <w:u w:val="none"/>
        </w:rPr>
        <w:t>умма поверхностных водных ресурсов по Республике Казахстан за 2018 г составила 110,7 км</w:t>
      </w:r>
      <w:r w:rsidRPr="00F0736F">
        <w:rPr>
          <w:rStyle w:val="a6"/>
          <w:rFonts w:ascii="Times New Roman" w:eastAsia="Calibri" w:hAnsi="Times New Roman" w:cs="Times New Roman"/>
          <w:color w:val="000000" w:themeColor="text1"/>
          <w:u w:val="none"/>
          <w:vertAlign w:val="superscript"/>
        </w:rPr>
        <w:t>3</w:t>
      </w:r>
      <w:r w:rsidR="003C5F68" w:rsidRPr="00F0736F">
        <w:rPr>
          <w:rStyle w:val="a6"/>
          <w:rFonts w:ascii="Times New Roman" w:eastAsia="Calibri" w:hAnsi="Times New Roman" w:cs="Times New Roman"/>
          <w:color w:val="000000" w:themeColor="text1"/>
          <w:u w:val="none"/>
        </w:rPr>
        <w:t xml:space="preserve">, </w:t>
      </w:r>
      <w:r w:rsidRPr="00F0736F">
        <w:rPr>
          <w:rStyle w:val="a6"/>
          <w:rFonts w:ascii="Times New Roman" w:eastAsia="Calibri" w:hAnsi="Times New Roman" w:cs="Times New Roman"/>
          <w:color w:val="000000" w:themeColor="text1"/>
          <w:u w:val="none"/>
        </w:rPr>
        <w:t>что характеризуется как средняя водность, по сравнению с нормой, равной 108,5 км</w:t>
      </w:r>
      <w:r w:rsidRPr="00F0736F">
        <w:rPr>
          <w:rStyle w:val="a6"/>
          <w:rFonts w:ascii="Times New Roman" w:eastAsia="Calibri" w:hAnsi="Times New Roman" w:cs="Times New Roman"/>
          <w:color w:val="000000" w:themeColor="text1"/>
          <w:u w:val="none"/>
          <w:vertAlign w:val="superscript"/>
        </w:rPr>
        <w:t>3</w:t>
      </w:r>
      <w:r w:rsidRPr="00F0736F">
        <w:rPr>
          <w:rStyle w:val="a6"/>
          <w:rFonts w:ascii="Times New Roman" w:eastAsia="Calibri" w:hAnsi="Times New Roman" w:cs="Times New Roman"/>
          <w:color w:val="000000" w:themeColor="text1"/>
          <w:u w:val="none"/>
        </w:rPr>
        <w:t xml:space="preserve">. </w:t>
      </w:r>
    </w:p>
    <w:p w14:paraId="02C3CE64"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Дополнительными источниками пресной воды являются </w:t>
      </w:r>
      <w:r w:rsidRPr="00F0736F">
        <w:rPr>
          <w:rFonts w:ascii="Times New Roman" w:eastAsia="Times New Roman" w:hAnsi="Times New Roman" w:cs="Times New Roman"/>
          <w:bCs/>
          <w:color w:val="000000" w:themeColor="text1"/>
          <w:lang w:eastAsia="ru-RU"/>
        </w:rPr>
        <w:t>подземные воды,</w:t>
      </w:r>
      <w:r w:rsidRPr="00F0736F">
        <w:rPr>
          <w:rFonts w:ascii="Times New Roman" w:eastAsia="Times New Roman" w:hAnsi="Times New Roman" w:cs="Times New Roman"/>
          <w:color w:val="000000" w:themeColor="text1"/>
          <w:lang w:eastAsia="ru-RU"/>
        </w:rPr>
        <w:t xml:space="preserve"> запасы которых, утвержденные к эксплуатации, составляют 15,4 км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w:t>
      </w:r>
      <w:r w:rsidRPr="00F0736F">
        <w:rPr>
          <w:rFonts w:ascii="Times New Roman" w:hAnsi="Times New Roman" w:cs="Times New Roman"/>
          <w:color w:val="000000" w:themeColor="text1"/>
        </w:rPr>
        <w:t>а прогнозные ресурсы пресных подземных вод достигают 40,4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/год</w:t>
      </w:r>
      <w:r w:rsidRPr="00F0736F">
        <w:rPr>
          <w:rFonts w:ascii="Times New Roman" w:eastAsia="Times New Roman" w:hAnsi="Times New Roman" w:cs="Times New Roman"/>
          <w:color w:val="000000" w:themeColor="text1"/>
          <w:lang w:eastAsia="ru-RU"/>
        </w:rPr>
        <w:t xml:space="preserve"> (из них в настоящее время добывается 1,2 км</w:t>
      </w:r>
      <w:r w:rsidRPr="00F0736F">
        <w:rPr>
          <w:rFonts w:ascii="Times New Roman" w:eastAsia="Times New Roman" w:hAnsi="Times New Roman" w:cs="Times New Roman"/>
          <w:color w:val="000000" w:themeColor="text1"/>
          <w:vertAlign w:val="superscript"/>
          <w:lang w:eastAsia="ru-RU"/>
        </w:rPr>
        <w:t>3</w:t>
      </w:r>
      <w:bookmarkStart w:id="4" w:name="z287"/>
      <w:bookmarkEnd w:id="4"/>
      <w:r w:rsidRPr="00F0736F">
        <w:rPr>
          <w:rFonts w:ascii="Times New Roman" w:eastAsia="Times New Roman" w:hAnsi="Times New Roman" w:cs="Times New Roman"/>
          <w:color w:val="000000" w:themeColor="text1"/>
          <w:lang w:eastAsia="ru-RU"/>
        </w:rPr>
        <w:t xml:space="preserve"> в год)</w:t>
      </w:r>
      <w:r w:rsidRPr="00F0736F">
        <w:rPr>
          <w:rStyle w:val="a4"/>
          <w:rFonts w:ascii="Times New Roman" w:eastAsia="Times New Roman" w:hAnsi="Times New Roman" w:cs="Times New Roman"/>
          <w:color w:val="000000" w:themeColor="text1"/>
          <w:lang w:eastAsia="ru-RU"/>
        </w:rPr>
        <w:footnoteReference w:id="6"/>
      </w:r>
      <w:r w:rsidRPr="00F0736F">
        <w:rPr>
          <w:rFonts w:ascii="Times New Roman" w:eastAsia="Times New Roman" w:hAnsi="Times New Roman" w:cs="Times New Roman"/>
          <w:color w:val="000000" w:themeColor="text1"/>
          <w:lang w:eastAsia="ru-RU"/>
        </w:rPr>
        <w:t xml:space="preserve">, опресненные морские воды и прочие источники. </w:t>
      </w:r>
      <w:r w:rsidRPr="00F0736F">
        <w:rPr>
          <w:rFonts w:ascii="Times New Roman" w:hAnsi="Times New Roman" w:cs="Times New Roman"/>
          <w:color w:val="000000" w:themeColor="text1"/>
        </w:rPr>
        <w:t>Основные запасы подземных вод находятся в Балхаш-Алакольском и Ертисском бассейнах (66% от общего объема запасов).</w:t>
      </w:r>
    </w:p>
    <w:p w14:paraId="2CD1910B" w14:textId="267A882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Инвентаризация запасов месторождений подземных вод ежегодно ведется путем составления государственного баланса запасов подземных вод. На 2018 год государственным балансом учтено 3</w:t>
      </w:r>
      <w:r w:rsidR="00570E7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544 месторождений с запасами 42,6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 На 2019 год</w:t>
      </w:r>
      <w:r w:rsidRPr="00F0736F">
        <w:rPr>
          <w:rFonts w:ascii="Times New Roman" w:eastAsia="Calibri" w:hAnsi="Times New Roman" w:cs="Times New Roman"/>
          <w:color w:val="000000" w:themeColor="text1"/>
          <w:lang w:eastAsia="en-US"/>
        </w:rPr>
        <w:t xml:space="preserve"> учтено 3</w:t>
      </w:r>
      <w:r w:rsidR="00570E76" w:rsidRPr="00F0736F">
        <w:rPr>
          <w:rFonts w:ascii="Times New Roman" w:eastAsia="Calibri" w:hAnsi="Times New Roman" w:cs="Times New Roman"/>
          <w:color w:val="000000" w:themeColor="text1"/>
          <w:lang w:eastAsia="en-US"/>
        </w:rPr>
        <w:t xml:space="preserve"> </w:t>
      </w:r>
      <w:r w:rsidRPr="00F0736F">
        <w:rPr>
          <w:rFonts w:ascii="Times New Roman" w:eastAsia="Calibri" w:hAnsi="Times New Roman" w:cs="Times New Roman"/>
          <w:color w:val="000000" w:themeColor="text1"/>
          <w:lang w:eastAsia="en-US"/>
        </w:rPr>
        <w:t>922 месторождения с утвержденными эксплуатационными запасами в количестве 42,9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/сут.</w:t>
      </w:r>
    </w:p>
    <w:p w14:paraId="7EB62E1C" w14:textId="6FC6F3E5"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lang w:eastAsia="en-US"/>
        </w:rPr>
        <w:t xml:space="preserve">По целевому назначению эксплуатационные запасы подразделяются так: для хозяйственно-питьевого водоснабжения </w:t>
      </w:r>
      <w:r w:rsidR="00570E76" w:rsidRPr="00F0736F">
        <w:rPr>
          <w:rFonts w:ascii="Times New Roman" w:eastAsia="Calibri" w:hAnsi="Times New Roman" w:cs="Times New Roman"/>
          <w:color w:val="000000" w:themeColor="text1"/>
          <w:lang w:eastAsia="en-US"/>
        </w:rPr>
        <w:t xml:space="preserve">- </w:t>
      </w:r>
      <w:r w:rsidRPr="00F0736F">
        <w:rPr>
          <w:rFonts w:ascii="Times New Roman" w:eastAsia="Calibri" w:hAnsi="Times New Roman" w:cs="Times New Roman"/>
          <w:color w:val="000000" w:themeColor="text1"/>
          <w:lang w:eastAsia="en-US"/>
        </w:rPr>
        <w:t>15,4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 xml:space="preserve">/сут (35,9%); производственно-технического водоснабжения </w:t>
      </w:r>
      <w:r w:rsidR="00570E76"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eastAsia="en-US"/>
        </w:rPr>
        <w:t xml:space="preserve"> 2,2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 xml:space="preserve">/сут (5,1%); орошения земель </w:t>
      </w:r>
      <w:r w:rsidR="00570E76"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eastAsia="en-US"/>
        </w:rPr>
        <w:t xml:space="preserve"> 18,9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 xml:space="preserve">/сут (44%) и комплексного использования </w:t>
      </w:r>
      <w:r w:rsidR="00570E76"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eastAsia="en-US"/>
        </w:rPr>
        <w:t xml:space="preserve"> 6,4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/сут (14,9%).</w:t>
      </w:r>
    </w:p>
    <w:p w14:paraId="2E13D438" w14:textId="5709A82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Территориально ресурсы подземных вод распределены неравномерно, что влияет на обеспеченность запасами отдельных регионов страны: около 50% ресурсов сосредоточено на юге страны, 30% </w:t>
      </w:r>
      <w:r w:rsidR="00570E7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центральном, северном и восточном регионах и менее 20% - на западе.</w:t>
      </w:r>
    </w:p>
    <w:p w14:paraId="49C13F7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Ресурсами подземных вод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 обеспечены: Алматинская (16,7), Восточно-Казахстанская (6,5), Жамбылская (4,7), Павлодарская (3,9), Карагандинская (2,8), Южно-Казахстанская (2,1), Актюбинская (1,9), Костанайская (1,1), Кызылординская (1,5) области.</w:t>
      </w:r>
    </w:p>
    <w:p w14:paraId="15AD5B6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Ограничены ресурсами подземных вод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 Северо-Казахстанская (0,2), Атырауская (0,3), Западно-Казахстанская (0,3), Мангистауская (0,4) и Акмолинская (0,5) области</w:t>
      </w:r>
      <w:r w:rsidR="006C667B" w:rsidRPr="00F0736F">
        <w:rPr>
          <w:rFonts w:ascii="Times New Roman" w:hAnsi="Times New Roman" w:cs="Times New Roman"/>
          <w:color w:val="000000" w:themeColor="text1"/>
        </w:rPr>
        <w:t xml:space="preserve"> (таблица 1.1.1.)</w:t>
      </w:r>
      <w:r w:rsidRPr="00F0736F">
        <w:rPr>
          <w:rFonts w:ascii="Times New Roman" w:hAnsi="Times New Roman" w:cs="Times New Roman"/>
          <w:color w:val="000000" w:themeColor="text1"/>
        </w:rPr>
        <w:t xml:space="preserve">. </w:t>
      </w:r>
    </w:p>
    <w:p w14:paraId="369852B7" w14:textId="77777777" w:rsidR="00F674A4" w:rsidRPr="00F0736F" w:rsidRDefault="00F674A4" w:rsidP="008727D9">
      <w:pPr>
        <w:ind w:firstLine="709"/>
        <w:jc w:val="both"/>
        <w:rPr>
          <w:rFonts w:ascii="Times New Roman" w:hAnsi="Times New Roman" w:cs="Times New Roman"/>
          <w:color w:val="000000" w:themeColor="text1"/>
        </w:rPr>
      </w:pPr>
    </w:p>
    <w:p w14:paraId="0CA9F739" w14:textId="77777777" w:rsidR="00F674A4" w:rsidRPr="00F0736F" w:rsidRDefault="00F674A4" w:rsidP="008727D9">
      <w:pPr>
        <w:ind w:firstLine="709"/>
        <w:jc w:val="both"/>
        <w:rPr>
          <w:color w:val="000000" w:themeColor="text1"/>
        </w:rPr>
      </w:pPr>
      <w:r w:rsidRPr="00F0736F">
        <w:rPr>
          <w:rFonts w:ascii="Times New Roman" w:eastAsia="font4398" w:hAnsi="Times New Roman" w:cs="Times New Roman"/>
          <w:bCs/>
          <w:color w:val="000000" w:themeColor="text1"/>
        </w:rPr>
        <w:t>Таблица 1.1.</w:t>
      </w:r>
      <w:r w:rsidR="006C667B" w:rsidRPr="00F0736F">
        <w:rPr>
          <w:rFonts w:ascii="Times New Roman" w:eastAsia="font4398" w:hAnsi="Times New Roman" w:cs="Times New Roman"/>
          <w:bCs/>
          <w:color w:val="000000" w:themeColor="text1"/>
        </w:rPr>
        <w:t>1</w:t>
      </w:r>
      <w:r w:rsidRPr="00F0736F">
        <w:rPr>
          <w:rFonts w:ascii="Times New Roman" w:eastAsia="font4398" w:hAnsi="Times New Roman" w:cs="Times New Roman"/>
          <w:bCs/>
          <w:color w:val="000000" w:themeColor="text1"/>
        </w:rPr>
        <w:t xml:space="preserve">. </w:t>
      </w:r>
      <w:r w:rsidRPr="00F0736F">
        <w:rPr>
          <w:rFonts w:ascii="Times New Roman" w:eastAsia="font4398" w:hAnsi="Times New Roman" w:cs="Times New Roman"/>
          <w:bCs/>
          <w:color w:val="000000" w:themeColor="text1"/>
          <w:lang w:val="en-GB"/>
        </w:rPr>
        <w:t>Обеспеченность водных бассейнов</w:t>
      </w:r>
    </w:p>
    <w:p w14:paraId="6F7DF6C8" w14:textId="77777777" w:rsidR="00F674A4" w:rsidRPr="00F0736F" w:rsidRDefault="00D8141E" w:rsidP="00D8141E">
      <w:pPr>
        <w:ind w:firstLine="709"/>
        <w:jc w:val="right"/>
        <w:rPr>
          <w:color w:val="000000" w:themeColor="text1"/>
        </w:rPr>
      </w:pPr>
      <w:r w:rsidRPr="00F0736F">
        <w:rPr>
          <w:rFonts w:ascii="Times New Roman" w:eastAsia="Calibri" w:hAnsi="Times New Roman" w:cs="Times New Roman"/>
          <w:color w:val="000000" w:themeColor="text1"/>
        </w:rPr>
        <w:t>км</w:t>
      </w:r>
      <w:r w:rsidRPr="00F0736F">
        <w:rPr>
          <w:rFonts w:ascii="Times New Roman" w:eastAsia="Calibri" w:hAnsi="Times New Roman" w:cs="Times New Roman"/>
          <w:color w:val="000000" w:themeColor="text1"/>
          <w:vertAlign w:val="superscript"/>
        </w:rPr>
        <w:t>3</w:t>
      </w:r>
    </w:p>
    <w:tbl>
      <w:tblPr>
        <w:tblW w:w="0" w:type="auto"/>
        <w:tblInd w:w="108" w:type="dxa"/>
        <w:tblLayout w:type="fixed"/>
        <w:tblLook w:val="0000" w:firstRow="0" w:lastRow="0" w:firstColumn="0" w:lastColumn="0" w:noHBand="0" w:noVBand="0"/>
      </w:tblPr>
      <w:tblGrid>
        <w:gridCol w:w="1816"/>
        <w:gridCol w:w="1874"/>
        <w:gridCol w:w="1755"/>
        <w:gridCol w:w="1388"/>
        <w:gridCol w:w="1590"/>
        <w:gridCol w:w="1305"/>
      </w:tblGrid>
      <w:tr w:rsidR="00F0736F" w:rsidRPr="00F0736F" w14:paraId="331ABEF2"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4E7155E2" w14:textId="77777777" w:rsidR="00F674A4" w:rsidRPr="00F0736F" w:rsidRDefault="00F674A4" w:rsidP="00F0597C">
            <w:pPr>
              <w:jc w:val="center"/>
              <w:rPr>
                <w:color w:val="000000" w:themeColor="text1"/>
              </w:rPr>
            </w:pPr>
            <w:r w:rsidRPr="00F0736F">
              <w:rPr>
                <w:rFonts w:ascii="Times New Roman" w:hAnsi="Times New Roman" w:cs="Times New Roman"/>
                <w:color w:val="000000" w:themeColor="text1"/>
                <w:sz w:val="20"/>
                <w:szCs w:val="20"/>
              </w:rPr>
              <w:t>Наименование бассейна</w:t>
            </w:r>
          </w:p>
        </w:tc>
        <w:tc>
          <w:tcPr>
            <w:tcW w:w="1874" w:type="dxa"/>
            <w:tcBorders>
              <w:top w:val="single" w:sz="4" w:space="0" w:color="000000"/>
              <w:left w:val="single" w:sz="4" w:space="0" w:color="000000"/>
              <w:bottom w:val="single" w:sz="4" w:space="0" w:color="000000"/>
            </w:tcBorders>
            <w:shd w:val="clear" w:color="auto" w:fill="auto"/>
            <w:vAlign w:val="center"/>
          </w:tcPr>
          <w:p w14:paraId="6CF8A96C" w14:textId="77777777" w:rsidR="00F674A4" w:rsidRPr="00F0736F" w:rsidRDefault="00F674A4" w:rsidP="00F0597C">
            <w:pPr>
              <w:jc w:val="center"/>
              <w:rPr>
                <w:color w:val="000000" w:themeColor="text1"/>
              </w:rPr>
            </w:pPr>
            <w:r w:rsidRPr="00F0736F">
              <w:rPr>
                <w:rFonts w:ascii="Times New Roman" w:eastAsia="Calibri" w:hAnsi="Times New Roman" w:cs="Times New Roman"/>
                <w:color w:val="000000" w:themeColor="text1"/>
                <w:sz w:val="20"/>
                <w:szCs w:val="20"/>
              </w:rPr>
              <w:t>Локальные водные ресурсы</w:t>
            </w:r>
          </w:p>
        </w:tc>
        <w:tc>
          <w:tcPr>
            <w:tcW w:w="1755" w:type="dxa"/>
            <w:tcBorders>
              <w:top w:val="single" w:sz="4" w:space="0" w:color="000000"/>
              <w:left w:val="single" w:sz="4" w:space="0" w:color="000000"/>
              <w:bottom w:val="single" w:sz="4" w:space="0" w:color="000000"/>
            </w:tcBorders>
            <w:shd w:val="clear" w:color="auto" w:fill="auto"/>
            <w:vAlign w:val="center"/>
          </w:tcPr>
          <w:p w14:paraId="1A888AC6" w14:textId="77777777" w:rsidR="00F674A4" w:rsidRPr="00F0736F" w:rsidRDefault="00F674A4" w:rsidP="00F0597C">
            <w:pPr>
              <w:jc w:val="center"/>
              <w:rPr>
                <w:color w:val="000000" w:themeColor="text1"/>
              </w:rPr>
            </w:pPr>
            <w:r w:rsidRPr="00F0736F">
              <w:rPr>
                <w:rFonts w:ascii="Times New Roman" w:eastAsia="Calibri" w:hAnsi="Times New Roman" w:cs="Times New Roman"/>
                <w:color w:val="000000" w:themeColor="text1"/>
                <w:sz w:val="20"/>
                <w:szCs w:val="20"/>
              </w:rPr>
              <w:t>Трансграничные водные ресурсы</w:t>
            </w:r>
          </w:p>
        </w:tc>
        <w:tc>
          <w:tcPr>
            <w:tcW w:w="1388" w:type="dxa"/>
            <w:tcBorders>
              <w:top w:val="single" w:sz="4" w:space="0" w:color="000000"/>
              <w:left w:val="single" w:sz="4" w:space="0" w:color="000000"/>
              <w:bottom w:val="single" w:sz="4" w:space="0" w:color="000000"/>
            </w:tcBorders>
            <w:shd w:val="clear" w:color="auto" w:fill="auto"/>
            <w:vAlign w:val="center"/>
          </w:tcPr>
          <w:p w14:paraId="03408F32" w14:textId="77777777" w:rsidR="00F674A4" w:rsidRPr="00F0736F" w:rsidRDefault="00F674A4" w:rsidP="00F0597C">
            <w:pPr>
              <w:jc w:val="center"/>
              <w:rPr>
                <w:color w:val="000000" w:themeColor="text1"/>
              </w:rPr>
            </w:pPr>
            <w:r w:rsidRPr="00F0736F">
              <w:rPr>
                <w:rFonts w:ascii="Times New Roman" w:eastAsia="Calibri" w:hAnsi="Times New Roman" w:cs="Times New Roman"/>
                <w:color w:val="000000" w:themeColor="text1"/>
                <w:sz w:val="20"/>
                <w:szCs w:val="20"/>
              </w:rPr>
              <w:t>Подземные воды</w:t>
            </w:r>
          </w:p>
        </w:tc>
        <w:tc>
          <w:tcPr>
            <w:tcW w:w="1590" w:type="dxa"/>
            <w:tcBorders>
              <w:top w:val="single" w:sz="4" w:space="0" w:color="000000"/>
              <w:left w:val="single" w:sz="4" w:space="0" w:color="000000"/>
              <w:bottom w:val="single" w:sz="4" w:space="0" w:color="000000"/>
            </w:tcBorders>
            <w:shd w:val="clear" w:color="auto" w:fill="auto"/>
            <w:vAlign w:val="center"/>
          </w:tcPr>
          <w:p w14:paraId="5EC22CA8" w14:textId="77777777" w:rsidR="00F674A4" w:rsidRPr="00F0736F" w:rsidRDefault="00F674A4" w:rsidP="00F0597C">
            <w:pPr>
              <w:jc w:val="center"/>
              <w:rPr>
                <w:color w:val="000000" w:themeColor="text1"/>
              </w:rPr>
            </w:pPr>
            <w:r w:rsidRPr="00F0736F">
              <w:rPr>
                <w:rFonts w:ascii="Times New Roman" w:eastAsia="Calibri" w:hAnsi="Times New Roman" w:cs="Times New Roman"/>
                <w:color w:val="000000" w:themeColor="text1"/>
                <w:sz w:val="20"/>
                <w:szCs w:val="20"/>
              </w:rPr>
              <w:t>Прочие источники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80B6A" w14:textId="77777777" w:rsidR="00F674A4" w:rsidRPr="00F0736F" w:rsidRDefault="00F674A4" w:rsidP="00F0597C">
            <w:pPr>
              <w:jc w:val="center"/>
              <w:rPr>
                <w:color w:val="000000" w:themeColor="text1"/>
              </w:rPr>
            </w:pPr>
            <w:r w:rsidRPr="00F0736F">
              <w:rPr>
                <w:rFonts w:ascii="Times New Roman" w:eastAsia="Calibri" w:hAnsi="Times New Roman" w:cs="Times New Roman"/>
                <w:color w:val="000000" w:themeColor="text1"/>
                <w:sz w:val="20"/>
                <w:szCs w:val="20"/>
              </w:rPr>
              <w:t>Итого</w:t>
            </w:r>
          </w:p>
        </w:tc>
      </w:tr>
      <w:tr w:rsidR="00F0736F" w:rsidRPr="00F0736F" w14:paraId="39A8D8E8"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241C10CC"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Арало-Сырдарьинский</w:t>
            </w:r>
          </w:p>
        </w:tc>
        <w:tc>
          <w:tcPr>
            <w:tcW w:w="1874" w:type="dxa"/>
            <w:tcBorders>
              <w:top w:val="single" w:sz="4" w:space="0" w:color="000000"/>
              <w:left w:val="single" w:sz="4" w:space="0" w:color="000000"/>
              <w:bottom w:val="single" w:sz="4" w:space="0" w:color="000000"/>
            </w:tcBorders>
            <w:shd w:val="clear" w:color="auto" w:fill="auto"/>
            <w:vAlign w:val="center"/>
          </w:tcPr>
          <w:p w14:paraId="63BD358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3,4</w:t>
            </w:r>
          </w:p>
        </w:tc>
        <w:tc>
          <w:tcPr>
            <w:tcW w:w="1755" w:type="dxa"/>
            <w:tcBorders>
              <w:top w:val="single" w:sz="4" w:space="0" w:color="000000"/>
              <w:left w:val="single" w:sz="4" w:space="0" w:color="000000"/>
              <w:bottom w:val="single" w:sz="4" w:space="0" w:color="000000"/>
            </w:tcBorders>
            <w:shd w:val="clear" w:color="auto" w:fill="auto"/>
            <w:vAlign w:val="center"/>
          </w:tcPr>
          <w:p w14:paraId="6CBA7612"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14,6</w:t>
            </w:r>
          </w:p>
        </w:tc>
        <w:tc>
          <w:tcPr>
            <w:tcW w:w="1388" w:type="dxa"/>
            <w:tcBorders>
              <w:top w:val="single" w:sz="4" w:space="0" w:color="000000"/>
              <w:left w:val="single" w:sz="4" w:space="0" w:color="000000"/>
              <w:bottom w:val="single" w:sz="4" w:space="0" w:color="000000"/>
            </w:tcBorders>
            <w:shd w:val="clear" w:color="auto" w:fill="auto"/>
            <w:vAlign w:val="center"/>
          </w:tcPr>
          <w:p w14:paraId="48507312"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0,2</w:t>
            </w:r>
          </w:p>
        </w:tc>
        <w:tc>
          <w:tcPr>
            <w:tcW w:w="1590" w:type="dxa"/>
            <w:tcBorders>
              <w:top w:val="single" w:sz="4" w:space="0" w:color="000000"/>
              <w:left w:val="single" w:sz="4" w:space="0" w:color="000000"/>
              <w:bottom w:val="single" w:sz="4" w:space="0" w:color="000000"/>
            </w:tcBorders>
            <w:shd w:val="clear" w:color="auto" w:fill="auto"/>
            <w:vAlign w:val="center"/>
          </w:tcPr>
          <w:p w14:paraId="515B4DFC"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B8B3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21,4</w:t>
            </w:r>
          </w:p>
        </w:tc>
      </w:tr>
      <w:tr w:rsidR="00F0736F" w:rsidRPr="00F0736F" w14:paraId="425120CF"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1D9615E6"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Балхаш-Алакольский</w:t>
            </w:r>
          </w:p>
        </w:tc>
        <w:tc>
          <w:tcPr>
            <w:tcW w:w="1874" w:type="dxa"/>
            <w:tcBorders>
              <w:top w:val="single" w:sz="4" w:space="0" w:color="000000"/>
              <w:left w:val="single" w:sz="4" w:space="0" w:color="000000"/>
              <w:bottom w:val="single" w:sz="4" w:space="0" w:color="000000"/>
            </w:tcBorders>
            <w:shd w:val="clear" w:color="auto" w:fill="auto"/>
            <w:vAlign w:val="center"/>
          </w:tcPr>
          <w:p w14:paraId="21D2D55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15,4</w:t>
            </w:r>
          </w:p>
        </w:tc>
        <w:tc>
          <w:tcPr>
            <w:tcW w:w="1755" w:type="dxa"/>
            <w:tcBorders>
              <w:top w:val="single" w:sz="4" w:space="0" w:color="000000"/>
              <w:left w:val="single" w:sz="4" w:space="0" w:color="000000"/>
              <w:bottom w:val="single" w:sz="4" w:space="0" w:color="000000"/>
            </w:tcBorders>
            <w:shd w:val="clear" w:color="auto" w:fill="auto"/>
            <w:vAlign w:val="center"/>
          </w:tcPr>
          <w:p w14:paraId="304E908B"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12,2</w:t>
            </w:r>
          </w:p>
        </w:tc>
        <w:tc>
          <w:tcPr>
            <w:tcW w:w="1388" w:type="dxa"/>
            <w:tcBorders>
              <w:top w:val="single" w:sz="4" w:space="0" w:color="000000"/>
              <w:left w:val="single" w:sz="4" w:space="0" w:color="000000"/>
              <w:bottom w:val="single" w:sz="4" w:space="0" w:color="000000"/>
            </w:tcBorders>
            <w:shd w:val="clear" w:color="auto" w:fill="auto"/>
            <w:vAlign w:val="center"/>
          </w:tcPr>
          <w:p w14:paraId="510BF19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0,4</w:t>
            </w:r>
          </w:p>
        </w:tc>
        <w:tc>
          <w:tcPr>
            <w:tcW w:w="1590" w:type="dxa"/>
            <w:tcBorders>
              <w:top w:val="single" w:sz="4" w:space="0" w:color="000000"/>
              <w:left w:val="single" w:sz="4" w:space="0" w:color="000000"/>
              <w:bottom w:val="single" w:sz="4" w:space="0" w:color="000000"/>
            </w:tcBorders>
            <w:shd w:val="clear" w:color="auto" w:fill="auto"/>
            <w:vAlign w:val="center"/>
          </w:tcPr>
          <w:p w14:paraId="524050E6"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0,4</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6AFD"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28,4</w:t>
            </w:r>
          </w:p>
        </w:tc>
      </w:tr>
      <w:tr w:rsidR="00F0736F" w:rsidRPr="00F0736F" w14:paraId="71F12310"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3D64882E"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Ертисский</w:t>
            </w:r>
          </w:p>
        </w:tc>
        <w:tc>
          <w:tcPr>
            <w:tcW w:w="1874" w:type="dxa"/>
            <w:tcBorders>
              <w:top w:val="single" w:sz="4" w:space="0" w:color="000000"/>
              <w:left w:val="single" w:sz="4" w:space="0" w:color="000000"/>
              <w:bottom w:val="single" w:sz="4" w:space="0" w:color="000000"/>
            </w:tcBorders>
            <w:shd w:val="clear" w:color="auto" w:fill="auto"/>
            <w:vAlign w:val="center"/>
          </w:tcPr>
          <w:p w14:paraId="54C9248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25,9</w:t>
            </w:r>
          </w:p>
        </w:tc>
        <w:tc>
          <w:tcPr>
            <w:tcW w:w="1755" w:type="dxa"/>
            <w:tcBorders>
              <w:top w:val="single" w:sz="4" w:space="0" w:color="000000"/>
              <w:left w:val="single" w:sz="4" w:space="0" w:color="000000"/>
              <w:bottom w:val="single" w:sz="4" w:space="0" w:color="000000"/>
            </w:tcBorders>
            <w:shd w:val="clear" w:color="auto" w:fill="auto"/>
            <w:vAlign w:val="center"/>
          </w:tcPr>
          <w:p w14:paraId="438B2463"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7,8</w:t>
            </w:r>
          </w:p>
        </w:tc>
        <w:tc>
          <w:tcPr>
            <w:tcW w:w="1388" w:type="dxa"/>
            <w:tcBorders>
              <w:top w:val="single" w:sz="4" w:space="0" w:color="000000"/>
              <w:left w:val="single" w:sz="4" w:space="0" w:color="000000"/>
              <w:bottom w:val="single" w:sz="4" w:space="0" w:color="000000"/>
            </w:tcBorders>
            <w:shd w:val="clear" w:color="auto" w:fill="auto"/>
            <w:vAlign w:val="center"/>
          </w:tcPr>
          <w:p w14:paraId="4BFFBF88"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0,2</w:t>
            </w:r>
          </w:p>
        </w:tc>
        <w:tc>
          <w:tcPr>
            <w:tcW w:w="1590" w:type="dxa"/>
            <w:tcBorders>
              <w:top w:val="single" w:sz="4" w:space="0" w:color="000000"/>
              <w:left w:val="single" w:sz="4" w:space="0" w:color="000000"/>
              <w:bottom w:val="single" w:sz="4" w:space="0" w:color="000000"/>
            </w:tcBorders>
            <w:shd w:val="clear" w:color="auto" w:fill="auto"/>
            <w:vAlign w:val="center"/>
          </w:tcPr>
          <w:p w14:paraId="2D63AEE1"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CBD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33,9</w:t>
            </w:r>
          </w:p>
        </w:tc>
      </w:tr>
      <w:tr w:rsidR="00F0736F" w:rsidRPr="00F0736F" w14:paraId="2A14D8CB"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4ADB17D8"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Есильский</w:t>
            </w:r>
          </w:p>
        </w:tc>
        <w:tc>
          <w:tcPr>
            <w:tcW w:w="1874" w:type="dxa"/>
            <w:tcBorders>
              <w:top w:val="single" w:sz="4" w:space="0" w:color="000000"/>
              <w:left w:val="single" w:sz="4" w:space="0" w:color="000000"/>
              <w:bottom w:val="single" w:sz="4" w:space="0" w:color="000000"/>
            </w:tcBorders>
            <w:shd w:val="clear" w:color="auto" w:fill="auto"/>
            <w:vAlign w:val="center"/>
          </w:tcPr>
          <w:p w14:paraId="522E9D3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2,5</w:t>
            </w:r>
          </w:p>
        </w:tc>
        <w:tc>
          <w:tcPr>
            <w:tcW w:w="1755" w:type="dxa"/>
            <w:tcBorders>
              <w:top w:val="single" w:sz="4" w:space="0" w:color="000000"/>
              <w:left w:val="single" w:sz="4" w:space="0" w:color="000000"/>
              <w:bottom w:val="single" w:sz="4" w:space="0" w:color="000000"/>
            </w:tcBorders>
            <w:shd w:val="clear" w:color="auto" w:fill="auto"/>
            <w:vAlign w:val="center"/>
          </w:tcPr>
          <w:p w14:paraId="61517E4C"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1388" w:type="dxa"/>
            <w:tcBorders>
              <w:top w:val="single" w:sz="4" w:space="0" w:color="000000"/>
              <w:left w:val="single" w:sz="4" w:space="0" w:color="000000"/>
              <w:bottom w:val="single" w:sz="4" w:space="0" w:color="000000"/>
            </w:tcBorders>
            <w:shd w:val="clear" w:color="auto" w:fill="auto"/>
            <w:vAlign w:val="center"/>
          </w:tcPr>
          <w:p w14:paraId="0E67227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1590" w:type="dxa"/>
            <w:tcBorders>
              <w:top w:val="single" w:sz="4" w:space="0" w:color="000000"/>
              <w:left w:val="single" w:sz="4" w:space="0" w:color="000000"/>
              <w:bottom w:val="single" w:sz="4" w:space="0" w:color="000000"/>
            </w:tcBorders>
            <w:shd w:val="clear" w:color="auto" w:fill="auto"/>
            <w:vAlign w:val="center"/>
          </w:tcPr>
          <w:p w14:paraId="25A22EE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E67E6"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r>
      <w:tr w:rsidR="00F0736F" w:rsidRPr="00F0736F" w14:paraId="36C81ED3"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7CCDAF58"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Жайык-Каспийский</w:t>
            </w:r>
          </w:p>
        </w:tc>
        <w:tc>
          <w:tcPr>
            <w:tcW w:w="1874" w:type="dxa"/>
            <w:tcBorders>
              <w:top w:val="single" w:sz="4" w:space="0" w:color="000000"/>
              <w:left w:val="single" w:sz="4" w:space="0" w:color="000000"/>
              <w:bottom w:val="single" w:sz="4" w:space="0" w:color="000000"/>
            </w:tcBorders>
            <w:shd w:val="clear" w:color="auto" w:fill="auto"/>
            <w:vAlign w:val="center"/>
          </w:tcPr>
          <w:p w14:paraId="79CCCDB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4,1</w:t>
            </w:r>
          </w:p>
        </w:tc>
        <w:tc>
          <w:tcPr>
            <w:tcW w:w="1755" w:type="dxa"/>
            <w:tcBorders>
              <w:top w:val="single" w:sz="4" w:space="0" w:color="000000"/>
              <w:left w:val="single" w:sz="4" w:space="0" w:color="000000"/>
              <w:bottom w:val="single" w:sz="4" w:space="0" w:color="000000"/>
            </w:tcBorders>
            <w:shd w:val="clear" w:color="auto" w:fill="auto"/>
            <w:vAlign w:val="center"/>
          </w:tcPr>
          <w:p w14:paraId="40FD8E6C"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7,1</w:t>
            </w:r>
          </w:p>
        </w:tc>
        <w:tc>
          <w:tcPr>
            <w:tcW w:w="1388" w:type="dxa"/>
            <w:tcBorders>
              <w:top w:val="single" w:sz="4" w:space="0" w:color="000000"/>
              <w:left w:val="single" w:sz="4" w:space="0" w:color="000000"/>
              <w:bottom w:val="single" w:sz="4" w:space="0" w:color="000000"/>
            </w:tcBorders>
            <w:shd w:val="clear" w:color="auto" w:fill="auto"/>
            <w:vAlign w:val="center"/>
          </w:tcPr>
          <w:p w14:paraId="5A4D9914"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0,2</w:t>
            </w:r>
          </w:p>
        </w:tc>
        <w:tc>
          <w:tcPr>
            <w:tcW w:w="1590" w:type="dxa"/>
            <w:tcBorders>
              <w:top w:val="single" w:sz="4" w:space="0" w:color="000000"/>
              <w:left w:val="single" w:sz="4" w:space="0" w:color="000000"/>
              <w:bottom w:val="single" w:sz="4" w:space="0" w:color="000000"/>
            </w:tcBorders>
            <w:shd w:val="clear" w:color="auto" w:fill="auto"/>
            <w:vAlign w:val="center"/>
          </w:tcPr>
          <w:p w14:paraId="6DF677EB"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0,3</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628A"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11,7</w:t>
            </w:r>
          </w:p>
        </w:tc>
      </w:tr>
      <w:tr w:rsidR="00F0736F" w:rsidRPr="00F0736F" w14:paraId="27C46F23"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36536490"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Нура-Сарысуский</w:t>
            </w:r>
          </w:p>
        </w:tc>
        <w:tc>
          <w:tcPr>
            <w:tcW w:w="1874" w:type="dxa"/>
            <w:tcBorders>
              <w:top w:val="single" w:sz="4" w:space="0" w:color="000000"/>
              <w:left w:val="single" w:sz="4" w:space="0" w:color="000000"/>
              <w:bottom w:val="single" w:sz="4" w:space="0" w:color="000000"/>
            </w:tcBorders>
            <w:shd w:val="clear" w:color="auto" w:fill="auto"/>
            <w:vAlign w:val="center"/>
          </w:tcPr>
          <w:p w14:paraId="3845AEF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1,4</w:t>
            </w:r>
          </w:p>
        </w:tc>
        <w:tc>
          <w:tcPr>
            <w:tcW w:w="1755" w:type="dxa"/>
            <w:tcBorders>
              <w:top w:val="single" w:sz="4" w:space="0" w:color="000000"/>
              <w:left w:val="single" w:sz="4" w:space="0" w:color="000000"/>
              <w:bottom w:val="single" w:sz="4" w:space="0" w:color="000000"/>
            </w:tcBorders>
            <w:shd w:val="clear" w:color="auto" w:fill="auto"/>
            <w:vAlign w:val="center"/>
          </w:tcPr>
          <w:p w14:paraId="645644F2" w14:textId="77777777" w:rsidR="00F674A4" w:rsidRPr="00F0736F" w:rsidRDefault="00F674A4" w:rsidP="00F678C2">
            <w:pPr>
              <w:jc w:val="center"/>
              <w:rPr>
                <w:rFonts w:ascii="Times New Roman" w:hAnsi="Times New Roman" w:cs="Times New Roman"/>
                <w:color w:val="000000" w:themeColor="text1"/>
                <w:sz w:val="20"/>
                <w:szCs w:val="20"/>
              </w:rPr>
            </w:pPr>
          </w:p>
        </w:tc>
        <w:tc>
          <w:tcPr>
            <w:tcW w:w="1388" w:type="dxa"/>
            <w:tcBorders>
              <w:top w:val="single" w:sz="4" w:space="0" w:color="000000"/>
              <w:left w:val="single" w:sz="4" w:space="0" w:color="000000"/>
              <w:bottom w:val="single" w:sz="4" w:space="0" w:color="000000"/>
            </w:tcBorders>
            <w:shd w:val="clear" w:color="auto" w:fill="auto"/>
            <w:vAlign w:val="center"/>
          </w:tcPr>
          <w:p w14:paraId="5C9FE47C"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1590" w:type="dxa"/>
            <w:tcBorders>
              <w:top w:val="single" w:sz="4" w:space="0" w:color="000000"/>
              <w:left w:val="single" w:sz="4" w:space="0" w:color="000000"/>
              <w:bottom w:val="single" w:sz="4" w:space="0" w:color="000000"/>
            </w:tcBorders>
            <w:shd w:val="clear" w:color="auto" w:fill="auto"/>
            <w:vAlign w:val="center"/>
          </w:tcPr>
          <w:p w14:paraId="7D0D4A73" w14:textId="77777777" w:rsidR="00F674A4" w:rsidRPr="00F0736F" w:rsidRDefault="00F674A4" w:rsidP="00F678C2">
            <w:pPr>
              <w:jc w:val="center"/>
              <w:rPr>
                <w:rFonts w:ascii="Times New Roman" w:hAnsi="Times New Roman" w:cs="Times New Roman"/>
                <w:color w:val="000000" w:themeColor="text1"/>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E2314"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w:t>
            </w:r>
          </w:p>
        </w:tc>
      </w:tr>
      <w:tr w:rsidR="00F0736F" w:rsidRPr="00F0736F" w14:paraId="75B95ABB"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35E86663"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Тобыл-Торгайский</w:t>
            </w:r>
          </w:p>
        </w:tc>
        <w:tc>
          <w:tcPr>
            <w:tcW w:w="1874" w:type="dxa"/>
            <w:tcBorders>
              <w:top w:val="single" w:sz="4" w:space="0" w:color="000000"/>
              <w:left w:val="single" w:sz="4" w:space="0" w:color="000000"/>
              <w:bottom w:val="single" w:sz="4" w:space="0" w:color="000000"/>
            </w:tcBorders>
            <w:shd w:val="clear" w:color="auto" w:fill="auto"/>
            <w:vAlign w:val="center"/>
          </w:tcPr>
          <w:p w14:paraId="2FACB83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1,6</w:t>
            </w:r>
          </w:p>
        </w:tc>
        <w:tc>
          <w:tcPr>
            <w:tcW w:w="1755" w:type="dxa"/>
            <w:tcBorders>
              <w:top w:val="single" w:sz="4" w:space="0" w:color="000000"/>
              <w:left w:val="single" w:sz="4" w:space="0" w:color="000000"/>
              <w:bottom w:val="single" w:sz="4" w:space="0" w:color="000000"/>
            </w:tcBorders>
            <w:shd w:val="clear" w:color="auto" w:fill="auto"/>
            <w:vAlign w:val="center"/>
          </w:tcPr>
          <w:p w14:paraId="1022C336"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0,3</w:t>
            </w:r>
          </w:p>
        </w:tc>
        <w:tc>
          <w:tcPr>
            <w:tcW w:w="1388" w:type="dxa"/>
            <w:tcBorders>
              <w:top w:val="single" w:sz="4" w:space="0" w:color="000000"/>
              <w:left w:val="single" w:sz="4" w:space="0" w:color="000000"/>
              <w:bottom w:val="single" w:sz="4" w:space="0" w:color="000000"/>
            </w:tcBorders>
            <w:shd w:val="clear" w:color="auto" w:fill="auto"/>
            <w:vAlign w:val="center"/>
          </w:tcPr>
          <w:p w14:paraId="20A7A3D2"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590" w:type="dxa"/>
            <w:tcBorders>
              <w:top w:val="single" w:sz="4" w:space="0" w:color="000000"/>
              <w:left w:val="single" w:sz="4" w:space="0" w:color="000000"/>
              <w:bottom w:val="single" w:sz="4" w:space="0" w:color="000000"/>
            </w:tcBorders>
            <w:shd w:val="clear" w:color="auto" w:fill="auto"/>
            <w:vAlign w:val="center"/>
          </w:tcPr>
          <w:p w14:paraId="5A44616A"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A0D35"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w:t>
            </w:r>
          </w:p>
        </w:tc>
      </w:tr>
      <w:tr w:rsidR="00F0736F" w:rsidRPr="00F0736F" w14:paraId="51CA1DEE"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62DAA5C7"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Шу-Таласский</w:t>
            </w:r>
          </w:p>
        </w:tc>
        <w:tc>
          <w:tcPr>
            <w:tcW w:w="1874" w:type="dxa"/>
            <w:tcBorders>
              <w:top w:val="single" w:sz="4" w:space="0" w:color="000000"/>
              <w:left w:val="single" w:sz="4" w:space="0" w:color="000000"/>
              <w:bottom w:val="single" w:sz="4" w:space="0" w:color="000000"/>
            </w:tcBorders>
            <w:shd w:val="clear" w:color="auto" w:fill="auto"/>
            <w:vAlign w:val="center"/>
          </w:tcPr>
          <w:p w14:paraId="7916A83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1,6</w:t>
            </w:r>
          </w:p>
        </w:tc>
        <w:tc>
          <w:tcPr>
            <w:tcW w:w="1755" w:type="dxa"/>
            <w:tcBorders>
              <w:top w:val="single" w:sz="4" w:space="0" w:color="000000"/>
              <w:left w:val="single" w:sz="4" w:space="0" w:color="000000"/>
              <w:bottom w:val="single" w:sz="4" w:space="0" w:color="000000"/>
            </w:tcBorders>
            <w:shd w:val="clear" w:color="auto" w:fill="auto"/>
            <w:vAlign w:val="center"/>
          </w:tcPr>
          <w:p w14:paraId="75405FE1"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c>
          <w:tcPr>
            <w:tcW w:w="1388" w:type="dxa"/>
            <w:tcBorders>
              <w:top w:val="single" w:sz="4" w:space="0" w:color="000000"/>
              <w:left w:val="single" w:sz="4" w:space="0" w:color="000000"/>
              <w:bottom w:val="single" w:sz="4" w:space="0" w:color="000000"/>
            </w:tcBorders>
            <w:shd w:val="clear" w:color="auto" w:fill="auto"/>
            <w:vAlign w:val="center"/>
          </w:tcPr>
          <w:p w14:paraId="41AB3E8A"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1590" w:type="dxa"/>
            <w:tcBorders>
              <w:top w:val="single" w:sz="4" w:space="0" w:color="000000"/>
              <w:left w:val="single" w:sz="4" w:space="0" w:color="000000"/>
              <w:bottom w:val="single" w:sz="4" w:space="0" w:color="000000"/>
            </w:tcBorders>
            <w:shd w:val="clear" w:color="auto" w:fill="auto"/>
            <w:vAlign w:val="center"/>
          </w:tcPr>
          <w:p w14:paraId="618AFB17"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7BB8"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w:t>
            </w:r>
          </w:p>
        </w:tc>
      </w:tr>
      <w:tr w:rsidR="00F0736F" w:rsidRPr="00F0736F" w14:paraId="1865B775" w14:textId="77777777" w:rsidTr="00570E76">
        <w:tc>
          <w:tcPr>
            <w:tcW w:w="1816" w:type="dxa"/>
            <w:tcBorders>
              <w:top w:val="single" w:sz="4" w:space="0" w:color="000000"/>
              <w:left w:val="single" w:sz="4" w:space="0" w:color="000000"/>
              <w:bottom w:val="single" w:sz="4" w:space="0" w:color="000000"/>
            </w:tcBorders>
            <w:shd w:val="clear" w:color="auto" w:fill="auto"/>
            <w:vAlign w:val="center"/>
          </w:tcPr>
          <w:p w14:paraId="51EB165E"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Всего по РК</w:t>
            </w:r>
          </w:p>
        </w:tc>
        <w:tc>
          <w:tcPr>
            <w:tcW w:w="1874" w:type="dxa"/>
            <w:tcBorders>
              <w:top w:val="single" w:sz="4" w:space="0" w:color="000000"/>
              <w:left w:val="single" w:sz="4" w:space="0" w:color="000000"/>
              <w:bottom w:val="single" w:sz="4" w:space="0" w:color="000000"/>
            </w:tcBorders>
            <w:shd w:val="clear" w:color="auto" w:fill="auto"/>
            <w:vAlign w:val="center"/>
          </w:tcPr>
          <w:p w14:paraId="42C5E4F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55,9</w:t>
            </w:r>
          </w:p>
        </w:tc>
        <w:tc>
          <w:tcPr>
            <w:tcW w:w="1755" w:type="dxa"/>
            <w:tcBorders>
              <w:top w:val="single" w:sz="4" w:space="0" w:color="000000"/>
              <w:left w:val="single" w:sz="4" w:space="0" w:color="000000"/>
              <w:bottom w:val="single" w:sz="4" w:space="0" w:color="000000"/>
            </w:tcBorders>
            <w:shd w:val="clear" w:color="auto" w:fill="auto"/>
            <w:vAlign w:val="center"/>
          </w:tcPr>
          <w:p w14:paraId="3CEEE41A"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44,7</w:t>
            </w:r>
          </w:p>
        </w:tc>
        <w:tc>
          <w:tcPr>
            <w:tcW w:w="1388" w:type="dxa"/>
            <w:tcBorders>
              <w:top w:val="single" w:sz="4" w:space="0" w:color="000000"/>
              <w:left w:val="single" w:sz="4" w:space="0" w:color="000000"/>
              <w:bottom w:val="single" w:sz="4" w:space="0" w:color="000000"/>
            </w:tcBorders>
            <w:shd w:val="clear" w:color="auto" w:fill="auto"/>
            <w:vAlign w:val="center"/>
          </w:tcPr>
          <w:p w14:paraId="33B18EA4"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590" w:type="dxa"/>
            <w:tcBorders>
              <w:top w:val="single" w:sz="4" w:space="0" w:color="000000"/>
              <w:left w:val="single" w:sz="4" w:space="0" w:color="000000"/>
              <w:bottom w:val="single" w:sz="4" w:space="0" w:color="000000"/>
            </w:tcBorders>
            <w:shd w:val="clear" w:color="auto" w:fill="auto"/>
            <w:vAlign w:val="center"/>
          </w:tcPr>
          <w:p w14:paraId="3DB9F136"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3,9</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770F9" w14:textId="77777777" w:rsidR="00F674A4" w:rsidRPr="00F0736F" w:rsidRDefault="00F674A4" w:rsidP="00F678C2">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105,8</w:t>
            </w:r>
          </w:p>
        </w:tc>
      </w:tr>
    </w:tbl>
    <w:p w14:paraId="113BC36C" w14:textId="77777777" w:rsidR="00F674A4" w:rsidRPr="00F0736F" w:rsidRDefault="00F674A4" w:rsidP="008727D9">
      <w:pPr>
        <w:ind w:firstLine="709"/>
        <w:jc w:val="both"/>
        <w:rPr>
          <w:i/>
          <w:color w:val="000000" w:themeColor="text1"/>
        </w:rPr>
      </w:pPr>
      <w:r w:rsidRPr="00F0736F">
        <w:rPr>
          <w:rFonts w:ascii="Times New Roman" w:eastAsia="Calibri" w:hAnsi="Times New Roman" w:cs="Times New Roman"/>
          <w:i/>
          <w:color w:val="000000" w:themeColor="text1"/>
          <w:sz w:val="20"/>
          <w:szCs w:val="20"/>
        </w:rPr>
        <w:t>Источник: Государственный водный кадастр</w:t>
      </w:r>
    </w:p>
    <w:p w14:paraId="3CC4B763" w14:textId="77777777" w:rsidR="00F674A4" w:rsidRPr="00F0736F" w:rsidRDefault="00F674A4" w:rsidP="008727D9">
      <w:pPr>
        <w:ind w:firstLine="709"/>
        <w:jc w:val="both"/>
        <w:rPr>
          <w:rFonts w:ascii="Times New Roman" w:hAnsi="Times New Roman" w:cs="Times New Roman"/>
          <w:color w:val="000000" w:themeColor="text1"/>
        </w:rPr>
      </w:pPr>
    </w:p>
    <w:p w14:paraId="61BC30CC" w14:textId="77777777" w:rsidR="00360BEB" w:rsidRPr="00F0736F" w:rsidRDefault="006C667B" w:rsidP="00D65A8B">
      <w:pPr>
        <w:ind w:firstLine="709"/>
        <w:jc w:val="both"/>
        <w:rPr>
          <w:color w:val="000000" w:themeColor="text1"/>
        </w:rPr>
      </w:pPr>
      <w:r w:rsidRPr="00F0736F">
        <w:rPr>
          <w:rFonts w:ascii="Times New Roman" w:hAnsi="Times New Roman" w:cs="Times New Roman"/>
          <w:color w:val="000000" w:themeColor="text1"/>
        </w:rPr>
        <w:t>В настоящее время о</w:t>
      </w:r>
      <w:r w:rsidRPr="00F0736F">
        <w:rPr>
          <w:rFonts w:ascii="Times New Roman" w:eastAsia="Calibri" w:hAnsi="Times New Roman" w:cs="Times New Roman"/>
          <w:color w:val="000000" w:themeColor="text1"/>
          <w:lang w:eastAsia="en-US"/>
        </w:rPr>
        <w:t>бщий забор подземных вод 2,4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/сут (15,3% от балансовых запасов) и в резерве для хозяйственно-питьевых нужд состоят запасы в количестве 13,3 млн. м</w:t>
      </w:r>
      <w:r w:rsidRPr="00F0736F">
        <w:rPr>
          <w:rFonts w:ascii="Times New Roman" w:eastAsia="Calibri" w:hAnsi="Times New Roman" w:cs="Times New Roman"/>
          <w:color w:val="000000" w:themeColor="text1"/>
          <w:vertAlign w:val="superscript"/>
          <w:lang w:eastAsia="en-US"/>
        </w:rPr>
        <w:t>3</w:t>
      </w:r>
      <w:r w:rsidRPr="00F0736F">
        <w:rPr>
          <w:rFonts w:ascii="Times New Roman" w:eastAsia="Calibri" w:hAnsi="Times New Roman" w:cs="Times New Roman"/>
          <w:color w:val="000000" w:themeColor="text1"/>
          <w:lang w:eastAsia="en-US"/>
        </w:rPr>
        <w:t xml:space="preserve">/сут. </w:t>
      </w:r>
      <w:r w:rsidRPr="00F0736F">
        <w:rPr>
          <w:rFonts w:ascii="Times New Roman" w:hAnsi="Times New Roman" w:cs="Times New Roman"/>
          <w:color w:val="000000" w:themeColor="text1"/>
        </w:rPr>
        <w:t>Наибольший отбор подземных вод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 в Алматинской (1,1) и Южно-Казахстанской (0,3) областях, наименьший – в Атырауской (0,001).</w:t>
      </w:r>
    </w:p>
    <w:p w14:paraId="0BA8E82A"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bCs/>
          <w:color w:val="000000" w:themeColor="text1"/>
        </w:rPr>
        <w:t>Общий объем гарантированных для использования водных ресурсов</w:t>
      </w:r>
      <w:r w:rsidRPr="00F0736F">
        <w:rPr>
          <w:rFonts w:ascii="Times New Roman" w:eastAsia="Calibri" w:hAnsi="Times New Roman" w:cs="Times New Roman"/>
          <w:color w:val="000000" w:themeColor="text1"/>
        </w:rPr>
        <w:t xml:space="preserve"> составляет 23,2 км</w:t>
      </w:r>
      <w:r w:rsidRPr="00F0736F">
        <w:rPr>
          <w:rFonts w:ascii="Times New Roman" w:eastAsia="Calibri" w:hAnsi="Times New Roman" w:cs="Times New Roman"/>
          <w:color w:val="000000" w:themeColor="text1"/>
          <w:vertAlign w:val="superscript"/>
        </w:rPr>
        <w:t>3</w:t>
      </w:r>
      <w:bookmarkStart w:id="5" w:name="z2881"/>
      <w:bookmarkEnd w:id="5"/>
      <w:r w:rsidRPr="00F0736F">
        <w:rPr>
          <w:rFonts w:ascii="Times New Roman" w:eastAsia="Calibri" w:hAnsi="Times New Roman" w:cs="Times New Roman"/>
          <w:color w:val="000000" w:themeColor="text1"/>
        </w:rPr>
        <w:t xml:space="preserve"> в год</w:t>
      </w:r>
      <w:r w:rsidRPr="00F0736F">
        <w:rPr>
          <w:rStyle w:val="a4"/>
          <w:rFonts w:ascii="Times New Roman" w:eastAsia="Calibri" w:hAnsi="Times New Roman" w:cs="Times New Roman"/>
          <w:color w:val="000000" w:themeColor="text1"/>
        </w:rPr>
        <w:footnoteReference w:id="7"/>
      </w:r>
      <w:r w:rsidRPr="00F0736F">
        <w:rPr>
          <w:rFonts w:ascii="Times New Roman" w:eastAsia="Calibri" w:hAnsi="Times New Roman" w:cs="Times New Roman"/>
          <w:color w:val="000000" w:themeColor="text1"/>
        </w:rPr>
        <w:t>, без учета вод, необходимых для использования в природоохранных целях и обеспечения обязательного перетока в сопредельные государства.</w:t>
      </w:r>
    </w:p>
    <w:p w14:paraId="69DF55DE" w14:textId="34C23092"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 xml:space="preserve">Проблема дефицита водных ресурсов возникает из-за неравномерности распределения воды во времени и пространстве, когда до 90% поверхностного стока приходится на весенние месяцы, и водные ресурсы сосредоточены в предгорных и горных областях востока и юго-востока страны. В засушливые годы уровень водообеспечения составляет 60%, а по отдельным регионам (Центральный Казахстан) всего 5 </w:t>
      </w:r>
      <w:r w:rsidR="00570E76"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10%, при этом дефицит приходится в основном на орошаемое земледелие. Особенно критическое положение складывается в бассейнах трансграничных</w:t>
      </w:r>
      <w:r w:rsidR="006C667B" w:rsidRPr="00F0736F">
        <w:rPr>
          <w:rFonts w:ascii="Times New Roman" w:eastAsia="Calibri" w:hAnsi="Times New Roman" w:cs="Times New Roman"/>
          <w:color w:val="000000" w:themeColor="text1"/>
        </w:rPr>
        <w:t xml:space="preserve"> рек: Сырдарьи (дефицит - 1,2-</w:t>
      </w:r>
      <w:r w:rsidRPr="00F0736F">
        <w:rPr>
          <w:rFonts w:ascii="Times New Roman" w:eastAsia="Calibri" w:hAnsi="Times New Roman" w:cs="Times New Roman"/>
          <w:color w:val="000000" w:themeColor="text1"/>
        </w:rPr>
        <w:t>3,5 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Урал (дефицит - до 1,7 км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Или, Шу, Талас. </w:t>
      </w:r>
    </w:p>
    <w:p w14:paraId="37EE11D9"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При неблагоприятных климатических и трансграничных гидрологических ситуациях в перспективе прогнозируется уменьшение поверхностного стока по Казахстану на 11,4 км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в год к 2040 году.</w:t>
      </w:r>
    </w:p>
    <w:p w14:paraId="432F7066" w14:textId="77777777" w:rsidR="00F674A4" w:rsidRPr="00F0736F" w:rsidRDefault="00F674A4" w:rsidP="008727D9">
      <w:pPr>
        <w:ind w:firstLine="709"/>
        <w:jc w:val="both"/>
        <w:rPr>
          <w:rFonts w:ascii="Calibri" w:hAnsi="Calibri"/>
          <w:color w:val="000000" w:themeColor="text1"/>
        </w:rPr>
      </w:pPr>
      <w:r w:rsidRPr="00F0736F">
        <w:rPr>
          <w:rFonts w:ascii="Times New Roman" w:eastAsia="Times New Roman" w:hAnsi="Times New Roman" w:cs="Times New Roman"/>
          <w:bCs/>
          <w:color w:val="000000" w:themeColor="text1"/>
          <w:lang w:eastAsia="ru-RU"/>
        </w:rPr>
        <w:t>Информация о</w:t>
      </w:r>
      <w:r w:rsidRPr="00F0736F">
        <w:rPr>
          <w:rFonts w:ascii="Times New Roman" w:eastAsia="Times New Roman" w:hAnsi="Times New Roman" w:cs="Times New Roman"/>
          <w:b/>
          <w:bCs/>
          <w:color w:val="000000" w:themeColor="text1"/>
          <w:lang w:eastAsia="ru-RU"/>
        </w:rPr>
        <w:t xml:space="preserve"> </w:t>
      </w:r>
      <w:r w:rsidRPr="00F0736F">
        <w:rPr>
          <w:rFonts w:ascii="Times New Roman" w:eastAsia="Times New Roman" w:hAnsi="Times New Roman" w:cs="Times New Roman"/>
          <w:color w:val="000000" w:themeColor="text1"/>
          <w:lang w:eastAsia="ru-RU"/>
        </w:rPr>
        <w:t>качественном состоянии водных ресурсов ежеквартально и ежегодно публикуется в информационных бюллетенях о состоянии окружающей среды в Республике Казахстан, выпускаемых РКГП «Казгидромет».</w:t>
      </w:r>
    </w:p>
    <w:p w14:paraId="0DF7C63C" w14:textId="64F89638" w:rsidR="00F674A4" w:rsidRPr="00F0736F" w:rsidRDefault="00F674A4" w:rsidP="008727D9">
      <w:pPr>
        <w:ind w:firstLine="709"/>
        <w:jc w:val="both"/>
        <w:rPr>
          <w:color w:val="000000" w:themeColor="text1"/>
        </w:rPr>
      </w:pPr>
      <w:r w:rsidRPr="00F0736F">
        <w:rPr>
          <w:rFonts w:ascii="Times New Roman" w:eastAsia="SimSun" w:hAnsi="Times New Roman" w:cs="Times New Roman"/>
          <w:b/>
          <w:bCs/>
          <w:color w:val="000000" w:themeColor="text1"/>
        </w:rPr>
        <w:t xml:space="preserve">Общий забор пресных вод </w:t>
      </w:r>
      <w:r w:rsidRPr="00F0736F">
        <w:rPr>
          <w:rFonts w:ascii="Times New Roman" w:eastAsia="SimSun" w:hAnsi="Times New Roman" w:cs="Times New Roman"/>
          <w:bCs/>
          <w:color w:val="000000" w:themeColor="text1"/>
        </w:rPr>
        <w:t>в Республике Казахстан постоянно растет с 22,5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в 2013 году до 25,3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в 2017 году, 23,5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w:t>
      </w:r>
      <w:r w:rsidR="003C214E" w:rsidRPr="00F0736F">
        <w:rPr>
          <w:rFonts w:ascii="Times New Roman" w:eastAsia="SimSun" w:hAnsi="Times New Roman" w:cs="Times New Roman"/>
          <w:bCs/>
          <w:color w:val="000000" w:themeColor="text1"/>
        </w:rPr>
        <w:t>-</w:t>
      </w:r>
      <w:r w:rsidRPr="00F0736F">
        <w:rPr>
          <w:rFonts w:ascii="Times New Roman" w:eastAsia="SimSun" w:hAnsi="Times New Roman" w:cs="Times New Roman"/>
          <w:bCs/>
          <w:color w:val="000000" w:themeColor="text1"/>
        </w:rPr>
        <w:t xml:space="preserve"> в 2018 году, </w:t>
      </w:r>
      <w:r w:rsidR="00967D9E" w:rsidRPr="00F0736F">
        <w:rPr>
          <w:rFonts w:ascii="Times New Roman" w:eastAsia="SimSun" w:hAnsi="Times New Roman" w:cs="Times New Roman"/>
          <w:bCs/>
          <w:color w:val="000000" w:themeColor="text1"/>
        </w:rPr>
        <w:t xml:space="preserve">в 2019 году </w:t>
      </w:r>
      <w:r w:rsidR="003C214E" w:rsidRPr="00F0736F">
        <w:rPr>
          <w:rFonts w:ascii="Times New Roman" w:eastAsia="SimSun" w:hAnsi="Times New Roman" w:cs="Times New Roman"/>
          <w:bCs/>
          <w:color w:val="000000" w:themeColor="text1"/>
        </w:rPr>
        <w:t>-</w:t>
      </w:r>
      <w:r w:rsidR="00967D9E" w:rsidRPr="00F0736F">
        <w:rPr>
          <w:rFonts w:ascii="Times New Roman" w:eastAsia="SimSun" w:hAnsi="Times New Roman" w:cs="Times New Roman"/>
          <w:bCs/>
          <w:color w:val="000000" w:themeColor="text1"/>
        </w:rPr>
        <w:t xml:space="preserve"> 25,</w:t>
      </w:r>
      <w:r w:rsidR="003B36BB" w:rsidRPr="00F0736F">
        <w:rPr>
          <w:rFonts w:ascii="Times New Roman" w:eastAsia="SimSun" w:hAnsi="Times New Roman" w:cs="Times New Roman"/>
          <w:bCs/>
          <w:color w:val="000000" w:themeColor="text1"/>
        </w:rPr>
        <w:t>4</w:t>
      </w:r>
      <w:r w:rsidR="00967D9E" w:rsidRPr="00F0736F">
        <w:rPr>
          <w:rFonts w:ascii="Times New Roman" w:eastAsia="SimSun" w:hAnsi="Times New Roman" w:cs="Times New Roman"/>
          <w:bCs/>
          <w:color w:val="000000" w:themeColor="text1"/>
        </w:rPr>
        <w:t xml:space="preserve"> км</w:t>
      </w:r>
      <w:r w:rsidR="00967D9E" w:rsidRPr="00F0736F">
        <w:rPr>
          <w:rFonts w:ascii="Times New Roman" w:eastAsia="SimSun" w:hAnsi="Times New Roman" w:cs="Times New Roman"/>
          <w:bCs/>
          <w:color w:val="000000" w:themeColor="text1"/>
          <w:vertAlign w:val="superscript"/>
        </w:rPr>
        <w:t>3</w:t>
      </w:r>
      <w:r w:rsidR="00967D9E" w:rsidRPr="00F0736F">
        <w:rPr>
          <w:rFonts w:ascii="Times New Roman" w:eastAsia="SimSun" w:hAnsi="Times New Roman" w:cs="Times New Roman"/>
          <w:bCs/>
          <w:color w:val="000000" w:themeColor="text1"/>
        </w:rPr>
        <w:t xml:space="preserve">. </w:t>
      </w:r>
      <w:r w:rsidRPr="00F0736F">
        <w:rPr>
          <w:rFonts w:ascii="Times New Roman" w:eastAsia="SimSun" w:hAnsi="Times New Roman" w:cs="Times New Roman"/>
          <w:bCs/>
          <w:color w:val="000000" w:themeColor="text1"/>
        </w:rPr>
        <w:t>Также растут и потери при транспортировке с 2,5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в 2013 году до 3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в 2017 году, 3,3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w:t>
      </w:r>
      <w:r w:rsidR="003C214E" w:rsidRPr="00F0736F">
        <w:rPr>
          <w:rFonts w:ascii="Times New Roman" w:eastAsia="SimSun" w:hAnsi="Times New Roman" w:cs="Times New Roman"/>
          <w:bCs/>
          <w:color w:val="000000" w:themeColor="text1"/>
        </w:rPr>
        <w:t>-</w:t>
      </w:r>
      <w:r w:rsidRPr="00F0736F">
        <w:rPr>
          <w:rFonts w:ascii="Times New Roman" w:eastAsia="SimSun" w:hAnsi="Times New Roman" w:cs="Times New Roman"/>
          <w:bCs/>
          <w:color w:val="000000" w:themeColor="text1"/>
        </w:rPr>
        <w:t xml:space="preserve"> в 2018 году</w:t>
      </w:r>
      <w:r w:rsidR="00967D9E" w:rsidRPr="00F0736F">
        <w:rPr>
          <w:rFonts w:ascii="Times New Roman" w:eastAsia="SimSun" w:hAnsi="Times New Roman" w:cs="Times New Roman"/>
          <w:bCs/>
          <w:color w:val="000000" w:themeColor="text1"/>
        </w:rPr>
        <w:t>, 3,2 км</w:t>
      </w:r>
      <w:r w:rsidR="00967D9E" w:rsidRPr="00F0736F">
        <w:rPr>
          <w:rFonts w:ascii="Times New Roman" w:eastAsia="SimSun" w:hAnsi="Times New Roman" w:cs="Times New Roman"/>
          <w:bCs/>
          <w:color w:val="000000" w:themeColor="text1"/>
          <w:vertAlign w:val="superscript"/>
        </w:rPr>
        <w:t>3</w:t>
      </w:r>
      <w:r w:rsidR="00967D9E" w:rsidRPr="00F0736F">
        <w:rPr>
          <w:rFonts w:ascii="Times New Roman" w:eastAsia="SimSun" w:hAnsi="Times New Roman" w:cs="Times New Roman"/>
          <w:bCs/>
          <w:color w:val="000000" w:themeColor="text1"/>
        </w:rPr>
        <w:t xml:space="preserve"> в 2019 году</w:t>
      </w:r>
      <w:r w:rsidRPr="00F0736F">
        <w:rPr>
          <w:rFonts w:ascii="Times New Roman" w:eastAsia="SimSun" w:hAnsi="Times New Roman" w:cs="Times New Roman"/>
          <w:bCs/>
          <w:color w:val="000000" w:themeColor="text1"/>
        </w:rPr>
        <w:t xml:space="preserve"> (таблица 1.1.</w:t>
      </w:r>
      <w:r w:rsidR="006C667B" w:rsidRPr="00F0736F">
        <w:rPr>
          <w:rFonts w:ascii="Times New Roman" w:eastAsia="SimSun" w:hAnsi="Times New Roman" w:cs="Times New Roman"/>
          <w:bCs/>
          <w:color w:val="000000" w:themeColor="text1"/>
        </w:rPr>
        <w:t>2</w:t>
      </w:r>
      <w:r w:rsidR="00C86DCB" w:rsidRPr="00F0736F">
        <w:rPr>
          <w:rFonts w:ascii="Times New Roman" w:eastAsia="SimSun" w:hAnsi="Times New Roman" w:cs="Times New Roman"/>
          <w:bCs/>
          <w:color w:val="000000" w:themeColor="text1"/>
        </w:rPr>
        <w:t>.</w:t>
      </w:r>
      <w:r w:rsidRPr="00F0736F">
        <w:rPr>
          <w:rFonts w:ascii="Times New Roman" w:eastAsia="SimSun" w:hAnsi="Times New Roman" w:cs="Times New Roman"/>
          <w:bCs/>
          <w:color w:val="000000" w:themeColor="text1"/>
        </w:rPr>
        <w:t xml:space="preserve"> рис.1.1.1</w:t>
      </w:r>
      <w:r w:rsidR="00C86DCB" w:rsidRPr="00F0736F">
        <w:rPr>
          <w:rFonts w:ascii="Times New Roman" w:eastAsia="SimSun" w:hAnsi="Times New Roman" w:cs="Times New Roman"/>
          <w:bCs/>
          <w:color w:val="000000" w:themeColor="text1"/>
        </w:rPr>
        <w:t>.</w:t>
      </w:r>
      <w:r w:rsidRPr="00F0736F">
        <w:rPr>
          <w:rFonts w:ascii="Times New Roman" w:eastAsia="SimSun" w:hAnsi="Times New Roman" w:cs="Times New Roman"/>
          <w:bCs/>
          <w:color w:val="000000" w:themeColor="text1"/>
        </w:rPr>
        <w:t>).</w:t>
      </w:r>
    </w:p>
    <w:p w14:paraId="757CA2B7" w14:textId="5557B5C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Основная доля использования воды </w:t>
      </w:r>
      <w:r w:rsidR="003B36BB" w:rsidRPr="00F0736F">
        <w:rPr>
          <w:rFonts w:ascii="Times New Roman" w:hAnsi="Times New Roman" w:cs="Times New Roman"/>
          <w:color w:val="000000" w:themeColor="text1"/>
        </w:rPr>
        <w:t xml:space="preserve">в 2019 году </w:t>
      </w:r>
      <w:r w:rsidRPr="00F0736F">
        <w:rPr>
          <w:rFonts w:ascii="Times New Roman" w:hAnsi="Times New Roman" w:cs="Times New Roman"/>
          <w:color w:val="000000" w:themeColor="text1"/>
        </w:rPr>
        <w:t>приходится на сел</w:t>
      </w:r>
      <w:r w:rsidR="006C667B" w:rsidRPr="00F0736F">
        <w:rPr>
          <w:rFonts w:ascii="Times New Roman" w:hAnsi="Times New Roman" w:cs="Times New Roman"/>
          <w:color w:val="000000" w:themeColor="text1"/>
        </w:rPr>
        <w:t xml:space="preserve">ьскохозяйственное производство </w:t>
      </w:r>
      <w:r w:rsidR="003C214E" w:rsidRPr="00F0736F">
        <w:rPr>
          <w:rFonts w:ascii="Times New Roman" w:hAnsi="Times New Roman" w:cs="Times New Roman"/>
          <w:color w:val="000000" w:themeColor="text1"/>
        </w:rPr>
        <w:t>-</w:t>
      </w:r>
      <w:r w:rsidR="006C667B" w:rsidRPr="00F0736F">
        <w:rPr>
          <w:rFonts w:ascii="Times New Roman" w:hAnsi="Times New Roman" w:cs="Times New Roman"/>
          <w:color w:val="000000" w:themeColor="text1"/>
        </w:rPr>
        <w:t xml:space="preserve"> </w:t>
      </w:r>
      <w:r w:rsidR="003B36BB" w:rsidRPr="00F0736F">
        <w:rPr>
          <w:rFonts w:ascii="Times New Roman" w:hAnsi="Times New Roman" w:cs="Times New Roman"/>
          <w:color w:val="000000" w:themeColor="text1"/>
        </w:rPr>
        <w:t>62,4</w:t>
      </w:r>
      <w:r w:rsidRPr="00F0736F">
        <w:rPr>
          <w:rFonts w:ascii="Times New Roman" w:hAnsi="Times New Roman" w:cs="Times New Roman"/>
          <w:color w:val="000000" w:themeColor="text1"/>
        </w:rPr>
        <w:t>% от общего объема водопотребления в стране.</w:t>
      </w:r>
    </w:p>
    <w:p w14:paraId="497B4C27" w14:textId="77777777" w:rsidR="00F674A4" w:rsidRPr="00F0736F" w:rsidRDefault="00F674A4" w:rsidP="008727D9">
      <w:pPr>
        <w:ind w:firstLine="709"/>
        <w:jc w:val="both"/>
        <w:rPr>
          <w:rFonts w:ascii="Times New Roman" w:hAnsi="Times New Roman" w:cs="Times New Roman"/>
          <w:color w:val="000000" w:themeColor="text1"/>
        </w:rPr>
      </w:pPr>
    </w:p>
    <w:p w14:paraId="1A254FC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1.1.</w:t>
      </w:r>
      <w:r w:rsidR="006C667B" w:rsidRPr="00F0736F">
        <w:rPr>
          <w:rFonts w:ascii="Times New Roman" w:hAnsi="Times New Roman" w:cs="Times New Roman"/>
          <w:color w:val="000000" w:themeColor="text1"/>
        </w:rPr>
        <w:t>2</w:t>
      </w:r>
      <w:r w:rsidRPr="00F0736F">
        <w:rPr>
          <w:rFonts w:ascii="Times New Roman" w:hAnsi="Times New Roman" w:cs="Times New Roman"/>
          <w:color w:val="000000" w:themeColor="text1"/>
        </w:rPr>
        <w:t>. Забор пресной воды</w:t>
      </w:r>
      <w:r w:rsidRPr="00F0736F">
        <w:rPr>
          <w:rStyle w:val="a4"/>
          <w:rFonts w:ascii="Times New Roman" w:hAnsi="Times New Roman" w:cs="Times New Roman"/>
          <w:color w:val="000000" w:themeColor="text1"/>
        </w:rPr>
        <w:footnoteReference w:id="8"/>
      </w:r>
      <w:r w:rsidRPr="00F0736F">
        <w:rPr>
          <w:rStyle w:val="a4"/>
          <w:rFonts w:ascii="Times New Roman" w:hAnsi="Times New Roman" w:cs="Times New Roman"/>
          <w:color w:val="000000" w:themeColor="text1"/>
          <w:sz w:val="20"/>
          <w:szCs w:val="20"/>
        </w:rPr>
        <w:t xml:space="preserve"> </w:t>
      </w:r>
    </w:p>
    <w:p w14:paraId="2473714C" w14:textId="77777777" w:rsidR="00F674A4" w:rsidRPr="00F0736F" w:rsidRDefault="00F674A4" w:rsidP="008727D9">
      <w:pPr>
        <w:ind w:firstLine="709"/>
        <w:jc w:val="both"/>
        <w:rPr>
          <w:color w:val="000000" w:themeColor="text1"/>
        </w:rPr>
      </w:pPr>
    </w:p>
    <w:tbl>
      <w:tblPr>
        <w:tblW w:w="9853" w:type="dxa"/>
        <w:tblInd w:w="5" w:type="dxa"/>
        <w:tblLayout w:type="fixed"/>
        <w:tblCellMar>
          <w:left w:w="0" w:type="dxa"/>
          <w:right w:w="0" w:type="dxa"/>
        </w:tblCellMar>
        <w:tblLook w:val="0000" w:firstRow="0" w:lastRow="0" w:firstColumn="0" w:lastColumn="0" w:noHBand="0" w:noVBand="0"/>
      </w:tblPr>
      <w:tblGrid>
        <w:gridCol w:w="4668"/>
        <w:gridCol w:w="1200"/>
        <w:gridCol w:w="1185"/>
        <w:gridCol w:w="1470"/>
        <w:gridCol w:w="1330"/>
      </w:tblGrid>
      <w:tr w:rsidR="00F0736F" w:rsidRPr="00F0736F" w14:paraId="4820EA9C" w14:textId="77777777" w:rsidTr="003C214E">
        <w:trPr>
          <w:trHeight w:val="315"/>
        </w:trPr>
        <w:tc>
          <w:tcPr>
            <w:tcW w:w="4668" w:type="dxa"/>
            <w:vMerge w:val="restart"/>
            <w:tcBorders>
              <w:top w:val="single" w:sz="4" w:space="0" w:color="000000"/>
              <w:left w:val="single" w:sz="4" w:space="0" w:color="000000"/>
              <w:bottom w:val="single" w:sz="4" w:space="0" w:color="000000"/>
            </w:tcBorders>
            <w:shd w:val="clear" w:color="auto" w:fill="auto"/>
            <w:vAlign w:val="center"/>
          </w:tcPr>
          <w:p w14:paraId="7BCE33D1" w14:textId="77777777" w:rsidR="000F1975" w:rsidRPr="00F0736F" w:rsidRDefault="000F1975" w:rsidP="003C214E">
            <w:pPr>
              <w:jc w:val="center"/>
              <w:rPr>
                <w:rFonts w:ascii="Times New Roman" w:hAnsi="Times New Roman" w:cs="Times New Roman"/>
                <w:color w:val="000000" w:themeColor="text1"/>
                <w:lang w:val="en-US"/>
              </w:rPr>
            </w:pPr>
            <w:r w:rsidRPr="00F0736F">
              <w:rPr>
                <w:rFonts w:ascii="Times New Roman" w:hAnsi="Times New Roman" w:cs="Times New Roman"/>
                <w:color w:val="000000" w:themeColor="text1"/>
                <w:sz w:val="20"/>
                <w:szCs w:val="20"/>
              </w:rPr>
              <w:t>Показатели</w:t>
            </w:r>
          </w:p>
        </w:tc>
        <w:tc>
          <w:tcPr>
            <w:tcW w:w="1200" w:type="dxa"/>
            <w:vMerge w:val="restart"/>
            <w:tcBorders>
              <w:top w:val="single" w:sz="4" w:space="0" w:color="000000"/>
              <w:left w:val="single" w:sz="4" w:space="0" w:color="000000"/>
              <w:bottom w:val="single" w:sz="4" w:space="0" w:color="000000"/>
            </w:tcBorders>
            <w:shd w:val="clear" w:color="auto" w:fill="auto"/>
            <w:vAlign w:val="center"/>
          </w:tcPr>
          <w:p w14:paraId="30A6D682"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Единица</w:t>
            </w:r>
          </w:p>
        </w:tc>
        <w:tc>
          <w:tcPr>
            <w:tcW w:w="3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7FFD31"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Годы</w:t>
            </w:r>
          </w:p>
        </w:tc>
      </w:tr>
      <w:tr w:rsidR="00F0736F" w:rsidRPr="00F0736F" w14:paraId="74F87EFE" w14:textId="77777777" w:rsidTr="003C214E">
        <w:trPr>
          <w:trHeight w:val="315"/>
        </w:trPr>
        <w:tc>
          <w:tcPr>
            <w:tcW w:w="4668" w:type="dxa"/>
            <w:vMerge/>
            <w:tcBorders>
              <w:top w:val="single" w:sz="4" w:space="0" w:color="000000"/>
              <w:left w:val="single" w:sz="4" w:space="0" w:color="000000"/>
              <w:bottom w:val="single" w:sz="4" w:space="0" w:color="000000"/>
            </w:tcBorders>
            <w:shd w:val="clear" w:color="auto" w:fill="auto"/>
            <w:vAlign w:val="center"/>
          </w:tcPr>
          <w:p w14:paraId="31D54A26" w14:textId="77777777" w:rsidR="000F1975" w:rsidRPr="00F0736F" w:rsidRDefault="000F1975" w:rsidP="00FC5967">
            <w:pPr>
              <w:snapToGrid w:val="0"/>
              <w:rPr>
                <w:rFonts w:ascii="Times New Roman" w:hAnsi="Times New Roman" w:cs="Times New Roman"/>
                <w:color w:val="000000" w:themeColor="text1"/>
                <w:sz w:val="20"/>
                <w:szCs w:val="20"/>
              </w:rPr>
            </w:pPr>
          </w:p>
        </w:tc>
        <w:tc>
          <w:tcPr>
            <w:tcW w:w="1200" w:type="dxa"/>
            <w:vMerge/>
            <w:tcBorders>
              <w:top w:val="single" w:sz="4" w:space="0" w:color="000000"/>
              <w:left w:val="single" w:sz="4" w:space="0" w:color="000000"/>
              <w:bottom w:val="single" w:sz="4" w:space="0" w:color="000000"/>
            </w:tcBorders>
            <w:shd w:val="clear" w:color="auto" w:fill="auto"/>
            <w:vAlign w:val="center"/>
          </w:tcPr>
          <w:p w14:paraId="5E8A67B9" w14:textId="77777777" w:rsidR="000F1975" w:rsidRPr="00F0736F" w:rsidRDefault="000F1975" w:rsidP="00FC5967">
            <w:pPr>
              <w:snapToGrid w:val="0"/>
              <w:jc w:val="center"/>
              <w:rPr>
                <w:rFonts w:ascii="Times New Roman" w:hAnsi="Times New Roman" w:cs="Times New Roman"/>
                <w:color w:val="000000" w:themeColor="text1"/>
                <w:sz w:val="20"/>
                <w:szCs w:val="20"/>
              </w:rPr>
            </w:pPr>
          </w:p>
        </w:tc>
        <w:tc>
          <w:tcPr>
            <w:tcW w:w="1185" w:type="dxa"/>
            <w:tcBorders>
              <w:left w:val="single" w:sz="4" w:space="0" w:color="000000"/>
              <w:bottom w:val="single" w:sz="4" w:space="0" w:color="000000"/>
            </w:tcBorders>
            <w:shd w:val="clear" w:color="auto" w:fill="auto"/>
            <w:vAlign w:val="center"/>
          </w:tcPr>
          <w:p w14:paraId="7EBA0ED4"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2017</w:t>
            </w:r>
          </w:p>
        </w:tc>
        <w:tc>
          <w:tcPr>
            <w:tcW w:w="1470" w:type="dxa"/>
            <w:tcBorders>
              <w:left w:val="single" w:sz="4" w:space="0" w:color="000000"/>
              <w:bottom w:val="single" w:sz="4" w:space="0" w:color="000000"/>
            </w:tcBorders>
            <w:shd w:val="clear" w:color="auto" w:fill="auto"/>
            <w:vAlign w:val="center"/>
          </w:tcPr>
          <w:p w14:paraId="42D7C710"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2018</w:t>
            </w:r>
          </w:p>
        </w:tc>
        <w:tc>
          <w:tcPr>
            <w:tcW w:w="1330" w:type="dxa"/>
            <w:tcBorders>
              <w:left w:val="single" w:sz="4" w:space="0" w:color="000000"/>
              <w:bottom w:val="single" w:sz="4" w:space="0" w:color="000000"/>
              <w:right w:val="single" w:sz="4" w:space="0" w:color="000000"/>
            </w:tcBorders>
            <w:shd w:val="clear" w:color="auto" w:fill="auto"/>
          </w:tcPr>
          <w:p w14:paraId="6AFC87F4" w14:textId="77777777" w:rsidR="000F1975" w:rsidRPr="00F0736F" w:rsidRDefault="000F1975" w:rsidP="00FC5967">
            <w:pPr>
              <w:snapToGrid w:val="0"/>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2019</w:t>
            </w:r>
          </w:p>
        </w:tc>
      </w:tr>
      <w:tr w:rsidR="00F0736F" w:rsidRPr="00F0736F" w14:paraId="2E767242" w14:textId="77777777" w:rsidTr="003C214E">
        <w:trPr>
          <w:trHeight w:val="315"/>
        </w:trPr>
        <w:tc>
          <w:tcPr>
            <w:tcW w:w="4668" w:type="dxa"/>
            <w:tcBorders>
              <w:left w:val="single" w:sz="4" w:space="0" w:color="000000"/>
              <w:bottom w:val="single" w:sz="4" w:space="0" w:color="000000"/>
            </w:tcBorders>
            <w:shd w:val="clear" w:color="auto" w:fill="auto"/>
            <w:vAlign w:val="bottom"/>
          </w:tcPr>
          <w:p w14:paraId="7C2CD114"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поверхностных вод*</w:t>
            </w:r>
          </w:p>
        </w:tc>
        <w:tc>
          <w:tcPr>
            <w:tcW w:w="1200" w:type="dxa"/>
            <w:tcBorders>
              <w:left w:val="single" w:sz="4" w:space="0" w:color="000000"/>
              <w:bottom w:val="single" w:sz="4" w:space="0" w:color="000000"/>
            </w:tcBorders>
            <w:shd w:val="clear" w:color="auto" w:fill="auto"/>
            <w:vAlign w:val="center"/>
          </w:tcPr>
          <w:p w14:paraId="5E5DE161"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529C1C7B" w14:textId="69CB587D"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422</w:t>
            </w:r>
          </w:p>
        </w:tc>
        <w:tc>
          <w:tcPr>
            <w:tcW w:w="1470" w:type="dxa"/>
            <w:tcBorders>
              <w:left w:val="single" w:sz="4" w:space="0" w:color="000000"/>
              <w:bottom w:val="single" w:sz="4" w:space="0" w:color="000000"/>
            </w:tcBorders>
            <w:shd w:val="clear" w:color="auto" w:fill="auto"/>
            <w:vAlign w:val="center"/>
          </w:tcPr>
          <w:p w14:paraId="49FD7725" w14:textId="35DE3C29"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22</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522</w:t>
            </w:r>
          </w:p>
        </w:tc>
        <w:tc>
          <w:tcPr>
            <w:tcW w:w="1330" w:type="dxa"/>
            <w:tcBorders>
              <w:left w:val="single" w:sz="4" w:space="0" w:color="000000"/>
              <w:bottom w:val="single" w:sz="4" w:space="0" w:color="000000"/>
              <w:right w:val="single" w:sz="4" w:space="0" w:color="000000"/>
            </w:tcBorders>
            <w:shd w:val="clear" w:color="auto" w:fill="auto"/>
            <w:vAlign w:val="center"/>
          </w:tcPr>
          <w:p w14:paraId="1BD0A5D4" w14:textId="66FD6846"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22</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495,1</w:t>
            </w:r>
          </w:p>
        </w:tc>
      </w:tr>
      <w:tr w:rsidR="00F0736F" w:rsidRPr="00F0736F" w14:paraId="620B87B2" w14:textId="77777777" w:rsidTr="003C214E">
        <w:trPr>
          <w:trHeight w:val="169"/>
        </w:trPr>
        <w:tc>
          <w:tcPr>
            <w:tcW w:w="4668" w:type="dxa"/>
            <w:tcBorders>
              <w:left w:val="single" w:sz="4" w:space="0" w:color="000000"/>
              <w:bottom w:val="single" w:sz="4" w:space="0" w:color="000000"/>
            </w:tcBorders>
            <w:shd w:val="clear" w:color="auto" w:fill="auto"/>
            <w:vAlign w:val="bottom"/>
          </w:tcPr>
          <w:p w14:paraId="110A2951"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подземных вод**</w:t>
            </w:r>
          </w:p>
        </w:tc>
        <w:tc>
          <w:tcPr>
            <w:tcW w:w="1200" w:type="dxa"/>
            <w:tcBorders>
              <w:left w:val="single" w:sz="4" w:space="0" w:color="000000"/>
              <w:bottom w:val="single" w:sz="4" w:space="0" w:color="000000"/>
            </w:tcBorders>
            <w:shd w:val="clear" w:color="auto" w:fill="auto"/>
            <w:vAlign w:val="center"/>
          </w:tcPr>
          <w:p w14:paraId="4DDFCC03"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1DA262CA" w14:textId="390EAE85"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032</w:t>
            </w:r>
          </w:p>
        </w:tc>
        <w:tc>
          <w:tcPr>
            <w:tcW w:w="1470" w:type="dxa"/>
            <w:tcBorders>
              <w:left w:val="single" w:sz="4" w:space="0" w:color="000000"/>
              <w:bottom w:val="single" w:sz="4" w:space="0" w:color="000000"/>
            </w:tcBorders>
            <w:shd w:val="clear" w:color="auto" w:fill="auto"/>
            <w:vAlign w:val="center"/>
          </w:tcPr>
          <w:p w14:paraId="79B48EBC" w14:textId="29B6D440"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020</w:t>
            </w:r>
          </w:p>
        </w:tc>
        <w:tc>
          <w:tcPr>
            <w:tcW w:w="1330" w:type="dxa"/>
            <w:tcBorders>
              <w:left w:val="single" w:sz="4" w:space="0" w:color="000000"/>
              <w:bottom w:val="single" w:sz="4" w:space="0" w:color="000000"/>
              <w:right w:val="single" w:sz="4" w:space="0" w:color="000000"/>
            </w:tcBorders>
            <w:shd w:val="clear" w:color="auto" w:fill="auto"/>
            <w:vAlign w:val="center"/>
          </w:tcPr>
          <w:p w14:paraId="1ED4BAB6" w14:textId="22962E42"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070,9</w:t>
            </w:r>
          </w:p>
        </w:tc>
      </w:tr>
      <w:tr w:rsidR="00F0736F" w:rsidRPr="00F0736F" w14:paraId="496C7256" w14:textId="77777777" w:rsidTr="003C214E">
        <w:trPr>
          <w:trHeight w:val="80"/>
        </w:trPr>
        <w:tc>
          <w:tcPr>
            <w:tcW w:w="4668" w:type="dxa"/>
            <w:tcBorders>
              <w:left w:val="single" w:sz="4" w:space="0" w:color="000000"/>
              <w:bottom w:val="single" w:sz="4" w:space="0" w:color="000000"/>
            </w:tcBorders>
            <w:shd w:val="clear" w:color="auto" w:fill="auto"/>
            <w:vAlign w:val="center"/>
          </w:tcPr>
          <w:p w14:paraId="6F619E9D"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пресной воды (всего)</w:t>
            </w:r>
          </w:p>
        </w:tc>
        <w:tc>
          <w:tcPr>
            <w:tcW w:w="1200" w:type="dxa"/>
            <w:tcBorders>
              <w:left w:val="single" w:sz="4" w:space="0" w:color="000000"/>
              <w:bottom w:val="single" w:sz="4" w:space="0" w:color="000000"/>
            </w:tcBorders>
            <w:shd w:val="clear" w:color="auto" w:fill="auto"/>
            <w:vAlign w:val="center"/>
          </w:tcPr>
          <w:p w14:paraId="0F0EDCE8"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483D6B1A" w14:textId="0349E881"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22</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454</w:t>
            </w:r>
          </w:p>
        </w:tc>
        <w:tc>
          <w:tcPr>
            <w:tcW w:w="1470" w:type="dxa"/>
            <w:tcBorders>
              <w:left w:val="single" w:sz="4" w:space="0" w:color="000000"/>
              <w:bottom w:val="single" w:sz="4" w:space="0" w:color="000000"/>
            </w:tcBorders>
            <w:shd w:val="clear" w:color="auto" w:fill="auto"/>
            <w:vAlign w:val="center"/>
          </w:tcPr>
          <w:p w14:paraId="77428E79" w14:textId="65F96F8B"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23</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542</w:t>
            </w:r>
          </w:p>
        </w:tc>
        <w:tc>
          <w:tcPr>
            <w:tcW w:w="1330" w:type="dxa"/>
            <w:tcBorders>
              <w:left w:val="single" w:sz="4" w:space="0" w:color="000000"/>
              <w:bottom w:val="single" w:sz="4" w:space="0" w:color="000000"/>
              <w:right w:val="single" w:sz="4" w:space="0" w:color="000000"/>
            </w:tcBorders>
            <w:shd w:val="clear" w:color="auto" w:fill="auto"/>
            <w:vAlign w:val="center"/>
          </w:tcPr>
          <w:p w14:paraId="4F60A37B" w14:textId="767951DF"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516</w:t>
            </w:r>
          </w:p>
        </w:tc>
      </w:tr>
      <w:tr w:rsidR="00F0736F" w:rsidRPr="00F0736F" w14:paraId="6962414B" w14:textId="77777777" w:rsidTr="003C214E">
        <w:trPr>
          <w:trHeight w:val="70"/>
        </w:trPr>
        <w:tc>
          <w:tcPr>
            <w:tcW w:w="4668" w:type="dxa"/>
            <w:tcBorders>
              <w:left w:val="single" w:sz="4" w:space="0" w:color="000000"/>
              <w:bottom w:val="single" w:sz="4" w:space="0" w:color="000000"/>
            </w:tcBorders>
            <w:shd w:val="clear" w:color="auto" w:fill="auto"/>
            <w:vAlign w:val="center"/>
          </w:tcPr>
          <w:p w14:paraId="606B201C"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пресной воды домашними хозяйствами</w:t>
            </w:r>
          </w:p>
        </w:tc>
        <w:tc>
          <w:tcPr>
            <w:tcW w:w="1200" w:type="dxa"/>
            <w:tcBorders>
              <w:left w:val="single" w:sz="4" w:space="0" w:color="000000"/>
              <w:bottom w:val="single" w:sz="4" w:space="0" w:color="000000"/>
            </w:tcBorders>
            <w:shd w:val="clear" w:color="auto" w:fill="auto"/>
            <w:vAlign w:val="center"/>
          </w:tcPr>
          <w:p w14:paraId="08BBCE55"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27E74588"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929</w:t>
            </w:r>
          </w:p>
        </w:tc>
        <w:tc>
          <w:tcPr>
            <w:tcW w:w="1470" w:type="dxa"/>
            <w:tcBorders>
              <w:left w:val="single" w:sz="4" w:space="0" w:color="000000"/>
              <w:bottom w:val="single" w:sz="4" w:space="0" w:color="000000"/>
            </w:tcBorders>
            <w:shd w:val="clear" w:color="auto" w:fill="auto"/>
            <w:vAlign w:val="center"/>
          </w:tcPr>
          <w:p w14:paraId="6E634427"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172</w:t>
            </w:r>
          </w:p>
        </w:tc>
        <w:tc>
          <w:tcPr>
            <w:tcW w:w="1330" w:type="dxa"/>
            <w:tcBorders>
              <w:left w:val="single" w:sz="4" w:space="0" w:color="000000"/>
              <w:bottom w:val="single" w:sz="4" w:space="0" w:color="000000"/>
              <w:right w:val="single" w:sz="4" w:space="0" w:color="000000"/>
            </w:tcBorders>
            <w:shd w:val="clear" w:color="auto" w:fill="auto"/>
            <w:vAlign w:val="center"/>
          </w:tcPr>
          <w:p w14:paraId="713A6C86" w14:textId="77777777"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911</w:t>
            </w:r>
          </w:p>
        </w:tc>
      </w:tr>
      <w:tr w:rsidR="00F0736F" w:rsidRPr="00F0736F" w14:paraId="43B15180" w14:textId="77777777" w:rsidTr="003C214E">
        <w:trPr>
          <w:trHeight w:val="332"/>
        </w:trPr>
        <w:tc>
          <w:tcPr>
            <w:tcW w:w="4668" w:type="dxa"/>
            <w:tcBorders>
              <w:left w:val="single" w:sz="4" w:space="0" w:color="000000"/>
              <w:bottom w:val="single" w:sz="4" w:space="0" w:color="000000"/>
            </w:tcBorders>
            <w:shd w:val="clear" w:color="auto" w:fill="auto"/>
            <w:vAlign w:val="center"/>
          </w:tcPr>
          <w:p w14:paraId="796FDABF"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пресной воды сельским хозяйством, лесным хозяйством и рыболовством</w:t>
            </w:r>
          </w:p>
        </w:tc>
        <w:tc>
          <w:tcPr>
            <w:tcW w:w="1200" w:type="dxa"/>
            <w:tcBorders>
              <w:left w:val="single" w:sz="4" w:space="0" w:color="000000"/>
              <w:bottom w:val="single" w:sz="4" w:space="0" w:color="000000"/>
            </w:tcBorders>
            <w:shd w:val="clear" w:color="auto" w:fill="auto"/>
            <w:vAlign w:val="center"/>
          </w:tcPr>
          <w:p w14:paraId="5327BEEE"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36D49FE1" w14:textId="45695B94"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16</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272</w:t>
            </w:r>
          </w:p>
        </w:tc>
        <w:tc>
          <w:tcPr>
            <w:tcW w:w="1470" w:type="dxa"/>
            <w:tcBorders>
              <w:left w:val="single" w:sz="4" w:space="0" w:color="000000"/>
              <w:bottom w:val="single" w:sz="4" w:space="0" w:color="000000"/>
            </w:tcBorders>
            <w:shd w:val="clear" w:color="auto" w:fill="auto"/>
            <w:vAlign w:val="center"/>
          </w:tcPr>
          <w:p w14:paraId="16065867" w14:textId="2D390E99"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14</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968</w:t>
            </w:r>
          </w:p>
        </w:tc>
        <w:tc>
          <w:tcPr>
            <w:tcW w:w="1330" w:type="dxa"/>
            <w:tcBorders>
              <w:left w:val="single" w:sz="4" w:space="0" w:color="000000"/>
              <w:bottom w:val="single" w:sz="4" w:space="0" w:color="000000"/>
              <w:right w:val="single" w:sz="4" w:space="0" w:color="000000"/>
            </w:tcBorders>
            <w:shd w:val="clear" w:color="auto" w:fill="auto"/>
            <w:vAlign w:val="center"/>
          </w:tcPr>
          <w:p w14:paraId="0C7A1CD8" w14:textId="2746C52F" w:rsidR="000F1975" w:rsidRPr="00F0736F" w:rsidRDefault="000F1975" w:rsidP="00FC5967">
            <w:pPr>
              <w:snapToGrid w:val="0"/>
              <w:jc w:val="center"/>
              <w:rPr>
                <w:rFonts w:ascii="Times New Roman" w:hAnsi="Times New Roman" w:cs="Times New Roman"/>
                <w:color w:val="000000" w:themeColor="text1"/>
                <w:sz w:val="20"/>
                <w:szCs w:val="20"/>
                <w:lang w:val="en-US"/>
              </w:rPr>
            </w:pPr>
            <w:r w:rsidRPr="00F0736F">
              <w:rPr>
                <w:rFonts w:ascii="Times New Roman" w:hAnsi="Times New Roman" w:cs="Times New Roman"/>
                <w:color w:val="000000" w:themeColor="text1"/>
                <w:sz w:val="20"/>
                <w:szCs w:val="20"/>
              </w:rPr>
              <w:t>13</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178</w:t>
            </w:r>
          </w:p>
        </w:tc>
      </w:tr>
      <w:tr w:rsidR="00F0736F" w:rsidRPr="00F0736F" w14:paraId="4D589D31" w14:textId="77777777" w:rsidTr="003C214E">
        <w:trPr>
          <w:trHeight w:val="377"/>
        </w:trPr>
        <w:tc>
          <w:tcPr>
            <w:tcW w:w="4668" w:type="dxa"/>
            <w:tcBorders>
              <w:left w:val="single" w:sz="4" w:space="0" w:color="000000"/>
              <w:bottom w:val="single" w:sz="4" w:space="0" w:color="000000"/>
            </w:tcBorders>
            <w:shd w:val="clear" w:color="auto" w:fill="auto"/>
            <w:vAlign w:val="center"/>
          </w:tcPr>
          <w:p w14:paraId="04907CD6"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из них использовано в целях сельскохозяйственной ирригации</w:t>
            </w:r>
          </w:p>
        </w:tc>
        <w:tc>
          <w:tcPr>
            <w:tcW w:w="1200" w:type="dxa"/>
            <w:tcBorders>
              <w:left w:val="single" w:sz="4" w:space="0" w:color="000000"/>
              <w:bottom w:val="single" w:sz="4" w:space="0" w:color="000000"/>
            </w:tcBorders>
            <w:shd w:val="clear" w:color="auto" w:fill="auto"/>
            <w:vAlign w:val="center"/>
          </w:tcPr>
          <w:p w14:paraId="3611CF58"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644C463F"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713</w:t>
            </w:r>
          </w:p>
        </w:tc>
        <w:tc>
          <w:tcPr>
            <w:tcW w:w="1470" w:type="dxa"/>
            <w:tcBorders>
              <w:left w:val="single" w:sz="4" w:space="0" w:color="000000"/>
              <w:bottom w:val="single" w:sz="4" w:space="0" w:color="000000"/>
            </w:tcBorders>
            <w:shd w:val="clear" w:color="auto" w:fill="auto"/>
            <w:vAlign w:val="center"/>
          </w:tcPr>
          <w:p w14:paraId="5D2FD293" w14:textId="00F1DB0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11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974</w:t>
            </w:r>
          </w:p>
        </w:tc>
        <w:tc>
          <w:tcPr>
            <w:tcW w:w="1330" w:type="dxa"/>
            <w:tcBorders>
              <w:left w:val="single" w:sz="4" w:space="0" w:color="000000"/>
              <w:bottom w:val="single" w:sz="4" w:space="0" w:color="000000"/>
              <w:right w:val="single" w:sz="4" w:space="0" w:color="000000"/>
            </w:tcBorders>
            <w:shd w:val="clear" w:color="auto" w:fill="auto"/>
            <w:vAlign w:val="center"/>
          </w:tcPr>
          <w:p w14:paraId="0EAE3CA1" w14:textId="61076893"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300</w:t>
            </w:r>
          </w:p>
        </w:tc>
      </w:tr>
      <w:tr w:rsidR="00F0736F" w:rsidRPr="00F0736F" w14:paraId="60C691A6" w14:textId="77777777" w:rsidTr="003C214E">
        <w:trPr>
          <w:trHeight w:val="409"/>
        </w:trPr>
        <w:tc>
          <w:tcPr>
            <w:tcW w:w="4668" w:type="dxa"/>
            <w:tcBorders>
              <w:left w:val="single" w:sz="4" w:space="0" w:color="000000"/>
              <w:bottom w:val="single" w:sz="4" w:space="0" w:color="000000"/>
            </w:tcBorders>
            <w:shd w:val="clear" w:color="auto" w:fill="auto"/>
            <w:vAlign w:val="center"/>
          </w:tcPr>
          <w:p w14:paraId="5B933D30"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пресной воды обрабатывающей промышленностью и предприятиями электроэнергетики</w:t>
            </w:r>
          </w:p>
        </w:tc>
        <w:tc>
          <w:tcPr>
            <w:tcW w:w="1200" w:type="dxa"/>
            <w:tcBorders>
              <w:left w:val="single" w:sz="4" w:space="0" w:color="000000"/>
              <w:bottom w:val="single" w:sz="4" w:space="0" w:color="000000"/>
            </w:tcBorders>
            <w:shd w:val="clear" w:color="auto" w:fill="auto"/>
            <w:vAlign w:val="center"/>
          </w:tcPr>
          <w:p w14:paraId="3A9F32DB"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086EBBED" w14:textId="75EB17E1"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5</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421</w:t>
            </w:r>
          </w:p>
        </w:tc>
        <w:tc>
          <w:tcPr>
            <w:tcW w:w="1470" w:type="dxa"/>
            <w:tcBorders>
              <w:left w:val="single" w:sz="4" w:space="0" w:color="000000"/>
              <w:bottom w:val="single" w:sz="4" w:space="0" w:color="000000"/>
            </w:tcBorders>
            <w:shd w:val="clear" w:color="auto" w:fill="auto"/>
            <w:vAlign w:val="center"/>
          </w:tcPr>
          <w:p w14:paraId="1B2C27B3" w14:textId="596C4E0B"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5</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536</w:t>
            </w:r>
          </w:p>
        </w:tc>
        <w:tc>
          <w:tcPr>
            <w:tcW w:w="1330" w:type="dxa"/>
            <w:tcBorders>
              <w:left w:val="single" w:sz="4" w:space="0" w:color="000000"/>
              <w:bottom w:val="single" w:sz="4" w:space="0" w:color="000000"/>
              <w:right w:val="single" w:sz="4" w:space="0" w:color="000000"/>
            </w:tcBorders>
            <w:shd w:val="clear" w:color="auto" w:fill="auto"/>
            <w:vAlign w:val="center"/>
          </w:tcPr>
          <w:p w14:paraId="07FBC523" w14:textId="7443BAB2"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222,8</w:t>
            </w:r>
          </w:p>
        </w:tc>
      </w:tr>
      <w:tr w:rsidR="00F0736F" w:rsidRPr="00F0736F" w14:paraId="68E785D7" w14:textId="77777777" w:rsidTr="003C214E">
        <w:trPr>
          <w:trHeight w:val="260"/>
        </w:trPr>
        <w:tc>
          <w:tcPr>
            <w:tcW w:w="4668" w:type="dxa"/>
            <w:tcBorders>
              <w:left w:val="single" w:sz="4" w:space="0" w:color="000000"/>
              <w:bottom w:val="single" w:sz="4" w:space="0" w:color="000000"/>
            </w:tcBorders>
            <w:shd w:val="clear" w:color="auto" w:fill="auto"/>
            <w:vAlign w:val="center"/>
          </w:tcPr>
          <w:p w14:paraId="3CCE8783"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Забор пресной воды другими видами экономической деятельности</w:t>
            </w:r>
          </w:p>
        </w:tc>
        <w:tc>
          <w:tcPr>
            <w:tcW w:w="1200" w:type="dxa"/>
            <w:tcBorders>
              <w:left w:val="single" w:sz="4" w:space="0" w:color="000000"/>
              <w:bottom w:val="single" w:sz="4" w:space="0" w:color="000000"/>
            </w:tcBorders>
            <w:shd w:val="clear" w:color="auto" w:fill="auto"/>
            <w:vAlign w:val="center"/>
          </w:tcPr>
          <w:p w14:paraId="5A31903E"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3A778AB1"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521</w:t>
            </w:r>
          </w:p>
        </w:tc>
        <w:tc>
          <w:tcPr>
            <w:tcW w:w="1470" w:type="dxa"/>
            <w:tcBorders>
              <w:left w:val="single" w:sz="4" w:space="0" w:color="000000"/>
              <w:bottom w:val="single" w:sz="4" w:space="0" w:color="000000"/>
            </w:tcBorders>
            <w:shd w:val="clear" w:color="auto" w:fill="auto"/>
            <w:vAlign w:val="center"/>
          </w:tcPr>
          <w:p w14:paraId="17107EEC" w14:textId="2AFAE62C"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866</w:t>
            </w:r>
          </w:p>
        </w:tc>
        <w:tc>
          <w:tcPr>
            <w:tcW w:w="1330" w:type="dxa"/>
            <w:tcBorders>
              <w:left w:val="single" w:sz="4" w:space="0" w:color="000000"/>
              <w:bottom w:val="single" w:sz="4" w:space="0" w:color="000000"/>
              <w:right w:val="single" w:sz="4" w:space="0" w:color="000000"/>
            </w:tcBorders>
            <w:shd w:val="clear" w:color="auto" w:fill="auto"/>
            <w:vAlign w:val="center"/>
          </w:tcPr>
          <w:p w14:paraId="6EE1D64F" w14:textId="655E430F"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909,2</w:t>
            </w:r>
          </w:p>
        </w:tc>
      </w:tr>
      <w:tr w:rsidR="00F0736F" w:rsidRPr="00F0736F" w14:paraId="70F0E9A5" w14:textId="77777777" w:rsidTr="003C214E">
        <w:trPr>
          <w:trHeight w:val="315"/>
        </w:trPr>
        <w:tc>
          <w:tcPr>
            <w:tcW w:w="4668" w:type="dxa"/>
            <w:tcBorders>
              <w:left w:val="single" w:sz="4" w:space="0" w:color="000000"/>
              <w:bottom w:val="single" w:sz="4" w:space="0" w:color="000000"/>
            </w:tcBorders>
            <w:shd w:val="clear" w:color="auto" w:fill="auto"/>
            <w:vAlign w:val="center"/>
          </w:tcPr>
          <w:p w14:paraId="15066DBD" w14:textId="77777777" w:rsidR="000F1975" w:rsidRPr="00F0736F" w:rsidRDefault="000F1975" w:rsidP="00FC5967">
            <w:pP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Потери воды при транспортировке</w:t>
            </w:r>
          </w:p>
        </w:tc>
        <w:tc>
          <w:tcPr>
            <w:tcW w:w="1200" w:type="dxa"/>
            <w:tcBorders>
              <w:left w:val="single" w:sz="4" w:space="0" w:color="000000"/>
              <w:bottom w:val="single" w:sz="4" w:space="0" w:color="000000"/>
            </w:tcBorders>
            <w:shd w:val="clear" w:color="auto" w:fill="auto"/>
            <w:vAlign w:val="center"/>
          </w:tcPr>
          <w:p w14:paraId="32AC9CF7" w14:textId="77777777"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млн. м³</w:t>
            </w:r>
          </w:p>
        </w:tc>
        <w:tc>
          <w:tcPr>
            <w:tcW w:w="1185" w:type="dxa"/>
            <w:tcBorders>
              <w:left w:val="single" w:sz="4" w:space="0" w:color="000000"/>
              <w:bottom w:val="single" w:sz="4" w:space="0" w:color="000000"/>
            </w:tcBorders>
            <w:shd w:val="clear" w:color="auto" w:fill="auto"/>
            <w:vAlign w:val="center"/>
          </w:tcPr>
          <w:p w14:paraId="230E7724" w14:textId="56FFFEC9"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2</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993</w:t>
            </w:r>
          </w:p>
        </w:tc>
        <w:tc>
          <w:tcPr>
            <w:tcW w:w="1470" w:type="dxa"/>
            <w:tcBorders>
              <w:left w:val="single" w:sz="4" w:space="0" w:color="000000"/>
              <w:bottom w:val="single" w:sz="4" w:space="0" w:color="000000"/>
            </w:tcBorders>
            <w:shd w:val="clear" w:color="auto" w:fill="auto"/>
            <w:vAlign w:val="center"/>
          </w:tcPr>
          <w:p w14:paraId="7CFD5786" w14:textId="765CF3AF" w:rsidR="000F1975" w:rsidRPr="00F0736F" w:rsidRDefault="000F1975" w:rsidP="00FC5967">
            <w:pPr>
              <w:jc w:val="center"/>
              <w:rPr>
                <w:rFonts w:ascii="Times New Roman" w:hAnsi="Times New Roman" w:cs="Times New Roman"/>
                <w:color w:val="000000" w:themeColor="text1"/>
              </w:rPr>
            </w:pPr>
            <w:r w:rsidRPr="00F0736F">
              <w:rPr>
                <w:rFonts w:ascii="Times New Roman" w:hAnsi="Times New Roman" w:cs="Times New Roman"/>
                <w:color w:val="000000" w:themeColor="text1"/>
                <w:sz w:val="20"/>
                <w:szCs w:val="20"/>
              </w:rPr>
              <w:t>3</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719</w:t>
            </w:r>
          </w:p>
        </w:tc>
        <w:tc>
          <w:tcPr>
            <w:tcW w:w="1330" w:type="dxa"/>
            <w:tcBorders>
              <w:left w:val="single" w:sz="4" w:space="0" w:color="000000"/>
              <w:bottom w:val="single" w:sz="4" w:space="0" w:color="000000"/>
              <w:right w:val="single" w:sz="4" w:space="0" w:color="000000"/>
            </w:tcBorders>
            <w:shd w:val="clear" w:color="auto" w:fill="auto"/>
            <w:vAlign w:val="center"/>
          </w:tcPr>
          <w:p w14:paraId="1E139968" w14:textId="6C3F9527" w:rsidR="000F1975" w:rsidRPr="00F0736F" w:rsidRDefault="000F1975" w:rsidP="00FC5967">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w:t>
            </w:r>
            <w:r w:rsidR="003C214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295</w:t>
            </w:r>
          </w:p>
        </w:tc>
      </w:tr>
    </w:tbl>
    <w:p w14:paraId="654047FD"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*Морская вода не учитывается.</w:t>
      </w:r>
    </w:p>
    <w:p w14:paraId="6E16A839"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**С учетом шахтной и коллекторно-дренажной воды.</w:t>
      </w:r>
    </w:p>
    <w:p w14:paraId="76408173" w14:textId="77777777" w:rsidR="00F674A4" w:rsidRPr="00F0736F" w:rsidRDefault="00F674A4" w:rsidP="008727D9">
      <w:pPr>
        <w:ind w:firstLine="709"/>
        <w:jc w:val="both"/>
        <w:rPr>
          <w:i/>
          <w:iCs/>
          <w:color w:val="000000" w:themeColor="text1"/>
        </w:rPr>
      </w:pPr>
      <w:r w:rsidRPr="00F0736F">
        <w:rPr>
          <w:rFonts w:ascii="Times New Roman" w:eastAsia="Calibri" w:hAnsi="Times New Roman" w:cs="Times New Roman"/>
          <w:i/>
          <w:iCs/>
          <w:color w:val="000000" w:themeColor="text1"/>
          <w:sz w:val="20"/>
          <w:szCs w:val="20"/>
        </w:rPr>
        <w:t xml:space="preserve">Источник: https://stat.gov.kz </w:t>
      </w:r>
    </w:p>
    <w:p w14:paraId="23B3049A" w14:textId="77777777" w:rsidR="00F674A4" w:rsidRPr="00F0736F" w:rsidRDefault="00F674A4" w:rsidP="008727D9">
      <w:pPr>
        <w:ind w:firstLine="709"/>
        <w:jc w:val="both"/>
        <w:rPr>
          <w:rFonts w:ascii="Times New Roman" w:hAnsi="Times New Roman" w:cs="Times New Roman"/>
          <w:color w:val="000000" w:themeColor="text1"/>
        </w:rPr>
      </w:pPr>
    </w:p>
    <w:p w14:paraId="25C44A1C" w14:textId="77777777" w:rsidR="00E65772" w:rsidRPr="00F0736F" w:rsidRDefault="00E65772" w:rsidP="00E65772">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Наибольший забор воды из природных источников отмечается в Туркестанской, Кызылординской, Алматинской и Павлодарской областях. </w:t>
      </w:r>
    </w:p>
    <w:p w14:paraId="765BD68E" w14:textId="77777777" w:rsidR="00E65772" w:rsidRPr="00F0736F" w:rsidRDefault="00E65772" w:rsidP="008727D9">
      <w:pPr>
        <w:ind w:firstLine="709"/>
        <w:jc w:val="both"/>
        <w:rPr>
          <w:rFonts w:ascii="Times New Roman" w:hAnsi="Times New Roman" w:cs="Times New Roman"/>
          <w:color w:val="000000" w:themeColor="text1"/>
        </w:rPr>
      </w:pPr>
    </w:p>
    <w:p w14:paraId="3C43033E" w14:textId="77777777" w:rsidR="00E65772" w:rsidRPr="00F0736F" w:rsidRDefault="00E65772" w:rsidP="008727D9">
      <w:pPr>
        <w:ind w:firstLine="709"/>
        <w:jc w:val="both"/>
        <w:rPr>
          <w:rFonts w:ascii="Times New Roman" w:hAnsi="Times New Roman" w:cs="Times New Roman"/>
          <w:color w:val="000000" w:themeColor="text1"/>
        </w:rPr>
      </w:pPr>
    </w:p>
    <w:p w14:paraId="71E02C86" w14:textId="4E3A83F3" w:rsidR="00F674A4" w:rsidRPr="00F0736F" w:rsidRDefault="001747BE" w:rsidP="008727D9">
      <w:pPr>
        <w:ind w:firstLine="709"/>
        <w:jc w:val="both"/>
        <w:rPr>
          <w:rFonts w:ascii="Times New Roman" w:hAnsi="Times New Roman" w:cs="Times New Roman"/>
          <w:color w:val="000000" w:themeColor="text1"/>
        </w:rPr>
      </w:pPr>
      <w:r w:rsidRPr="00F0736F">
        <w:rPr>
          <w:noProof/>
          <w:color w:val="000000" w:themeColor="text1"/>
        </w:rPr>
        <w:drawing>
          <wp:inline distT="0" distB="0" distL="0" distR="0" wp14:anchorId="2B6F52BD" wp14:editId="47BD8F98">
            <wp:extent cx="3657600" cy="18383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7" t="-34" r="-17" b="-34"/>
                    <a:stretch>
                      <a:fillRect/>
                    </a:stretch>
                  </pic:blipFill>
                  <pic:spPr bwMode="auto">
                    <a:xfrm>
                      <a:off x="0" y="0"/>
                      <a:ext cx="3657600" cy="1838325"/>
                    </a:xfrm>
                    <a:prstGeom prst="rect">
                      <a:avLst/>
                    </a:prstGeom>
                    <a:solidFill>
                      <a:srgbClr val="FFFFFF"/>
                    </a:solidFill>
                    <a:ln>
                      <a:noFill/>
                    </a:ln>
                  </pic:spPr>
                </pic:pic>
              </a:graphicData>
            </a:graphic>
          </wp:inline>
        </w:drawing>
      </w:r>
    </w:p>
    <w:p w14:paraId="40190A10" w14:textId="77777777" w:rsidR="00F674A4" w:rsidRPr="00F0736F" w:rsidRDefault="00F674A4" w:rsidP="008727D9">
      <w:pPr>
        <w:ind w:firstLine="709"/>
        <w:jc w:val="both"/>
        <w:rPr>
          <w:rFonts w:ascii="Times New Roman" w:hAnsi="Times New Roman" w:cs="Times New Roman"/>
          <w:color w:val="000000" w:themeColor="text1"/>
        </w:rPr>
      </w:pPr>
    </w:p>
    <w:p w14:paraId="1BA3EB8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Рис.1.1.1. Забор воды из поверхностных и подземных источников за 2016 - 2018 годы</w:t>
      </w:r>
    </w:p>
    <w:p w14:paraId="7A900444" w14:textId="77777777" w:rsidR="006C667B" w:rsidRPr="00F0736F" w:rsidRDefault="006C667B" w:rsidP="00E65772">
      <w:pPr>
        <w:jc w:val="both"/>
        <w:rPr>
          <w:rFonts w:ascii="Times New Roman" w:hAnsi="Times New Roman" w:cs="Times New Roman"/>
          <w:color w:val="000000" w:themeColor="text1"/>
        </w:rPr>
      </w:pPr>
    </w:p>
    <w:p w14:paraId="02009D91"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Водозабор на нужды сельского хозяйства в 201</w:t>
      </w:r>
      <w:r w:rsidR="0057349A" w:rsidRPr="00F0736F">
        <w:rPr>
          <w:rFonts w:ascii="Times New Roman" w:hAnsi="Times New Roman" w:cs="Times New Roman"/>
          <w:color w:val="000000" w:themeColor="text1"/>
        </w:rPr>
        <w:t>9</w:t>
      </w:r>
      <w:r w:rsidRPr="00F0736F">
        <w:rPr>
          <w:rFonts w:ascii="Times New Roman" w:hAnsi="Times New Roman" w:cs="Times New Roman"/>
          <w:color w:val="000000" w:themeColor="text1"/>
        </w:rPr>
        <w:t xml:space="preserve"> году составил 15,8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из которых 12</w:t>
      </w:r>
      <w:r w:rsidR="0057349A" w:rsidRPr="00F0736F">
        <w:rPr>
          <w:rFonts w:ascii="Times New Roman" w:hAnsi="Times New Roman" w:cs="Times New Roman"/>
          <w:color w:val="000000" w:themeColor="text1"/>
        </w:rPr>
        <w:t>,1</w:t>
      </w:r>
      <w:r w:rsidRPr="00F0736F">
        <w:rPr>
          <w:rFonts w:ascii="Times New Roman" w:hAnsi="Times New Roman" w:cs="Times New Roman"/>
          <w:color w:val="000000" w:themeColor="text1"/>
        </w:rPr>
        <w:t xml:space="preserve">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использовано на нужды регулярного орошения, а оставшиеся 3,</w:t>
      </w:r>
      <w:r w:rsidR="0057349A" w:rsidRPr="00F0736F">
        <w:rPr>
          <w:rFonts w:ascii="Times New Roman" w:hAnsi="Times New Roman" w:cs="Times New Roman"/>
          <w:color w:val="000000" w:themeColor="text1"/>
        </w:rPr>
        <w:t>7</w:t>
      </w:r>
      <w:r w:rsidRPr="00F0736F">
        <w:rPr>
          <w:rFonts w:ascii="Times New Roman" w:hAnsi="Times New Roman" w:cs="Times New Roman"/>
          <w:color w:val="000000" w:themeColor="text1"/>
        </w:rPr>
        <w:t xml:space="preserve">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использованы для нужд лиманного орошения, залива сенокосов и обводнения пастбищ. Причем из данного объема водозабора потери, которые в первую очередь связаны с низким техническим состоянием оросительных систем</w:t>
      </w:r>
      <w:r w:rsidR="00C86DC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составляют </w:t>
      </w:r>
      <w:r w:rsidR="0057349A" w:rsidRPr="00F0736F">
        <w:rPr>
          <w:rFonts w:ascii="Times New Roman" w:hAnsi="Times New Roman" w:cs="Times New Roman"/>
          <w:color w:val="000000" w:themeColor="text1"/>
        </w:rPr>
        <w:t>2,6</w:t>
      </w:r>
      <w:r w:rsidRPr="00F0736F">
        <w:rPr>
          <w:rFonts w:ascii="Times New Roman" w:hAnsi="Times New Roman" w:cs="Times New Roman"/>
          <w:color w:val="000000" w:themeColor="text1"/>
        </w:rPr>
        <w:t xml:space="preserve">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w:t>
      </w:r>
    </w:p>
    <w:p w14:paraId="6CA976B3" w14:textId="77777777" w:rsidR="00C63FA9" w:rsidRPr="00F0736F" w:rsidRDefault="00C63FA9"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Для гарантированного обеспечения водой сельского хозяйства принимаются меры по внедрению современных методов экономии водных ресурсов, в частности, проведение реконструкции и ремонта 35 гидротехнических сооружений (ГТС) или 18% от общего числа, ГТС, находящихся в республиканской собственности.</w:t>
      </w:r>
    </w:p>
    <w:p w14:paraId="3C3BA59E" w14:textId="77777777" w:rsidR="00F674A4" w:rsidRPr="00F0736F" w:rsidRDefault="000B2BF7" w:rsidP="008727D9">
      <w:pPr>
        <w:ind w:firstLine="709"/>
        <w:jc w:val="both"/>
        <w:rPr>
          <w:color w:val="000000" w:themeColor="text1"/>
        </w:rPr>
      </w:pPr>
      <w:r w:rsidRPr="00F0736F">
        <w:rPr>
          <w:rFonts w:ascii="Times New Roman" w:hAnsi="Times New Roman" w:cs="Times New Roman"/>
          <w:bCs/>
          <w:color w:val="000000" w:themeColor="text1"/>
        </w:rPr>
        <w:t>Потребление воды в</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промышленном секторе</w:t>
      </w:r>
      <w:r w:rsidRPr="00F0736F">
        <w:rPr>
          <w:rFonts w:ascii="Times New Roman" w:hAnsi="Times New Roman" w:cs="Times New Roman"/>
          <w:b/>
          <w:bCs/>
          <w:color w:val="000000" w:themeColor="text1"/>
        </w:rPr>
        <w:t xml:space="preserve"> </w:t>
      </w:r>
      <w:r w:rsidRPr="00F0736F">
        <w:rPr>
          <w:rFonts w:ascii="Times New Roman" w:hAnsi="Times New Roman" w:cs="Times New Roman"/>
          <w:bCs/>
          <w:color w:val="000000" w:themeColor="text1"/>
        </w:rPr>
        <w:t>в 2019 году составило 5,7</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км</w:t>
      </w:r>
      <w:r w:rsidRPr="00F0736F">
        <w:rPr>
          <w:rFonts w:ascii="Times New Roman" w:hAnsi="Times New Roman" w:cs="Times New Roman"/>
          <w:color w:val="000000" w:themeColor="text1"/>
          <w:vertAlign w:val="superscript"/>
        </w:rPr>
        <w:t>3</w:t>
      </w:r>
      <w:r w:rsidR="00C86DC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22,4% от общего водозабора. </w:t>
      </w:r>
      <w:r w:rsidR="00F674A4" w:rsidRPr="00F0736F">
        <w:rPr>
          <w:rFonts w:ascii="Times New Roman" w:hAnsi="Times New Roman" w:cs="Times New Roman"/>
          <w:color w:val="000000" w:themeColor="text1"/>
        </w:rPr>
        <w:t xml:space="preserve">Объем безвозвратного потребления составляет </w:t>
      </w:r>
      <w:r w:rsidR="00E857FA" w:rsidRPr="00F0736F">
        <w:rPr>
          <w:rFonts w:ascii="Times New Roman" w:hAnsi="Times New Roman" w:cs="Times New Roman"/>
          <w:color w:val="000000" w:themeColor="text1"/>
        </w:rPr>
        <w:t>1</w:t>
      </w:r>
      <w:r w:rsidR="001365A4" w:rsidRPr="00F0736F">
        <w:rPr>
          <w:rFonts w:ascii="Times New Roman" w:hAnsi="Times New Roman" w:cs="Times New Roman"/>
          <w:color w:val="000000" w:themeColor="text1"/>
        </w:rPr>
        <w:t>,</w:t>
      </w:r>
      <w:r w:rsidR="00E857FA" w:rsidRPr="00F0736F">
        <w:rPr>
          <w:rFonts w:ascii="Times New Roman" w:hAnsi="Times New Roman" w:cs="Times New Roman"/>
          <w:color w:val="000000" w:themeColor="text1"/>
        </w:rPr>
        <w:t>3</w:t>
      </w:r>
      <w:r w:rsidR="00794A78" w:rsidRPr="00F0736F">
        <w:rPr>
          <w:rFonts w:ascii="Times New Roman" w:hAnsi="Times New Roman" w:cs="Times New Roman"/>
          <w:color w:val="000000" w:themeColor="text1"/>
        </w:rPr>
        <w:t xml:space="preserve">6 </w:t>
      </w:r>
      <w:r w:rsidR="00F674A4" w:rsidRPr="00F0736F">
        <w:rPr>
          <w:rFonts w:ascii="Times New Roman" w:hAnsi="Times New Roman" w:cs="Times New Roman"/>
          <w:color w:val="000000" w:themeColor="text1"/>
        </w:rPr>
        <w:t>км</w:t>
      </w:r>
      <w:r w:rsidR="00F674A4" w:rsidRPr="00F0736F">
        <w:rPr>
          <w:rFonts w:ascii="Times New Roman" w:hAnsi="Times New Roman" w:cs="Times New Roman"/>
          <w:color w:val="000000" w:themeColor="text1"/>
          <w:vertAlign w:val="superscript"/>
        </w:rPr>
        <w:t>3</w:t>
      </w:r>
      <w:r w:rsidR="00F674A4" w:rsidRPr="00F0736F">
        <w:rPr>
          <w:rFonts w:ascii="Times New Roman" w:hAnsi="Times New Roman" w:cs="Times New Roman"/>
          <w:color w:val="000000" w:themeColor="text1"/>
        </w:rPr>
        <w:t xml:space="preserve"> в год или около трети от общего водозабора. Наибольший удельный вес в водозаборе имеют предприятия теплоэнергетики, цветной металлургии, нефтяной промышленности. Вместе с тем по многим отраслям и предприятиям расход свежей воды на единицу продукции остается высоким. Также наблюдается низкий уровень использования </w:t>
      </w:r>
      <w:r w:rsidR="001F74C3" w:rsidRPr="00F0736F">
        <w:rPr>
          <w:rFonts w:ascii="Times New Roman" w:hAnsi="Times New Roman" w:cs="Times New Roman"/>
          <w:color w:val="000000" w:themeColor="text1"/>
        </w:rPr>
        <w:t xml:space="preserve">повторного </w:t>
      </w:r>
      <w:r w:rsidR="00F674A4" w:rsidRPr="00F0736F">
        <w:rPr>
          <w:rFonts w:ascii="Times New Roman" w:hAnsi="Times New Roman" w:cs="Times New Roman"/>
          <w:color w:val="000000" w:themeColor="text1"/>
        </w:rPr>
        <w:t>(0,</w:t>
      </w:r>
      <w:r w:rsidR="001F74C3" w:rsidRPr="00F0736F">
        <w:rPr>
          <w:rFonts w:ascii="Times New Roman" w:hAnsi="Times New Roman" w:cs="Times New Roman"/>
          <w:color w:val="000000" w:themeColor="text1"/>
        </w:rPr>
        <w:t>8</w:t>
      </w:r>
      <w:r w:rsidR="00F674A4" w:rsidRPr="00F0736F">
        <w:rPr>
          <w:rFonts w:ascii="Times New Roman" w:hAnsi="Times New Roman" w:cs="Times New Roman"/>
          <w:color w:val="000000" w:themeColor="text1"/>
        </w:rPr>
        <w:t xml:space="preserve"> км</w:t>
      </w:r>
      <w:r w:rsidR="00F674A4" w:rsidRPr="00F0736F">
        <w:rPr>
          <w:rFonts w:ascii="Times New Roman" w:hAnsi="Times New Roman" w:cs="Times New Roman"/>
          <w:color w:val="000000" w:themeColor="text1"/>
          <w:vertAlign w:val="superscript"/>
        </w:rPr>
        <w:t>3</w:t>
      </w:r>
      <w:r w:rsidR="00F674A4" w:rsidRPr="00F0736F">
        <w:rPr>
          <w:rFonts w:ascii="Times New Roman" w:hAnsi="Times New Roman" w:cs="Times New Roman"/>
          <w:color w:val="000000" w:themeColor="text1"/>
        </w:rPr>
        <w:t xml:space="preserve">) и </w:t>
      </w:r>
      <w:r w:rsidR="001F74C3" w:rsidRPr="00F0736F">
        <w:rPr>
          <w:rFonts w:ascii="Times New Roman" w:hAnsi="Times New Roman" w:cs="Times New Roman"/>
          <w:color w:val="000000" w:themeColor="text1"/>
        </w:rPr>
        <w:t xml:space="preserve">оборотного </w:t>
      </w:r>
      <w:r w:rsidR="00F674A4" w:rsidRPr="00F0736F">
        <w:rPr>
          <w:rFonts w:ascii="Times New Roman" w:hAnsi="Times New Roman" w:cs="Times New Roman"/>
          <w:color w:val="000000" w:themeColor="text1"/>
        </w:rPr>
        <w:t>водоснабжения (</w:t>
      </w:r>
      <w:r w:rsidR="001F74C3" w:rsidRPr="00F0736F">
        <w:rPr>
          <w:rFonts w:ascii="Times New Roman" w:hAnsi="Times New Roman" w:cs="Times New Roman"/>
          <w:color w:val="000000" w:themeColor="text1"/>
        </w:rPr>
        <w:t>8,8</w:t>
      </w:r>
      <w:r w:rsidR="00F674A4" w:rsidRPr="00F0736F">
        <w:rPr>
          <w:rFonts w:ascii="Times New Roman" w:hAnsi="Times New Roman" w:cs="Times New Roman"/>
          <w:color w:val="000000" w:themeColor="text1"/>
        </w:rPr>
        <w:t xml:space="preserve"> км</w:t>
      </w:r>
      <w:r w:rsidR="00F674A4" w:rsidRPr="00F0736F">
        <w:rPr>
          <w:rFonts w:ascii="Times New Roman" w:hAnsi="Times New Roman" w:cs="Times New Roman"/>
          <w:color w:val="000000" w:themeColor="text1"/>
          <w:vertAlign w:val="superscript"/>
        </w:rPr>
        <w:t>3</w:t>
      </w:r>
      <w:r w:rsidR="00F674A4" w:rsidRPr="00F0736F">
        <w:rPr>
          <w:rFonts w:ascii="Times New Roman" w:hAnsi="Times New Roman" w:cs="Times New Roman"/>
          <w:color w:val="000000" w:themeColor="text1"/>
        </w:rPr>
        <w:t>).</w:t>
      </w:r>
    </w:p>
    <w:p w14:paraId="574D813A" w14:textId="71FA77E2" w:rsidR="00794A78"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хозяйственно-питьевые нужды ежегодно использует</w:t>
      </w:r>
      <w:r w:rsidR="001F74C3" w:rsidRPr="00F0736F">
        <w:rPr>
          <w:rFonts w:ascii="Times New Roman" w:hAnsi="Times New Roman" w:cs="Times New Roman"/>
          <w:color w:val="000000" w:themeColor="text1"/>
        </w:rPr>
        <w:t>ся 4-</w:t>
      </w:r>
      <w:r w:rsidRPr="00F0736F">
        <w:rPr>
          <w:rFonts w:ascii="Times New Roman" w:hAnsi="Times New Roman" w:cs="Times New Roman"/>
          <w:color w:val="000000" w:themeColor="text1"/>
        </w:rPr>
        <w:t xml:space="preserve">6% от общего водозабора. Из данного объема потребление в городах составляет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55%, в сельских населенных пунктах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11%, а потери при транспортировке и доставке воды потребителям около 17% от всего водозабора. </w:t>
      </w:r>
    </w:p>
    <w:p w14:paraId="53637E50" w14:textId="77777777" w:rsidR="00794A78" w:rsidRPr="00F0736F" w:rsidRDefault="00794A7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забор воды на хозяйственно-питьевые нужды составил 0,9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w:t>
      </w:r>
      <w:r w:rsidR="00D8141E" w:rsidRPr="00F0736F">
        <w:rPr>
          <w:rFonts w:ascii="Times New Roman" w:hAnsi="Times New Roman" w:cs="Times New Roman"/>
          <w:color w:val="000000" w:themeColor="text1"/>
        </w:rPr>
        <w:t xml:space="preserve">а </w:t>
      </w:r>
      <w:r w:rsidRPr="00F0736F">
        <w:rPr>
          <w:rFonts w:ascii="Times New Roman" w:hAnsi="Times New Roman" w:cs="Times New Roman"/>
          <w:color w:val="000000" w:themeColor="text1"/>
        </w:rPr>
        <w:t>потери при транспортировке составили 0,14 км</w:t>
      </w:r>
      <w:r w:rsidRPr="00F0736F">
        <w:rPr>
          <w:rFonts w:ascii="Times New Roman" w:hAnsi="Times New Roman" w:cs="Times New Roman"/>
          <w:color w:val="000000" w:themeColor="text1"/>
          <w:vertAlign w:val="superscript"/>
        </w:rPr>
        <w:t>3</w:t>
      </w:r>
      <w:r w:rsidR="00C86DC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2AF1A0A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Большие потери воды в коммунальных системах водоснабжения обусловлены высоким износом водопроводного оборудования, применением устаревших технологий обработки питьевой воды, низкого уровня санитарно-технических приборов в домах, недостаточной развитости водохозяйственных сетей. При этом наблюдается тенденция уменьшения удельного расхода воды на одного жителя, что обусловлено внедрением квартирных счетчиков по учету воды. </w:t>
      </w:r>
    </w:p>
    <w:p w14:paraId="12ACD520" w14:textId="5B337B43"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В целом по республике за последние 5 лет потери воды при транспортировке от точки водозабора до подачи потребителям составляют в среднем 2,7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При этом 80% потерь воды приходится на потребление воды сельскохозяйственными потребителями, около 5%</w:t>
      </w:r>
      <w:r w:rsidR="003C214E" w:rsidRPr="00F0736F">
        <w:rPr>
          <w:rFonts w:ascii="Times New Roman" w:hAnsi="Times New Roman" w:cs="Times New Roman"/>
          <w:color w:val="000000" w:themeColor="text1"/>
        </w:rPr>
        <w:t xml:space="preserve"> - </w:t>
      </w:r>
      <w:r w:rsidRPr="00F0736F">
        <w:rPr>
          <w:rFonts w:ascii="Times New Roman" w:hAnsi="Times New Roman" w:cs="Times New Roman"/>
          <w:color w:val="000000" w:themeColor="text1"/>
        </w:rPr>
        <w:t xml:space="preserve">промышленными потребителями и 5%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коммунальными хозяйствами</w:t>
      </w:r>
      <w:r w:rsidR="00D8141E" w:rsidRPr="00F0736F">
        <w:rPr>
          <w:rFonts w:ascii="Times New Roman" w:hAnsi="Times New Roman" w:cs="Times New Roman"/>
          <w:color w:val="000000" w:themeColor="text1"/>
        </w:rPr>
        <w:t>, а</w:t>
      </w:r>
      <w:r w:rsidRPr="00F0736F">
        <w:rPr>
          <w:rFonts w:ascii="Times New Roman" w:hAnsi="Times New Roman" w:cs="Times New Roman"/>
          <w:color w:val="000000" w:themeColor="text1"/>
        </w:rPr>
        <w:t xml:space="preserve"> </w:t>
      </w:r>
      <w:r w:rsidR="00D8141E"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стальные 10% </w:t>
      </w:r>
      <w:r w:rsidR="003C214E" w:rsidRPr="00F0736F">
        <w:rPr>
          <w:rFonts w:ascii="Times New Roman" w:hAnsi="Times New Roman" w:cs="Times New Roman"/>
          <w:color w:val="000000" w:themeColor="text1"/>
        </w:rPr>
        <w:t>-</w:t>
      </w:r>
      <w:r w:rsidR="00D81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это технологические потери при прочих нуждах.</w:t>
      </w:r>
    </w:p>
    <w:p w14:paraId="0B78F7C8" w14:textId="513243D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 2018 году предприятиями Казахстана было подано в сеть 2</w:t>
      </w:r>
      <w:r w:rsidR="003C21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359,8 млн.</w:t>
      </w:r>
      <w:r w:rsidR="003C21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м³ воды, в 2019 году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w:t>
      </w:r>
      <w:r w:rsidR="003C21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339,9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более четверти объема воды пропущено через очистные сооружения. Объем воды, отпущенной потребит</w:t>
      </w:r>
      <w:r w:rsidR="00C63FA9" w:rsidRPr="00F0736F">
        <w:rPr>
          <w:rFonts w:ascii="Times New Roman" w:hAnsi="Times New Roman" w:cs="Times New Roman"/>
          <w:color w:val="000000" w:themeColor="text1"/>
        </w:rPr>
        <w:t>елям, составил 1</w:t>
      </w:r>
      <w:r w:rsidR="003C214E" w:rsidRPr="00F0736F">
        <w:rPr>
          <w:rFonts w:ascii="Times New Roman" w:hAnsi="Times New Roman" w:cs="Times New Roman"/>
          <w:color w:val="000000" w:themeColor="text1"/>
        </w:rPr>
        <w:t xml:space="preserve"> </w:t>
      </w:r>
      <w:r w:rsidR="00C63FA9" w:rsidRPr="00F0736F">
        <w:rPr>
          <w:rFonts w:ascii="Times New Roman" w:hAnsi="Times New Roman" w:cs="Times New Roman"/>
          <w:color w:val="000000" w:themeColor="text1"/>
        </w:rPr>
        <w:t>168,3 млн.</w:t>
      </w:r>
      <w:r w:rsidR="003C214E" w:rsidRPr="00F0736F">
        <w:rPr>
          <w:rFonts w:ascii="Times New Roman" w:hAnsi="Times New Roman" w:cs="Times New Roman"/>
          <w:color w:val="000000" w:themeColor="text1"/>
        </w:rPr>
        <w:t xml:space="preserve"> </w:t>
      </w:r>
      <w:r w:rsidR="00C63FA9" w:rsidRPr="00F0736F">
        <w:rPr>
          <w:rFonts w:ascii="Times New Roman" w:hAnsi="Times New Roman" w:cs="Times New Roman"/>
          <w:color w:val="000000" w:themeColor="text1"/>
        </w:rPr>
        <w:t>м³ (</w:t>
      </w:r>
      <w:r w:rsidRPr="00F0736F">
        <w:rPr>
          <w:rFonts w:ascii="Times New Roman" w:hAnsi="Times New Roman" w:cs="Times New Roman"/>
          <w:color w:val="000000" w:themeColor="text1"/>
        </w:rPr>
        <w:t xml:space="preserve">2019 </w:t>
      </w:r>
      <w:r w:rsidR="003C21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w:t>
      </w:r>
      <w:r w:rsidR="003C21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160,9), из него населению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44,2% (2019 - 46,2%). Общая протяженность водоводов составила 26,3 тыс. км (2019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27,2); уличных водопроводных сетей - 40,7 тыс. км (2019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44,1); внутриквартальных и внутридворовых - 11,9 тыс. км (2019 - 12,6).</w:t>
      </w:r>
    </w:p>
    <w:p w14:paraId="3AC66E40" w14:textId="5334C558"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Израсходовано на собственные нужды предприятий 41,2% (2019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40,1%) от всей поданной воды в сеть за счет предприятий, осуществляющих деятельность в области электроэнергетики и обрабатывающей промышленности. Потери воды при утечке составили 217,8 млн. м³ (2019 год </w:t>
      </w:r>
      <w:r w:rsidR="003C21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241 млн. м³).</w:t>
      </w:r>
    </w:p>
    <w:p w14:paraId="698068B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 увеличением численности населения и постепенным экономическим подъемом потребность в воде будет увеличиваться.</w:t>
      </w:r>
    </w:p>
    <w:p w14:paraId="7E3EEC2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 перспективу водообеспечение отраслей экономики будет осуществляться на 84% за счет поверхностных речных вод, остальной объем – за счет подземных и шахтно-рудничных, морских, озерных и сточных вод.</w:t>
      </w:r>
    </w:p>
    <w:p w14:paraId="4EF79287"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bCs/>
          <w:color w:val="000000" w:themeColor="text1"/>
        </w:rPr>
        <w:t>С целью управления предложением и спросом на воду при регулировании использования и охране водных ресурсов установлены долгосрочные лимиты водопользования, которые по республике составляют в целом 28,3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ежегодно. Данные объемы возможного использования водных ресурсов определены с учетом недопущения деградации водных систем.</w:t>
      </w:r>
    </w:p>
    <w:p w14:paraId="0ABD1B97" w14:textId="521AFDD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качестве мер водосбережения введены положения по нормированию водопользования. Разработаны укрупненные нормы водопотребления для отдельных отраслей экономики, которые предназначены для решения задач по планированию использования водных ресурсов в разрезе страны. На основании укрупненных норм водопотребления водопользователи разрабатывают удельные нормы водопотребления</w:t>
      </w:r>
      <w:r w:rsidR="00FC676B" w:rsidRPr="00F0736F">
        <w:rPr>
          <w:rFonts w:ascii="Times New Roman" w:hAnsi="Times New Roman" w:cs="Times New Roman"/>
          <w:color w:val="000000" w:themeColor="text1"/>
        </w:rPr>
        <w:t>,</w:t>
      </w:r>
      <w:r w:rsidR="00C86DC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на основании которых им выдается разрешение на использование водных ресурсов. </w:t>
      </w:r>
    </w:p>
    <w:p w14:paraId="13D81B77" w14:textId="50518792"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Объем выданных лимитов</w:t>
      </w:r>
      <w:r w:rsidRPr="00F0736F">
        <w:rPr>
          <w:rFonts w:ascii="Times New Roman" w:hAnsi="Times New Roman" w:cs="Times New Roman"/>
          <w:color w:val="000000" w:themeColor="text1"/>
        </w:rPr>
        <w:t xml:space="preserve"> (нормативных сбросов) загрязняющих веществ по итогам 201</w:t>
      </w:r>
      <w:r w:rsidR="00794A78" w:rsidRPr="00F0736F">
        <w:rPr>
          <w:rFonts w:ascii="Times New Roman" w:hAnsi="Times New Roman" w:cs="Times New Roman"/>
          <w:color w:val="000000" w:themeColor="text1"/>
        </w:rPr>
        <w:t>9</w:t>
      </w:r>
      <w:r w:rsidRPr="00F0736F">
        <w:rPr>
          <w:rFonts w:ascii="Times New Roman" w:hAnsi="Times New Roman" w:cs="Times New Roman"/>
          <w:color w:val="000000" w:themeColor="text1"/>
        </w:rPr>
        <w:t xml:space="preserve"> года, по данным МЭГПР, составил по сбросам </w:t>
      </w:r>
      <w:r w:rsidR="00794A78" w:rsidRPr="00F0736F">
        <w:rPr>
          <w:rFonts w:ascii="Times New Roman" w:hAnsi="Times New Roman" w:cs="Times New Roman"/>
          <w:color w:val="000000" w:themeColor="text1"/>
        </w:rPr>
        <w:t xml:space="preserve">2,0 </w:t>
      </w:r>
      <w:r w:rsidRPr="00F0736F">
        <w:rPr>
          <w:rFonts w:ascii="Times New Roman" w:hAnsi="Times New Roman" w:cs="Times New Roman"/>
          <w:color w:val="000000" w:themeColor="text1"/>
        </w:rPr>
        <w:t xml:space="preserve">млн. </w:t>
      </w:r>
      <w:r w:rsidR="00AC18E0" w:rsidRPr="00F0736F">
        <w:rPr>
          <w:rFonts w:ascii="Times New Roman" w:hAnsi="Times New Roman" w:cs="Times New Roman"/>
          <w:color w:val="000000" w:themeColor="text1"/>
        </w:rPr>
        <w:t>т</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при плане 2,8 млн. </w:t>
      </w:r>
      <w:r w:rsidR="00AC18E0" w:rsidRPr="00F0736F">
        <w:rPr>
          <w:rFonts w:ascii="Times New Roman" w:hAnsi="Times New Roman" w:cs="Times New Roman"/>
          <w:color w:val="000000" w:themeColor="text1"/>
        </w:rPr>
        <w:t>т</w:t>
      </w:r>
      <w:r w:rsidR="00FC676B" w:rsidRPr="00F0736F">
        <w:rPr>
          <w:rFonts w:ascii="Times New Roman" w:hAnsi="Times New Roman" w:cs="Times New Roman"/>
          <w:color w:val="000000" w:themeColor="text1"/>
        </w:rPr>
        <w:t>.</w:t>
      </w:r>
      <w:r w:rsidR="00E93FE3" w:rsidRPr="00F0736F">
        <w:rPr>
          <w:rFonts w:ascii="Times New Roman" w:hAnsi="Times New Roman" w:cs="Times New Roman"/>
          <w:color w:val="000000" w:themeColor="text1"/>
        </w:rPr>
        <w:t xml:space="preserve">. </w:t>
      </w:r>
    </w:p>
    <w:p w14:paraId="47279D18" w14:textId="2E31109B" w:rsidR="00F674A4" w:rsidRPr="00F0736F" w:rsidRDefault="00E93FE3" w:rsidP="00FC676B">
      <w:pPr>
        <w:ind w:firstLine="709"/>
        <w:jc w:val="both"/>
        <w:rPr>
          <w:rFonts w:asciiTheme="minorHAnsi" w:hAnsiTheme="minorHAnsi"/>
          <w:color w:val="000000" w:themeColor="text1"/>
        </w:rPr>
      </w:pPr>
      <w:r w:rsidRPr="00F0736F">
        <w:rPr>
          <w:rFonts w:ascii="Times New Roman" w:hAnsi="Times New Roman" w:cs="Times New Roman"/>
          <w:b/>
          <w:bCs/>
          <w:color w:val="000000" w:themeColor="text1"/>
        </w:rPr>
        <w:t>Фактические сбросы</w:t>
      </w:r>
      <w:r w:rsidRPr="00F0736F">
        <w:rPr>
          <w:rFonts w:ascii="Times New Roman" w:hAnsi="Times New Roman" w:cs="Times New Roman"/>
          <w:color w:val="000000" w:themeColor="text1"/>
        </w:rPr>
        <w:t xml:space="preserve"> вредных веществ по данным МЭГПР составили в 2017 и в 2018 годах более 1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а 2019 году </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0,8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Наибольшие сбросы произведены в Карагандинской, Костанайской и Алматинской областях (таблица 1.1.3</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p>
    <w:p w14:paraId="55C26EF8" w14:textId="77777777" w:rsidR="00FA6FBD" w:rsidRPr="00F0736F" w:rsidRDefault="00FA6FBD" w:rsidP="008727D9">
      <w:pPr>
        <w:ind w:firstLine="709"/>
        <w:jc w:val="both"/>
        <w:rPr>
          <w:rFonts w:ascii="Times New Roman" w:hAnsi="Times New Roman" w:cs="Times New Roman"/>
          <w:color w:val="000000" w:themeColor="text1"/>
        </w:rPr>
      </w:pPr>
    </w:p>
    <w:p w14:paraId="3F91DFBA" w14:textId="77777777" w:rsidR="00FC676B"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1.1.</w:t>
      </w:r>
      <w:r w:rsidR="006C667B"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 Лимиты и фактические сбросы вредных веществ</w:t>
      </w:r>
    </w:p>
    <w:p w14:paraId="5D3BA585" w14:textId="70D5953C" w:rsidR="00F674A4" w:rsidRPr="00F0736F" w:rsidRDefault="00FC676B" w:rsidP="00FC676B">
      <w:pPr>
        <w:ind w:firstLine="709"/>
        <w:jc w:val="center"/>
        <w:rPr>
          <w:rFonts w:asciiTheme="minorHAnsi" w:hAnsiTheme="minorHAnsi"/>
          <w:color w:val="000000" w:themeColor="text1"/>
        </w:rPr>
      </w:pPr>
      <w:r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rPr>
        <w:t xml:space="preserve">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w:t>
      </w:r>
    </w:p>
    <w:tbl>
      <w:tblPr>
        <w:tblW w:w="0" w:type="auto"/>
        <w:tblInd w:w="108" w:type="dxa"/>
        <w:tblLayout w:type="fixed"/>
        <w:tblLook w:val="0000" w:firstRow="0" w:lastRow="0" w:firstColumn="0" w:lastColumn="0" w:noHBand="0" w:noVBand="0"/>
      </w:tblPr>
      <w:tblGrid>
        <w:gridCol w:w="1985"/>
        <w:gridCol w:w="1134"/>
        <w:gridCol w:w="1134"/>
        <w:gridCol w:w="1140"/>
        <w:gridCol w:w="1410"/>
        <w:gridCol w:w="1200"/>
        <w:gridCol w:w="1665"/>
      </w:tblGrid>
      <w:tr w:rsidR="00F0736F" w:rsidRPr="00F0736F" w14:paraId="3E5B5353" w14:textId="77777777" w:rsidTr="00FC676B">
        <w:tc>
          <w:tcPr>
            <w:tcW w:w="1985" w:type="dxa"/>
            <w:vMerge w:val="restart"/>
            <w:tcBorders>
              <w:top w:val="single" w:sz="4" w:space="0" w:color="000000"/>
              <w:left w:val="single" w:sz="4" w:space="0" w:color="000000"/>
              <w:bottom w:val="single" w:sz="4" w:space="0" w:color="000000"/>
            </w:tcBorders>
            <w:shd w:val="clear" w:color="auto" w:fill="auto"/>
          </w:tcPr>
          <w:p w14:paraId="5449BB54" w14:textId="77777777" w:rsidR="00F674A4" w:rsidRPr="00F0736F" w:rsidRDefault="00F674A4" w:rsidP="00FC676B">
            <w:pPr>
              <w:jc w:val="center"/>
              <w:rPr>
                <w:color w:val="000000" w:themeColor="text1"/>
              </w:rPr>
            </w:pPr>
            <w:r w:rsidRPr="00F0736F">
              <w:rPr>
                <w:rFonts w:ascii="Times New Roman" w:hAnsi="Times New Roman" w:cs="Times New Roman"/>
                <w:color w:val="000000" w:themeColor="text1"/>
                <w:sz w:val="20"/>
                <w:szCs w:val="20"/>
              </w:rPr>
              <w:t>Наименование</w:t>
            </w:r>
          </w:p>
          <w:p w14:paraId="2BA46174" w14:textId="77777777" w:rsidR="00F674A4" w:rsidRPr="00F0736F" w:rsidRDefault="00F674A4" w:rsidP="00FC676B">
            <w:pPr>
              <w:jc w:val="center"/>
              <w:rPr>
                <w:color w:val="000000" w:themeColor="text1"/>
              </w:rPr>
            </w:pPr>
            <w:r w:rsidRPr="00F0736F">
              <w:rPr>
                <w:rFonts w:ascii="Times New Roman" w:hAnsi="Times New Roman" w:cs="Times New Roman"/>
                <w:color w:val="000000" w:themeColor="text1"/>
                <w:sz w:val="20"/>
                <w:szCs w:val="20"/>
              </w:rPr>
              <w:t>областей</w:t>
            </w:r>
          </w:p>
        </w:tc>
        <w:tc>
          <w:tcPr>
            <w:tcW w:w="2268" w:type="dxa"/>
            <w:gridSpan w:val="2"/>
            <w:tcBorders>
              <w:top w:val="single" w:sz="4" w:space="0" w:color="000000"/>
              <w:left w:val="single" w:sz="4" w:space="0" w:color="000000"/>
              <w:bottom w:val="single" w:sz="4" w:space="0" w:color="000000"/>
            </w:tcBorders>
            <w:shd w:val="clear" w:color="auto" w:fill="auto"/>
          </w:tcPr>
          <w:p w14:paraId="5C3B741C" w14:textId="77777777" w:rsidR="00F674A4" w:rsidRPr="00F0736F" w:rsidRDefault="00F674A4" w:rsidP="00F6387D">
            <w:pPr>
              <w:ind w:firstLine="709"/>
              <w:jc w:val="center"/>
              <w:rPr>
                <w:color w:val="000000" w:themeColor="text1"/>
              </w:rPr>
            </w:pPr>
            <w:r w:rsidRPr="00F0736F">
              <w:rPr>
                <w:rFonts w:ascii="Times New Roman" w:hAnsi="Times New Roman" w:cs="Times New Roman"/>
                <w:color w:val="000000" w:themeColor="text1"/>
                <w:sz w:val="20"/>
                <w:szCs w:val="20"/>
              </w:rPr>
              <w:t>2017 год</w:t>
            </w:r>
          </w:p>
        </w:tc>
        <w:tc>
          <w:tcPr>
            <w:tcW w:w="2550" w:type="dxa"/>
            <w:gridSpan w:val="2"/>
            <w:tcBorders>
              <w:top w:val="single" w:sz="4" w:space="0" w:color="000000"/>
              <w:left w:val="single" w:sz="4" w:space="0" w:color="000000"/>
              <w:bottom w:val="single" w:sz="4" w:space="0" w:color="000000"/>
            </w:tcBorders>
            <w:shd w:val="clear" w:color="auto" w:fill="auto"/>
          </w:tcPr>
          <w:p w14:paraId="6FE22F42" w14:textId="77777777" w:rsidR="00F674A4" w:rsidRPr="00F0736F" w:rsidRDefault="00F674A4" w:rsidP="00F6387D">
            <w:pPr>
              <w:ind w:firstLine="709"/>
              <w:jc w:val="center"/>
              <w:rPr>
                <w:color w:val="000000" w:themeColor="text1"/>
              </w:rPr>
            </w:pPr>
            <w:r w:rsidRPr="00F0736F">
              <w:rPr>
                <w:rFonts w:ascii="Times New Roman" w:hAnsi="Times New Roman" w:cs="Times New Roman"/>
                <w:color w:val="000000" w:themeColor="text1"/>
                <w:sz w:val="20"/>
                <w:szCs w:val="20"/>
              </w:rPr>
              <w:t>2018 год</w:t>
            </w: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uto"/>
          </w:tcPr>
          <w:p w14:paraId="533BF60E" w14:textId="77777777" w:rsidR="00F674A4" w:rsidRPr="00F0736F" w:rsidRDefault="00F674A4" w:rsidP="00F6387D">
            <w:pPr>
              <w:ind w:firstLine="709"/>
              <w:jc w:val="center"/>
              <w:rPr>
                <w:color w:val="000000" w:themeColor="text1"/>
              </w:rPr>
            </w:pPr>
            <w:r w:rsidRPr="00F0736F">
              <w:rPr>
                <w:rFonts w:ascii="Times New Roman" w:hAnsi="Times New Roman" w:cs="Times New Roman"/>
                <w:color w:val="000000" w:themeColor="text1"/>
                <w:sz w:val="20"/>
                <w:szCs w:val="20"/>
              </w:rPr>
              <w:t>2019 год</w:t>
            </w:r>
          </w:p>
        </w:tc>
      </w:tr>
      <w:tr w:rsidR="00F0736F" w:rsidRPr="00F0736F" w14:paraId="15E13D30" w14:textId="77777777" w:rsidTr="00FC676B">
        <w:tc>
          <w:tcPr>
            <w:tcW w:w="1985" w:type="dxa"/>
            <w:vMerge/>
            <w:tcBorders>
              <w:top w:val="single" w:sz="4" w:space="0" w:color="000000"/>
              <w:left w:val="single" w:sz="4" w:space="0" w:color="000000"/>
              <w:bottom w:val="single" w:sz="4" w:space="0" w:color="000000"/>
            </w:tcBorders>
            <w:shd w:val="clear" w:color="auto" w:fill="auto"/>
          </w:tcPr>
          <w:p w14:paraId="509861A1"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tcBorders>
            <w:shd w:val="clear" w:color="auto" w:fill="auto"/>
          </w:tcPr>
          <w:p w14:paraId="00E64C76"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лимит</w:t>
            </w:r>
          </w:p>
        </w:tc>
        <w:tc>
          <w:tcPr>
            <w:tcW w:w="1134" w:type="dxa"/>
            <w:tcBorders>
              <w:top w:val="single" w:sz="4" w:space="0" w:color="000000"/>
              <w:left w:val="single" w:sz="4" w:space="0" w:color="000000"/>
              <w:bottom w:val="single" w:sz="4" w:space="0" w:color="000000"/>
            </w:tcBorders>
            <w:shd w:val="clear" w:color="auto" w:fill="auto"/>
          </w:tcPr>
          <w:p w14:paraId="1E0FFEB8"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факт</w:t>
            </w:r>
          </w:p>
        </w:tc>
        <w:tc>
          <w:tcPr>
            <w:tcW w:w="1140" w:type="dxa"/>
            <w:tcBorders>
              <w:top w:val="single" w:sz="4" w:space="0" w:color="000000"/>
              <w:left w:val="single" w:sz="4" w:space="0" w:color="000000"/>
              <w:bottom w:val="single" w:sz="4" w:space="0" w:color="000000"/>
            </w:tcBorders>
            <w:shd w:val="clear" w:color="auto" w:fill="auto"/>
          </w:tcPr>
          <w:p w14:paraId="66ABA6FE"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лимит</w:t>
            </w:r>
          </w:p>
        </w:tc>
        <w:tc>
          <w:tcPr>
            <w:tcW w:w="1410" w:type="dxa"/>
            <w:tcBorders>
              <w:top w:val="single" w:sz="4" w:space="0" w:color="000000"/>
              <w:left w:val="single" w:sz="4" w:space="0" w:color="000000"/>
              <w:bottom w:val="single" w:sz="4" w:space="0" w:color="000000"/>
            </w:tcBorders>
            <w:shd w:val="clear" w:color="auto" w:fill="auto"/>
          </w:tcPr>
          <w:p w14:paraId="623254EC"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факт</w:t>
            </w:r>
          </w:p>
        </w:tc>
        <w:tc>
          <w:tcPr>
            <w:tcW w:w="1200" w:type="dxa"/>
            <w:tcBorders>
              <w:top w:val="single" w:sz="4" w:space="0" w:color="000000"/>
              <w:left w:val="single" w:sz="4" w:space="0" w:color="000000"/>
              <w:bottom w:val="single" w:sz="4" w:space="0" w:color="000000"/>
            </w:tcBorders>
            <w:shd w:val="clear" w:color="auto" w:fill="auto"/>
          </w:tcPr>
          <w:p w14:paraId="3FF0C072"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лимит</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12139FAC" w14:textId="77777777" w:rsidR="00F674A4" w:rsidRPr="00F0736F" w:rsidRDefault="00F674A4" w:rsidP="00D8141E">
            <w:pPr>
              <w:ind w:hanging="27"/>
              <w:jc w:val="center"/>
              <w:rPr>
                <w:color w:val="000000" w:themeColor="text1"/>
              </w:rPr>
            </w:pPr>
            <w:r w:rsidRPr="00F0736F">
              <w:rPr>
                <w:rFonts w:ascii="Times New Roman" w:hAnsi="Times New Roman" w:cs="Times New Roman"/>
                <w:color w:val="000000" w:themeColor="text1"/>
                <w:sz w:val="20"/>
                <w:szCs w:val="20"/>
              </w:rPr>
              <w:t>факт</w:t>
            </w:r>
          </w:p>
        </w:tc>
      </w:tr>
      <w:tr w:rsidR="00F0736F" w:rsidRPr="00F0736F" w14:paraId="00BE5C9C" w14:textId="77777777" w:rsidTr="00FC676B">
        <w:tc>
          <w:tcPr>
            <w:tcW w:w="1985" w:type="dxa"/>
            <w:tcBorders>
              <w:top w:val="single" w:sz="4" w:space="0" w:color="000000"/>
              <w:left w:val="single" w:sz="4" w:space="0" w:color="000000"/>
              <w:bottom w:val="single" w:sz="4" w:space="0" w:color="000000"/>
            </w:tcBorders>
            <w:shd w:val="clear" w:color="auto" w:fill="auto"/>
          </w:tcPr>
          <w:p w14:paraId="7CF51AA6"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Акмолинская</w:t>
            </w:r>
          </w:p>
        </w:tc>
        <w:tc>
          <w:tcPr>
            <w:tcW w:w="1134" w:type="dxa"/>
            <w:tcBorders>
              <w:top w:val="single" w:sz="4" w:space="0" w:color="000000"/>
              <w:left w:val="single" w:sz="4" w:space="0" w:color="000000"/>
              <w:bottom w:val="single" w:sz="4" w:space="0" w:color="000000"/>
            </w:tcBorders>
            <w:shd w:val="clear" w:color="auto" w:fill="auto"/>
          </w:tcPr>
          <w:p w14:paraId="620C45B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66</w:t>
            </w:r>
          </w:p>
        </w:tc>
        <w:tc>
          <w:tcPr>
            <w:tcW w:w="1134" w:type="dxa"/>
            <w:tcBorders>
              <w:top w:val="single" w:sz="4" w:space="0" w:color="000000"/>
              <w:left w:val="single" w:sz="4" w:space="0" w:color="000000"/>
              <w:bottom w:val="single" w:sz="4" w:space="0" w:color="000000"/>
            </w:tcBorders>
            <w:shd w:val="clear" w:color="auto" w:fill="auto"/>
          </w:tcPr>
          <w:p w14:paraId="0BDA8D04"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38</w:t>
            </w:r>
          </w:p>
        </w:tc>
        <w:tc>
          <w:tcPr>
            <w:tcW w:w="1140" w:type="dxa"/>
            <w:tcBorders>
              <w:top w:val="single" w:sz="4" w:space="0" w:color="000000"/>
              <w:left w:val="single" w:sz="4" w:space="0" w:color="000000"/>
              <w:bottom w:val="single" w:sz="4" w:space="0" w:color="000000"/>
            </w:tcBorders>
            <w:shd w:val="clear" w:color="auto" w:fill="auto"/>
          </w:tcPr>
          <w:p w14:paraId="5A6093A4"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79</w:t>
            </w:r>
          </w:p>
        </w:tc>
        <w:tc>
          <w:tcPr>
            <w:tcW w:w="1410" w:type="dxa"/>
            <w:tcBorders>
              <w:top w:val="single" w:sz="4" w:space="0" w:color="000000"/>
              <w:left w:val="single" w:sz="4" w:space="0" w:color="000000"/>
              <w:bottom w:val="single" w:sz="4" w:space="0" w:color="000000"/>
            </w:tcBorders>
            <w:shd w:val="clear" w:color="auto" w:fill="auto"/>
          </w:tcPr>
          <w:p w14:paraId="460CD577" w14:textId="77777777" w:rsidR="00F674A4" w:rsidRPr="00F0736F" w:rsidRDefault="00F674A4" w:rsidP="00D8141E">
            <w:pPr>
              <w:jc w:val="center"/>
              <w:rPr>
                <w:color w:val="000000" w:themeColor="text1"/>
              </w:rPr>
            </w:pPr>
            <w:r w:rsidRPr="00F0736F">
              <w:rPr>
                <w:rFonts w:ascii="Times New Roman" w:hAnsi="Times New Roman" w:cs="Times New Roman"/>
                <w:color w:val="000000" w:themeColor="text1"/>
                <w:sz w:val="20"/>
                <w:szCs w:val="20"/>
              </w:rPr>
              <w:t>34</w:t>
            </w:r>
          </w:p>
        </w:tc>
        <w:tc>
          <w:tcPr>
            <w:tcW w:w="1200" w:type="dxa"/>
            <w:tcBorders>
              <w:top w:val="single" w:sz="4" w:space="0" w:color="000000"/>
              <w:left w:val="single" w:sz="4" w:space="0" w:color="000000"/>
              <w:bottom w:val="single" w:sz="4" w:space="0" w:color="000000"/>
            </w:tcBorders>
            <w:shd w:val="clear" w:color="auto" w:fill="auto"/>
            <w:vAlign w:val="center"/>
          </w:tcPr>
          <w:p w14:paraId="75661CBB"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81,9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91E5A"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45,8</w:t>
            </w:r>
          </w:p>
        </w:tc>
      </w:tr>
      <w:tr w:rsidR="00F0736F" w:rsidRPr="00F0736F" w14:paraId="71AAE671" w14:textId="77777777" w:rsidTr="00FC676B">
        <w:tc>
          <w:tcPr>
            <w:tcW w:w="1985" w:type="dxa"/>
            <w:tcBorders>
              <w:top w:val="single" w:sz="4" w:space="0" w:color="000000"/>
              <w:left w:val="single" w:sz="4" w:space="0" w:color="000000"/>
              <w:bottom w:val="single" w:sz="4" w:space="0" w:color="000000"/>
            </w:tcBorders>
            <w:shd w:val="clear" w:color="auto" w:fill="auto"/>
          </w:tcPr>
          <w:p w14:paraId="21F36E18"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Актюбинская</w:t>
            </w:r>
          </w:p>
        </w:tc>
        <w:tc>
          <w:tcPr>
            <w:tcW w:w="1134" w:type="dxa"/>
            <w:tcBorders>
              <w:top w:val="single" w:sz="4" w:space="0" w:color="000000"/>
              <w:left w:val="single" w:sz="4" w:space="0" w:color="000000"/>
              <w:bottom w:val="single" w:sz="4" w:space="0" w:color="000000"/>
            </w:tcBorders>
            <w:shd w:val="clear" w:color="auto" w:fill="auto"/>
          </w:tcPr>
          <w:p w14:paraId="12D342A6"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91</w:t>
            </w:r>
          </w:p>
        </w:tc>
        <w:tc>
          <w:tcPr>
            <w:tcW w:w="1134" w:type="dxa"/>
            <w:tcBorders>
              <w:top w:val="single" w:sz="4" w:space="0" w:color="000000"/>
              <w:left w:val="single" w:sz="4" w:space="0" w:color="000000"/>
              <w:bottom w:val="single" w:sz="4" w:space="0" w:color="000000"/>
            </w:tcBorders>
            <w:shd w:val="clear" w:color="auto" w:fill="auto"/>
          </w:tcPr>
          <w:p w14:paraId="4DB09490"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19</w:t>
            </w:r>
          </w:p>
        </w:tc>
        <w:tc>
          <w:tcPr>
            <w:tcW w:w="1140" w:type="dxa"/>
            <w:tcBorders>
              <w:top w:val="single" w:sz="4" w:space="0" w:color="000000"/>
              <w:left w:val="single" w:sz="4" w:space="0" w:color="000000"/>
              <w:bottom w:val="single" w:sz="4" w:space="0" w:color="000000"/>
            </w:tcBorders>
            <w:shd w:val="clear" w:color="auto" w:fill="auto"/>
          </w:tcPr>
          <w:p w14:paraId="0A4027A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48</w:t>
            </w:r>
          </w:p>
        </w:tc>
        <w:tc>
          <w:tcPr>
            <w:tcW w:w="1410" w:type="dxa"/>
            <w:tcBorders>
              <w:top w:val="single" w:sz="4" w:space="0" w:color="000000"/>
              <w:left w:val="single" w:sz="4" w:space="0" w:color="000000"/>
              <w:bottom w:val="single" w:sz="4" w:space="0" w:color="000000"/>
            </w:tcBorders>
            <w:shd w:val="clear" w:color="auto" w:fill="auto"/>
          </w:tcPr>
          <w:p w14:paraId="5A3CF60C"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w:t>
            </w:r>
          </w:p>
        </w:tc>
        <w:tc>
          <w:tcPr>
            <w:tcW w:w="1200" w:type="dxa"/>
            <w:tcBorders>
              <w:top w:val="single" w:sz="4" w:space="0" w:color="000000"/>
              <w:left w:val="single" w:sz="4" w:space="0" w:color="000000"/>
              <w:bottom w:val="single" w:sz="4" w:space="0" w:color="000000"/>
            </w:tcBorders>
            <w:shd w:val="clear" w:color="auto" w:fill="auto"/>
            <w:vAlign w:val="center"/>
          </w:tcPr>
          <w:p w14:paraId="6FB80ACA"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39,03</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DED3"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18,02</w:t>
            </w:r>
          </w:p>
        </w:tc>
      </w:tr>
      <w:tr w:rsidR="00F0736F" w:rsidRPr="00F0736F" w14:paraId="6A45D43E" w14:textId="77777777" w:rsidTr="00FC676B">
        <w:tc>
          <w:tcPr>
            <w:tcW w:w="1985" w:type="dxa"/>
            <w:tcBorders>
              <w:top w:val="single" w:sz="4" w:space="0" w:color="000000"/>
              <w:left w:val="single" w:sz="4" w:space="0" w:color="000000"/>
              <w:bottom w:val="single" w:sz="4" w:space="0" w:color="000000"/>
            </w:tcBorders>
            <w:shd w:val="clear" w:color="auto" w:fill="auto"/>
          </w:tcPr>
          <w:p w14:paraId="44577A2F"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Алматинская</w:t>
            </w:r>
          </w:p>
        </w:tc>
        <w:tc>
          <w:tcPr>
            <w:tcW w:w="1134" w:type="dxa"/>
            <w:tcBorders>
              <w:top w:val="single" w:sz="4" w:space="0" w:color="000000"/>
              <w:left w:val="single" w:sz="4" w:space="0" w:color="000000"/>
              <w:bottom w:val="single" w:sz="4" w:space="0" w:color="000000"/>
            </w:tcBorders>
            <w:shd w:val="clear" w:color="auto" w:fill="auto"/>
          </w:tcPr>
          <w:p w14:paraId="6AF734AA"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360</w:t>
            </w:r>
          </w:p>
        </w:tc>
        <w:tc>
          <w:tcPr>
            <w:tcW w:w="1134" w:type="dxa"/>
            <w:tcBorders>
              <w:top w:val="single" w:sz="4" w:space="0" w:color="000000"/>
              <w:left w:val="single" w:sz="4" w:space="0" w:color="000000"/>
              <w:bottom w:val="single" w:sz="4" w:space="0" w:color="000000"/>
            </w:tcBorders>
            <w:shd w:val="clear" w:color="auto" w:fill="auto"/>
          </w:tcPr>
          <w:p w14:paraId="28AC4490"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155</w:t>
            </w:r>
          </w:p>
        </w:tc>
        <w:tc>
          <w:tcPr>
            <w:tcW w:w="1140" w:type="dxa"/>
            <w:tcBorders>
              <w:top w:val="single" w:sz="4" w:space="0" w:color="000000"/>
              <w:left w:val="single" w:sz="4" w:space="0" w:color="000000"/>
              <w:bottom w:val="single" w:sz="4" w:space="0" w:color="000000"/>
            </w:tcBorders>
            <w:shd w:val="clear" w:color="auto" w:fill="auto"/>
          </w:tcPr>
          <w:p w14:paraId="73CF03E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340</w:t>
            </w:r>
          </w:p>
        </w:tc>
        <w:tc>
          <w:tcPr>
            <w:tcW w:w="1410" w:type="dxa"/>
            <w:tcBorders>
              <w:top w:val="single" w:sz="4" w:space="0" w:color="000000"/>
              <w:left w:val="single" w:sz="4" w:space="0" w:color="000000"/>
              <w:bottom w:val="single" w:sz="4" w:space="0" w:color="000000"/>
            </w:tcBorders>
            <w:shd w:val="clear" w:color="auto" w:fill="auto"/>
          </w:tcPr>
          <w:p w14:paraId="67D4B816"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172</w:t>
            </w:r>
          </w:p>
        </w:tc>
        <w:tc>
          <w:tcPr>
            <w:tcW w:w="1200" w:type="dxa"/>
            <w:tcBorders>
              <w:top w:val="single" w:sz="4" w:space="0" w:color="000000"/>
              <w:left w:val="single" w:sz="4" w:space="0" w:color="000000"/>
              <w:bottom w:val="single" w:sz="4" w:space="0" w:color="000000"/>
            </w:tcBorders>
            <w:shd w:val="clear" w:color="auto" w:fill="auto"/>
            <w:vAlign w:val="center"/>
          </w:tcPr>
          <w:p w14:paraId="66A70CD1"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340</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38C30"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172,2</w:t>
            </w:r>
          </w:p>
        </w:tc>
      </w:tr>
      <w:tr w:rsidR="00F0736F" w:rsidRPr="00F0736F" w14:paraId="13AAFF60" w14:textId="77777777" w:rsidTr="00FC676B">
        <w:tc>
          <w:tcPr>
            <w:tcW w:w="1985" w:type="dxa"/>
            <w:tcBorders>
              <w:top w:val="single" w:sz="4" w:space="0" w:color="000000"/>
              <w:left w:val="single" w:sz="4" w:space="0" w:color="000000"/>
              <w:bottom w:val="single" w:sz="4" w:space="0" w:color="000000"/>
            </w:tcBorders>
            <w:shd w:val="clear" w:color="auto" w:fill="auto"/>
          </w:tcPr>
          <w:p w14:paraId="13EC4151"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Атырауская</w:t>
            </w:r>
          </w:p>
        </w:tc>
        <w:tc>
          <w:tcPr>
            <w:tcW w:w="1134" w:type="dxa"/>
            <w:tcBorders>
              <w:top w:val="single" w:sz="4" w:space="0" w:color="000000"/>
              <w:left w:val="single" w:sz="4" w:space="0" w:color="000000"/>
              <w:bottom w:val="single" w:sz="4" w:space="0" w:color="000000"/>
            </w:tcBorders>
            <w:shd w:val="clear" w:color="auto" w:fill="auto"/>
          </w:tcPr>
          <w:p w14:paraId="69927E64"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68</w:t>
            </w:r>
          </w:p>
        </w:tc>
        <w:tc>
          <w:tcPr>
            <w:tcW w:w="1134" w:type="dxa"/>
            <w:tcBorders>
              <w:top w:val="single" w:sz="4" w:space="0" w:color="000000"/>
              <w:left w:val="single" w:sz="4" w:space="0" w:color="000000"/>
              <w:bottom w:val="single" w:sz="4" w:space="0" w:color="000000"/>
            </w:tcBorders>
            <w:shd w:val="clear" w:color="auto" w:fill="auto"/>
          </w:tcPr>
          <w:p w14:paraId="3407A47C"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16</w:t>
            </w:r>
          </w:p>
        </w:tc>
        <w:tc>
          <w:tcPr>
            <w:tcW w:w="1140" w:type="dxa"/>
            <w:tcBorders>
              <w:top w:val="single" w:sz="4" w:space="0" w:color="000000"/>
              <w:left w:val="single" w:sz="4" w:space="0" w:color="000000"/>
              <w:bottom w:val="single" w:sz="4" w:space="0" w:color="000000"/>
            </w:tcBorders>
            <w:shd w:val="clear" w:color="auto" w:fill="auto"/>
          </w:tcPr>
          <w:p w14:paraId="243E00F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73</w:t>
            </w:r>
          </w:p>
        </w:tc>
        <w:tc>
          <w:tcPr>
            <w:tcW w:w="1410" w:type="dxa"/>
            <w:tcBorders>
              <w:top w:val="single" w:sz="4" w:space="0" w:color="000000"/>
              <w:left w:val="single" w:sz="4" w:space="0" w:color="000000"/>
              <w:bottom w:val="single" w:sz="4" w:space="0" w:color="000000"/>
            </w:tcBorders>
            <w:shd w:val="clear" w:color="auto" w:fill="auto"/>
          </w:tcPr>
          <w:p w14:paraId="79B6D37F"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40</w:t>
            </w:r>
          </w:p>
        </w:tc>
        <w:tc>
          <w:tcPr>
            <w:tcW w:w="1200" w:type="dxa"/>
            <w:tcBorders>
              <w:top w:val="single" w:sz="4" w:space="0" w:color="000000"/>
              <w:left w:val="single" w:sz="4" w:space="0" w:color="000000"/>
              <w:bottom w:val="single" w:sz="4" w:space="0" w:color="000000"/>
            </w:tcBorders>
            <w:shd w:val="clear" w:color="auto" w:fill="auto"/>
            <w:vAlign w:val="center"/>
          </w:tcPr>
          <w:p w14:paraId="75DCA6F2"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93,17</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7CD7"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13,7</w:t>
            </w:r>
          </w:p>
        </w:tc>
      </w:tr>
      <w:tr w:rsidR="00F0736F" w:rsidRPr="00F0736F" w14:paraId="11008C1C" w14:textId="77777777" w:rsidTr="00FC676B">
        <w:tc>
          <w:tcPr>
            <w:tcW w:w="1985" w:type="dxa"/>
            <w:tcBorders>
              <w:top w:val="single" w:sz="4" w:space="0" w:color="000000"/>
              <w:left w:val="single" w:sz="4" w:space="0" w:color="000000"/>
              <w:bottom w:val="single" w:sz="4" w:space="0" w:color="000000"/>
            </w:tcBorders>
            <w:shd w:val="clear" w:color="auto" w:fill="auto"/>
          </w:tcPr>
          <w:p w14:paraId="2213D35A"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ВКО</w:t>
            </w:r>
          </w:p>
        </w:tc>
        <w:tc>
          <w:tcPr>
            <w:tcW w:w="1134" w:type="dxa"/>
            <w:tcBorders>
              <w:top w:val="single" w:sz="4" w:space="0" w:color="000000"/>
              <w:left w:val="single" w:sz="4" w:space="0" w:color="000000"/>
              <w:bottom w:val="single" w:sz="4" w:space="0" w:color="000000"/>
            </w:tcBorders>
            <w:shd w:val="clear" w:color="auto" w:fill="auto"/>
          </w:tcPr>
          <w:p w14:paraId="6D9FF67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54</w:t>
            </w:r>
          </w:p>
        </w:tc>
        <w:tc>
          <w:tcPr>
            <w:tcW w:w="1134" w:type="dxa"/>
            <w:tcBorders>
              <w:top w:val="single" w:sz="4" w:space="0" w:color="000000"/>
              <w:left w:val="single" w:sz="4" w:space="0" w:color="000000"/>
              <w:bottom w:val="single" w:sz="4" w:space="0" w:color="000000"/>
            </w:tcBorders>
            <w:shd w:val="clear" w:color="auto" w:fill="auto"/>
          </w:tcPr>
          <w:p w14:paraId="2CC00E99"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28</w:t>
            </w:r>
          </w:p>
        </w:tc>
        <w:tc>
          <w:tcPr>
            <w:tcW w:w="1140" w:type="dxa"/>
            <w:tcBorders>
              <w:top w:val="single" w:sz="4" w:space="0" w:color="000000"/>
              <w:left w:val="single" w:sz="4" w:space="0" w:color="000000"/>
              <w:bottom w:val="single" w:sz="4" w:space="0" w:color="000000"/>
            </w:tcBorders>
            <w:shd w:val="clear" w:color="auto" w:fill="auto"/>
          </w:tcPr>
          <w:p w14:paraId="5EFCE0B7"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46</w:t>
            </w:r>
          </w:p>
        </w:tc>
        <w:tc>
          <w:tcPr>
            <w:tcW w:w="1410" w:type="dxa"/>
            <w:tcBorders>
              <w:top w:val="single" w:sz="4" w:space="0" w:color="000000"/>
              <w:left w:val="single" w:sz="4" w:space="0" w:color="000000"/>
              <w:bottom w:val="single" w:sz="4" w:space="0" w:color="000000"/>
            </w:tcBorders>
            <w:shd w:val="clear" w:color="auto" w:fill="auto"/>
          </w:tcPr>
          <w:p w14:paraId="2645C438"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w:t>
            </w:r>
          </w:p>
        </w:tc>
        <w:tc>
          <w:tcPr>
            <w:tcW w:w="1200" w:type="dxa"/>
            <w:tcBorders>
              <w:top w:val="single" w:sz="4" w:space="0" w:color="000000"/>
              <w:left w:val="single" w:sz="4" w:space="0" w:color="000000"/>
              <w:bottom w:val="single" w:sz="4" w:space="0" w:color="000000"/>
            </w:tcBorders>
            <w:shd w:val="clear" w:color="auto" w:fill="auto"/>
            <w:vAlign w:val="center"/>
          </w:tcPr>
          <w:p w14:paraId="5D8555DC"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41,5</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BB7A1"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20,4</w:t>
            </w:r>
          </w:p>
        </w:tc>
      </w:tr>
      <w:tr w:rsidR="00F0736F" w:rsidRPr="00F0736F" w14:paraId="66DB30A9" w14:textId="77777777" w:rsidTr="00FC676B">
        <w:tc>
          <w:tcPr>
            <w:tcW w:w="1985" w:type="dxa"/>
            <w:tcBorders>
              <w:top w:val="single" w:sz="4" w:space="0" w:color="000000"/>
              <w:left w:val="single" w:sz="4" w:space="0" w:color="000000"/>
              <w:bottom w:val="single" w:sz="4" w:space="0" w:color="000000"/>
            </w:tcBorders>
            <w:shd w:val="clear" w:color="auto" w:fill="auto"/>
          </w:tcPr>
          <w:p w14:paraId="5D0BC1DF"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Жамбылская</w:t>
            </w:r>
          </w:p>
        </w:tc>
        <w:tc>
          <w:tcPr>
            <w:tcW w:w="1134" w:type="dxa"/>
            <w:tcBorders>
              <w:top w:val="single" w:sz="4" w:space="0" w:color="000000"/>
              <w:left w:val="single" w:sz="4" w:space="0" w:color="000000"/>
              <w:bottom w:val="single" w:sz="4" w:space="0" w:color="000000"/>
            </w:tcBorders>
            <w:shd w:val="clear" w:color="auto" w:fill="auto"/>
          </w:tcPr>
          <w:p w14:paraId="27196E97"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23</w:t>
            </w:r>
          </w:p>
        </w:tc>
        <w:tc>
          <w:tcPr>
            <w:tcW w:w="1134" w:type="dxa"/>
            <w:tcBorders>
              <w:top w:val="single" w:sz="4" w:space="0" w:color="000000"/>
              <w:left w:val="single" w:sz="4" w:space="0" w:color="000000"/>
              <w:bottom w:val="single" w:sz="4" w:space="0" w:color="000000"/>
            </w:tcBorders>
            <w:shd w:val="clear" w:color="auto" w:fill="auto"/>
          </w:tcPr>
          <w:p w14:paraId="15B463E2"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17</w:t>
            </w:r>
          </w:p>
        </w:tc>
        <w:tc>
          <w:tcPr>
            <w:tcW w:w="1140" w:type="dxa"/>
            <w:tcBorders>
              <w:top w:val="single" w:sz="4" w:space="0" w:color="000000"/>
              <w:left w:val="single" w:sz="4" w:space="0" w:color="000000"/>
              <w:bottom w:val="single" w:sz="4" w:space="0" w:color="000000"/>
            </w:tcBorders>
            <w:shd w:val="clear" w:color="auto" w:fill="auto"/>
          </w:tcPr>
          <w:p w14:paraId="4468A473"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24</w:t>
            </w:r>
          </w:p>
        </w:tc>
        <w:tc>
          <w:tcPr>
            <w:tcW w:w="1410" w:type="dxa"/>
            <w:tcBorders>
              <w:top w:val="single" w:sz="4" w:space="0" w:color="000000"/>
              <w:left w:val="single" w:sz="4" w:space="0" w:color="000000"/>
              <w:bottom w:val="single" w:sz="4" w:space="0" w:color="000000"/>
            </w:tcBorders>
            <w:shd w:val="clear" w:color="auto" w:fill="auto"/>
          </w:tcPr>
          <w:p w14:paraId="7D79B753"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1200" w:type="dxa"/>
            <w:tcBorders>
              <w:top w:val="single" w:sz="4" w:space="0" w:color="000000"/>
              <w:left w:val="single" w:sz="4" w:space="0" w:color="000000"/>
              <w:bottom w:val="single" w:sz="4" w:space="0" w:color="000000"/>
            </w:tcBorders>
            <w:shd w:val="clear" w:color="auto" w:fill="auto"/>
            <w:vAlign w:val="center"/>
          </w:tcPr>
          <w:p w14:paraId="417AEC67"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22,9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C11FF"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16,3</w:t>
            </w:r>
          </w:p>
        </w:tc>
      </w:tr>
      <w:tr w:rsidR="00F0736F" w:rsidRPr="00F0736F" w14:paraId="19F9778C" w14:textId="77777777" w:rsidTr="00FC676B">
        <w:tc>
          <w:tcPr>
            <w:tcW w:w="1985" w:type="dxa"/>
            <w:tcBorders>
              <w:top w:val="single" w:sz="4" w:space="0" w:color="000000"/>
              <w:left w:val="single" w:sz="4" w:space="0" w:color="000000"/>
              <w:bottom w:val="single" w:sz="4" w:space="0" w:color="000000"/>
            </w:tcBorders>
            <w:shd w:val="clear" w:color="auto" w:fill="auto"/>
          </w:tcPr>
          <w:p w14:paraId="01E6B91C"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ЗКО</w:t>
            </w:r>
          </w:p>
        </w:tc>
        <w:tc>
          <w:tcPr>
            <w:tcW w:w="1134" w:type="dxa"/>
            <w:tcBorders>
              <w:top w:val="single" w:sz="4" w:space="0" w:color="000000"/>
              <w:left w:val="single" w:sz="4" w:space="0" w:color="000000"/>
              <w:bottom w:val="single" w:sz="4" w:space="0" w:color="000000"/>
            </w:tcBorders>
            <w:shd w:val="clear" w:color="auto" w:fill="auto"/>
          </w:tcPr>
          <w:p w14:paraId="0B58285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88</w:t>
            </w:r>
          </w:p>
        </w:tc>
        <w:tc>
          <w:tcPr>
            <w:tcW w:w="1134" w:type="dxa"/>
            <w:tcBorders>
              <w:top w:val="single" w:sz="4" w:space="0" w:color="000000"/>
              <w:left w:val="single" w:sz="4" w:space="0" w:color="000000"/>
              <w:bottom w:val="single" w:sz="4" w:space="0" w:color="000000"/>
            </w:tcBorders>
            <w:shd w:val="clear" w:color="auto" w:fill="auto"/>
          </w:tcPr>
          <w:p w14:paraId="50112C50"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37</w:t>
            </w:r>
          </w:p>
        </w:tc>
        <w:tc>
          <w:tcPr>
            <w:tcW w:w="1140" w:type="dxa"/>
            <w:tcBorders>
              <w:top w:val="single" w:sz="4" w:space="0" w:color="000000"/>
              <w:left w:val="single" w:sz="4" w:space="0" w:color="000000"/>
              <w:bottom w:val="single" w:sz="4" w:space="0" w:color="000000"/>
            </w:tcBorders>
            <w:shd w:val="clear" w:color="auto" w:fill="auto"/>
          </w:tcPr>
          <w:p w14:paraId="3DDDD032"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146</w:t>
            </w:r>
          </w:p>
        </w:tc>
        <w:tc>
          <w:tcPr>
            <w:tcW w:w="1410" w:type="dxa"/>
            <w:tcBorders>
              <w:top w:val="single" w:sz="4" w:space="0" w:color="000000"/>
              <w:left w:val="single" w:sz="4" w:space="0" w:color="000000"/>
              <w:bottom w:val="single" w:sz="4" w:space="0" w:color="000000"/>
            </w:tcBorders>
            <w:shd w:val="clear" w:color="auto" w:fill="auto"/>
          </w:tcPr>
          <w:p w14:paraId="0188E23D"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46</w:t>
            </w:r>
          </w:p>
        </w:tc>
        <w:tc>
          <w:tcPr>
            <w:tcW w:w="1200" w:type="dxa"/>
            <w:tcBorders>
              <w:top w:val="single" w:sz="4" w:space="0" w:color="000000"/>
              <w:left w:val="single" w:sz="4" w:space="0" w:color="000000"/>
              <w:bottom w:val="single" w:sz="4" w:space="0" w:color="000000"/>
            </w:tcBorders>
            <w:shd w:val="clear" w:color="auto" w:fill="auto"/>
            <w:vAlign w:val="center"/>
          </w:tcPr>
          <w:p w14:paraId="7B5BE9FD"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85,9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C9915"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46,6</w:t>
            </w:r>
          </w:p>
        </w:tc>
      </w:tr>
      <w:tr w:rsidR="00F0736F" w:rsidRPr="00F0736F" w14:paraId="42EBE5EE" w14:textId="77777777" w:rsidTr="00FC676B">
        <w:tc>
          <w:tcPr>
            <w:tcW w:w="1985" w:type="dxa"/>
            <w:tcBorders>
              <w:top w:val="single" w:sz="4" w:space="0" w:color="000000"/>
              <w:left w:val="single" w:sz="4" w:space="0" w:color="000000"/>
              <w:bottom w:val="single" w:sz="4" w:space="0" w:color="000000"/>
            </w:tcBorders>
            <w:shd w:val="clear" w:color="auto" w:fill="auto"/>
          </w:tcPr>
          <w:p w14:paraId="126C0330"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Карагандинская</w:t>
            </w:r>
          </w:p>
        </w:tc>
        <w:tc>
          <w:tcPr>
            <w:tcW w:w="1134" w:type="dxa"/>
            <w:tcBorders>
              <w:top w:val="single" w:sz="4" w:space="0" w:color="000000"/>
              <w:left w:val="single" w:sz="4" w:space="0" w:color="000000"/>
              <w:bottom w:val="single" w:sz="4" w:space="0" w:color="000000"/>
            </w:tcBorders>
            <w:shd w:val="clear" w:color="auto" w:fill="auto"/>
          </w:tcPr>
          <w:p w14:paraId="54C30D4C"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1043</w:t>
            </w:r>
          </w:p>
        </w:tc>
        <w:tc>
          <w:tcPr>
            <w:tcW w:w="1134" w:type="dxa"/>
            <w:tcBorders>
              <w:top w:val="single" w:sz="4" w:space="0" w:color="000000"/>
              <w:left w:val="single" w:sz="4" w:space="0" w:color="000000"/>
              <w:bottom w:val="single" w:sz="4" w:space="0" w:color="000000"/>
            </w:tcBorders>
            <w:shd w:val="clear" w:color="auto" w:fill="auto"/>
          </w:tcPr>
          <w:p w14:paraId="59E1F3A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458</w:t>
            </w:r>
          </w:p>
        </w:tc>
        <w:tc>
          <w:tcPr>
            <w:tcW w:w="1140" w:type="dxa"/>
            <w:tcBorders>
              <w:top w:val="single" w:sz="4" w:space="0" w:color="000000"/>
              <w:left w:val="single" w:sz="4" w:space="0" w:color="000000"/>
              <w:bottom w:val="single" w:sz="4" w:space="0" w:color="000000"/>
            </w:tcBorders>
            <w:shd w:val="clear" w:color="auto" w:fill="auto"/>
          </w:tcPr>
          <w:p w14:paraId="4C4E103C"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429</w:t>
            </w:r>
          </w:p>
        </w:tc>
        <w:tc>
          <w:tcPr>
            <w:tcW w:w="1410" w:type="dxa"/>
            <w:tcBorders>
              <w:top w:val="single" w:sz="4" w:space="0" w:color="000000"/>
              <w:left w:val="single" w:sz="4" w:space="0" w:color="000000"/>
              <w:bottom w:val="single" w:sz="4" w:space="0" w:color="000000"/>
            </w:tcBorders>
            <w:shd w:val="clear" w:color="auto" w:fill="auto"/>
          </w:tcPr>
          <w:p w14:paraId="69D1A636"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428</w:t>
            </w:r>
          </w:p>
        </w:tc>
        <w:tc>
          <w:tcPr>
            <w:tcW w:w="1200" w:type="dxa"/>
            <w:tcBorders>
              <w:top w:val="single" w:sz="4" w:space="0" w:color="000000"/>
              <w:left w:val="single" w:sz="4" w:space="0" w:color="000000"/>
              <w:bottom w:val="single" w:sz="4" w:space="0" w:color="000000"/>
            </w:tcBorders>
            <w:shd w:val="clear" w:color="auto" w:fill="auto"/>
            <w:vAlign w:val="center"/>
          </w:tcPr>
          <w:p w14:paraId="2AE24C58"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454</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7A6EE"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302</w:t>
            </w:r>
          </w:p>
        </w:tc>
      </w:tr>
      <w:tr w:rsidR="00F0736F" w:rsidRPr="00F0736F" w14:paraId="250970CA" w14:textId="77777777" w:rsidTr="00FC676B">
        <w:tc>
          <w:tcPr>
            <w:tcW w:w="1985" w:type="dxa"/>
            <w:tcBorders>
              <w:top w:val="single" w:sz="4" w:space="0" w:color="000000"/>
              <w:left w:val="single" w:sz="4" w:space="0" w:color="000000"/>
              <w:bottom w:val="single" w:sz="4" w:space="0" w:color="000000"/>
            </w:tcBorders>
            <w:shd w:val="clear" w:color="auto" w:fill="auto"/>
          </w:tcPr>
          <w:p w14:paraId="6EE0C3C2"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Кызылординская</w:t>
            </w:r>
          </w:p>
        </w:tc>
        <w:tc>
          <w:tcPr>
            <w:tcW w:w="1134" w:type="dxa"/>
            <w:tcBorders>
              <w:top w:val="single" w:sz="4" w:space="0" w:color="000000"/>
              <w:left w:val="single" w:sz="4" w:space="0" w:color="000000"/>
              <w:bottom w:val="single" w:sz="4" w:space="0" w:color="000000"/>
            </w:tcBorders>
            <w:shd w:val="clear" w:color="auto" w:fill="auto"/>
          </w:tcPr>
          <w:p w14:paraId="3FC2E3AF"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62</w:t>
            </w:r>
          </w:p>
        </w:tc>
        <w:tc>
          <w:tcPr>
            <w:tcW w:w="1134" w:type="dxa"/>
            <w:tcBorders>
              <w:top w:val="single" w:sz="4" w:space="0" w:color="000000"/>
              <w:left w:val="single" w:sz="4" w:space="0" w:color="000000"/>
              <w:bottom w:val="single" w:sz="4" w:space="0" w:color="000000"/>
            </w:tcBorders>
            <w:shd w:val="clear" w:color="auto" w:fill="auto"/>
          </w:tcPr>
          <w:p w14:paraId="32A5944E"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8</w:t>
            </w:r>
          </w:p>
        </w:tc>
        <w:tc>
          <w:tcPr>
            <w:tcW w:w="1140" w:type="dxa"/>
            <w:tcBorders>
              <w:top w:val="single" w:sz="4" w:space="0" w:color="000000"/>
              <w:left w:val="single" w:sz="4" w:space="0" w:color="000000"/>
              <w:bottom w:val="single" w:sz="4" w:space="0" w:color="000000"/>
            </w:tcBorders>
            <w:shd w:val="clear" w:color="auto" w:fill="auto"/>
          </w:tcPr>
          <w:p w14:paraId="1537451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87</w:t>
            </w:r>
          </w:p>
        </w:tc>
        <w:tc>
          <w:tcPr>
            <w:tcW w:w="1410" w:type="dxa"/>
            <w:tcBorders>
              <w:top w:val="single" w:sz="4" w:space="0" w:color="000000"/>
              <w:left w:val="single" w:sz="4" w:space="0" w:color="000000"/>
              <w:bottom w:val="single" w:sz="4" w:space="0" w:color="000000"/>
            </w:tcBorders>
            <w:shd w:val="clear" w:color="auto" w:fill="auto"/>
          </w:tcPr>
          <w:p w14:paraId="046315AC"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w:t>
            </w:r>
          </w:p>
        </w:tc>
        <w:tc>
          <w:tcPr>
            <w:tcW w:w="1200" w:type="dxa"/>
            <w:tcBorders>
              <w:top w:val="single" w:sz="4" w:space="0" w:color="000000"/>
              <w:left w:val="single" w:sz="4" w:space="0" w:color="000000"/>
              <w:bottom w:val="single" w:sz="4" w:space="0" w:color="000000"/>
            </w:tcBorders>
            <w:shd w:val="clear" w:color="auto" w:fill="auto"/>
            <w:vAlign w:val="center"/>
          </w:tcPr>
          <w:p w14:paraId="68431A6F"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87,9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A01F1"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8,9</w:t>
            </w:r>
          </w:p>
        </w:tc>
      </w:tr>
      <w:tr w:rsidR="00F0736F" w:rsidRPr="00F0736F" w14:paraId="49F623B8" w14:textId="77777777" w:rsidTr="00FC676B">
        <w:tc>
          <w:tcPr>
            <w:tcW w:w="1985" w:type="dxa"/>
            <w:tcBorders>
              <w:top w:val="single" w:sz="4" w:space="0" w:color="000000"/>
              <w:left w:val="single" w:sz="4" w:space="0" w:color="000000"/>
              <w:bottom w:val="single" w:sz="4" w:space="0" w:color="000000"/>
            </w:tcBorders>
            <w:shd w:val="clear" w:color="auto" w:fill="auto"/>
          </w:tcPr>
          <w:p w14:paraId="7638C122"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Костанайская</w:t>
            </w:r>
          </w:p>
        </w:tc>
        <w:tc>
          <w:tcPr>
            <w:tcW w:w="1134" w:type="dxa"/>
            <w:tcBorders>
              <w:top w:val="single" w:sz="4" w:space="0" w:color="000000"/>
              <w:left w:val="single" w:sz="4" w:space="0" w:color="000000"/>
              <w:bottom w:val="single" w:sz="4" w:space="0" w:color="000000"/>
            </w:tcBorders>
            <w:shd w:val="clear" w:color="auto" w:fill="auto"/>
          </w:tcPr>
          <w:p w14:paraId="7A5627B0"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365</w:t>
            </w:r>
          </w:p>
        </w:tc>
        <w:tc>
          <w:tcPr>
            <w:tcW w:w="1134" w:type="dxa"/>
            <w:tcBorders>
              <w:top w:val="single" w:sz="4" w:space="0" w:color="000000"/>
              <w:left w:val="single" w:sz="4" w:space="0" w:color="000000"/>
              <w:bottom w:val="single" w:sz="4" w:space="0" w:color="000000"/>
            </w:tcBorders>
            <w:shd w:val="clear" w:color="auto" w:fill="auto"/>
          </w:tcPr>
          <w:p w14:paraId="563D9255"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122</w:t>
            </w:r>
          </w:p>
        </w:tc>
        <w:tc>
          <w:tcPr>
            <w:tcW w:w="1140" w:type="dxa"/>
            <w:tcBorders>
              <w:top w:val="single" w:sz="4" w:space="0" w:color="000000"/>
              <w:left w:val="single" w:sz="4" w:space="0" w:color="000000"/>
              <w:bottom w:val="single" w:sz="4" w:space="0" w:color="000000"/>
            </w:tcBorders>
            <w:shd w:val="clear" w:color="auto" w:fill="auto"/>
          </w:tcPr>
          <w:p w14:paraId="1323A96A"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545</w:t>
            </w:r>
          </w:p>
        </w:tc>
        <w:tc>
          <w:tcPr>
            <w:tcW w:w="1410" w:type="dxa"/>
            <w:tcBorders>
              <w:top w:val="single" w:sz="4" w:space="0" w:color="000000"/>
              <w:left w:val="single" w:sz="4" w:space="0" w:color="000000"/>
              <w:bottom w:val="single" w:sz="4" w:space="0" w:color="000000"/>
            </w:tcBorders>
            <w:shd w:val="clear" w:color="auto" w:fill="auto"/>
          </w:tcPr>
          <w:p w14:paraId="5A26F583"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105</w:t>
            </w:r>
          </w:p>
        </w:tc>
        <w:tc>
          <w:tcPr>
            <w:tcW w:w="1200" w:type="dxa"/>
            <w:tcBorders>
              <w:top w:val="single" w:sz="4" w:space="0" w:color="000000"/>
              <w:left w:val="single" w:sz="4" w:space="0" w:color="000000"/>
              <w:bottom w:val="single" w:sz="4" w:space="0" w:color="000000"/>
            </w:tcBorders>
            <w:shd w:val="clear" w:color="auto" w:fill="auto"/>
            <w:vAlign w:val="center"/>
          </w:tcPr>
          <w:p w14:paraId="23A590A9"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355,1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B76B8"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136,1</w:t>
            </w:r>
          </w:p>
        </w:tc>
      </w:tr>
      <w:tr w:rsidR="00F0736F" w:rsidRPr="00F0736F" w14:paraId="5EF9E3F8" w14:textId="77777777" w:rsidTr="00FC676B">
        <w:tc>
          <w:tcPr>
            <w:tcW w:w="1985" w:type="dxa"/>
            <w:tcBorders>
              <w:top w:val="single" w:sz="4" w:space="0" w:color="000000"/>
              <w:left w:val="single" w:sz="4" w:space="0" w:color="000000"/>
              <w:bottom w:val="single" w:sz="4" w:space="0" w:color="000000"/>
            </w:tcBorders>
            <w:shd w:val="clear" w:color="auto" w:fill="auto"/>
          </w:tcPr>
          <w:p w14:paraId="02C53080"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Мангистауская</w:t>
            </w:r>
          </w:p>
        </w:tc>
        <w:tc>
          <w:tcPr>
            <w:tcW w:w="1134" w:type="dxa"/>
            <w:tcBorders>
              <w:top w:val="single" w:sz="4" w:space="0" w:color="000000"/>
              <w:left w:val="single" w:sz="4" w:space="0" w:color="000000"/>
              <w:bottom w:val="single" w:sz="4" w:space="0" w:color="000000"/>
            </w:tcBorders>
            <w:shd w:val="clear" w:color="auto" w:fill="auto"/>
          </w:tcPr>
          <w:p w14:paraId="61E24C2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106</w:t>
            </w:r>
          </w:p>
        </w:tc>
        <w:tc>
          <w:tcPr>
            <w:tcW w:w="1134" w:type="dxa"/>
            <w:tcBorders>
              <w:top w:val="single" w:sz="4" w:space="0" w:color="000000"/>
              <w:left w:val="single" w:sz="4" w:space="0" w:color="000000"/>
              <w:bottom w:val="single" w:sz="4" w:space="0" w:color="000000"/>
            </w:tcBorders>
            <w:shd w:val="clear" w:color="auto" w:fill="auto"/>
          </w:tcPr>
          <w:p w14:paraId="418F7F95"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11</w:t>
            </w:r>
          </w:p>
        </w:tc>
        <w:tc>
          <w:tcPr>
            <w:tcW w:w="1140" w:type="dxa"/>
            <w:tcBorders>
              <w:top w:val="single" w:sz="4" w:space="0" w:color="000000"/>
              <w:left w:val="single" w:sz="4" w:space="0" w:color="000000"/>
              <w:bottom w:val="single" w:sz="4" w:space="0" w:color="000000"/>
            </w:tcBorders>
            <w:shd w:val="clear" w:color="auto" w:fill="auto"/>
          </w:tcPr>
          <w:p w14:paraId="391E4FB2"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109</w:t>
            </w:r>
          </w:p>
        </w:tc>
        <w:tc>
          <w:tcPr>
            <w:tcW w:w="1410" w:type="dxa"/>
            <w:tcBorders>
              <w:top w:val="single" w:sz="4" w:space="0" w:color="000000"/>
              <w:left w:val="single" w:sz="4" w:space="0" w:color="000000"/>
              <w:bottom w:val="single" w:sz="4" w:space="0" w:color="000000"/>
            </w:tcBorders>
            <w:shd w:val="clear" w:color="auto" w:fill="auto"/>
          </w:tcPr>
          <w:p w14:paraId="5AE42DF6"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w:t>
            </w:r>
          </w:p>
        </w:tc>
        <w:tc>
          <w:tcPr>
            <w:tcW w:w="1200" w:type="dxa"/>
            <w:tcBorders>
              <w:top w:val="single" w:sz="4" w:space="0" w:color="000000"/>
              <w:left w:val="single" w:sz="4" w:space="0" w:color="000000"/>
              <w:bottom w:val="single" w:sz="4" w:space="0" w:color="000000"/>
            </w:tcBorders>
            <w:shd w:val="clear" w:color="auto" w:fill="auto"/>
            <w:vAlign w:val="center"/>
          </w:tcPr>
          <w:p w14:paraId="7EC42F73"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126</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3CFF"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w:t>
            </w:r>
          </w:p>
        </w:tc>
      </w:tr>
      <w:tr w:rsidR="00F0736F" w:rsidRPr="00F0736F" w14:paraId="6BE920EE" w14:textId="77777777" w:rsidTr="00FC676B">
        <w:tc>
          <w:tcPr>
            <w:tcW w:w="1985" w:type="dxa"/>
            <w:tcBorders>
              <w:top w:val="single" w:sz="4" w:space="0" w:color="000000"/>
              <w:left w:val="single" w:sz="4" w:space="0" w:color="000000"/>
              <w:bottom w:val="single" w:sz="4" w:space="0" w:color="000000"/>
            </w:tcBorders>
            <w:shd w:val="clear" w:color="auto" w:fill="auto"/>
          </w:tcPr>
          <w:p w14:paraId="33AB7910"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Павлодарская</w:t>
            </w:r>
          </w:p>
        </w:tc>
        <w:tc>
          <w:tcPr>
            <w:tcW w:w="1134" w:type="dxa"/>
            <w:tcBorders>
              <w:top w:val="single" w:sz="4" w:space="0" w:color="000000"/>
              <w:left w:val="single" w:sz="4" w:space="0" w:color="000000"/>
              <w:bottom w:val="single" w:sz="4" w:space="0" w:color="000000"/>
            </w:tcBorders>
            <w:shd w:val="clear" w:color="auto" w:fill="auto"/>
          </w:tcPr>
          <w:p w14:paraId="545017BA"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76</w:t>
            </w:r>
          </w:p>
        </w:tc>
        <w:tc>
          <w:tcPr>
            <w:tcW w:w="1134" w:type="dxa"/>
            <w:tcBorders>
              <w:top w:val="single" w:sz="4" w:space="0" w:color="000000"/>
              <w:left w:val="single" w:sz="4" w:space="0" w:color="000000"/>
              <w:bottom w:val="single" w:sz="4" w:space="0" w:color="000000"/>
            </w:tcBorders>
            <w:shd w:val="clear" w:color="auto" w:fill="auto"/>
          </w:tcPr>
          <w:p w14:paraId="1FAB2E43"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27</w:t>
            </w:r>
          </w:p>
        </w:tc>
        <w:tc>
          <w:tcPr>
            <w:tcW w:w="1140" w:type="dxa"/>
            <w:tcBorders>
              <w:top w:val="single" w:sz="4" w:space="0" w:color="000000"/>
              <w:left w:val="single" w:sz="4" w:space="0" w:color="000000"/>
              <w:bottom w:val="single" w:sz="4" w:space="0" w:color="000000"/>
            </w:tcBorders>
            <w:shd w:val="clear" w:color="auto" w:fill="auto"/>
          </w:tcPr>
          <w:p w14:paraId="051A8534"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75</w:t>
            </w:r>
          </w:p>
        </w:tc>
        <w:tc>
          <w:tcPr>
            <w:tcW w:w="1410" w:type="dxa"/>
            <w:tcBorders>
              <w:top w:val="single" w:sz="4" w:space="0" w:color="000000"/>
              <w:left w:val="single" w:sz="4" w:space="0" w:color="000000"/>
              <w:bottom w:val="single" w:sz="4" w:space="0" w:color="000000"/>
            </w:tcBorders>
            <w:shd w:val="clear" w:color="auto" w:fill="auto"/>
          </w:tcPr>
          <w:p w14:paraId="6574CC98"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w:t>
            </w:r>
          </w:p>
        </w:tc>
        <w:tc>
          <w:tcPr>
            <w:tcW w:w="1200" w:type="dxa"/>
            <w:tcBorders>
              <w:top w:val="single" w:sz="4" w:space="0" w:color="000000"/>
              <w:left w:val="single" w:sz="4" w:space="0" w:color="000000"/>
              <w:bottom w:val="single" w:sz="4" w:space="0" w:color="000000"/>
            </w:tcBorders>
            <w:shd w:val="clear" w:color="auto" w:fill="auto"/>
            <w:vAlign w:val="center"/>
          </w:tcPr>
          <w:p w14:paraId="4CD9BF9B"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76</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75B9"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29,7</w:t>
            </w:r>
          </w:p>
        </w:tc>
      </w:tr>
      <w:tr w:rsidR="00F0736F" w:rsidRPr="00F0736F" w14:paraId="1F18E807" w14:textId="77777777" w:rsidTr="00FC676B">
        <w:tc>
          <w:tcPr>
            <w:tcW w:w="1985" w:type="dxa"/>
            <w:tcBorders>
              <w:top w:val="single" w:sz="4" w:space="0" w:color="000000"/>
              <w:left w:val="single" w:sz="4" w:space="0" w:color="000000"/>
              <w:bottom w:val="single" w:sz="4" w:space="0" w:color="000000"/>
            </w:tcBorders>
            <w:shd w:val="clear" w:color="auto" w:fill="auto"/>
          </w:tcPr>
          <w:p w14:paraId="69A14BC9"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СКО</w:t>
            </w:r>
          </w:p>
        </w:tc>
        <w:tc>
          <w:tcPr>
            <w:tcW w:w="1134" w:type="dxa"/>
            <w:tcBorders>
              <w:top w:val="single" w:sz="4" w:space="0" w:color="000000"/>
              <w:left w:val="single" w:sz="4" w:space="0" w:color="000000"/>
              <w:bottom w:val="single" w:sz="4" w:space="0" w:color="000000"/>
            </w:tcBorders>
            <w:shd w:val="clear" w:color="auto" w:fill="auto"/>
          </w:tcPr>
          <w:p w14:paraId="6BE54BA3"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95</w:t>
            </w:r>
          </w:p>
        </w:tc>
        <w:tc>
          <w:tcPr>
            <w:tcW w:w="1134" w:type="dxa"/>
            <w:tcBorders>
              <w:top w:val="single" w:sz="4" w:space="0" w:color="000000"/>
              <w:left w:val="single" w:sz="4" w:space="0" w:color="000000"/>
              <w:bottom w:val="single" w:sz="4" w:space="0" w:color="000000"/>
            </w:tcBorders>
            <w:shd w:val="clear" w:color="auto" w:fill="auto"/>
          </w:tcPr>
          <w:p w14:paraId="5693A273"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30</w:t>
            </w:r>
          </w:p>
        </w:tc>
        <w:tc>
          <w:tcPr>
            <w:tcW w:w="1140" w:type="dxa"/>
            <w:tcBorders>
              <w:top w:val="single" w:sz="4" w:space="0" w:color="000000"/>
              <w:left w:val="single" w:sz="4" w:space="0" w:color="000000"/>
              <w:bottom w:val="single" w:sz="4" w:space="0" w:color="000000"/>
            </w:tcBorders>
            <w:shd w:val="clear" w:color="auto" w:fill="auto"/>
          </w:tcPr>
          <w:p w14:paraId="78CC07E4"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36</w:t>
            </w:r>
          </w:p>
        </w:tc>
        <w:tc>
          <w:tcPr>
            <w:tcW w:w="1410" w:type="dxa"/>
            <w:tcBorders>
              <w:top w:val="single" w:sz="4" w:space="0" w:color="000000"/>
              <w:left w:val="single" w:sz="4" w:space="0" w:color="000000"/>
              <w:bottom w:val="single" w:sz="4" w:space="0" w:color="000000"/>
            </w:tcBorders>
            <w:shd w:val="clear" w:color="auto" w:fill="auto"/>
          </w:tcPr>
          <w:p w14:paraId="4657A82B"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c>
          <w:tcPr>
            <w:tcW w:w="1200" w:type="dxa"/>
            <w:tcBorders>
              <w:top w:val="single" w:sz="4" w:space="0" w:color="000000"/>
              <w:left w:val="single" w:sz="4" w:space="0" w:color="000000"/>
              <w:bottom w:val="single" w:sz="4" w:space="0" w:color="000000"/>
            </w:tcBorders>
            <w:shd w:val="clear" w:color="auto" w:fill="auto"/>
            <w:vAlign w:val="center"/>
          </w:tcPr>
          <w:p w14:paraId="2BDB5AA8"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68</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19B20"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r>
      <w:tr w:rsidR="00F0736F" w:rsidRPr="00F0736F" w14:paraId="2522E8D4" w14:textId="77777777" w:rsidTr="00FC676B">
        <w:tc>
          <w:tcPr>
            <w:tcW w:w="1985" w:type="dxa"/>
            <w:tcBorders>
              <w:top w:val="single" w:sz="4" w:space="0" w:color="000000"/>
              <w:left w:val="single" w:sz="4" w:space="0" w:color="000000"/>
              <w:bottom w:val="single" w:sz="4" w:space="0" w:color="000000"/>
            </w:tcBorders>
            <w:shd w:val="clear" w:color="auto" w:fill="auto"/>
          </w:tcPr>
          <w:p w14:paraId="198A2060"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ЮКО</w:t>
            </w:r>
          </w:p>
        </w:tc>
        <w:tc>
          <w:tcPr>
            <w:tcW w:w="1134" w:type="dxa"/>
            <w:tcBorders>
              <w:top w:val="single" w:sz="4" w:space="0" w:color="000000"/>
              <w:left w:val="single" w:sz="4" w:space="0" w:color="000000"/>
              <w:bottom w:val="single" w:sz="4" w:space="0" w:color="000000"/>
            </w:tcBorders>
            <w:shd w:val="clear" w:color="auto" w:fill="auto"/>
          </w:tcPr>
          <w:p w14:paraId="6308AF75"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158</w:t>
            </w:r>
          </w:p>
        </w:tc>
        <w:tc>
          <w:tcPr>
            <w:tcW w:w="1134" w:type="dxa"/>
            <w:tcBorders>
              <w:top w:val="single" w:sz="4" w:space="0" w:color="000000"/>
              <w:left w:val="single" w:sz="4" w:space="0" w:color="000000"/>
              <w:bottom w:val="single" w:sz="4" w:space="0" w:color="000000"/>
            </w:tcBorders>
            <w:shd w:val="clear" w:color="auto" w:fill="auto"/>
          </w:tcPr>
          <w:p w14:paraId="5F3FF843"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32</w:t>
            </w:r>
          </w:p>
        </w:tc>
        <w:tc>
          <w:tcPr>
            <w:tcW w:w="1140" w:type="dxa"/>
            <w:tcBorders>
              <w:top w:val="single" w:sz="4" w:space="0" w:color="000000"/>
              <w:left w:val="single" w:sz="4" w:space="0" w:color="000000"/>
              <w:bottom w:val="single" w:sz="4" w:space="0" w:color="000000"/>
            </w:tcBorders>
            <w:shd w:val="clear" w:color="auto" w:fill="auto"/>
          </w:tcPr>
          <w:p w14:paraId="34241D99"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158</w:t>
            </w:r>
          </w:p>
        </w:tc>
        <w:tc>
          <w:tcPr>
            <w:tcW w:w="1410" w:type="dxa"/>
            <w:tcBorders>
              <w:top w:val="single" w:sz="4" w:space="0" w:color="000000"/>
              <w:left w:val="single" w:sz="4" w:space="0" w:color="000000"/>
              <w:bottom w:val="single" w:sz="4" w:space="0" w:color="000000"/>
            </w:tcBorders>
            <w:shd w:val="clear" w:color="auto" w:fill="auto"/>
          </w:tcPr>
          <w:p w14:paraId="689048B4"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w:t>
            </w:r>
          </w:p>
        </w:tc>
        <w:tc>
          <w:tcPr>
            <w:tcW w:w="1200" w:type="dxa"/>
            <w:tcBorders>
              <w:top w:val="single" w:sz="4" w:space="0" w:color="000000"/>
              <w:left w:val="single" w:sz="4" w:space="0" w:color="000000"/>
              <w:bottom w:val="single" w:sz="4" w:space="0" w:color="000000"/>
            </w:tcBorders>
            <w:shd w:val="clear" w:color="auto" w:fill="auto"/>
            <w:vAlign w:val="center"/>
          </w:tcPr>
          <w:p w14:paraId="0241FE3B" w14:textId="77777777" w:rsidR="00F674A4" w:rsidRPr="00F0736F" w:rsidRDefault="00F674A4" w:rsidP="00D8141E">
            <w:pPr>
              <w:jc w:val="center"/>
              <w:rPr>
                <w:rFonts w:ascii="Times New Roman" w:hAnsi="Times New Roman" w:cs="Times New Roman"/>
                <w:color w:val="000000" w:themeColor="text1"/>
                <w:sz w:val="20"/>
                <w:szCs w:val="20"/>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2D2EF" w14:textId="77777777" w:rsidR="00F674A4" w:rsidRPr="00F0736F" w:rsidRDefault="00F674A4" w:rsidP="00D8141E">
            <w:pPr>
              <w:jc w:val="center"/>
              <w:rPr>
                <w:rFonts w:ascii="Times New Roman" w:hAnsi="Times New Roman" w:cs="Times New Roman"/>
                <w:color w:val="000000" w:themeColor="text1"/>
                <w:sz w:val="20"/>
                <w:szCs w:val="20"/>
              </w:rPr>
            </w:pPr>
          </w:p>
        </w:tc>
      </w:tr>
      <w:tr w:rsidR="00F0736F" w:rsidRPr="00F0736F" w14:paraId="67069EAC" w14:textId="77777777" w:rsidTr="00FC676B">
        <w:tc>
          <w:tcPr>
            <w:tcW w:w="1985" w:type="dxa"/>
            <w:tcBorders>
              <w:top w:val="single" w:sz="4" w:space="0" w:color="000000"/>
              <w:left w:val="single" w:sz="4" w:space="0" w:color="000000"/>
              <w:bottom w:val="single" w:sz="4" w:space="0" w:color="000000"/>
            </w:tcBorders>
            <w:shd w:val="clear" w:color="auto" w:fill="auto"/>
          </w:tcPr>
          <w:p w14:paraId="474ADADE"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Туркестанская</w:t>
            </w:r>
          </w:p>
        </w:tc>
        <w:tc>
          <w:tcPr>
            <w:tcW w:w="1134" w:type="dxa"/>
            <w:tcBorders>
              <w:top w:val="single" w:sz="4" w:space="0" w:color="000000"/>
              <w:left w:val="single" w:sz="4" w:space="0" w:color="000000"/>
              <w:bottom w:val="single" w:sz="4" w:space="0" w:color="000000"/>
            </w:tcBorders>
            <w:shd w:val="clear" w:color="auto" w:fill="auto"/>
          </w:tcPr>
          <w:p w14:paraId="1DBB45ED"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tcBorders>
            <w:shd w:val="clear" w:color="auto" w:fill="auto"/>
          </w:tcPr>
          <w:p w14:paraId="34764F51"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140" w:type="dxa"/>
            <w:tcBorders>
              <w:top w:val="single" w:sz="4" w:space="0" w:color="000000"/>
              <w:left w:val="single" w:sz="4" w:space="0" w:color="000000"/>
              <w:bottom w:val="single" w:sz="4" w:space="0" w:color="000000"/>
            </w:tcBorders>
            <w:shd w:val="clear" w:color="auto" w:fill="auto"/>
          </w:tcPr>
          <w:p w14:paraId="39CDB570"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410" w:type="dxa"/>
            <w:tcBorders>
              <w:top w:val="single" w:sz="4" w:space="0" w:color="000000"/>
              <w:left w:val="single" w:sz="4" w:space="0" w:color="000000"/>
              <w:bottom w:val="single" w:sz="4" w:space="0" w:color="000000"/>
            </w:tcBorders>
            <w:shd w:val="clear" w:color="auto" w:fill="auto"/>
          </w:tcPr>
          <w:p w14:paraId="23B64974" w14:textId="77777777" w:rsidR="00F674A4" w:rsidRPr="00F0736F" w:rsidRDefault="00F674A4" w:rsidP="00D8141E">
            <w:pPr>
              <w:jc w:val="center"/>
              <w:rPr>
                <w:rFonts w:ascii="Times New Roman" w:hAnsi="Times New Roman" w:cs="Times New Roman"/>
                <w:color w:val="000000" w:themeColor="text1"/>
                <w:sz w:val="20"/>
                <w:szCs w:val="20"/>
              </w:rPr>
            </w:pPr>
          </w:p>
        </w:tc>
        <w:tc>
          <w:tcPr>
            <w:tcW w:w="1200" w:type="dxa"/>
            <w:tcBorders>
              <w:top w:val="single" w:sz="4" w:space="0" w:color="000000"/>
              <w:left w:val="single" w:sz="4" w:space="0" w:color="000000"/>
              <w:bottom w:val="single" w:sz="4" w:space="0" w:color="000000"/>
            </w:tcBorders>
            <w:shd w:val="clear" w:color="auto" w:fill="auto"/>
            <w:vAlign w:val="center"/>
          </w:tcPr>
          <w:p w14:paraId="232CB0B9"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143,2</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46AEC"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18,2</w:t>
            </w:r>
          </w:p>
        </w:tc>
      </w:tr>
      <w:tr w:rsidR="00F0736F" w:rsidRPr="00F0736F" w14:paraId="0CAE4075" w14:textId="77777777" w:rsidTr="00FC676B">
        <w:tc>
          <w:tcPr>
            <w:tcW w:w="1985" w:type="dxa"/>
            <w:tcBorders>
              <w:top w:val="single" w:sz="4" w:space="0" w:color="000000"/>
              <w:left w:val="single" w:sz="4" w:space="0" w:color="000000"/>
              <w:bottom w:val="single" w:sz="4" w:space="0" w:color="000000"/>
            </w:tcBorders>
            <w:shd w:val="clear" w:color="auto" w:fill="auto"/>
          </w:tcPr>
          <w:p w14:paraId="04021C82"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г. Нур-Султан</w:t>
            </w:r>
          </w:p>
        </w:tc>
        <w:tc>
          <w:tcPr>
            <w:tcW w:w="1134" w:type="dxa"/>
            <w:tcBorders>
              <w:top w:val="single" w:sz="4" w:space="0" w:color="000000"/>
              <w:left w:val="single" w:sz="4" w:space="0" w:color="000000"/>
              <w:bottom w:val="single" w:sz="4" w:space="0" w:color="000000"/>
            </w:tcBorders>
            <w:shd w:val="clear" w:color="auto" w:fill="auto"/>
          </w:tcPr>
          <w:p w14:paraId="600C498B"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190</w:t>
            </w:r>
          </w:p>
        </w:tc>
        <w:tc>
          <w:tcPr>
            <w:tcW w:w="1134" w:type="dxa"/>
            <w:tcBorders>
              <w:top w:val="single" w:sz="4" w:space="0" w:color="000000"/>
              <w:left w:val="single" w:sz="4" w:space="0" w:color="000000"/>
              <w:bottom w:val="single" w:sz="4" w:space="0" w:color="000000"/>
            </w:tcBorders>
            <w:shd w:val="clear" w:color="auto" w:fill="auto"/>
          </w:tcPr>
          <w:p w14:paraId="526E3AA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107</w:t>
            </w:r>
          </w:p>
        </w:tc>
        <w:tc>
          <w:tcPr>
            <w:tcW w:w="1140" w:type="dxa"/>
            <w:tcBorders>
              <w:top w:val="single" w:sz="4" w:space="0" w:color="000000"/>
              <w:left w:val="single" w:sz="4" w:space="0" w:color="000000"/>
              <w:bottom w:val="single" w:sz="4" w:space="0" w:color="000000"/>
            </w:tcBorders>
            <w:shd w:val="clear" w:color="auto" w:fill="auto"/>
          </w:tcPr>
          <w:p w14:paraId="69CDEF3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204</w:t>
            </w:r>
          </w:p>
        </w:tc>
        <w:tc>
          <w:tcPr>
            <w:tcW w:w="1410" w:type="dxa"/>
            <w:tcBorders>
              <w:top w:val="single" w:sz="4" w:space="0" w:color="000000"/>
              <w:left w:val="single" w:sz="4" w:space="0" w:color="000000"/>
              <w:bottom w:val="single" w:sz="4" w:space="0" w:color="000000"/>
            </w:tcBorders>
            <w:shd w:val="clear" w:color="auto" w:fill="auto"/>
          </w:tcPr>
          <w:p w14:paraId="1C5FE2AF" w14:textId="77777777" w:rsidR="00F674A4" w:rsidRPr="00F0736F" w:rsidRDefault="00F6387D"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             </w:t>
            </w:r>
            <w:r w:rsidR="00F674A4" w:rsidRPr="00F0736F">
              <w:rPr>
                <w:rFonts w:ascii="Times New Roman" w:hAnsi="Times New Roman" w:cs="Times New Roman"/>
                <w:color w:val="000000" w:themeColor="text1"/>
                <w:sz w:val="20"/>
                <w:szCs w:val="20"/>
              </w:rPr>
              <w:t>126</w:t>
            </w:r>
          </w:p>
        </w:tc>
        <w:tc>
          <w:tcPr>
            <w:tcW w:w="1200" w:type="dxa"/>
            <w:tcBorders>
              <w:top w:val="single" w:sz="4" w:space="0" w:color="000000"/>
              <w:left w:val="single" w:sz="4" w:space="0" w:color="000000"/>
              <w:bottom w:val="single" w:sz="4" w:space="0" w:color="000000"/>
            </w:tcBorders>
            <w:shd w:val="clear" w:color="auto" w:fill="auto"/>
            <w:vAlign w:val="center"/>
          </w:tcPr>
          <w:p w14:paraId="25882027"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32,3</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4411"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12,4</w:t>
            </w:r>
          </w:p>
        </w:tc>
      </w:tr>
      <w:tr w:rsidR="00F0736F" w:rsidRPr="00F0736F" w14:paraId="154F691F" w14:textId="77777777" w:rsidTr="00FC676B">
        <w:tc>
          <w:tcPr>
            <w:tcW w:w="1985" w:type="dxa"/>
            <w:tcBorders>
              <w:top w:val="single" w:sz="4" w:space="0" w:color="000000"/>
              <w:left w:val="single" w:sz="4" w:space="0" w:color="000000"/>
              <w:bottom w:val="single" w:sz="4" w:space="0" w:color="000000"/>
            </w:tcBorders>
            <w:shd w:val="clear" w:color="auto" w:fill="auto"/>
          </w:tcPr>
          <w:p w14:paraId="13EB7AC9"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г. Алматы</w:t>
            </w:r>
          </w:p>
        </w:tc>
        <w:tc>
          <w:tcPr>
            <w:tcW w:w="1134" w:type="dxa"/>
            <w:tcBorders>
              <w:top w:val="single" w:sz="4" w:space="0" w:color="000000"/>
              <w:left w:val="single" w:sz="4" w:space="0" w:color="000000"/>
              <w:bottom w:val="single" w:sz="4" w:space="0" w:color="000000"/>
            </w:tcBorders>
            <w:shd w:val="clear" w:color="auto" w:fill="auto"/>
          </w:tcPr>
          <w:p w14:paraId="4BD21FED"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0</w:t>
            </w:r>
          </w:p>
        </w:tc>
        <w:tc>
          <w:tcPr>
            <w:tcW w:w="1134" w:type="dxa"/>
            <w:tcBorders>
              <w:top w:val="single" w:sz="4" w:space="0" w:color="000000"/>
              <w:left w:val="single" w:sz="4" w:space="0" w:color="000000"/>
              <w:bottom w:val="single" w:sz="4" w:space="0" w:color="000000"/>
            </w:tcBorders>
            <w:shd w:val="clear" w:color="auto" w:fill="auto"/>
          </w:tcPr>
          <w:p w14:paraId="571F95B2"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0</w:t>
            </w:r>
          </w:p>
        </w:tc>
        <w:tc>
          <w:tcPr>
            <w:tcW w:w="1140" w:type="dxa"/>
            <w:tcBorders>
              <w:top w:val="single" w:sz="4" w:space="0" w:color="000000"/>
              <w:left w:val="single" w:sz="4" w:space="0" w:color="000000"/>
              <w:bottom w:val="single" w:sz="4" w:space="0" w:color="000000"/>
            </w:tcBorders>
            <w:shd w:val="clear" w:color="auto" w:fill="auto"/>
          </w:tcPr>
          <w:p w14:paraId="71BEBC41"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w:t>
            </w:r>
          </w:p>
        </w:tc>
        <w:tc>
          <w:tcPr>
            <w:tcW w:w="1410" w:type="dxa"/>
            <w:tcBorders>
              <w:top w:val="single" w:sz="4" w:space="0" w:color="000000"/>
              <w:left w:val="single" w:sz="4" w:space="0" w:color="000000"/>
              <w:bottom w:val="single" w:sz="4" w:space="0" w:color="000000"/>
            </w:tcBorders>
            <w:shd w:val="clear" w:color="auto" w:fill="auto"/>
          </w:tcPr>
          <w:p w14:paraId="3D490DB6"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200" w:type="dxa"/>
            <w:tcBorders>
              <w:top w:val="single" w:sz="4" w:space="0" w:color="000000"/>
              <w:left w:val="single" w:sz="4" w:space="0" w:color="000000"/>
              <w:bottom w:val="single" w:sz="4" w:space="0" w:color="000000"/>
            </w:tcBorders>
            <w:shd w:val="clear" w:color="auto" w:fill="auto"/>
            <w:vAlign w:val="center"/>
          </w:tcPr>
          <w:p w14:paraId="369FE1F3"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BF128"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r>
      <w:tr w:rsidR="00F0736F" w:rsidRPr="00F0736F" w14:paraId="56F9DF43" w14:textId="77777777" w:rsidTr="00FC676B">
        <w:tc>
          <w:tcPr>
            <w:tcW w:w="1985" w:type="dxa"/>
            <w:tcBorders>
              <w:top w:val="single" w:sz="4" w:space="0" w:color="000000"/>
              <w:left w:val="single" w:sz="4" w:space="0" w:color="000000"/>
              <w:bottom w:val="single" w:sz="4" w:space="0" w:color="000000"/>
            </w:tcBorders>
            <w:shd w:val="clear" w:color="auto" w:fill="auto"/>
          </w:tcPr>
          <w:p w14:paraId="228078B8"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г. Шымкент</w:t>
            </w:r>
          </w:p>
        </w:tc>
        <w:tc>
          <w:tcPr>
            <w:tcW w:w="1134" w:type="dxa"/>
            <w:tcBorders>
              <w:top w:val="single" w:sz="4" w:space="0" w:color="000000"/>
              <w:left w:val="single" w:sz="4" w:space="0" w:color="000000"/>
              <w:bottom w:val="single" w:sz="4" w:space="0" w:color="000000"/>
            </w:tcBorders>
            <w:shd w:val="clear" w:color="auto" w:fill="auto"/>
          </w:tcPr>
          <w:p w14:paraId="35A3F5FF"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E211897"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140" w:type="dxa"/>
            <w:tcBorders>
              <w:top w:val="single" w:sz="4" w:space="0" w:color="000000"/>
              <w:left w:val="single" w:sz="4" w:space="0" w:color="000000"/>
              <w:bottom w:val="single" w:sz="4" w:space="0" w:color="000000"/>
            </w:tcBorders>
            <w:shd w:val="clear" w:color="auto" w:fill="auto"/>
          </w:tcPr>
          <w:p w14:paraId="06B95AB6" w14:textId="77777777" w:rsidR="00F674A4" w:rsidRPr="00F0736F" w:rsidRDefault="00F674A4" w:rsidP="00F6387D">
            <w:pPr>
              <w:snapToGrid w:val="0"/>
              <w:ind w:firstLine="709"/>
              <w:jc w:val="center"/>
              <w:rPr>
                <w:rFonts w:ascii="Times New Roman" w:hAnsi="Times New Roman" w:cs="Times New Roman"/>
                <w:color w:val="000000" w:themeColor="text1"/>
                <w:sz w:val="20"/>
                <w:szCs w:val="20"/>
              </w:rPr>
            </w:pPr>
          </w:p>
        </w:tc>
        <w:tc>
          <w:tcPr>
            <w:tcW w:w="1410" w:type="dxa"/>
            <w:tcBorders>
              <w:top w:val="single" w:sz="4" w:space="0" w:color="000000"/>
              <w:left w:val="single" w:sz="4" w:space="0" w:color="000000"/>
              <w:bottom w:val="single" w:sz="4" w:space="0" w:color="000000"/>
            </w:tcBorders>
            <w:shd w:val="clear" w:color="auto" w:fill="auto"/>
          </w:tcPr>
          <w:p w14:paraId="0FD9A35B" w14:textId="77777777" w:rsidR="00F674A4" w:rsidRPr="00F0736F" w:rsidRDefault="00F674A4" w:rsidP="00D8141E">
            <w:pPr>
              <w:jc w:val="center"/>
              <w:rPr>
                <w:rFonts w:ascii="Times New Roman" w:hAnsi="Times New Roman" w:cs="Times New Roman"/>
                <w:color w:val="000000" w:themeColor="text1"/>
                <w:sz w:val="20"/>
                <w:szCs w:val="20"/>
              </w:rPr>
            </w:pPr>
          </w:p>
        </w:tc>
        <w:tc>
          <w:tcPr>
            <w:tcW w:w="1200" w:type="dxa"/>
            <w:tcBorders>
              <w:top w:val="single" w:sz="4" w:space="0" w:color="000000"/>
              <w:left w:val="single" w:sz="4" w:space="0" w:color="000000"/>
              <w:bottom w:val="single" w:sz="4" w:space="0" w:color="000000"/>
            </w:tcBorders>
            <w:shd w:val="clear" w:color="auto" w:fill="auto"/>
            <w:vAlign w:val="center"/>
          </w:tcPr>
          <w:p w14:paraId="2B5C861E"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1FF3F"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w:t>
            </w:r>
          </w:p>
        </w:tc>
      </w:tr>
      <w:tr w:rsidR="00F0736F" w:rsidRPr="00F0736F" w14:paraId="4B5736A5" w14:textId="77777777" w:rsidTr="00FC676B">
        <w:tc>
          <w:tcPr>
            <w:tcW w:w="1985" w:type="dxa"/>
            <w:tcBorders>
              <w:top w:val="single" w:sz="4" w:space="0" w:color="000000"/>
              <w:left w:val="single" w:sz="4" w:space="0" w:color="000000"/>
              <w:bottom w:val="single" w:sz="4" w:space="0" w:color="000000"/>
            </w:tcBorders>
            <w:shd w:val="clear" w:color="auto" w:fill="auto"/>
          </w:tcPr>
          <w:p w14:paraId="4AF70334" w14:textId="77777777" w:rsidR="00F674A4" w:rsidRPr="00F0736F" w:rsidRDefault="00F674A4" w:rsidP="00D65A8B">
            <w:pPr>
              <w:jc w:val="both"/>
              <w:rPr>
                <w:color w:val="000000" w:themeColor="text1"/>
              </w:rPr>
            </w:pPr>
            <w:r w:rsidRPr="00F0736F">
              <w:rPr>
                <w:rFonts w:ascii="Times New Roman" w:hAnsi="Times New Roman" w:cs="Times New Roman"/>
                <w:color w:val="000000" w:themeColor="text1"/>
                <w:sz w:val="20"/>
                <w:szCs w:val="20"/>
              </w:rPr>
              <w:t>Всего</w:t>
            </w:r>
          </w:p>
        </w:tc>
        <w:tc>
          <w:tcPr>
            <w:tcW w:w="1134" w:type="dxa"/>
            <w:tcBorders>
              <w:top w:val="single" w:sz="4" w:space="0" w:color="000000"/>
              <w:left w:val="single" w:sz="4" w:space="0" w:color="000000"/>
              <w:bottom w:val="single" w:sz="4" w:space="0" w:color="000000"/>
            </w:tcBorders>
            <w:shd w:val="clear" w:color="auto" w:fill="auto"/>
          </w:tcPr>
          <w:p w14:paraId="0142B105"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2845</w:t>
            </w:r>
          </w:p>
        </w:tc>
        <w:tc>
          <w:tcPr>
            <w:tcW w:w="1134" w:type="dxa"/>
            <w:tcBorders>
              <w:top w:val="single" w:sz="4" w:space="0" w:color="000000"/>
              <w:left w:val="single" w:sz="4" w:space="0" w:color="000000"/>
              <w:bottom w:val="single" w:sz="4" w:space="0" w:color="000000"/>
            </w:tcBorders>
            <w:shd w:val="clear" w:color="auto" w:fill="auto"/>
          </w:tcPr>
          <w:p w14:paraId="768DB919"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1104</w:t>
            </w:r>
          </w:p>
        </w:tc>
        <w:tc>
          <w:tcPr>
            <w:tcW w:w="1140" w:type="dxa"/>
            <w:tcBorders>
              <w:top w:val="single" w:sz="4" w:space="0" w:color="000000"/>
              <w:left w:val="single" w:sz="4" w:space="0" w:color="000000"/>
              <w:bottom w:val="single" w:sz="4" w:space="0" w:color="000000"/>
            </w:tcBorders>
            <w:shd w:val="clear" w:color="auto" w:fill="auto"/>
          </w:tcPr>
          <w:p w14:paraId="3602DB56" w14:textId="77777777" w:rsidR="00F674A4" w:rsidRPr="00F0736F" w:rsidRDefault="00F674A4" w:rsidP="00F6387D">
            <w:pPr>
              <w:jc w:val="center"/>
              <w:rPr>
                <w:color w:val="000000" w:themeColor="text1"/>
              </w:rPr>
            </w:pPr>
            <w:r w:rsidRPr="00F0736F">
              <w:rPr>
                <w:rFonts w:ascii="Times New Roman" w:hAnsi="Times New Roman" w:cs="Times New Roman"/>
                <w:color w:val="000000" w:themeColor="text1"/>
                <w:sz w:val="20"/>
                <w:szCs w:val="20"/>
              </w:rPr>
              <w:t>2396</w:t>
            </w:r>
          </w:p>
        </w:tc>
        <w:tc>
          <w:tcPr>
            <w:tcW w:w="1410" w:type="dxa"/>
            <w:tcBorders>
              <w:top w:val="single" w:sz="4" w:space="0" w:color="000000"/>
              <w:left w:val="single" w:sz="4" w:space="0" w:color="000000"/>
              <w:bottom w:val="single" w:sz="4" w:space="0" w:color="000000"/>
            </w:tcBorders>
            <w:shd w:val="clear" w:color="auto" w:fill="auto"/>
          </w:tcPr>
          <w:p w14:paraId="26A53CCC"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1097</w:t>
            </w:r>
          </w:p>
        </w:tc>
        <w:tc>
          <w:tcPr>
            <w:tcW w:w="1200" w:type="dxa"/>
            <w:tcBorders>
              <w:top w:val="single" w:sz="4" w:space="0" w:color="000000"/>
              <w:left w:val="single" w:sz="4" w:space="0" w:color="000000"/>
              <w:bottom w:val="single" w:sz="4" w:space="0" w:color="000000"/>
            </w:tcBorders>
            <w:shd w:val="clear" w:color="auto" w:fill="auto"/>
            <w:vAlign w:val="center"/>
          </w:tcPr>
          <w:p w14:paraId="2C1A2DAF" w14:textId="77777777" w:rsidR="00F674A4" w:rsidRPr="00F0736F" w:rsidRDefault="00F674A4"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2053,9</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768AC" w14:textId="77777777" w:rsidR="00F674A4" w:rsidRPr="00F0736F" w:rsidRDefault="00F674A4"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856,4</w:t>
            </w:r>
          </w:p>
        </w:tc>
      </w:tr>
    </w:tbl>
    <w:p w14:paraId="6BD83F91"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Источник: МЭГПР</w:t>
      </w:r>
    </w:p>
    <w:p w14:paraId="620B7F88" w14:textId="77777777" w:rsidR="00F674A4" w:rsidRPr="00F0736F" w:rsidRDefault="00F674A4" w:rsidP="008727D9">
      <w:pPr>
        <w:ind w:firstLine="709"/>
        <w:jc w:val="both"/>
        <w:rPr>
          <w:rFonts w:ascii="Times New Roman" w:hAnsi="Times New Roman" w:cs="Times New Roman"/>
          <w:color w:val="000000" w:themeColor="text1"/>
        </w:rPr>
      </w:pPr>
    </w:p>
    <w:p w14:paraId="6E2866E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На основании Стратегии-2050 Концепцией по переходу к «зеленой экономике» установлены </w:t>
      </w:r>
      <w:r w:rsidRPr="00F0736F">
        <w:rPr>
          <w:rFonts w:ascii="Times New Roman" w:hAnsi="Times New Roman" w:cs="Times New Roman"/>
          <w:b/>
          <w:bCs/>
          <w:color w:val="000000" w:themeColor="text1"/>
        </w:rPr>
        <w:t>цели по обеспечению стабильным водоснабжением</w:t>
      </w:r>
      <w:r w:rsidRPr="00F0736F">
        <w:rPr>
          <w:rFonts w:ascii="Times New Roman" w:hAnsi="Times New Roman" w:cs="Times New Roman"/>
          <w:color w:val="000000" w:themeColor="text1"/>
        </w:rPr>
        <w:t xml:space="preserve"> населения (к 2020 году) и сельского хозяйства (к 2040 году), а к 2050 году необходимо решить все проблемы с водными ресурсами. </w:t>
      </w:r>
    </w:p>
    <w:p w14:paraId="1F01D98F" w14:textId="37D3EC3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На уровне бассейнов проблема дефицита водных ресурсов в целом должна быть решена к 2025 году, а по каждому бассейну в отдельности </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 2030 году. При этом экологическая составляющая водных ресурсов</w:t>
      </w:r>
      <w:r w:rsidR="00D81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стабильность экосистем, развитие рыбоводства, экотуризма и сохранение уникальных природных богатств</w:t>
      </w:r>
      <w:r w:rsidR="00D8141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не должна быть ущемлена в пользу индустриального развития.</w:t>
      </w:r>
    </w:p>
    <w:p w14:paraId="25040ACF"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Достижение данных целей представлено в таблице 1.1.</w:t>
      </w:r>
      <w:r w:rsidR="0060574A" w:rsidRPr="00F0736F">
        <w:rPr>
          <w:rFonts w:ascii="Times New Roman" w:hAnsi="Times New Roman" w:cs="Times New Roman"/>
          <w:color w:val="000000" w:themeColor="text1"/>
        </w:rPr>
        <w:t>4</w:t>
      </w:r>
      <w:r w:rsidRPr="00F0736F">
        <w:rPr>
          <w:rFonts w:ascii="Times New Roman" w:hAnsi="Times New Roman" w:cs="Times New Roman"/>
          <w:color w:val="000000" w:themeColor="text1"/>
        </w:rPr>
        <w:t>.</w:t>
      </w:r>
    </w:p>
    <w:p w14:paraId="271F6218" w14:textId="77777777" w:rsidR="00E52591" w:rsidRPr="00F0736F" w:rsidRDefault="00E52591" w:rsidP="008727D9">
      <w:pPr>
        <w:ind w:firstLine="709"/>
        <w:jc w:val="both"/>
        <w:rPr>
          <w:color w:val="000000" w:themeColor="text1"/>
        </w:rPr>
      </w:pPr>
    </w:p>
    <w:p w14:paraId="7A0303B7" w14:textId="77777777" w:rsidR="00E65772" w:rsidRPr="00F0736F" w:rsidRDefault="00E65772" w:rsidP="00E65772">
      <w:pPr>
        <w:ind w:firstLine="709"/>
        <w:jc w:val="both"/>
        <w:rPr>
          <w:color w:val="000000" w:themeColor="text1"/>
        </w:rPr>
      </w:pPr>
      <w:r w:rsidRPr="00F0736F">
        <w:rPr>
          <w:rFonts w:ascii="Times New Roman" w:hAnsi="Times New Roman" w:cs="Times New Roman"/>
          <w:color w:val="000000" w:themeColor="text1"/>
        </w:rPr>
        <w:t>Таблица 1.1.4. Достижение целевых показателей по водообеспечению и водоотведению</w:t>
      </w:r>
    </w:p>
    <w:p w14:paraId="60B26AE1" w14:textId="77777777" w:rsidR="00E65772" w:rsidRPr="00F0736F" w:rsidRDefault="008F04D9" w:rsidP="008F04D9">
      <w:pPr>
        <w:ind w:firstLine="709"/>
        <w:jc w:val="center"/>
        <w:rPr>
          <w:rFonts w:ascii="Times New Roman" w:hAnsi="Times New Roman" w:cs="Times New Roman"/>
          <w:color w:val="000000" w:themeColor="text1"/>
          <w:lang w:val="en-GB"/>
        </w:rPr>
      </w:pP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GB"/>
        </w:rPr>
        <w:t>%</w:t>
      </w:r>
    </w:p>
    <w:tbl>
      <w:tblPr>
        <w:tblW w:w="9814" w:type="dxa"/>
        <w:tblInd w:w="-3" w:type="dxa"/>
        <w:tblLayout w:type="fixed"/>
        <w:tblCellMar>
          <w:top w:w="55" w:type="dxa"/>
          <w:left w:w="2" w:type="dxa"/>
          <w:bottom w:w="55" w:type="dxa"/>
          <w:right w:w="53" w:type="dxa"/>
        </w:tblCellMar>
        <w:tblLook w:val="0000" w:firstRow="0" w:lastRow="0" w:firstColumn="0" w:lastColumn="0" w:noHBand="0" w:noVBand="0"/>
      </w:tblPr>
      <w:tblGrid>
        <w:gridCol w:w="5703"/>
        <w:gridCol w:w="1134"/>
        <w:gridCol w:w="992"/>
        <w:gridCol w:w="993"/>
        <w:gridCol w:w="992"/>
      </w:tblGrid>
      <w:tr w:rsidR="00F0736F" w:rsidRPr="00F0736F" w14:paraId="6256A135" w14:textId="77777777" w:rsidTr="00534484">
        <w:tc>
          <w:tcPr>
            <w:tcW w:w="5703" w:type="dxa"/>
            <w:tcBorders>
              <w:top w:val="single" w:sz="2" w:space="0" w:color="000001"/>
              <w:left w:val="single" w:sz="2" w:space="0" w:color="000001"/>
              <w:bottom w:val="single" w:sz="2" w:space="0" w:color="000001"/>
            </w:tcBorders>
            <w:shd w:val="clear" w:color="auto" w:fill="FFFFFF"/>
          </w:tcPr>
          <w:p w14:paraId="37BB2D0E" w14:textId="77777777" w:rsidR="00533D3B" w:rsidRPr="00F0736F" w:rsidRDefault="00533D3B" w:rsidP="00FC676B">
            <w:pPr>
              <w:jc w:val="center"/>
              <w:rPr>
                <w:color w:val="000000" w:themeColor="text1"/>
              </w:rPr>
            </w:pPr>
            <w:r w:rsidRPr="00F0736F">
              <w:rPr>
                <w:rFonts w:ascii="Times New Roman" w:hAnsi="Times New Roman" w:cs="Times New Roman"/>
                <w:color w:val="000000" w:themeColor="text1"/>
                <w:sz w:val="20"/>
                <w:szCs w:val="20"/>
              </w:rPr>
              <w:t>Целевые показатели</w:t>
            </w:r>
          </w:p>
        </w:tc>
        <w:tc>
          <w:tcPr>
            <w:tcW w:w="1134" w:type="dxa"/>
            <w:tcBorders>
              <w:top w:val="single" w:sz="2" w:space="0" w:color="000001"/>
              <w:left w:val="single" w:sz="2" w:space="0" w:color="000001"/>
              <w:bottom w:val="single" w:sz="2" w:space="0" w:color="000001"/>
            </w:tcBorders>
            <w:shd w:val="clear" w:color="auto" w:fill="FFFFFF"/>
          </w:tcPr>
          <w:p w14:paraId="22BC3A78" w14:textId="77777777" w:rsidR="00533D3B" w:rsidRPr="00F0736F" w:rsidRDefault="00533D3B" w:rsidP="0017426D">
            <w:pPr>
              <w:jc w:val="center"/>
              <w:rPr>
                <w:color w:val="000000" w:themeColor="text1"/>
              </w:rPr>
            </w:pPr>
            <w:r w:rsidRPr="00F0736F">
              <w:rPr>
                <w:rFonts w:ascii="Times New Roman" w:hAnsi="Times New Roman" w:cs="Times New Roman"/>
                <w:color w:val="000000" w:themeColor="text1"/>
                <w:sz w:val="20"/>
                <w:szCs w:val="20"/>
              </w:rPr>
              <w:t>2017</w:t>
            </w: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2A1BD2E7" w14:textId="77777777" w:rsidR="00533D3B" w:rsidRPr="00F0736F" w:rsidRDefault="00533D3B" w:rsidP="0017426D">
            <w:pPr>
              <w:jc w:val="center"/>
              <w:rPr>
                <w:color w:val="000000" w:themeColor="text1"/>
              </w:rPr>
            </w:pPr>
            <w:r w:rsidRPr="00F0736F">
              <w:rPr>
                <w:rFonts w:ascii="Times New Roman" w:hAnsi="Times New Roman" w:cs="Times New Roman"/>
                <w:color w:val="000000" w:themeColor="text1"/>
                <w:sz w:val="20"/>
                <w:szCs w:val="20"/>
              </w:rPr>
              <w:t>2018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876C26F" w14:textId="77777777" w:rsidR="00533D3B" w:rsidRPr="00F0736F" w:rsidRDefault="00533D3B" w:rsidP="0017426D">
            <w:pPr>
              <w:jc w:val="center"/>
              <w:rPr>
                <w:color w:val="000000" w:themeColor="text1"/>
              </w:rPr>
            </w:pPr>
            <w:r w:rsidRPr="00F0736F">
              <w:rPr>
                <w:rFonts w:ascii="Times New Roman" w:hAnsi="Times New Roman" w:cs="Times New Roman"/>
                <w:color w:val="000000" w:themeColor="text1"/>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F0DDFFC" w14:textId="77777777" w:rsidR="00533D3B" w:rsidRPr="00F0736F" w:rsidRDefault="00533D3B" w:rsidP="0017426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2020 (цель)</w:t>
            </w:r>
          </w:p>
        </w:tc>
      </w:tr>
      <w:tr w:rsidR="00F0736F" w:rsidRPr="00F0736F" w14:paraId="29EC639D" w14:textId="77777777" w:rsidTr="00534484">
        <w:tc>
          <w:tcPr>
            <w:tcW w:w="5703" w:type="dxa"/>
            <w:tcBorders>
              <w:top w:val="single" w:sz="2" w:space="0" w:color="000001"/>
              <w:left w:val="single" w:sz="2" w:space="0" w:color="000001"/>
              <w:bottom w:val="single" w:sz="2" w:space="0" w:color="000001"/>
            </w:tcBorders>
            <w:shd w:val="clear" w:color="auto" w:fill="FFFFFF"/>
          </w:tcPr>
          <w:p w14:paraId="30736637" w14:textId="77777777" w:rsidR="00533D3B" w:rsidRPr="00F0736F" w:rsidRDefault="00533D3B" w:rsidP="0017426D">
            <w:pPr>
              <w:rPr>
                <w:color w:val="000000" w:themeColor="text1"/>
              </w:rPr>
            </w:pPr>
            <w:r w:rsidRPr="00F0736F">
              <w:rPr>
                <w:rFonts w:ascii="Times New Roman" w:hAnsi="Times New Roman" w:cs="Times New Roman"/>
                <w:color w:val="000000" w:themeColor="text1"/>
                <w:sz w:val="20"/>
                <w:szCs w:val="20"/>
              </w:rPr>
              <w:t xml:space="preserve">Доля водопользователей, имеющих постоянный доступ к системе центрального питьевого водоснабжения: </w:t>
            </w:r>
          </w:p>
        </w:tc>
        <w:tc>
          <w:tcPr>
            <w:tcW w:w="1134" w:type="dxa"/>
            <w:tcBorders>
              <w:top w:val="single" w:sz="2" w:space="0" w:color="000001"/>
              <w:left w:val="single" w:sz="2" w:space="0" w:color="000001"/>
              <w:bottom w:val="single" w:sz="2" w:space="0" w:color="000001"/>
            </w:tcBorders>
            <w:shd w:val="clear" w:color="auto" w:fill="FFFFFF"/>
          </w:tcPr>
          <w:p w14:paraId="56251E67" w14:textId="77777777" w:rsidR="00533D3B" w:rsidRPr="00F0736F" w:rsidRDefault="00533D3B" w:rsidP="0017426D">
            <w:pPr>
              <w:jc w:val="center"/>
              <w:rPr>
                <w:color w:val="000000" w:themeColor="text1"/>
              </w:rPr>
            </w:pP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690C27C3" w14:textId="77777777" w:rsidR="00533D3B" w:rsidRPr="00F0736F" w:rsidRDefault="00533D3B" w:rsidP="0017426D">
            <w:pPr>
              <w:jc w:val="center"/>
              <w:rPr>
                <w:color w:val="000000" w:themeColor="text1"/>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25E5596" w14:textId="77777777" w:rsidR="00533D3B" w:rsidRPr="00F0736F" w:rsidRDefault="00533D3B" w:rsidP="00533D3B">
            <w:pPr>
              <w:snapToGrid w:val="0"/>
              <w:jc w:val="center"/>
              <w:rPr>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80604A1" w14:textId="77777777" w:rsidR="00533D3B" w:rsidRPr="00F0736F" w:rsidRDefault="00533D3B" w:rsidP="0017426D">
            <w:pPr>
              <w:snapToGrid w:val="0"/>
              <w:jc w:val="center"/>
              <w:rPr>
                <w:rFonts w:ascii="Times New Roman" w:hAnsi="Times New Roman" w:cs="Times New Roman"/>
                <w:color w:val="000000" w:themeColor="text1"/>
                <w:sz w:val="20"/>
                <w:szCs w:val="20"/>
              </w:rPr>
            </w:pPr>
          </w:p>
        </w:tc>
      </w:tr>
      <w:tr w:rsidR="00F0736F" w:rsidRPr="00F0736F" w14:paraId="653358C4" w14:textId="77777777" w:rsidTr="00534484">
        <w:tc>
          <w:tcPr>
            <w:tcW w:w="5703" w:type="dxa"/>
            <w:tcBorders>
              <w:top w:val="single" w:sz="2" w:space="0" w:color="000001"/>
              <w:left w:val="single" w:sz="2" w:space="0" w:color="000001"/>
              <w:bottom w:val="single" w:sz="2" w:space="0" w:color="000001"/>
            </w:tcBorders>
            <w:shd w:val="clear" w:color="auto" w:fill="FFFFFF"/>
          </w:tcPr>
          <w:p w14:paraId="6CB650AE" w14:textId="77777777" w:rsidR="00D8141E" w:rsidRPr="00F0736F" w:rsidRDefault="00D8141E" w:rsidP="00D8141E">
            <w:pP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 городах</w:t>
            </w:r>
            <w:r w:rsidR="008F04D9" w:rsidRPr="00F0736F">
              <w:rPr>
                <w:rFonts w:ascii="Times New Roman" w:hAnsi="Times New Roman" w:cs="Times New Roman"/>
                <w:color w:val="000000" w:themeColor="text1"/>
                <w:sz w:val="20"/>
                <w:szCs w:val="20"/>
              </w:rPr>
              <w:t xml:space="preserve"> </w:t>
            </w:r>
          </w:p>
        </w:tc>
        <w:tc>
          <w:tcPr>
            <w:tcW w:w="1134" w:type="dxa"/>
            <w:tcBorders>
              <w:top w:val="single" w:sz="2" w:space="0" w:color="000001"/>
              <w:left w:val="single" w:sz="2" w:space="0" w:color="000001"/>
              <w:bottom w:val="single" w:sz="2" w:space="0" w:color="000001"/>
            </w:tcBorders>
            <w:shd w:val="clear" w:color="auto" w:fill="FFFFFF"/>
          </w:tcPr>
          <w:p w14:paraId="29420A77"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93,8</w:t>
            </w: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65983665"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94,5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B6B9F41" w14:textId="77777777" w:rsidR="00D8141E" w:rsidRPr="00F0736F" w:rsidRDefault="00D8141E" w:rsidP="00D8141E">
            <w:pPr>
              <w:snapToGrid w:val="0"/>
              <w:jc w:val="center"/>
              <w:rPr>
                <w:color w:val="000000" w:themeColor="text1"/>
              </w:rPr>
            </w:pPr>
            <w:r w:rsidRPr="00F0736F">
              <w:rPr>
                <w:rFonts w:ascii="Times New Roman" w:hAnsi="Times New Roman" w:cs="Times New Roman"/>
                <w:color w:val="000000" w:themeColor="text1"/>
                <w:sz w:val="20"/>
                <w:szCs w:val="20"/>
              </w:rPr>
              <w:t>97,2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C93CEF"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97,5</w:t>
            </w:r>
          </w:p>
        </w:tc>
      </w:tr>
      <w:tr w:rsidR="00F0736F" w:rsidRPr="00F0736F" w14:paraId="279A89C6" w14:textId="77777777" w:rsidTr="00534484">
        <w:tc>
          <w:tcPr>
            <w:tcW w:w="5703" w:type="dxa"/>
            <w:tcBorders>
              <w:top w:val="single" w:sz="2" w:space="0" w:color="000001"/>
              <w:left w:val="single" w:sz="2" w:space="0" w:color="000001"/>
              <w:bottom w:val="single" w:sz="2" w:space="0" w:color="000001"/>
            </w:tcBorders>
            <w:shd w:val="clear" w:color="auto" w:fill="FFFFFF"/>
          </w:tcPr>
          <w:p w14:paraId="7DE13D07" w14:textId="77777777" w:rsidR="00D8141E" w:rsidRPr="00F0736F" w:rsidRDefault="00D8141E" w:rsidP="00D8141E">
            <w:pPr>
              <w:rPr>
                <w:color w:val="000000" w:themeColor="text1"/>
              </w:rPr>
            </w:pPr>
            <w:r w:rsidRPr="00F0736F">
              <w:rPr>
                <w:rFonts w:ascii="Times New Roman" w:hAnsi="Times New Roman" w:cs="Times New Roman"/>
                <w:color w:val="000000" w:themeColor="text1"/>
                <w:sz w:val="20"/>
                <w:szCs w:val="20"/>
              </w:rPr>
              <w:t>в сельских населенных пунктах</w:t>
            </w:r>
          </w:p>
        </w:tc>
        <w:tc>
          <w:tcPr>
            <w:tcW w:w="1134" w:type="dxa"/>
            <w:tcBorders>
              <w:top w:val="single" w:sz="2" w:space="0" w:color="000001"/>
              <w:left w:val="single" w:sz="2" w:space="0" w:color="000001"/>
              <w:bottom w:val="single" w:sz="2" w:space="0" w:color="000001"/>
            </w:tcBorders>
            <w:shd w:val="clear" w:color="auto" w:fill="FFFFFF"/>
          </w:tcPr>
          <w:p w14:paraId="44EF2FFA"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57,4</w:t>
            </w: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27105C2B"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59,9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9ACA900"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64,3 </w:t>
            </w:r>
          </w:p>
          <w:p w14:paraId="2FDC3480" w14:textId="77777777" w:rsidR="00D8141E" w:rsidRPr="00F0736F" w:rsidRDefault="00D8141E" w:rsidP="00D8141E">
            <w:pPr>
              <w:snapToGrid w:val="0"/>
              <w:jc w:val="center"/>
              <w:rPr>
                <w:color w:val="000000" w:themeColor="text1"/>
              </w:rPr>
            </w:pPr>
            <w:r w:rsidRPr="00F0736F">
              <w:rPr>
                <w:rFonts w:ascii="Times New Roman" w:hAnsi="Times New Roman" w:cs="Times New Roman"/>
                <w:color w:val="000000" w:themeColor="text1"/>
                <w:sz w:val="20"/>
                <w:szCs w:val="20"/>
              </w:rPr>
              <w:t>(86,4)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DD6E1A0"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87,7*</w:t>
            </w:r>
          </w:p>
        </w:tc>
      </w:tr>
      <w:tr w:rsidR="00F0736F" w:rsidRPr="00F0736F" w14:paraId="1F8B21D2" w14:textId="77777777" w:rsidTr="00534484">
        <w:tc>
          <w:tcPr>
            <w:tcW w:w="5703" w:type="dxa"/>
            <w:tcBorders>
              <w:top w:val="single" w:sz="2" w:space="0" w:color="000001"/>
              <w:left w:val="single" w:sz="2" w:space="0" w:color="000001"/>
              <w:bottom w:val="single" w:sz="2" w:space="0" w:color="000001"/>
            </w:tcBorders>
            <w:shd w:val="clear" w:color="auto" w:fill="FFFFFF"/>
          </w:tcPr>
          <w:p w14:paraId="6EA431D1" w14:textId="77777777" w:rsidR="00D8141E" w:rsidRPr="00F0736F" w:rsidRDefault="00D8141E" w:rsidP="00D8141E">
            <w:pPr>
              <w:rPr>
                <w:color w:val="000000" w:themeColor="text1"/>
              </w:rPr>
            </w:pPr>
            <w:r w:rsidRPr="00F0736F">
              <w:rPr>
                <w:rFonts w:ascii="Times New Roman" w:hAnsi="Times New Roman" w:cs="Times New Roman"/>
                <w:color w:val="000000" w:themeColor="text1"/>
                <w:sz w:val="20"/>
                <w:szCs w:val="20"/>
              </w:rPr>
              <w:t xml:space="preserve">Доля водопользователей, имеющих доступ к системам водоотведения: </w:t>
            </w:r>
          </w:p>
        </w:tc>
        <w:tc>
          <w:tcPr>
            <w:tcW w:w="1134" w:type="dxa"/>
            <w:tcBorders>
              <w:top w:val="single" w:sz="2" w:space="0" w:color="000001"/>
              <w:left w:val="single" w:sz="2" w:space="0" w:color="000001"/>
              <w:bottom w:val="single" w:sz="2" w:space="0" w:color="000001"/>
            </w:tcBorders>
            <w:shd w:val="clear" w:color="auto" w:fill="FFFFFF"/>
          </w:tcPr>
          <w:p w14:paraId="2C18044E" w14:textId="77777777" w:rsidR="00D8141E" w:rsidRPr="00F0736F" w:rsidRDefault="00D8141E" w:rsidP="00D8141E">
            <w:pPr>
              <w:jc w:val="center"/>
              <w:rPr>
                <w:color w:val="000000" w:themeColor="text1"/>
              </w:rPr>
            </w:pP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3069F509" w14:textId="77777777" w:rsidR="00D8141E" w:rsidRPr="00F0736F" w:rsidRDefault="00D8141E" w:rsidP="00D8141E">
            <w:pPr>
              <w:jc w:val="center"/>
              <w:rPr>
                <w:rFonts w:ascii="Times New Roman" w:hAnsi="Times New Roman" w:cs="Times New Roman"/>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BEA25CB" w14:textId="77777777" w:rsidR="00D8141E" w:rsidRPr="00F0736F" w:rsidRDefault="00D8141E" w:rsidP="00D8141E">
            <w:pPr>
              <w:snapToGrid w:val="0"/>
              <w:jc w:val="center"/>
              <w:rPr>
                <w:rFonts w:ascii="Times New Roman" w:hAnsi="Times New Roman" w:cs="Times New Roman"/>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0B8E08C" w14:textId="77777777" w:rsidR="00D8141E" w:rsidRPr="00F0736F" w:rsidRDefault="00D8141E" w:rsidP="00D8141E">
            <w:pPr>
              <w:snapToGrid w:val="0"/>
              <w:jc w:val="center"/>
              <w:rPr>
                <w:rFonts w:ascii="Times New Roman" w:hAnsi="Times New Roman" w:cs="Times New Roman"/>
                <w:color w:val="000000" w:themeColor="text1"/>
                <w:sz w:val="20"/>
                <w:szCs w:val="20"/>
              </w:rPr>
            </w:pPr>
          </w:p>
        </w:tc>
      </w:tr>
      <w:tr w:rsidR="00F0736F" w:rsidRPr="00F0736F" w14:paraId="37CE76CE" w14:textId="77777777" w:rsidTr="00534484">
        <w:tc>
          <w:tcPr>
            <w:tcW w:w="5703" w:type="dxa"/>
            <w:tcBorders>
              <w:top w:val="single" w:sz="2" w:space="0" w:color="000001"/>
              <w:left w:val="single" w:sz="2" w:space="0" w:color="000001"/>
              <w:bottom w:val="single" w:sz="2" w:space="0" w:color="000001"/>
            </w:tcBorders>
            <w:shd w:val="clear" w:color="auto" w:fill="FFFFFF"/>
          </w:tcPr>
          <w:p w14:paraId="379D294A" w14:textId="77777777" w:rsidR="00D8141E" w:rsidRPr="00F0736F" w:rsidRDefault="00D8141E" w:rsidP="00D8141E">
            <w:pP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 городах</w:t>
            </w:r>
          </w:p>
        </w:tc>
        <w:tc>
          <w:tcPr>
            <w:tcW w:w="1134" w:type="dxa"/>
            <w:tcBorders>
              <w:top w:val="single" w:sz="2" w:space="0" w:color="000001"/>
              <w:left w:val="single" w:sz="2" w:space="0" w:color="000001"/>
              <w:bottom w:val="single" w:sz="2" w:space="0" w:color="000001"/>
            </w:tcBorders>
            <w:shd w:val="clear" w:color="auto" w:fill="FFFFFF"/>
          </w:tcPr>
          <w:p w14:paraId="2345D7F9"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88,0</w:t>
            </w: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497B2800" w14:textId="77777777" w:rsidR="00D8141E" w:rsidRPr="00F0736F" w:rsidRDefault="00D8141E"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lang w:val="en-US"/>
              </w:rPr>
              <w:t>68</w:t>
            </w:r>
            <w:r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lang w:val="en-US"/>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4BA58DA"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EF564C"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74,9</w:t>
            </w:r>
          </w:p>
        </w:tc>
      </w:tr>
      <w:tr w:rsidR="00F0736F" w:rsidRPr="00F0736F" w14:paraId="5B02FCE6" w14:textId="77777777" w:rsidTr="00534484">
        <w:tc>
          <w:tcPr>
            <w:tcW w:w="5703" w:type="dxa"/>
            <w:tcBorders>
              <w:top w:val="single" w:sz="2" w:space="0" w:color="000001"/>
              <w:left w:val="single" w:sz="2" w:space="0" w:color="000001"/>
              <w:bottom w:val="single" w:sz="2" w:space="0" w:color="000001"/>
            </w:tcBorders>
            <w:shd w:val="clear" w:color="auto" w:fill="FFFFFF"/>
          </w:tcPr>
          <w:p w14:paraId="06B08479" w14:textId="77777777" w:rsidR="00D8141E" w:rsidRPr="00F0736F" w:rsidRDefault="00D8141E" w:rsidP="00D8141E">
            <w:pPr>
              <w:rPr>
                <w:color w:val="000000" w:themeColor="text1"/>
              </w:rPr>
            </w:pPr>
            <w:r w:rsidRPr="00F0736F">
              <w:rPr>
                <w:rFonts w:ascii="Times New Roman" w:hAnsi="Times New Roman" w:cs="Times New Roman"/>
                <w:color w:val="000000" w:themeColor="text1"/>
                <w:sz w:val="20"/>
                <w:szCs w:val="20"/>
              </w:rPr>
              <w:t>в сельских населенных пунктах</w:t>
            </w:r>
          </w:p>
        </w:tc>
        <w:tc>
          <w:tcPr>
            <w:tcW w:w="1134" w:type="dxa"/>
            <w:tcBorders>
              <w:top w:val="single" w:sz="2" w:space="0" w:color="000001"/>
              <w:left w:val="single" w:sz="2" w:space="0" w:color="000001"/>
              <w:bottom w:val="single" w:sz="2" w:space="0" w:color="000001"/>
            </w:tcBorders>
            <w:shd w:val="clear" w:color="auto" w:fill="FFFFFF"/>
          </w:tcPr>
          <w:p w14:paraId="3CD6BBF2" w14:textId="77777777" w:rsidR="00D8141E" w:rsidRPr="00F0736F" w:rsidRDefault="00D8141E" w:rsidP="00D8141E">
            <w:pPr>
              <w:jc w:val="center"/>
              <w:rPr>
                <w:color w:val="000000" w:themeColor="text1"/>
              </w:rPr>
            </w:pPr>
            <w:r w:rsidRPr="00F0736F">
              <w:rPr>
                <w:rFonts w:ascii="Times New Roman" w:hAnsi="Times New Roman" w:cs="Times New Roman"/>
                <w:color w:val="000000" w:themeColor="text1"/>
                <w:sz w:val="20"/>
                <w:szCs w:val="20"/>
              </w:rPr>
              <w:t>-</w:t>
            </w:r>
          </w:p>
        </w:tc>
        <w:tc>
          <w:tcPr>
            <w:tcW w:w="992" w:type="dxa"/>
            <w:tcBorders>
              <w:top w:val="single" w:sz="2" w:space="0" w:color="000001"/>
              <w:left w:val="single" w:sz="2" w:space="0" w:color="000001"/>
              <w:bottom w:val="single" w:sz="2" w:space="0" w:color="000001"/>
              <w:right w:val="single" w:sz="4" w:space="0" w:color="auto"/>
            </w:tcBorders>
            <w:shd w:val="clear" w:color="auto" w:fill="FFFFFF"/>
          </w:tcPr>
          <w:p w14:paraId="14F51047" w14:textId="77777777" w:rsidR="00D8141E" w:rsidRPr="00F0736F" w:rsidRDefault="00D8141E" w:rsidP="00D8141E">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87E33B6"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C927E45" w14:textId="77777777" w:rsidR="00D8141E" w:rsidRPr="00F0736F" w:rsidRDefault="00D8141E" w:rsidP="00D8141E">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r>
    </w:tbl>
    <w:p w14:paraId="1CACE99C" w14:textId="77777777" w:rsidR="00E65772" w:rsidRPr="00F0736F" w:rsidRDefault="00E65772" w:rsidP="00E65772">
      <w:pPr>
        <w:ind w:firstLine="709"/>
        <w:jc w:val="both"/>
        <w:rPr>
          <w:i/>
          <w:iCs/>
          <w:color w:val="000000" w:themeColor="text1"/>
        </w:rPr>
      </w:pPr>
      <w:r w:rsidRPr="00F0736F">
        <w:rPr>
          <w:rFonts w:ascii="Times New Roman" w:hAnsi="Times New Roman" w:cs="Times New Roman"/>
          <w:i/>
          <w:iCs/>
          <w:color w:val="000000" w:themeColor="text1"/>
          <w:sz w:val="20"/>
          <w:szCs w:val="20"/>
        </w:rPr>
        <w:t>*Примечание: данный показатель рассчитывается по численности населения</w:t>
      </w:r>
    </w:p>
    <w:p w14:paraId="308AC849" w14:textId="77777777" w:rsidR="00533D3B" w:rsidRPr="00F0736F" w:rsidRDefault="00533D3B" w:rsidP="00E65772">
      <w:pPr>
        <w:ind w:firstLine="709"/>
        <w:jc w:val="both"/>
        <w:rPr>
          <w:i/>
          <w:iCs/>
          <w:color w:val="000000" w:themeColor="text1"/>
        </w:rPr>
      </w:pPr>
      <w:r w:rsidRPr="00F0736F">
        <w:rPr>
          <w:rFonts w:ascii="Times New Roman" w:eastAsia="Calibri" w:hAnsi="Times New Roman" w:cs="Times New Roman"/>
          <w:i/>
          <w:iCs/>
          <w:color w:val="000000" w:themeColor="text1"/>
          <w:sz w:val="20"/>
          <w:szCs w:val="20"/>
        </w:rPr>
        <w:t>источник МИИР РК</w:t>
      </w:r>
    </w:p>
    <w:p w14:paraId="57325E5A" w14:textId="77777777" w:rsidR="00F674A4" w:rsidRPr="00F0736F" w:rsidRDefault="00F674A4" w:rsidP="008727D9">
      <w:pPr>
        <w:ind w:firstLine="709"/>
        <w:jc w:val="both"/>
        <w:rPr>
          <w:rFonts w:ascii="Times New Roman" w:hAnsi="Times New Roman" w:cs="Times New Roman"/>
          <w:color w:val="000000" w:themeColor="text1"/>
        </w:rPr>
      </w:pPr>
    </w:p>
    <w:p w14:paraId="425A87A0" w14:textId="77777777" w:rsidR="0060574A" w:rsidRPr="00F0736F" w:rsidRDefault="0060574A" w:rsidP="008727D9">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Обеспечение населения качественной питьевой водой</w:t>
      </w:r>
      <w:r w:rsidRPr="00F0736F">
        <w:rPr>
          <w:rFonts w:ascii="Times New Roman" w:hAnsi="Times New Roman" w:cs="Times New Roman"/>
          <w:color w:val="000000" w:themeColor="text1"/>
        </w:rPr>
        <w:t xml:space="preserve"> осуществляется, в первую очередь, через доступ к централизованному водоснабжению. </w:t>
      </w:r>
    </w:p>
    <w:p w14:paraId="2611D24E" w14:textId="77777777" w:rsidR="00F32AD2" w:rsidRPr="00F0736F" w:rsidRDefault="00F32AD2" w:rsidP="008727D9">
      <w:pPr>
        <w:ind w:firstLine="709"/>
        <w:jc w:val="both"/>
        <w:rPr>
          <w:color w:val="000000" w:themeColor="text1"/>
        </w:rPr>
      </w:pPr>
      <w:r w:rsidRPr="00F0736F">
        <w:rPr>
          <w:rFonts w:ascii="Times New Roman" w:hAnsi="Times New Roman" w:cs="Times New Roman"/>
          <w:color w:val="000000" w:themeColor="text1"/>
        </w:rPr>
        <w:t xml:space="preserve">По итогам 2018 года в городской местности централизованным водоснабжением обеспечено 10,0 млн. человек (из 10,6 млн. человек) или 94,5% городского населения. </w:t>
      </w:r>
    </w:p>
    <w:p w14:paraId="14BDB143" w14:textId="066E5439" w:rsidR="00F32AD2" w:rsidRPr="00F0736F" w:rsidRDefault="00F32AD2" w:rsidP="008727D9">
      <w:pPr>
        <w:ind w:firstLine="709"/>
        <w:jc w:val="both"/>
        <w:rPr>
          <w:color w:val="000000" w:themeColor="text1"/>
        </w:rPr>
      </w:pPr>
      <w:r w:rsidRPr="00F0736F">
        <w:rPr>
          <w:rFonts w:ascii="Times New Roman" w:hAnsi="Times New Roman" w:cs="Times New Roman"/>
          <w:color w:val="000000" w:themeColor="text1"/>
        </w:rPr>
        <w:t>По сельскому водоснабжению из 6</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499 сел обеспечено 3892 сел</w:t>
      </w:r>
      <w:r w:rsidR="002D365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59,9% всех сел. При этом, в указанных селах обеспечено 6,5 млн. человек</w:t>
      </w:r>
      <w:r w:rsidR="00C86DC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или 84,4% населения. </w:t>
      </w:r>
    </w:p>
    <w:p w14:paraId="4C461049" w14:textId="475B22F6" w:rsidR="0060574A" w:rsidRPr="00F0736F" w:rsidRDefault="0060574A" w:rsidP="008727D9">
      <w:pPr>
        <w:ind w:firstLine="709"/>
        <w:jc w:val="both"/>
        <w:rPr>
          <w:color w:val="000000" w:themeColor="text1"/>
        </w:rPr>
      </w:pPr>
      <w:r w:rsidRPr="00F0736F">
        <w:rPr>
          <w:rFonts w:ascii="Times New Roman" w:hAnsi="Times New Roman" w:cs="Times New Roman"/>
          <w:color w:val="000000" w:themeColor="text1"/>
        </w:rPr>
        <w:t>По итогам 2019 года</w:t>
      </w:r>
      <w:r w:rsidRPr="00F0736F">
        <w:rPr>
          <w:rFonts w:ascii="Times New Roman" w:hAnsi="Times New Roman" w:cs="Times New Roman"/>
          <w:bCs/>
          <w:color w:val="000000" w:themeColor="text1"/>
        </w:rPr>
        <w:t xml:space="preserve"> </w:t>
      </w:r>
      <w:r w:rsidRPr="00F0736F">
        <w:rPr>
          <w:rFonts w:ascii="Times New Roman" w:hAnsi="Times New Roman" w:cs="Times New Roman"/>
          <w:color w:val="000000" w:themeColor="text1"/>
        </w:rPr>
        <w:t xml:space="preserve">в целом по республике обеспеченность централизованным водоснабжением в ГНП составила </w:t>
      </w:r>
      <w:r w:rsidR="004E31D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97,</w:t>
      </w:r>
      <w:r w:rsidR="00533D3B" w:rsidRPr="00F0736F">
        <w:rPr>
          <w:rFonts w:ascii="Times New Roman" w:hAnsi="Times New Roman" w:cs="Times New Roman"/>
          <w:color w:val="000000" w:themeColor="text1"/>
        </w:rPr>
        <w:t>2</w:t>
      </w:r>
      <w:r w:rsidRPr="00F0736F">
        <w:rPr>
          <w:rFonts w:ascii="Times New Roman" w:hAnsi="Times New Roman" w:cs="Times New Roman"/>
          <w:color w:val="000000" w:themeColor="text1"/>
        </w:rPr>
        <w:t xml:space="preserve">% (при плане 97%), в СНП </w:t>
      </w:r>
      <w:r w:rsidR="004E31D4" w:rsidRPr="00F0736F">
        <w:rPr>
          <w:rFonts w:ascii="Times New Roman" w:hAnsi="Times New Roman" w:cs="Times New Roman"/>
          <w:color w:val="000000" w:themeColor="text1"/>
        </w:rPr>
        <w:t xml:space="preserve">- </w:t>
      </w:r>
      <w:r w:rsidR="00533D3B" w:rsidRPr="00F0736F">
        <w:rPr>
          <w:rFonts w:ascii="Times New Roman" w:hAnsi="Times New Roman" w:cs="Times New Roman"/>
          <w:color w:val="000000" w:themeColor="text1"/>
        </w:rPr>
        <w:t>64,3</w:t>
      </w:r>
      <w:r w:rsidRPr="00F0736F">
        <w:rPr>
          <w:rFonts w:ascii="Times New Roman" w:hAnsi="Times New Roman" w:cs="Times New Roman"/>
          <w:color w:val="000000" w:themeColor="text1"/>
        </w:rPr>
        <w:t xml:space="preserve">% (при плане 62%). Низкие показатели по обеспеченности населения по ГНП в Жамбылской (88,0%) и Павлодарской областях (93,1%); по СНП в Западно-Казахстанской (50,1%), Жамбылской (56,0%), Костанайской (60,2%), и Павлодарской (74,6%) областях. </w:t>
      </w:r>
      <w:r w:rsidR="008F04D9" w:rsidRPr="00F0736F">
        <w:rPr>
          <w:rFonts w:ascii="Times New Roman" w:hAnsi="Times New Roman" w:cs="Times New Roman"/>
          <w:color w:val="000000" w:themeColor="text1"/>
        </w:rPr>
        <w:t>Ц</w:t>
      </w:r>
      <w:r w:rsidRPr="00F0736F">
        <w:rPr>
          <w:rFonts w:ascii="Times New Roman" w:hAnsi="Times New Roman" w:cs="Times New Roman"/>
          <w:color w:val="000000" w:themeColor="text1"/>
        </w:rPr>
        <w:t xml:space="preserve">ентрализованным водоснабжением </w:t>
      </w:r>
      <w:r w:rsidR="008F04D9" w:rsidRPr="00F0736F">
        <w:rPr>
          <w:rFonts w:ascii="Times New Roman" w:hAnsi="Times New Roman" w:cs="Times New Roman"/>
          <w:color w:val="000000" w:themeColor="text1"/>
        </w:rPr>
        <w:t xml:space="preserve">не обеспечены </w:t>
      </w:r>
      <w:r w:rsidRPr="00F0736F">
        <w:rPr>
          <w:rFonts w:ascii="Times New Roman" w:hAnsi="Times New Roman" w:cs="Times New Roman"/>
          <w:color w:val="000000" w:themeColor="text1"/>
        </w:rPr>
        <w:t>2</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263 СНП с населением 1,1 млн. человек, из них 1</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117 сел с населением менее 200 человек (89 тыс. человек). </w:t>
      </w:r>
    </w:p>
    <w:p w14:paraId="36EB9C28" w14:textId="0E59000D" w:rsidR="0060574A" w:rsidRPr="00F0736F" w:rsidRDefault="0060574A" w:rsidP="008727D9">
      <w:pPr>
        <w:tabs>
          <w:tab w:val="left" w:pos="709"/>
        </w:tabs>
        <w:ind w:firstLine="709"/>
        <w:jc w:val="both"/>
        <w:rPr>
          <w:rFonts w:ascii="Calibri" w:hAnsi="Calibri"/>
          <w:color w:val="000000" w:themeColor="text1"/>
        </w:rPr>
      </w:pPr>
      <w:r w:rsidRPr="00F0736F">
        <w:rPr>
          <w:rFonts w:ascii="Times New Roman" w:hAnsi="Times New Roman" w:cs="Times New Roman"/>
          <w:color w:val="000000" w:themeColor="text1"/>
        </w:rPr>
        <w:t>Для ускоренного обеспечения населения качественными услугами водоснабжения в селах с населением менее 200 человек, подверженных миграции и низким социально-экономическим потенциалом развития</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проводится работа по установке комплексных блок-модулей очистки питьевой воды.</w:t>
      </w:r>
    </w:p>
    <w:p w14:paraId="07D289FE"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lang w:val="kk-KZ"/>
        </w:rPr>
        <w:t>Канализационные очистные сооружения</w:t>
      </w:r>
      <w:r w:rsidRPr="00F0736F">
        <w:rPr>
          <w:rFonts w:ascii="Times New Roman" w:hAnsi="Times New Roman" w:cs="Times New Roman"/>
          <w:color w:val="000000" w:themeColor="text1"/>
          <w:lang w:val="kk-KZ"/>
        </w:rPr>
        <w:t xml:space="preserve"> имеются в 58 из 87 городов (с учетом города Байконур). Состояние многих очистных сооружений неудовлетворительное</w:t>
      </w:r>
      <w:r w:rsidR="008F04D9" w:rsidRPr="00F0736F">
        <w:rPr>
          <w:rFonts w:ascii="Times New Roman" w:hAnsi="Times New Roman" w:cs="Times New Roman"/>
          <w:color w:val="000000" w:themeColor="text1"/>
          <w:lang w:val="kk-KZ"/>
        </w:rPr>
        <w:t xml:space="preserve"> и </w:t>
      </w:r>
      <w:r w:rsidRPr="00F0736F">
        <w:rPr>
          <w:rFonts w:ascii="Times New Roman" w:hAnsi="Times New Roman" w:cs="Times New Roman"/>
          <w:color w:val="000000" w:themeColor="text1"/>
          <w:lang w:val="kk-KZ"/>
        </w:rPr>
        <w:t xml:space="preserve">имеют лишь механическую очистку. </w:t>
      </w:r>
    </w:p>
    <w:p w14:paraId="3304987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2018 году на территории республики действовало 573 канализационных сооружений (2019 </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599) и 301 отдельн</w:t>
      </w:r>
      <w:r w:rsidR="002D3654" w:rsidRPr="00F0736F">
        <w:rPr>
          <w:rFonts w:ascii="Times New Roman" w:hAnsi="Times New Roman" w:cs="Times New Roman"/>
          <w:color w:val="000000" w:themeColor="text1"/>
        </w:rPr>
        <w:t>ая</w:t>
      </w:r>
      <w:r w:rsidRPr="00F0736F">
        <w:rPr>
          <w:rFonts w:ascii="Times New Roman" w:hAnsi="Times New Roman" w:cs="Times New Roman"/>
          <w:color w:val="000000" w:themeColor="text1"/>
        </w:rPr>
        <w:t xml:space="preserve"> канализационн</w:t>
      </w:r>
      <w:r w:rsidR="006063CC" w:rsidRPr="00F0736F">
        <w:rPr>
          <w:rFonts w:ascii="Times New Roman" w:hAnsi="Times New Roman" w:cs="Times New Roman"/>
          <w:color w:val="000000" w:themeColor="text1"/>
        </w:rPr>
        <w:t>ая</w:t>
      </w:r>
      <w:r w:rsidRPr="00F0736F">
        <w:rPr>
          <w:rFonts w:ascii="Times New Roman" w:hAnsi="Times New Roman" w:cs="Times New Roman"/>
          <w:color w:val="000000" w:themeColor="text1"/>
        </w:rPr>
        <w:t xml:space="preserve"> сет</w:t>
      </w:r>
      <w:r w:rsidR="006063CC" w:rsidRPr="00F0736F">
        <w:rPr>
          <w:rFonts w:ascii="Times New Roman" w:hAnsi="Times New Roman" w:cs="Times New Roman"/>
          <w:color w:val="000000" w:themeColor="text1"/>
        </w:rPr>
        <w:t xml:space="preserve">ь </w:t>
      </w:r>
      <w:r w:rsidRPr="00F0736F">
        <w:rPr>
          <w:rFonts w:ascii="Times New Roman" w:hAnsi="Times New Roman" w:cs="Times New Roman"/>
          <w:color w:val="000000" w:themeColor="text1"/>
        </w:rPr>
        <w:t>(2019 - 272).</w:t>
      </w:r>
    </w:p>
    <w:p w14:paraId="525AA443"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 xml:space="preserve">Протяженность главных коллекторов составила 4,6 тыс. км (2019 </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4,8)</w:t>
      </w:r>
      <w:r w:rsidR="008F04D9" w:rsidRPr="00F0736F">
        <w:rPr>
          <w:rFonts w:ascii="Times New Roman" w:hAnsi="Times New Roman" w:cs="Times New Roman"/>
          <w:color w:val="000000" w:themeColor="text1"/>
        </w:rPr>
        <w:t>, а у</w:t>
      </w:r>
      <w:r w:rsidRPr="00F0736F">
        <w:rPr>
          <w:rFonts w:ascii="Times New Roman" w:hAnsi="Times New Roman" w:cs="Times New Roman"/>
          <w:color w:val="000000" w:themeColor="text1"/>
        </w:rPr>
        <w:t xml:space="preserve">личная канализационная сеть протянулась на расстояние 6,3 тыс. км (2019 </w:t>
      </w:r>
      <w:r w:rsidR="008F04D9"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6,6).</w:t>
      </w:r>
    </w:p>
    <w:p w14:paraId="7A5C88A9" w14:textId="1D4775EE"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Установленная пропускная способность очистных сооружений в 2018 году составила </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828,4 тыс. куб. м в сутки (2019 </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производительность сооружений механической очистки составила 1</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414,1 тыс. куб. м в сутки, сооружений биологической очистки (полного цикла) </w:t>
      </w:r>
      <w:r w:rsidR="00FC676B" w:rsidRPr="00F0736F">
        <w:rPr>
          <w:rFonts w:ascii="Times New Roman" w:hAnsi="Times New Roman" w:cs="Times New Roman"/>
          <w:color w:val="000000" w:themeColor="text1"/>
        </w:rPr>
        <w:t>-</w:t>
      </w:r>
      <w:r w:rsidR="00D64F7C" w:rsidRPr="00F0736F">
        <w:rPr>
          <w:rFonts w:ascii="Times New Roman" w:hAnsi="Times New Roman" w:cs="Times New Roman"/>
          <w:color w:val="000000" w:themeColor="text1"/>
        </w:rPr>
        <w:t xml:space="preserve"> </w:t>
      </w:r>
      <w:r w:rsidR="00FC676B" w:rsidRPr="00F0736F">
        <w:rPr>
          <w:rFonts w:ascii="Times New Roman" w:hAnsi="Times New Roman" w:cs="Times New Roman"/>
          <w:color w:val="000000" w:themeColor="text1"/>
        </w:rPr>
        <w:t xml:space="preserve">         </w:t>
      </w:r>
      <w:r w:rsidR="00D64F7C" w:rsidRPr="00F0736F">
        <w:rPr>
          <w:rFonts w:ascii="Times New Roman" w:hAnsi="Times New Roman" w:cs="Times New Roman"/>
          <w:color w:val="000000" w:themeColor="text1"/>
        </w:rPr>
        <w:t>2</w:t>
      </w:r>
      <w:r w:rsidR="00FC676B" w:rsidRPr="00F0736F">
        <w:rPr>
          <w:rFonts w:ascii="Times New Roman" w:hAnsi="Times New Roman" w:cs="Times New Roman"/>
          <w:color w:val="000000" w:themeColor="text1"/>
        </w:rPr>
        <w:t xml:space="preserve"> </w:t>
      </w:r>
      <w:r w:rsidR="00D64F7C" w:rsidRPr="00F0736F">
        <w:rPr>
          <w:rFonts w:ascii="Times New Roman" w:hAnsi="Times New Roman" w:cs="Times New Roman"/>
          <w:color w:val="000000" w:themeColor="text1"/>
        </w:rPr>
        <w:t xml:space="preserve">731,4 тыс. куб. м в сутки). </w:t>
      </w:r>
      <w:r w:rsidRPr="00F0736F">
        <w:rPr>
          <w:rFonts w:ascii="Times New Roman" w:hAnsi="Times New Roman" w:cs="Times New Roman"/>
          <w:color w:val="000000" w:themeColor="text1"/>
        </w:rPr>
        <w:t xml:space="preserve">Через очистные сооружения пропущено 580,7 млн. куб. м сточных вод, таким образом доля очищенных стоков в общем пропуске сточных вод составила 86,8% (2019 </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579,2, 84,5%). В том числе</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путём полной биологической очистки очищено 532,9 млн. куб. м (2019 </w:t>
      </w:r>
      <w:r w:rsidR="00FC676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495,5), из них</w:t>
      </w:r>
      <w:r w:rsidR="006063CC" w:rsidRPr="00F0736F">
        <w:rPr>
          <w:rFonts w:ascii="Times New Roman" w:hAnsi="Times New Roman" w:cs="Times New Roman"/>
          <w:color w:val="000000" w:themeColor="text1"/>
        </w:rPr>
        <w:t xml:space="preserve"> обьем с доочисткой составил</w:t>
      </w:r>
      <w:r w:rsidRPr="00F0736F">
        <w:rPr>
          <w:rFonts w:ascii="Times New Roman" w:hAnsi="Times New Roman" w:cs="Times New Roman"/>
          <w:color w:val="000000" w:themeColor="text1"/>
        </w:rPr>
        <w:t xml:space="preserve"> 5,7 млн. куб. м (2019 </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124,7), нормативно очищенной </w:t>
      </w:r>
      <w:r w:rsidR="00FC676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472,6 млн. куб. м, недостаточно очищенной </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43,5 млн. куб. м.</w:t>
      </w:r>
    </w:p>
    <w:p w14:paraId="4AF3B1EE" w14:textId="2D6E922D" w:rsidR="007A73B5" w:rsidRPr="00F0736F" w:rsidRDefault="007A73B5" w:rsidP="007A73B5">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2019 года показатель </w:t>
      </w:r>
      <w:r w:rsidRPr="00F0736F">
        <w:rPr>
          <w:rFonts w:ascii="Times New Roman" w:hAnsi="Times New Roman" w:cs="Times New Roman"/>
          <w:color w:val="000000" w:themeColor="text1"/>
          <w:lang w:val="kk-KZ"/>
        </w:rPr>
        <w:t xml:space="preserve">охвата населения очисткой сточных вод в городах составил </w:t>
      </w:r>
      <w:r w:rsidR="00E53A31"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 xml:space="preserve"> 70,5%, в селах </w:t>
      </w:r>
      <w:r w:rsidR="00E53A31"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 xml:space="preserve"> 8,8%, а </w:t>
      </w:r>
      <w:r w:rsidRPr="00F0736F">
        <w:rPr>
          <w:rFonts w:ascii="Times New Roman" w:hAnsi="Times New Roman" w:cs="Times New Roman"/>
          <w:color w:val="000000" w:themeColor="text1"/>
        </w:rPr>
        <w:t xml:space="preserve">2018 году данный показатель составлял </w:t>
      </w:r>
      <w:r w:rsidRPr="00F0736F">
        <w:rPr>
          <w:rFonts w:ascii="Times New Roman" w:hAnsi="Times New Roman" w:cs="Times New Roman"/>
          <w:color w:val="000000" w:themeColor="text1"/>
          <w:lang w:val="kk-KZ"/>
        </w:rPr>
        <w:t xml:space="preserve">в городах </w:t>
      </w:r>
      <w:r w:rsidR="00E53A31"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68,7%, в селах </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8,6%. </w:t>
      </w:r>
    </w:p>
    <w:p w14:paraId="01FDDF17" w14:textId="77777777" w:rsidR="00F32AD2" w:rsidRPr="00F0736F" w:rsidRDefault="00F674A4" w:rsidP="008727D9">
      <w:pPr>
        <w:ind w:firstLine="709"/>
        <w:jc w:val="both"/>
        <w:rPr>
          <w:rFonts w:ascii="Times New Roman" w:eastAsia="Calibri" w:hAnsi="Times New Roman" w:cs="Times New Roman"/>
          <w:color w:val="000000" w:themeColor="text1"/>
          <w:spacing w:val="2"/>
          <w:lang w:eastAsia="ru-RU"/>
        </w:rPr>
      </w:pPr>
      <w:r w:rsidRPr="00F0736F">
        <w:rPr>
          <w:rFonts w:ascii="Times New Roman" w:eastAsia="Calibri" w:hAnsi="Times New Roman" w:cs="Times New Roman"/>
          <w:b/>
          <w:color w:val="000000" w:themeColor="text1"/>
          <w:spacing w:val="2"/>
          <w:lang w:eastAsia="ru-RU"/>
        </w:rPr>
        <w:t>Решение проблем водоснабжения</w:t>
      </w:r>
      <w:r w:rsidRPr="00F0736F">
        <w:rPr>
          <w:rFonts w:ascii="Times New Roman" w:eastAsia="Calibri" w:hAnsi="Times New Roman" w:cs="Times New Roman"/>
          <w:color w:val="000000" w:themeColor="text1"/>
          <w:spacing w:val="2"/>
          <w:lang w:eastAsia="ru-RU"/>
        </w:rPr>
        <w:t xml:space="preserve"> в Казахстане с 2002 года последовательно </w:t>
      </w:r>
      <w:r w:rsidR="006063CC" w:rsidRPr="00F0736F">
        <w:rPr>
          <w:rFonts w:ascii="Times New Roman" w:eastAsia="Calibri" w:hAnsi="Times New Roman" w:cs="Times New Roman"/>
          <w:color w:val="000000" w:themeColor="text1"/>
          <w:spacing w:val="2"/>
          <w:lang w:eastAsia="ru-RU"/>
        </w:rPr>
        <w:t xml:space="preserve">осуществлялось посредством </w:t>
      </w:r>
      <w:r w:rsidRPr="00F0736F">
        <w:rPr>
          <w:rFonts w:ascii="Times New Roman" w:eastAsia="Calibri" w:hAnsi="Times New Roman" w:cs="Times New Roman"/>
          <w:color w:val="000000" w:themeColor="text1"/>
          <w:spacing w:val="2"/>
          <w:lang w:eastAsia="ru-RU"/>
        </w:rPr>
        <w:t>реализаци</w:t>
      </w:r>
      <w:r w:rsidR="006063CC" w:rsidRPr="00F0736F">
        <w:rPr>
          <w:rFonts w:ascii="Times New Roman" w:eastAsia="Calibri" w:hAnsi="Times New Roman" w:cs="Times New Roman"/>
          <w:color w:val="000000" w:themeColor="text1"/>
          <w:spacing w:val="2"/>
          <w:lang w:eastAsia="ru-RU"/>
        </w:rPr>
        <w:t xml:space="preserve">и </w:t>
      </w:r>
      <w:r w:rsidR="00F32AD2" w:rsidRPr="00F0736F">
        <w:rPr>
          <w:rFonts w:ascii="Times New Roman" w:eastAsia="Calibri" w:hAnsi="Times New Roman" w:cs="Times New Roman"/>
          <w:color w:val="000000" w:themeColor="text1"/>
          <w:spacing w:val="2"/>
          <w:lang w:eastAsia="ru-RU"/>
        </w:rPr>
        <w:t xml:space="preserve">следующих </w:t>
      </w:r>
      <w:r w:rsidRPr="00F0736F">
        <w:rPr>
          <w:rFonts w:ascii="Times New Roman" w:eastAsia="Calibri" w:hAnsi="Times New Roman" w:cs="Times New Roman"/>
          <w:color w:val="000000" w:themeColor="text1"/>
          <w:spacing w:val="2"/>
          <w:lang w:eastAsia="ru-RU"/>
        </w:rPr>
        <w:t>программ</w:t>
      </w:r>
      <w:r w:rsidRPr="00F0736F">
        <w:rPr>
          <w:rStyle w:val="a4"/>
          <w:rFonts w:ascii="Times New Roman" w:eastAsia="Calibri" w:hAnsi="Times New Roman" w:cs="Times New Roman"/>
          <w:color w:val="000000" w:themeColor="text1"/>
          <w:spacing w:val="2"/>
          <w:lang w:eastAsia="ru-RU"/>
        </w:rPr>
        <w:footnoteReference w:id="9"/>
      </w:r>
      <w:r w:rsidR="00F32AD2" w:rsidRPr="00F0736F">
        <w:rPr>
          <w:rFonts w:ascii="Times New Roman" w:eastAsia="Calibri" w:hAnsi="Times New Roman" w:cs="Times New Roman"/>
          <w:color w:val="000000" w:themeColor="text1"/>
          <w:spacing w:val="2"/>
          <w:lang w:eastAsia="ru-RU"/>
        </w:rPr>
        <w:t>:</w:t>
      </w:r>
    </w:p>
    <w:p w14:paraId="036430D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1. Программа «Питьевая вода» была больше направлена на восстановление существующих систем водоснабжения в период отсутствия финансовой поддержки со стороны государства (в период становления независимого Казахстана). При этом большое количество направлений развития было учтено при разработке Программы «Ақ бұлақ».</w:t>
      </w:r>
    </w:p>
    <w:p w14:paraId="35B2D73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2. Программа «Ақ бұлақ» комплексно охватывает все проблемные вопросы сектора питьевого водоснабжения. Мероприятия по совершенствованию законодательства, созданию условий по повышению инвестиционной привлекательности сектора, проектированию, внедрению системного подхода на сегодня выполнены. Эффект от реализации данных мероприятий предполагалось получить при реализации второго этапа Программы.</w:t>
      </w:r>
    </w:p>
    <w:p w14:paraId="28F7366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3. Программа развития регионов до 2020 года предусматривает развитие регионов по всем отраслям экономики. В сфере водоснабжения упущена комплексная политика развития данного сектора.</w:t>
      </w:r>
    </w:p>
    <w:p w14:paraId="2EEF11BE" w14:textId="77777777" w:rsidR="00F674A4" w:rsidRPr="00F0736F" w:rsidRDefault="00F32AD2"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 xml:space="preserve">4. </w:t>
      </w:r>
      <w:r w:rsidR="00F674A4" w:rsidRPr="00F0736F">
        <w:rPr>
          <w:rFonts w:ascii="Times New Roman" w:eastAsia="Calibri" w:hAnsi="Times New Roman" w:cs="Times New Roman"/>
          <w:color w:val="000000" w:themeColor="text1"/>
          <w:spacing w:val="2"/>
          <w:lang w:eastAsia="ru-RU"/>
        </w:rPr>
        <w:t>Государственн</w:t>
      </w:r>
      <w:r w:rsidRPr="00F0736F">
        <w:rPr>
          <w:rFonts w:ascii="Times New Roman" w:eastAsia="Calibri" w:hAnsi="Times New Roman" w:cs="Times New Roman"/>
          <w:color w:val="000000" w:themeColor="text1"/>
          <w:spacing w:val="2"/>
          <w:lang w:eastAsia="ru-RU"/>
        </w:rPr>
        <w:t>ая программа</w:t>
      </w:r>
      <w:r w:rsidR="00F674A4" w:rsidRPr="00F0736F">
        <w:rPr>
          <w:rFonts w:ascii="Times New Roman" w:eastAsia="Calibri" w:hAnsi="Times New Roman" w:cs="Times New Roman"/>
          <w:color w:val="000000" w:themeColor="text1"/>
          <w:spacing w:val="2"/>
          <w:lang w:eastAsia="ru-RU"/>
        </w:rPr>
        <w:t xml:space="preserve"> развития инфраструктуры «Нұрлы жол»</w:t>
      </w:r>
      <w:r w:rsidR="008F04D9" w:rsidRPr="00F0736F">
        <w:rPr>
          <w:rFonts w:ascii="Times New Roman" w:eastAsia="Calibri" w:hAnsi="Times New Roman" w:cs="Times New Roman"/>
          <w:color w:val="000000" w:themeColor="text1"/>
          <w:spacing w:val="2"/>
          <w:lang w:eastAsia="ru-RU"/>
        </w:rPr>
        <w:t xml:space="preserve"> </w:t>
      </w:r>
      <w:r w:rsidRPr="00F0736F">
        <w:rPr>
          <w:rFonts w:ascii="Times New Roman" w:eastAsia="Calibri" w:hAnsi="Times New Roman" w:cs="Times New Roman"/>
          <w:color w:val="000000" w:themeColor="text1"/>
          <w:spacing w:val="2"/>
          <w:lang w:eastAsia="ru-RU"/>
        </w:rPr>
        <w:t>предусматривает модернизацию</w:t>
      </w:r>
      <w:r w:rsidR="00F674A4" w:rsidRPr="00F0736F">
        <w:rPr>
          <w:rFonts w:ascii="Times New Roman" w:eastAsia="Calibri" w:hAnsi="Times New Roman" w:cs="Times New Roman"/>
          <w:color w:val="000000" w:themeColor="text1"/>
          <w:spacing w:val="2"/>
          <w:lang w:eastAsia="ru-RU"/>
        </w:rPr>
        <w:t xml:space="preserve"> (реконструкци</w:t>
      </w:r>
      <w:r w:rsidRPr="00F0736F">
        <w:rPr>
          <w:rFonts w:ascii="Times New Roman" w:eastAsia="Calibri" w:hAnsi="Times New Roman" w:cs="Times New Roman"/>
          <w:color w:val="000000" w:themeColor="text1"/>
          <w:spacing w:val="2"/>
          <w:lang w:eastAsia="ru-RU"/>
        </w:rPr>
        <w:t>ю</w:t>
      </w:r>
      <w:r w:rsidR="00F674A4" w:rsidRPr="00F0736F">
        <w:rPr>
          <w:rFonts w:ascii="Times New Roman" w:eastAsia="Calibri" w:hAnsi="Times New Roman" w:cs="Times New Roman"/>
          <w:color w:val="000000" w:themeColor="text1"/>
          <w:spacing w:val="2"/>
          <w:lang w:eastAsia="ru-RU"/>
        </w:rPr>
        <w:t xml:space="preserve"> и строительство) инфраструктуры жилищно-коммуна</w:t>
      </w:r>
      <w:r w:rsidR="00B413A8" w:rsidRPr="00F0736F">
        <w:rPr>
          <w:rFonts w:ascii="Times New Roman" w:eastAsia="Calibri" w:hAnsi="Times New Roman" w:cs="Times New Roman"/>
          <w:color w:val="000000" w:themeColor="text1"/>
          <w:spacing w:val="2"/>
          <w:lang w:eastAsia="ru-RU"/>
        </w:rPr>
        <w:t>льного хозяйства и систем тепло</w:t>
      </w:r>
      <w:r w:rsidR="00F674A4" w:rsidRPr="00F0736F">
        <w:rPr>
          <w:rFonts w:ascii="Times New Roman" w:eastAsia="Calibri" w:hAnsi="Times New Roman" w:cs="Times New Roman"/>
          <w:color w:val="000000" w:themeColor="text1"/>
          <w:spacing w:val="2"/>
          <w:lang w:eastAsia="ru-RU"/>
        </w:rPr>
        <w:t>-, водоснабжения и водоотведения. Показатели прямых результатов</w:t>
      </w:r>
      <w:r w:rsidRPr="00F0736F">
        <w:rPr>
          <w:rFonts w:ascii="Times New Roman" w:eastAsia="Calibri" w:hAnsi="Times New Roman" w:cs="Times New Roman"/>
          <w:color w:val="000000" w:themeColor="text1"/>
          <w:spacing w:val="2"/>
          <w:lang w:eastAsia="ru-RU"/>
        </w:rPr>
        <w:t>.</w:t>
      </w:r>
    </w:p>
    <w:p w14:paraId="2488775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рамках реализации Госпрограммы, а также в целях снижения нагрузки на бюджет</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был предусмотрен механизм бюджетного кредитования и субсидирования. Бюджетные кредиты выделяются местным исполнительным органам (МИО) из республиканского бюджета с дальнейшим кредитованием субъектов естественных монополий (СЕМ). Основной задачей данного механизма является возвратность выделяемых трансфертов. Условия бюджетного кредитования:</w:t>
      </w:r>
    </w:p>
    <w:p w14:paraId="225661B4" w14:textId="65F7B01E" w:rsidR="00F674A4" w:rsidRPr="00F0736F" w:rsidRDefault="00E53A31"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eastAsia="Calibri" w:hAnsi="Times New Roman" w:cs="Times New Roman"/>
          <w:color w:val="000000" w:themeColor="text1"/>
          <w:spacing w:val="2"/>
          <w:lang w:eastAsia="ru-RU"/>
        </w:rPr>
        <w:t xml:space="preserve">ставка вознаграждения для МИО </w:t>
      </w:r>
      <w:r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 xml:space="preserve"> 0,01% годовых; </w:t>
      </w:r>
    </w:p>
    <w:p w14:paraId="66EEF2DB" w14:textId="40A4642F" w:rsidR="00F674A4" w:rsidRPr="00F0736F" w:rsidRDefault="00E53A31"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 xml:space="preserve">ставка вознаграждения для СЕМ </w:t>
      </w:r>
      <w:r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 xml:space="preserve"> 0,02% годовых; </w:t>
      </w:r>
    </w:p>
    <w:p w14:paraId="77E7ABCC" w14:textId="70163676" w:rsidR="00F674A4" w:rsidRPr="00F0736F" w:rsidRDefault="00E53A31"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eastAsia="Calibri" w:hAnsi="Times New Roman" w:cs="Times New Roman"/>
          <w:color w:val="000000" w:themeColor="text1"/>
          <w:spacing w:val="2"/>
          <w:lang w:eastAsia="ru-RU"/>
        </w:rPr>
        <w:t xml:space="preserve">срок кредитования до 20 лет; </w:t>
      </w:r>
    </w:p>
    <w:p w14:paraId="0DB6B510" w14:textId="216D0C11" w:rsidR="00F674A4" w:rsidRPr="00F0736F" w:rsidRDefault="00E53A31"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eastAsia="Calibri" w:hAnsi="Times New Roman" w:cs="Times New Roman"/>
          <w:color w:val="000000" w:themeColor="text1"/>
          <w:spacing w:val="2"/>
          <w:lang w:eastAsia="ru-RU"/>
        </w:rPr>
        <w:t xml:space="preserve">валюта финансирования </w:t>
      </w:r>
      <w:r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 xml:space="preserve"> тенге;</w:t>
      </w:r>
    </w:p>
    <w:p w14:paraId="354CD558" w14:textId="6C696EF4" w:rsidR="00F674A4" w:rsidRPr="00F0736F" w:rsidRDefault="00E53A31"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eastAsia="Calibri" w:hAnsi="Times New Roman" w:cs="Times New Roman"/>
          <w:color w:val="000000" w:themeColor="text1"/>
          <w:spacing w:val="2"/>
          <w:lang w:eastAsia="ru-RU"/>
        </w:rPr>
        <w:t xml:space="preserve">льготный период </w:t>
      </w:r>
      <w:r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 xml:space="preserve"> 1/3 от срока кредитования. </w:t>
      </w:r>
    </w:p>
    <w:p w14:paraId="5FA16317"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bCs/>
          <w:color w:val="000000" w:themeColor="text1"/>
        </w:rPr>
        <w:t xml:space="preserve">Для обеспечения стабильной эксплуатации </w:t>
      </w:r>
      <w:r w:rsidRPr="00F0736F">
        <w:rPr>
          <w:rFonts w:ascii="Times New Roman" w:eastAsia="Calibri" w:hAnsi="Times New Roman" w:cs="Times New Roman"/>
          <w:b/>
          <w:bCs/>
          <w:color w:val="000000" w:themeColor="text1"/>
        </w:rPr>
        <w:t xml:space="preserve">гидротехнических сооружений, </w:t>
      </w:r>
      <w:r w:rsidRPr="00F0736F">
        <w:rPr>
          <w:rFonts w:ascii="Times New Roman" w:eastAsia="Calibri" w:hAnsi="Times New Roman" w:cs="Times New Roman"/>
          <w:bCs/>
          <w:color w:val="000000" w:themeColor="text1"/>
        </w:rPr>
        <w:t>находящихся в республиканской собственности, ежегодно проводятся эксплуатационные мероприятия, текущий ремонт, противопаводковые и водоохранные мероприятия.</w:t>
      </w:r>
    </w:p>
    <w:p w14:paraId="4D634631" w14:textId="23D2667A"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По состоянию на 1 июня 2019 года в республике насчитыва</w:t>
      </w:r>
      <w:r w:rsidR="00F32AD2" w:rsidRPr="00F0736F">
        <w:rPr>
          <w:rFonts w:ascii="Times New Roman" w:eastAsia="Calibri" w:hAnsi="Times New Roman" w:cs="Times New Roman"/>
          <w:color w:val="000000" w:themeColor="text1"/>
        </w:rPr>
        <w:t>лось</w:t>
      </w:r>
      <w:r w:rsidRPr="00F0736F">
        <w:rPr>
          <w:rFonts w:ascii="Times New Roman" w:eastAsia="Calibri" w:hAnsi="Times New Roman" w:cs="Times New Roman"/>
          <w:color w:val="000000" w:themeColor="text1"/>
        </w:rPr>
        <w:t xml:space="preserve"> 1</w:t>
      </w:r>
      <w:r w:rsidR="00E53A31"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705 гидротехнических сооружений (ГТС), из них в республиканской собственности 516 ГТС, в коммунальной собственности 962 ГТС, в частной 201 ГТС, бесхозяйных 26 ГТС. </w:t>
      </w:r>
      <w:r w:rsidRPr="00F0736F">
        <w:rPr>
          <w:rFonts w:ascii="Times New Roman" w:hAnsi="Times New Roman" w:cs="Times New Roman"/>
          <w:color w:val="000000" w:themeColor="text1"/>
        </w:rPr>
        <w:t>По всем бесхозяйным сооружениям местными исполнительными органами ведется работа по их переводу в государственную собственность.</w:t>
      </w:r>
    </w:p>
    <w:p w14:paraId="7488A1A9" w14:textId="59B2161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Балансодержателем республиканских водохозяйственных сооружений является РГП «Казводхоз». На балансе РГП «Казводхоз» числятся 87 водохранилищ, 88 гидроузлов, 36 плотин, 93 насосны</w:t>
      </w:r>
      <w:r w:rsidR="006063CC"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 xml:space="preserve"> ст</w:t>
      </w:r>
      <w:r w:rsidR="006063CC" w:rsidRPr="00F0736F">
        <w:rPr>
          <w:rFonts w:ascii="Times New Roman" w:hAnsi="Times New Roman" w:cs="Times New Roman"/>
          <w:color w:val="000000" w:themeColor="text1"/>
        </w:rPr>
        <w:t>анции, 24 головных сооружения</w:t>
      </w:r>
      <w:r w:rsidRPr="00F0736F">
        <w:rPr>
          <w:rFonts w:ascii="Times New Roman" w:hAnsi="Times New Roman" w:cs="Times New Roman"/>
          <w:color w:val="000000" w:themeColor="text1"/>
        </w:rPr>
        <w:t>, 33 групповых водовода, 4</w:t>
      </w:r>
      <w:r w:rsidR="00E53A3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348 каналов и других водохозяйственных объектов.</w:t>
      </w:r>
    </w:p>
    <w:p w14:paraId="38AEC4C2" w14:textId="51A4CCB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Вместе с тем, подавляющее большинство водохозяйственных сооружений было создано в советский период и на данный момент они как физически, так и морально изношены. Изн</w:t>
      </w:r>
      <w:r w:rsidR="006063CC" w:rsidRPr="00F0736F">
        <w:rPr>
          <w:rFonts w:ascii="Times New Roman" w:hAnsi="Times New Roman" w:cs="Times New Roman"/>
          <w:color w:val="000000" w:themeColor="text1"/>
        </w:rPr>
        <w:t>ос плотин в среднем составляет</w:t>
      </w:r>
      <w:r w:rsidRPr="00F0736F">
        <w:rPr>
          <w:rFonts w:ascii="Times New Roman" w:hAnsi="Times New Roman" w:cs="Times New Roman"/>
          <w:color w:val="000000" w:themeColor="text1"/>
        </w:rPr>
        <w:t xml:space="preserve"> 40%. Фактический износ каналов составляет 60</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80%</w:t>
      </w:r>
      <w:r w:rsidR="008F04D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результате чего их коэффициент полезного действия снизился до 0,45</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0,62. Состояние межхозяйственных и внутрихозяйственных каналов, принимаемых из коммунальной в республиканскую собственность, также неудовлетворительное в связи с тем, что длительное время не эксплуатировались на должном уровне. Скважины вертикального дренажа имеют износ до 75%.</w:t>
      </w:r>
    </w:p>
    <w:p w14:paraId="23BF23C4" w14:textId="6C38944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данным МВД РК</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из 1</w:t>
      </w:r>
      <w:r w:rsidR="00E53A3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705 гидротехнических сооружений для</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безопасного режима работы требуют ремонта 436 объект</w:t>
      </w:r>
      <w:r w:rsidR="006063CC" w:rsidRPr="00F0736F">
        <w:rPr>
          <w:rFonts w:ascii="Times New Roman" w:hAnsi="Times New Roman" w:cs="Times New Roman"/>
          <w:color w:val="000000" w:themeColor="text1"/>
        </w:rPr>
        <w:t>ов</w:t>
      </w:r>
      <w:r w:rsidRPr="00F0736F">
        <w:rPr>
          <w:rFonts w:ascii="Times New Roman" w:hAnsi="Times New Roman" w:cs="Times New Roman"/>
          <w:color w:val="000000" w:themeColor="text1"/>
        </w:rPr>
        <w:t>.</w:t>
      </w:r>
    </w:p>
    <w:p w14:paraId="76CBCF2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результате этого имеются непродуктивные потери при доставке воды по каналам, снижается эффективность агромелиоративных мероприятий на орошаемых землях, а также повышается риск возникновения прорывов плотин. </w:t>
      </w:r>
    </w:p>
    <w:p w14:paraId="03D6C072" w14:textId="760260DB"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Плане мероприяти</w:t>
      </w:r>
      <w:r w:rsidR="00E53A31" w:rsidRPr="00F0736F">
        <w:rPr>
          <w:rFonts w:ascii="Times New Roman" w:hAnsi="Times New Roman" w:cs="Times New Roman"/>
          <w:color w:val="000000" w:themeColor="text1"/>
        </w:rPr>
        <w:t>й</w:t>
      </w:r>
      <w:r w:rsidRPr="00F0736F">
        <w:rPr>
          <w:rFonts w:ascii="Times New Roman" w:hAnsi="Times New Roman" w:cs="Times New Roman"/>
          <w:color w:val="000000" w:themeColor="text1"/>
        </w:rPr>
        <w:t xml:space="preserve"> по реализации Государственной программы развития агропромышленного комплекса Республики Казахстан на 2017 </w:t>
      </w:r>
      <w:r w:rsidR="00E53A3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2021 годы предусмотрена реконструкция 41 аварийного водохранилища, основной целью которой является обеспечение безопасной эксплуатации водохозяйственных сооружений.</w:t>
      </w:r>
    </w:p>
    <w:p w14:paraId="60A18E95"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 xml:space="preserve">Обеспечение водой природных экосистем. </w:t>
      </w:r>
      <w:r w:rsidRPr="00F0736F">
        <w:rPr>
          <w:rFonts w:ascii="Times New Roman" w:hAnsi="Times New Roman" w:cs="Times New Roman"/>
          <w:color w:val="000000" w:themeColor="text1"/>
        </w:rPr>
        <w:t>Помимо мероприятий, направленных на недопущение дефицита водных ресурсов, в целях ликвидации процессов деградации и опустынивания в низовьях реки Шидерты Павлодарской области, заполнения и подпитки озерных систем Кызылординской области, улучшения экологического состояния Тенгиз-Коргалжынской системы озер Коргалжынского государственного заповедника Акмолинской области, поддержания равновесия и улучшения экологического состояния трансграничной реки Илек Актюбинской области, улучшения выпаса скота, сохранения флоры и фауны в пойме реки Шу на территориях Мойынкумского, Сарысуйского районов Жамбылской области и Созакского района Южно-Казахстанской области ежегодно проводятся природоохранные попуски в объеме 1,431 км</w:t>
      </w:r>
      <w:r w:rsidRPr="00F0736F">
        <w:rPr>
          <w:rFonts w:ascii="Times New Roman" w:hAnsi="Times New Roman" w:cs="Times New Roman"/>
          <w:color w:val="000000" w:themeColor="text1"/>
          <w:vertAlign w:val="superscript"/>
        </w:rPr>
        <w:t>3</w:t>
      </w:r>
      <w:r w:rsidR="006063CC" w:rsidRPr="00F0736F">
        <w:rPr>
          <w:rFonts w:ascii="Times New Roman" w:hAnsi="Times New Roman" w:cs="Times New Roman"/>
          <w:color w:val="000000" w:themeColor="text1"/>
        </w:rPr>
        <w:t>.</w:t>
      </w:r>
    </w:p>
    <w:p w14:paraId="30E7DAAC" w14:textId="544AA40C" w:rsidR="00696F78" w:rsidRPr="00F0736F" w:rsidRDefault="00696F78" w:rsidP="008727D9">
      <w:pPr>
        <w:ind w:firstLine="709"/>
        <w:jc w:val="both"/>
        <w:rPr>
          <w:color w:val="000000" w:themeColor="text1"/>
        </w:rPr>
      </w:pPr>
      <w:r w:rsidRPr="00F0736F">
        <w:rPr>
          <w:rFonts w:ascii="Times New Roman" w:eastAsia="Calibri" w:hAnsi="Times New Roman" w:cs="Times New Roman"/>
          <w:bCs/>
          <w:color w:val="000000" w:themeColor="text1"/>
          <w:spacing w:val="2"/>
          <w:lang w:eastAsia="ru-RU"/>
        </w:rPr>
        <w:t>Наряду с этим регулирование водного режима водохранилищ осуществляется с учетом необходимых природоохранных попусков. В частности, в период с 12 апреля по 11 мая 2018 года проведен природоохранный попуск по реке Ертис в объеме 6,0 км</w:t>
      </w:r>
      <w:r w:rsidRPr="00F0736F">
        <w:rPr>
          <w:rFonts w:ascii="Times New Roman" w:eastAsia="Calibri" w:hAnsi="Times New Roman" w:cs="Times New Roman"/>
          <w:bCs/>
          <w:color w:val="000000" w:themeColor="text1"/>
          <w:spacing w:val="2"/>
          <w:vertAlign w:val="superscript"/>
          <w:lang w:eastAsia="ru-RU"/>
        </w:rPr>
        <w:t>3</w:t>
      </w:r>
      <w:r w:rsidRPr="00F0736F">
        <w:rPr>
          <w:rFonts w:ascii="Times New Roman" w:eastAsia="Calibri" w:hAnsi="Times New Roman" w:cs="Times New Roman"/>
          <w:bCs/>
          <w:color w:val="000000" w:themeColor="text1"/>
          <w:spacing w:val="2"/>
          <w:lang w:eastAsia="ru-RU"/>
        </w:rPr>
        <w:t>, общей площадью затопления поймы 297,4 тыс. га.</w:t>
      </w:r>
    </w:p>
    <w:p w14:paraId="49BCCB94" w14:textId="6FB5CD9E" w:rsidR="00696F78" w:rsidRPr="00F0736F" w:rsidRDefault="00696F78" w:rsidP="008727D9">
      <w:pPr>
        <w:ind w:firstLine="709"/>
        <w:jc w:val="both"/>
        <w:rPr>
          <w:color w:val="000000" w:themeColor="text1"/>
        </w:rPr>
      </w:pPr>
      <w:r w:rsidRPr="00F0736F">
        <w:rPr>
          <w:rFonts w:ascii="Times New Roman" w:eastAsia="Calibri" w:hAnsi="Times New Roman" w:cs="Times New Roman"/>
          <w:bCs/>
          <w:color w:val="000000" w:themeColor="text1"/>
          <w:spacing w:val="2"/>
          <w:lang w:eastAsia="ru-RU"/>
        </w:rPr>
        <w:t>По данным МКВК</w:t>
      </w:r>
      <w:r w:rsidR="006063CC" w:rsidRPr="00F0736F">
        <w:rPr>
          <w:rFonts w:ascii="Times New Roman" w:eastAsia="Calibri" w:hAnsi="Times New Roman" w:cs="Times New Roman"/>
          <w:bCs/>
          <w:color w:val="000000" w:themeColor="text1"/>
          <w:spacing w:val="2"/>
          <w:lang w:eastAsia="ru-RU"/>
        </w:rPr>
        <w:t>,</w:t>
      </w:r>
      <w:r w:rsidRPr="00F0736F">
        <w:rPr>
          <w:rFonts w:ascii="Times New Roman" w:eastAsia="Calibri" w:hAnsi="Times New Roman" w:cs="Times New Roman"/>
          <w:bCs/>
          <w:color w:val="000000" w:themeColor="text1"/>
          <w:spacing w:val="2"/>
          <w:lang w:eastAsia="ru-RU"/>
        </w:rPr>
        <w:t xml:space="preserve"> фактическая подача в Арал по реке Сырдарья составила на конец 2019 года по данным </w:t>
      </w:r>
      <w:r w:rsidR="00534484" w:rsidRPr="00F0736F">
        <w:rPr>
          <w:rFonts w:ascii="Times New Roman" w:hAnsi="Times New Roman" w:cs="Times New Roman"/>
          <w:color w:val="000000" w:themeColor="text1"/>
        </w:rPr>
        <w:t>РГП «Казгидромета»</w:t>
      </w:r>
      <w:r w:rsidRPr="00F0736F">
        <w:rPr>
          <w:rFonts w:ascii="Times New Roman" w:eastAsia="Calibri" w:hAnsi="Times New Roman" w:cs="Times New Roman"/>
          <w:bCs/>
          <w:color w:val="000000" w:themeColor="text1"/>
          <w:spacing w:val="2"/>
          <w:lang w:eastAsia="ru-RU"/>
        </w:rPr>
        <w:t xml:space="preserve"> – 1,16 км</w:t>
      </w:r>
      <w:r w:rsidRPr="00F0736F">
        <w:rPr>
          <w:rFonts w:ascii="Times New Roman" w:eastAsia="Calibri" w:hAnsi="Times New Roman" w:cs="Times New Roman"/>
          <w:bCs/>
          <w:color w:val="000000" w:themeColor="text1"/>
          <w:spacing w:val="2"/>
          <w:vertAlign w:val="superscript"/>
          <w:lang w:eastAsia="ru-RU"/>
        </w:rPr>
        <w:t>3</w:t>
      </w:r>
      <w:r w:rsidRPr="00F0736F">
        <w:rPr>
          <w:rFonts w:ascii="Times New Roman" w:eastAsia="Calibri" w:hAnsi="Times New Roman" w:cs="Times New Roman"/>
          <w:bCs/>
          <w:color w:val="000000" w:themeColor="text1"/>
          <w:spacing w:val="2"/>
          <w:lang w:eastAsia="ru-RU"/>
        </w:rPr>
        <w:t xml:space="preserve"> , по данным Комитета водных ресурсов – 1,95 км</w:t>
      </w:r>
      <w:r w:rsidRPr="00F0736F">
        <w:rPr>
          <w:rFonts w:ascii="Times New Roman" w:eastAsia="Calibri" w:hAnsi="Times New Roman" w:cs="Times New Roman"/>
          <w:bCs/>
          <w:color w:val="000000" w:themeColor="text1"/>
          <w:spacing w:val="2"/>
          <w:vertAlign w:val="superscript"/>
          <w:lang w:eastAsia="ru-RU"/>
        </w:rPr>
        <w:t>3</w:t>
      </w:r>
      <w:r w:rsidRPr="00F0736F">
        <w:rPr>
          <w:rFonts w:ascii="Times New Roman" w:eastAsia="Calibri" w:hAnsi="Times New Roman" w:cs="Times New Roman"/>
          <w:bCs/>
          <w:color w:val="000000" w:themeColor="text1"/>
          <w:spacing w:val="2"/>
          <w:lang w:eastAsia="ru-RU"/>
        </w:rPr>
        <w:t>, по реке Амударья в Приаралье и Арал</w:t>
      </w:r>
      <w:r w:rsidR="006063CC" w:rsidRPr="00F0736F">
        <w:rPr>
          <w:rFonts w:ascii="Times New Roman" w:eastAsia="Calibri" w:hAnsi="Times New Roman" w:cs="Times New Roman"/>
          <w:bCs/>
          <w:color w:val="000000" w:themeColor="text1"/>
          <w:spacing w:val="2"/>
          <w:lang w:eastAsia="ru-RU"/>
        </w:rPr>
        <w:t>,</w:t>
      </w:r>
      <w:r w:rsidRPr="00F0736F">
        <w:rPr>
          <w:rFonts w:ascii="Times New Roman" w:eastAsia="Calibri" w:hAnsi="Times New Roman" w:cs="Times New Roman"/>
          <w:bCs/>
          <w:color w:val="000000" w:themeColor="text1"/>
          <w:spacing w:val="2"/>
          <w:lang w:eastAsia="ru-RU"/>
        </w:rPr>
        <w:t xml:space="preserve"> по данным </w:t>
      </w:r>
      <w:r w:rsidR="00CC7044" w:rsidRPr="00F0736F">
        <w:rPr>
          <w:rFonts w:ascii="Times New Roman" w:eastAsia="Calibri" w:hAnsi="Times New Roman" w:cs="Times New Roman"/>
          <w:bCs/>
          <w:color w:val="000000" w:themeColor="text1"/>
          <w:spacing w:val="2"/>
          <w:lang w:eastAsia="ru-RU"/>
        </w:rPr>
        <w:t>Центра гидрометеорологической службы Республики Узбекистан (</w:t>
      </w:r>
      <w:r w:rsidR="00CC7044" w:rsidRPr="00F0736F">
        <w:rPr>
          <w:rFonts w:ascii="Times New Roman" w:eastAsia="Calibri" w:hAnsi="Times New Roman" w:cs="Times New Roman"/>
          <w:color w:val="000000" w:themeColor="text1"/>
          <w:spacing w:val="2"/>
          <w:lang w:eastAsia="ru-RU"/>
        </w:rPr>
        <w:t>Узгидромет</w:t>
      </w:r>
      <w:r w:rsidR="00CC7044" w:rsidRPr="00F0736F">
        <w:rPr>
          <w:rFonts w:ascii="Times New Roman" w:eastAsia="Calibri" w:hAnsi="Times New Roman" w:cs="Times New Roman"/>
          <w:bCs/>
          <w:color w:val="000000" w:themeColor="text1"/>
          <w:spacing w:val="2"/>
          <w:lang w:eastAsia="ru-RU"/>
        </w:rPr>
        <w:t xml:space="preserve">) </w:t>
      </w:r>
      <w:r w:rsidRPr="00F0736F">
        <w:rPr>
          <w:rFonts w:ascii="Times New Roman" w:eastAsia="Calibri" w:hAnsi="Times New Roman" w:cs="Times New Roman"/>
          <w:bCs/>
          <w:color w:val="000000" w:themeColor="text1"/>
          <w:spacing w:val="2"/>
          <w:lang w:eastAsia="ru-RU"/>
        </w:rPr>
        <w:t>поступило 2,03 км3, что составил</w:t>
      </w:r>
      <w:r w:rsidR="006063CC" w:rsidRPr="00F0736F">
        <w:rPr>
          <w:rFonts w:ascii="Times New Roman" w:eastAsia="Calibri" w:hAnsi="Times New Roman" w:cs="Times New Roman"/>
          <w:bCs/>
          <w:color w:val="000000" w:themeColor="text1"/>
          <w:spacing w:val="2"/>
          <w:lang w:eastAsia="ru-RU"/>
        </w:rPr>
        <w:t>о</w:t>
      </w:r>
      <w:r w:rsidRPr="00F0736F">
        <w:rPr>
          <w:rFonts w:ascii="Times New Roman" w:eastAsia="Calibri" w:hAnsi="Times New Roman" w:cs="Times New Roman"/>
          <w:bCs/>
          <w:color w:val="000000" w:themeColor="text1"/>
          <w:spacing w:val="2"/>
          <w:lang w:eastAsia="ru-RU"/>
        </w:rPr>
        <w:t xml:space="preserve"> 97 % от плана</w:t>
      </w:r>
      <w:r w:rsidRPr="00F0736F">
        <w:rPr>
          <w:rStyle w:val="a4"/>
          <w:rFonts w:ascii="Times New Roman" w:eastAsia="Calibri" w:hAnsi="Times New Roman" w:cs="Times New Roman"/>
          <w:bCs/>
          <w:color w:val="000000" w:themeColor="text1"/>
          <w:spacing w:val="2"/>
          <w:lang w:eastAsia="ru-RU"/>
        </w:rPr>
        <w:footnoteReference w:id="10"/>
      </w:r>
      <w:r w:rsidRPr="00F0736F">
        <w:rPr>
          <w:rFonts w:ascii="Times New Roman" w:eastAsia="Calibri" w:hAnsi="Times New Roman" w:cs="Times New Roman"/>
          <w:bCs/>
          <w:color w:val="000000" w:themeColor="text1"/>
          <w:spacing w:val="2"/>
          <w:lang w:eastAsia="ru-RU"/>
        </w:rPr>
        <w:t xml:space="preserve">. </w:t>
      </w:r>
    </w:p>
    <w:p w14:paraId="6ADAD776"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Единая информационно-аналитическая система по управлению водными ресурсами Республики Казахстан</w:t>
      </w:r>
      <w:r w:rsidRPr="00F0736F">
        <w:rPr>
          <w:rFonts w:ascii="Times New Roman" w:hAnsi="Times New Roman" w:cs="Times New Roman"/>
          <w:color w:val="000000" w:themeColor="text1"/>
        </w:rPr>
        <w:t xml:space="preserve"> (ЕИАСУВР, Портал) создана в целях совершенствования системы управления водными ресурсами и повышения эффективности водопользования. Она разработана как организующее звено единого информационного пространства, призвана способствовать улучшению процессов обмена и управления водохозяйственной информацией.</w:t>
      </w:r>
    </w:p>
    <w:p w14:paraId="6888BCE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Средствами ЕИАСУВР в единое информационное пространство объединяется большое количество участников процесса использования водных ресурсов, начиная с первичного водопользователя и заканчивая государственным уровнем управления (Комитет по водным ресурсам Министерства сельского хозяйства РК). Система разработана с применением ГИС-технологий.</w:t>
      </w:r>
    </w:p>
    <w:p w14:paraId="60C2FD0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ЕИАСУВР предназначена для сбора, обработки, анализа, хранения, передачи и представления данных с целью систематического обеспечения руководителей разного уровня информацией, используемой при решении задач управления, таких как учет состояния водных ресурсов, контроль за их </w:t>
      </w:r>
      <w:bookmarkStart w:id="6" w:name="_GoBack5"/>
      <w:bookmarkEnd w:id="6"/>
      <w:r w:rsidRPr="00F0736F">
        <w:rPr>
          <w:rFonts w:ascii="Times New Roman" w:hAnsi="Times New Roman" w:cs="Times New Roman"/>
          <w:color w:val="000000" w:themeColor="text1"/>
        </w:rPr>
        <w:t>использованием, мониторинг водных ресурсов и гидротехнических сооружений, расчет водохозяйственных балансов.</w:t>
      </w:r>
    </w:p>
    <w:p w14:paraId="3372921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Система выполнена как единое WEB-приложение, но разделённое на три блока при помощи организации различного доступа к ресурсам системы. Каждый блок предназначен для определенного круга пользователей:</w:t>
      </w:r>
    </w:p>
    <w:p w14:paraId="4D5C842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блок пользователей Комитета по водным ресурсам (КВР);</w:t>
      </w:r>
    </w:p>
    <w:p w14:paraId="7146C4A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блок пользователей бассейновых инспекций (БИ);</w:t>
      </w:r>
    </w:p>
    <w:p w14:paraId="42F3178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блок внешних пользователей.</w:t>
      </w:r>
    </w:p>
    <w:p w14:paraId="02D98BCE" w14:textId="77777777" w:rsidR="00F674A4" w:rsidRPr="00F0736F" w:rsidRDefault="00A33A12"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М</w:t>
      </w:r>
      <w:r w:rsidR="00F674A4" w:rsidRPr="00F0736F">
        <w:rPr>
          <w:rFonts w:ascii="Times New Roman" w:eastAsia="Times New Roman" w:hAnsi="Times New Roman" w:cs="Times New Roman"/>
          <w:b/>
          <w:bCs/>
          <w:color w:val="000000" w:themeColor="text1"/>
          <w:spacing w:val="2"/>
          <w:lang w:eastAsia="ru-RU"/>
        </w:rPr>
        <w:t>еждународное сотрудничество в сфере водных отношений</w:t>
      </w:r>
      <w:r w:rsidR="00F674A4" w:rsidRPr="00F0736F">
        <w:rPr>
          <w:rFonts w:ascii="Times New Roman" w:eastAsia="Times New Roman" w:hAnsi="Times New Roman" w:cs="Times New Roman"/>
          <w:color w:val="000000" w:themeColor="text1"/>
          <w:spacing w:val="2"/>
          <w:lang w:eastAsia="ru-RU"/>
        </w:rPr>
        <w:t xml:space="preserve"> </w:t>
      </w:r>
    </w:p>
    <w:p w14:paraId="6ED50C7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Водные отношения между Республикой Казахстан и </w:t>
      </w:r>
      <w:r w:rsidRPr="00F0736F">
        <w:rPr>
          <w:rFonts w:ascii="Times New Roman" w:hAnsi="Times New Roman" w:cs="Times New Roman"/>
          <w:b/>
          <w:bCs/>
          <w:color w:val="000000" w:themeColor="text1"/>
        </w:rPr>
        <w:t>Китайской Народной Республик</w:t>
      </w:r>
      <w:r w:rsidR="006063CC" w:rsidRPr="00F0736F">
        <w:rPr>
          <w:rFonts w:ascii="Times New Roman" w:hAnsi="Times New Roman" w:cs="Times New Roman"/>
          <w:b/>
          <w:bCs/>
          <w:color w:val="000000" w:themeColor="text1"/>
        </w:rPr>
        <w:t xml:space="preserve">ой </w:t>
      </w:r>
      <w:r w:rsidRPr="00F0736F">
        <w:rPr>
          <w:rFonts w:ascii="Times New Roman" w:hAnsi="Times New Roman" w:cs="Times New Roman"/>
          <w:color w:val="000000" w:themeColor="text1"/>
        </w:rPr>
        <w:t>регулиру</w:t>
      </w:r>
      <w:r w:rsidR="006063CC" w:rsidRPr="00F0736F">
        <w:rPr>
          <w:rFonts w:ascii="Times New Roman" w:hAnsi="Times New Roman" w:cs="Times New Roman"/>
          <w:color w:val="000000" w:themeColor="text1"/>
        </w:rPr>
        <w:t>ю</w:t>
      </w:r>
      <w:r w:rsidRPr="00F0736F">
        <w:rPr>
          <w:rFonts w:ascii="Times New Roman" w:hAnsi="Times New Roman" w:cs="Times New Roman"/>
          <w:color w:val="000000" w:themeColor="text1"/>
        </w:rPr>
        <w:t xml:space="preserve">тся Соглашением между Правительством Республики Казахстан и Правительством Китайской Народной Республики о сотрудничестве в сфере использования и охраны трансграничных рек (12.09.2001 года, г. Астана). </w:t>
      </w:r>
      <w:r w:rsidRPr="00F0736F">
        <w:rPr>
          <w:rFonts w:ascii="Times New Roman" w:eastAsia="Times New Roman" w:hAnsi="Times New Roman" w:cs="Times New Roman"/>
          <w:color w:val="000000" w:themeColor="text1"/>
          <w:spacing w:val="2"/>
          <w:lang w:eastAsia="ru-RU"/>
        </w:rPr>
        <w:t>В период 2015 - 2019 гг. было проведено 9 заседаний СРГ.</w:t>
      </w:r>
    </w:p>
    <w:p w14:paraId="7E4B242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ходе 15-го заседания Совместной комиссии (15 ноября 2017 г., г. Пекин) было подписано Соглашение между Правительством Республики Казахстан и Правительством Китайской Народной Республики о реконструкции казахстанско-китайского совместного водозаборного сооружения на реке Сумбе.</w:t>
      </w:r>
    </w:p>
    <w:p w14:paraId="23B668C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Работы по реконструкции казахстанско-китайского совместного водозаборного сооружения на реке Сумбе были завершены в 2018 году. </w:t>
      </w:r>
    </w:p>
    <w:p w14:paraId="27DF2D5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17 апреля 2019 года на территории казахс</w:t>
      </w:r>
      <w:r w:rsidR="000C171D" w:rsidRPr="00F0736F">
        <w:rPr>
          <w:rFonts w:ascii="Times New Roman" w:hAnsi="Times New Roman" w:cs="Times New Roman"/>
          <w:color w:val="000000" w:themeColor="text1"/>
        </w:rPr>
        <w:t>танской</w:t>
      </w:r>
      <w:r w:rsidRPr="00F0736F">
        <w:rPr>
          <w:rFonts w:ascii="Times New Roman" w:hAnsi="Times New Roman" w:cs="Times New Roman"/>
          <w:color w:val="000000" w:themeColor="text1"/>
        </w:rPr>
        <w:t xml:space="preserve"> части водозаборного сооружения состоялась церемония завершения работ по реконструкции казахстанско-китайского совместного водозаборного сооружения на </w:t>
      </w:r>
      <w:r w:rsidR="00361556" w:rsidRPr="00F0736F">
        <w:rPr>
          <w:rFonts w:ascii="Times New Roman" w:hAnsi="Times New Roman" w:cs="Times New Roman"/>
          <w:color w:val="000000" w:themeColor="text1"/>
        </w:rPr>
        <w:t xml:space="preserve">реке </w:t>
      </w:r>
      <w:r w:rsidRPr="00F0736F">
        <w:rPr>
          <w:rFonts w:ascii="Times New Roman" w:hAnsi="Times New Roman" w:cs="Times New Roman"/>
          <w:color w:val="000000" w:themeColor="text1"/>
        </w:rPr>
        <w:t xml:space="preserve">Сумбе. </w:t>
      </w:r>
    </w:p>
    <w:p w14:paraId="37DBCE55"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Регулярно проводятся заседания Рабочей группы по оперативному реагированию на чрезвычайные ситуации и предупреждению загрязнения трансграничных рек </w:t>
      </w:r>
      <w:r w:rsidRPr="00F0736F">
        <w:rPr>
          <w:rFonts w:ascii="Times New Roman" w:eastAsia="SimSun" w:hAnsi="Times New Roman" w:cs="Times New Roman"/>
          <w:color w:val="000000" w:themeColor="text1"/>
          <w:spacing w:val="2"/>
          <w:lang w:eastAsia="ru-RU"/>
        </w:rPr>
        <w:t>Казахстанско-Китайской комиссии по сотрудничеству в о</w:t>
      </w:r>
      <w:r w:rsidR="00A31316" w:rsidRPr="00F0736F">
        <w:rPr>
          <w:rFonts w:ascii="Times New Roman" w:eastAsia="SimSun" w:hAnsi="Times New Roman" w:cs="Times New Roman"/>
          <w:color w:val="000000" w:themeColor="text1"/>
          <w:spacing w:val="2"/>
          <w:lang w:eastAsia="ru-RU"/>
        </w:rPr>
        <w:t>бласти охраны окружающей среды.</w:t>
      </w:r>
      <w:r w:rsidRPr="00F0736F">
        <w:rPr>
          <w:rFonts w:ascii="Times New Roman" w:eastAsia="Times New Roman" w:hAnsi="Times New Roman" w:cs="Times New Roman"/>
          <w:color w:val="000000" w:themeColor="text1"/>
          <w:spacing w:val="2"/>
          <w:lang w:eastAsia="ru-RU"/>
        </w:rPr>
        <w:t xml:space="preserve"> </w:t>
      </w:r>
    </w:p>
    <w:p w14:paraId="0687574B" w14:textId="3C0FF4E3" w:rsidR="00117059" w:rsidRPr="00F0736F" w:rsidRDefault="006063CC" w:rsidP="008727D9">
      <w:pPr>
        <w:ind w:firstLine="709"/>
        <w:jc w:val="both"/>
        <w:rPr>
          <w:color w:val="000000" w:themeColor="text1"/>
        </w:rPr>
      </w:pPr>
      <w:r w:rsidRPr="00F0736F">
        <w:rPr>
          <w:rFonts w:ascii="Times New Roman" w:eastAsia="Consolas" w:hAnsi="Times New Roman" w:cs="Times New Roman"/>
          <w:color w:val="000000" w:themeColor="text1"/>
        </w:rPr>
        <w:t>В частности</w:t>
      </w:r>
      <w:r w:rsidR="00CC7044"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 xml:space="preserve"> в</w:t>
      </w:r>
      <w:r w:rsidR="00117059" w:rsidRPr="00F0736F">
        <w:rPr>
          <w:rFonts w:ascii="Times New Roman" w:eastAsia="Consolas" w:hAnsi="Times New Roman" w:cs="Times New Roman"/>
          <w:color w:val="000000" w:themeColor="text1"/>
        </w:rPr>
        <w:t xml:space="preserve"> период с 17 по 18 мая 2019 года</w:t>
      </w:r>
      <w:r w:rsidR="00003755" w:rsidRPr="00F0736F">
        <w:rPr>
          <w:rFonts w:ascii="Times New Roman" w:eastAsia="Consolas" w:hAnsi="Times New Roman" w:cs="Times New Roman"/>
          <w:color w:val="000000" w:themeColor="text1"/>
        </w:rPr>
        <w:t xml:space="preserve"> в г. Пекин (КНР) состоялось 8-</w:t>
      </w:r>
      <w:r w:rsidR="00117059" w:rsidRPr="00F0736F">
        <w:rPr>
          <w:rFonts w:ascii="Times New Roman" w:eastAsia="Consolas" w:hAnsi="Times New Roman" w:cs="Times New Roman"/>
          <w:color w:val="000000" w:themeColor="text1"/>
        </w:rPr>
        <w:t>е заседание Рабочей группы по мониторингу, анализу и оценке качества вод трансграничных рек казахстанско-китайской Комиссии по сотрудничеству в области охраны окружающей среды. В ходе заседания Стороны согласовали и утвердили План работы Рабочей группы на 2019-2020 годы, а также подписали Протокол заседания.</w:t>
      </w:r>
    </w:p>
    <w:p w14:paraId="112C8582" w14:textId="77777777" w:rsidR="00F674A4" w:rsidRPr="00F0736F" w:rsidRDefault="00117059"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w:t>
      </w:r>
      <w:r w:rsidR="00F674A4" w:rsidRPr="00F0736F">
        <w:rPr>
          <w:rFonts w:ascii="Times New Roman" w:eastAsia="SimSun" w:hAnsi="Times New Roman" w:cs="Times New Roman"/>
          <w:color w:val="000000" w:themeColor="text1"/>
          <w:lang w:eastAsia="ru-RU"/>
        </w:rPr>
        <w:t xml:space="preserve"> ноябре 2019 года в г. Нур-Султан прошло восьмое заседание</w:t>
      </w:r>
      <w:r w:rsidR="000C171D" w:rsidRPr="00F0736F">
        <w:rPr>
          <w:rFonts w:ascii="Times New Roman" w:eastAsia="SimSun" w:hAnsi="Times New Roman" w:cs="Times New Roman"/>
          <w:color w:val="000000" w:themeColor="text1"/>
          <w:lang w:eastAsia="ru-RU"/>
        </w:rPr>
        <w:t xml:space="preserve"> Комис</w:t>
      </w:r>
      <w:r w:rsidR="00003755" w:rsidRPr="00F0736F">
        <w:rPr>
          <w:rFonts w:ascii="Times New Roman" w:eastAsia="SimSun" w:hAnsi="Times New Roman" w:cs="Times New Roman"/>
          <w:color w:val="000000" w:themeColor="text1"/>
          <w:lang w:eastAsia="ru-RU"/>
        </w:rPr>
        <w:t>с</w:t>
      </w:r>
      <w:r w:rsidR="000C171D" w:rsidRPr="00F0736F">
        <w:rPr>
          <w:rFonts w:ascii="Times New Roman" w:eastAsia="SimSun" w:hAnsi="Times New Roman" w:cs="Times New Roman"/>
          <w:color w:val="000000" w:themeColor="text1"/>
          <w:lang w:eastAsia="ru-RU"/>
        </w:rPr>
        <w:t>ии</w:t>
      </w:r>
      <w:r w:rsidR="00F674A4" w:rsidRPr="00F0736F">
        <w:rPr>
          <w:rFonts w:ascii="Times New Roman" w:eastAsia="SimSun" w:hAnsi="Times New Roman" w:cs="Times New Roman"/>
          <w:color w:val="000000" w:themeColor="text1"/>
          <w:lang w:eastAsia="ru-RU"/>
        </w:rPr>
        <w:t>, в ходе которого рассмотрены вопросы:</w:t>
      </w:r>
    </w:p>
    <w:p w14:paraId="740A749C" w14:textId="6CDA6635" w:rsidR="00F674A4" w:rsidRPr="00F0736F" w:rsidRDefault="00CC7044" w:rsidP="008727D9">
      <w:pPr>
        <w:ind w:firstLine="709"/>
        <w:jc w:val="both"/>
        <w:rPr>
          <w:color w:val="000000" w:themeColor="text1"/>
        </w:rPr>
      </w:pP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проведения учений по обмену информацией о чрезвычайных ситуациях на трансграничных реках и проверке каналов связи;</w:t>
      </w:r>
    </w:p>
    <w:p w14:paraId="50288134"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lang w:eastAsia="ru-RU"/>
        </w:rPr>
        <w:t xml:space="preserve">- </w:t>
      </w:r>
      <w:r w:rsidRPr="00F0736F">
        <w:rPr>
          <w:rFonts w:ascii="Times New Roman" w:eastAsia="SimSun" w:hAnsi="Times New Roman" w:cs="Times New Roman"/>
          <w:color w:val="000000" w:themeColor="text1"/>
        </w:rPr>
        <w:t>формы взаимной поддержки при возникновении чрезвычайной экологической ситуации на трансграничных реках;</w:t>
      </w:r>
    </w:p>
    <w:p w14:paraId="3CF17D8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формирования рабочего механизма взаимного информирования о чрезвычайных ситуациях, оказывающих трансграничное воздействие на окружающую среду между приграничными областями Республики Казахстан и Китайской Народной Республики.</w:t>
      </w:r>
    </w:p>
    <w:p w14:paraId="1769BBD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Использование и охрана трансграничных водных объектов Республики Казахстан и </w:t>
      </w:r>
      <w:r w:rsidRPr="00F0736F">
        <w:rPr>
          <w:rFonts w:ascii="Times New Roman" w:hAnsi="Times New Roman" w:cs="Times New Roman"/>
          <w:b/>
          <w:bCs/>
          <w:color w:val="000000" w:themeColor="text1"/>
        </w:rPr>
        <w:t xml:space="preserve">Российской Федерации </w:t>
      </w:r>
      <w:r w:rsidRPr="00F0736F">
        <w:rPr>
          <w:rFonts w:ascii="Times New Roman" w:hAnsi="Times New Roman" w:cs="Times New Roman"/>
          <w:color w:val="000000" w:themeColor="text1"/>
        </w:rPr>
        <w:t>регулируется Соглашением «О совместном использовании и охране трансграничных водных объектов» от 7 сентя</w:t>
      </w:r>
      <w:r w:rsidR="00003755" w:rsidRPr="00F0736F">
        <w:rPr>
          <w:rFonts w:ascii="Times New Roman" w:hAnsi="Times New Roman" w:cs="Times New Roman"/>
          <w:color w:val="000000" w:themeColor="text1"/>
        </w:rPr>
        <w:t>бря 2010 года (взамен Соглашения</w:t>
      </w:r>
      <w:r w:rsidRPr="00F0736F">
        <w:rPr>
          <w:rFonts w:ascii="Times New Roman" w:hAnsi="Times New Roman" w:cs="Times New Roman"/>
          <w:color w:val="000000" w:themeColor="text1"/>
        </w:rPr>
        <w:t xml:space="preserve"> от 27 августа 1992 года).</w:t>
      </w:r>
    </w:p>
    <w:p w14:paraId="4E584DD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целях реализации соглашения создана Казахстанско-Российская комиссия по совместному использованию и охране трансграничных водных объектов. В ее рамках созданы 6 рабочих групп по охране и использованию водных ресурсов трансграничных бассейнов рек: Жайык, Ертис, Есиль, Тобол, Кигач, Большой (Караозен) и Малый Узени (Сарыозен). Заседания комиссии проводятся не реже 1 раза, а рабочих групп 2 раз</w:t>
      </w:r>
      <w:r w:rsidR="00003755"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в год, поочередно на территориях сторон.</w:t>
      </w:r>
    </w:p>
    <w:p w14:paraId="2CAE50E6" w14:textId="77777777" w:rsidR="00F674A4" w:rsidRPr="00F0736F" w:rsidRDefault="00B413A8" w:rsidP="008727D9">
      <w:pPr>
        <w:ind w:firstLine="709"/>
        <w:jc w:val="both"/>
        <w:rPr>
          <w:color w:val="000000" w:themeColor="text1"/>
        </w:rPr>
      </w:pPr>
      <w:r w:rsidRPr="00F0736F">
        <w:rPr>
          <w:rFonts w:ascii="Times New Roman" w:hAnsi="Times New Roman" w:cs="Times New Roman"/>
          <w:color w:val="000000" w:themeColor="text1"/>
        </w:rPr>
        <w:t>15-</w:t>
      </w:r>
      <w:r w:rsidR="00F674A4" w:rsidRPr="00F0736F">
        <w:rPr>
          <w:rFonts w:ascii="Times New Roman" w:hAnsi="Times New Roman" w:cs="Times New Roman"/>
          <w:color w:val="000000" w:themeColor="text1"/>
        </w:rPr>
        <w:t>16 ноября 2018 года в городе Москва (РФ) состоялось Первое заседание Казахстанско-Российской Комиссии по сохранению экосистемы бассейна трансграничной реки Урал. Данное заседание было проведено в рамках реализации «Соглашения между РФ и РК о сохранении экосистемы бассейна реки Урал», принято</w:t>
      </w:r>
      <w:r w:rsidR="00003755" w:rsidRPr="00F0736F">
        <w:rPr>
          <w:rFonts w:ascii="Times New Roman" w:hAnsi="Times New Roman" w:cs="Times New Roman"/>
          <w:color w:val="000000" w:themeColor="text1"/>
        </w:rPr>
        <w:t xml:space="preserve">го </w:t>
      </w:r>
      <w:r w:rsidR="00F674A4" w:rsidRPr="00F0736F">
        <w:rPr>
          <w:rFonts w:ascii="Times New Roman" w:hAnsi="Times New Roman" w:cs="Times New Roman"/>
          <w:color w:val="000000" w:themeColor="text1"/>
        </w:rPr>
        <w:t>5 октября 2016 года в Астане (ныне Нур-Султан) в ходе Форума межрегионального и приграничного сотрудничества.</w:t>
      </w:r>
    </w:p>
    <w:p w14:paraId="366258B4" w14:textId="77777777" w:rsidR="00F674A4" w:rsidRPr="00F0736F" w:rsidRDefault="00B413A8" w:rsidP="008727D9">
      <w:pPr>
        <w:ind w:firstLine="709"/>
        <w:jc w:val="both"/>
        <w:rPr>
          <w:color w:val="000000" w:themeColor="text1"/>
        </w:rPr>
      </w:pPr>
      <w:r w:rsidRPr="00F0736F">
        <w:rPr>
          <w:rFonts w:ascii="Times New Roman" w:eastAsia="Consolas" w:hAnsi="Times New Roman" w:cs="Times New Roman"/>
          <w:color w:val="000000" w:themeColor="text1"/>
        </w:rPr>
        <w:t>25-</w:t>
      </w:r>
      <w:r w:rsidR="00F674A4" w:rsidRPr="00F0736F">
        <w:rPr>
          <w:rFonts w:ascii="Times New Roman" w:eastAsia="Consolas" w:hAnsi="Times New Roman" w:cs="Times New Roman"/>
          <w:color w:val="000000" w:themeColor="text1"/>
        </w:rPr>
        <w:t>26 июля 2019 года</w:t>
      </w:r>
      <w:r w:rsidR="00F674A4" w:rsidRPr="00F0736F">
        <w:rPr>
          <w:rFonts w:ascii="Times New Roman" w:eastAsia="Consolas" w:hAnsi="Times New Roman" w:cs="Times New Roman"/>
          <w:bCs/>
          <w:color w:val="000000" w:themeColor="text1"/>
        </w:rPr>
        <w:t xml:space="preserve"> в г. Уральске проведен семинар по изучению </w:t>
      </w:r>
      <w:r w:rsidR="00F674A4" w:rsidRPr="00F0736F">
        <w:rPr>
          <w:rFonts w:ascii="Times New Roman" w:eastAsia="Consolas" w:hAnsi="Times New Roman" w:cs="Times New Roman"/>
          <w:color w:val="000000" w:themeColor="text1"/>
        </w:rPr>
        <w:t>международного опыта и подготовке предложений по совместному институциональному и экономическому механизму сохранения экосистемы бассейна реки Урал (Жайык).</w:t>
      </w:r>
    </w:p>
    <w:p w14:paraId="75F1C05D"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Водные отношени</w:t>
      </w:r>
      <w:r w:rsidR="00003755" w:rsidRPr="00F0736F">
        <w:rPr>
          <w:rFonts w:ascii="Times New Roman" w:eastAsia="Times New Roman" w:hAnsi="Times New Roman" w:cs="Times New Roman"/>
          <w:color w:val="000000" w:themeColor="text1"/>
          <w:spacing w:val="2"/>
          <w:lang w:eastAsia="ru-RU"/>
        </w:rPr>
        <w:t>я</w:t>
      </w:r>
      <w:r w:rsidRPr="00F0736F">
        <w:rPr>
          <w:rFonts w:ascii="Times New Roman" w:eastAsia="Times New Roman" w:hAnsi="Times New Roman" w:cs="Times New Roman"/>
          <w:color w:val="000000" w:themeColor="text1"/>
          <w:spacing w:val="2"/>
          <w:lang w:eastAsia="ru-RU"/>
        </w:rPr>
        <w:t xml:space="preserve"> с сопредельными государствами бассейна рек Амударья и Сырдарья регулируются Соглашением между Республикой Казахстан, Республикой Кыргызстан, Республикой Узбекистан, Республикой Таджикистан и Туркменистаном «О сотрудничестве в сфере совместного управления использованием и охраной водных ресурсов межгосударственных источников» от 18 февраля 1992 г.</w:t>
      </w:r>
    </w:p>
    <w:p w14:paraId="566D9ADB"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 xml:space="preserve">Взаимодействие по регулированию водными ресурсами бассейна реки Сырдарьи, странами бассейна осуществляется в рамках деятельности МКВК. </w:t>
      </w:r>
      <w:r w:rsidRPr="00F0736F">
        <w:rPr>
          <w:rFonts w:ascii="Times New Roman" w:eastAsia="Times New Roman" w:hAnsi="Times New Roman" w:cs="Times New Roman"/>
          <w:color w:val="000000" w:themeColor="text1"/>
          <w:spacing w:val="2"/>
          <w:lang w:eastAsia="ru-RU"/>
        </w:rPr>
        <w:t>Режим работы водохранилищ, объемы перетоков электроэнергии, поставки энергоно</w:t>
      </w:r>
      <w:r w:rsidR="00003755" w:rsidRPr="00F0736F">
        <w:rPr>
          <w:rFonts w:ascii="Times New Roman" w:eastAsia="Times New Roman" w:hAnsi="Times New Roman" w:cs="Times New Roman"/>
          <w:color w:val="000000" w:themeColor="text1"/>
          <w:spacing w:val="2"/>
          <w:lang w:eastAsia="ru-RU"/>
        </w:rPr>
        <w:t>сителей, согласно этому соглашению</w:t>
      </w:r>
      <w:r w:rsidRPr="00F0736F">
        <w:rPr>
          <w:rFonts w:ascii="Times New Roman" w:eastAsia="Times New Roman" w:hAnsi="Times New Roman" w:cs="Times New Roman"/>
          <w:color w:val="000000" w:themeColor="text1"/>
          <w:spacing w:val="2"/>
          <w:lang w:eastAsia="ru-RU"/>
        </w:rPr>
        <w:t>, утверждаются ежегодными межправительственными протоколами.</w:t>
      </w:r>
    </w:p>
    <w:p w14:paraId="45DAB320" w14:textId="6BB0EB92"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23 августа 2018 г</w:t>
      </w:r>
      <w:r w:rsidR="00003755" w:rsidRPr="00F0736F">
        <w:rPr>
          <w:rFonts w:ascii="Times New Roman" w:hAnsi="Times New Roman" w:cs="Times New Roman"/>
          <w:color w:val="000000" w:themeColor="text1"/>
        </w:rPr>
        <w:t xml:space="preserve">ода </w:t>
      </w:r>
      <w:r w:rsidRPr="00F0736F">
        <w:rPr>
          <w:rFonts w:ascii="Times New Roman" w:hAnsi="Times New Roman" w:cs="Times New Roman"/>
          <w:color w:val="000000" w:themeColor="text1"/>
        </w:rPr>
        <w:t xml:space="preserve">правлением МФСА была одобрена Концепция по разработке </w:t>
      </w:r>
      <w:r w:rsidR="0031645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ПБАМ-4, которая сохранила четыре ключевых направления ПБАМ-3, а именно: комплексное использование водных ресурсов; экологическое; социально-экономическое; совершенствование институционально-правовых механизмов. Для разработки ПБАМ-4 была сформирована Региональная рабочая группа из представителей министерств и ведомств, а также представителей МКУР и МКВК. По состоянию на декабрь 2019 года проведено три заседания региональной рабочей группы (16-17 мая 2018 г</w:t>
      </w:r>
      <w:r w:rsidR="0000375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30-31 июля 2019 г. и 28 ноября 2019 г. в Ашхабаде).</w:t>
      </w:r>
    </w:p>
    <w:p w14:paraId="7216BE3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итогам государственного визита Президента Республики Казахстан К.К.</w:t>
      </w:r>
      <w:r w:rsidR="0000375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Токаева в </w:t>
      </w:r>
      <w:r w:rsidRPr="00F0736F">
        <w:rPr>
          <w:rFonts w:ascii="Times New Roman" w:hAnsi="Times New Roman" w:cs="Times New Roman"/>
          <w:b/>
          <w:bCs/>
          <w:color w:val="000000" w:themeColor="text1"/>
        </w:rPr>
        <w:t>Кыргызскую Республику</w:t>
      </w:r>
      <w:r w:rsidRPr="00F0736F">
        <w:rPr>
          <w:rFonts w:ascii="Times New Roman" w:hAnsi="Times New Roman" w:cs="Times New Roman"/>
          <w:color w:val="000000" w:themeColor="text1"/>
        </w:rPr>
        <w:t xml:space="preserve"> и Пятого заседания Высшего Межгосударственного Совета Республики Казахстан и Кыргызской Республики (27 ноября 2019 года, г. Бишкек) было поручено Сторонам создать совместную Рабочую группу по выработке предложений по углублению двустороннего сотрудничества по использованию водно-энергетических ресурсов бассейна реки Сырдарьи и другим вопросам водных отношений между Республикой Казахстан и Кыргызской Республикой.</w:t>
      </w:r>
    </w:p>
    <w:p w14:paraId="6D8C644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Кроме того, водные отношения между Республикой Казахстан и Кыргызской Республикой регулируются на основе Соглашения между Правительством Республики Казахстан и Правительством Кыргызской Республики об использовании водохозяйственных сооружений межгосударственного пользования на реках Шу и Талас от 21 января 2000 года.</w:t>
      </w:r>
    </w:p>
    <w:p w14:paraId="3DEED978" w14:textId="24477F95"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Согласно Соглашени</w:t>
      </w:r>
      <w:r w:rsidR="00003755" w:rsidRPr="00F0736F">
        <w:rPr>
          <w:rFonts w:ascii="Times New Roman" w:eastAsia="Times New Roman" w:hAnsi="Times New Roman" w:cs="Times New Roman"/>
          <w:color w:val="000000" w:themeColor="text1"/>
          <w:spacing w:val="2"/>
          <w:lang w:eastAsia="ru-RU"/>
        </w:rPr>
        <w:t>ю,</w:t>
      </w:r>
      <w:r w:rsidRPr="00F0736F">
        <w:rPr>
          <w:rFonts w:ascii="Times New Roman" w:eastAsia="Times New Roman" w:hAnsi="Times New Roman" w:cs="Times New Roman"/>
          <w:color w:val="000000" w:themeColor="text1"/>
          <w:spacing w:val="2"/>
          <w:lang w:eastAsia="ru-RU"/>
        </w:rPr>
        <w:t xml:space="preserve"> действует Комиссия Республики Казахстан и Кыргызской Республики по использованию водохозяйственных сооружений межгосударственного пользования на реках Чу и Талас. За период 2006 </w:t>
      </w:r>
      <w:r w:rsidR="00316452"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2019 гг. проведено 26 заседаний Комиссии. </w:t>
      </w:r>
      <w:r w:rsidR="000C171D" w:rsidRPr="00F0736F">
        <w:rPr>
          <w:rFonts w:ascii="Times New Roman" w:hAnsi="Times New Roman" w:cs="Times New Roman"/>
          <w:color w:val="000000" w:themeColor="text1"/>
        </w:rPr>
        <w:t xml:space="preserve"> </w:t>
      </w:r>
    </w:p>
    <w:p w14:paraId="0F19B1EE" w14:textId="77777777" w:rsidR="00F160BD" w:rsidRPr="00F0736F" w:rsidRDefault="00F674A4" w:rsidP="008727D9">
      <w:pPr>
        <w:ind w:firstLine="709"/>
        <w:jc w:val="both"/>
        <w:rPr>
          <w:rFonts w:ascii="Times New Roman" w:eastAsia="Times New Roman" w:hAnsi="Times New Roman" w:cs="Times New Roman"/>
          <w:color w:val="000000" w:themeColor="text1"/>
          <w:spacing w:val="2"/>
          <w:lang w:eastAsia="ru-RU"/>
        </w:rPr>
      </w:pPr>
      <w:r w:rsidRPr="00F0736F">
        <w:rPr>
          <w:rFonts w:ascii="Times New Roman" w:hAnsi="Times New Roman" w:cs="Times New Roman"/>
          <w:color w:val="000000" w:themeColor="text1"/>
        </w:rPr>
        <w:t>В 2016 году на у</w:t>
      </w:r>
      <w:r w:rsidR="00003755" w:rsidRPr="00F0736F">
        <w:rPr>
          <w:rFonts w:ascii="Times New Roman" w:hAnsi="Times New Roman" w:cs="Times New Roman"/>
          <w:color w:val="000000" w:themeColor="text1"/>
        </w:rPr>
        <w:t>ровне г</w:t>
      </w:r>
      <w:r w:rsidRPr="00F0736F">
        <w:rPr>
          <w:rFonts w:ascii="Times New Roman" w:hAnsi="Times New Roman" w:cs="Times New Roman"/>
          <w:color w:val="000000" w:themeColor="text1"/>
        </w:rPr>
        <w:t xml:space="preserve">лав государств Казахстана и </w:t>
      </w:r>
      <w:r w:rsidRPr="00F0736F">
        <w:rPr>
          <w:rFonts w:ascii="Times New Roman" w:hAnsi="Times New Roman" w:cs="Times New Roman"/>
          <w:b/>
          <w:bCs/>
          <w:color w:val="000000" w:themeColor="text1"/>
        </w:rPr>
        <w:t>Узбекистана</w:t>
      </w:r>
      <w:r w:rsidRPr="00F0736F">
        <w:rPr>
          <w:rFonts w:ascii="Times New Roman" w:hAnsi="Times New Roman" w:cs="Times New Roman"/>
          <w:color w:val="000000" w:themeColor="text1"/>
        </w:rPr>
        <w:t xml:space="preserve"> были достигнуты договоренности по сближению политики сотрудничества, в том числе по всем направлениям водных отношений между Республикой Казахстан и Республикой Узбекистан. </w:t>
      </w:r>
      <w:r w:rsidRPr="00F0736F">
        <w:rPr>
          <w:rFonts w:ascii="Times New Roman" w:eastAsia="Times New Roman" w:hAnsi="Times New Roman" w:cs="Times New Roman"/>
          <w:color w:val="000000" w:themeColor="text1"/>
          <w:spacing w:val="2"/>
          <w:lang w:eastAsia="ru-RU"/>
        </w:rPr>
        <w:t>В</w:t>
      </w:r>
      <w:r w:rsidRPr="00F0736F">
        <w:rPr>
          <w:rFonts w:ascii="Times New Roman" w:hAnsi="Times New Roman" w:cs="Times New Roman"/>
          <w:color w:val="000000" w:themeColor="text1"/>
        </w:rPr>
        <w:t xml:space="preserve"> сентябре 2017 года в городе Ташкенте (Узбекистан) сторонами подписана Дорожная карта по вопросам сотрудничества в сфере водных отношений между Республикой Казахстан и Республикой Узбекистан. Также в 2017 году </w:t>
      </w:r>
      <w:r w:rsidRPr="00F0736F">
        <w:rPr>
          <w:rFonts w:ascii="Times New Roman" w:eastAsia="Times New Roman" w:hAnsi="Times New Roman" w:cs="Times New Roman"/>
          <w:color w:val="000000" w:themeColor="text1"/>
          <w:spacing w:val="2"/>
          <w:lang w:eastAsia="ru-RU"/>
        </w:rPr>
        <w:t xml:space="preserve">были проведено 2-е, 3-е и 4-е заседание совместной Рабочей группы РК-РУ по выработке предложений по углублению сотрудничества по всем направлениям водных отношений. </w:t>
      </w:r>
      <w:r w:rsidR="00A33A12" w:rsidRPr="00F0736F">
        <w:rPr>
          <w:rFonts w:ascii="Times New Roman" w:eastAsia="Times New Roman" w:hAnsi="Times New Roman" w:cs="Times New Roman"/>
          <w:color w:val="000000" w:themeColor="text1"/>
          <w:spacing w:val="2"/>
          <w:lang w:eastAsia="ru-RU"/>
        </w:rPr>
        <w:t>В 2019 году провед</w:t>
      </w:r>
      <w:r w:rsidR="00F160BD" w:rsidRPr="00F0736F">
        <w:rPr>
          <w:rFonts w:ascii="Times New Roman" w:eastAsia="Times New Roman" w:hAnsi="Times New Roman" w:cs="Times New Roman"/>
          <w:color w:val="000000" w:themeColor="text1"/>
          <w:spacing w:val="2"/>
          <w:lang w:eastAsia="ru-RU"/>
        </w:rPr>
        <w:t>е</w:t>
      </w:r>
      <w:r w:rsidR="00A33A12" w:rsidRPr="00F0736F">
        <w:rPr>
          <w:rFonts w:ascii="Times New Roman" w:eastAsia="Times New Roman" w:hAnsi="Times New Roman" w:cs="Times New Roman"/>
          <w:color w:val="000000" w:themeColor="text1"/>
          <w:spacing w:val="2"/>
          <w:lang w:eastAsia="ru-RU"/>
        </w:rPr>
        <w:t>но 2 заседания Рабочей группы</w:t>
      </w:r>
      <w:r w:rsidR="00F160BD" w:rsidRPr="00F0736F">
        <w:rPr>
          <w:rFonts w:ascii="Times New Roman" w:eastAsia="Times New Roman" w:hAnsi="Times New Roman" w:cs="Times New Roman"/>
          <w:color w:val="000000" w:themeColor="text1"/>
          <w:spacing w:val="2"/>
          <w:lang w:eastAsia="ru-RU"/>
        </w:rPr>
        <w:t>.</w:t>
      </w:r>
      <w:r w:rsidR="00F160BD" w:rsidRPr="00F0736F">
        <w:rPr>
          <w:rFonts w:ascii="Times New Roman" w:eastAsia="Consolas" w:hAnsi="Times New Roman" w:cs="Times New Roman"/>
          <w:color w:val="000000" w:themeColor="text1"/>
          <w:spacing w:val="2"/>
          <w:lang w:eastAsia="ru-RU"/>
        </w:rPr>
        <w:t xml:space="preserve"> По итогам заседания Стороны утвердили перечень 28 показателей качества поверхностных вод для совместного мониторинга</w:t>
      </w:r>
    </w:p>
    <w:p w14:paraId="67CBA91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 2001 г</w:t>
      </w:r>
      <w:r w:rsidR="00003755" w:rsidRPr="00F0736F">
        <w:rPr>
          <w:rFonts w:ascii="Times New Roman" w:hAnsi="Times New Roman" w:cs="Times New Roman"/>
          <w:color w:val="000000" w:themeColor="text1"/>
        </w:rPr>
        <w:t xml:space="preserve">ода </w:t>
      </w:r>
      <w:r w:rsidRPr="00F0736F">
        <w:rPr>
          <w:rFonts w:ascii="Times New Roman" w:hAnsi="Times New Roman" w:cs="Times New Roman"/>
          <w:color w:val="000000" w:themeColor="text1"/>
        </w:rPr>
        <w:t xml:space="preserve">Казахстан является участником Конвенции ЕЭК по охране и использованию трансграничных водотоков и международных озер (Конвенция по трансграничным водам). В целях реализации принятых обязательств Казахстаном на Седьмой сессии Совещания Сторон Конвенции по трансграничным водам (Будапешт, Венгрия, ноябрь 2015 год) в октябре 2018 года в Нур-Султане проведена очередная Восьмая сессия Совещания Сторон Конвенции по трансграничным водам. Данное мероприятие впервые проведено в Азии на глобальном уровне с участием представителей из Африки. </w:t>
      </w:r>
    </w:p>
    <w:p w14:paraId="0B21AE19" w14:textId="01E274A2"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соответствии с регламентом Совещания Сторон и решением его Восьмой сессии председательствование в Бюро Конвенции по трансграничным водам передано Казахстану и утверждена Программа работы Конвенции по трансграничным водам на 2019 </w:t>
      </w:r>
      <w:r w:rsidR="0031645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2021 годы. Председательство в Бюро Конвенции по трансграничным водам предполагает выполнение ряда обязательств по оказанию содействия в продвижени</w:t>
      </w:r>
      <w:r w:rsidR="00316452" w:rsidRPr="00F0736F">
        <w:rPr>
          <w:rFonts w:ascii="Times New Roman" w:hAnsi="Times New Roman" w:cs="Times New Roman"/>
          <w:color w:val="000000" w:themeColor="text1"/>
        </w:rPr>
        <w:t>и</w:t>
      </w:r>
      <w:r w:rsidRPr="00F0736F">
        <w:rPr>
          <w:rFonts w:ascii="Times New Roman" w:hAnsi="Times New Roman" w:cs="Times New Roman"/>
          <w:color w:val="000000" w:themeColor="text1"/>
        </w:rPr>
        <w:t xml:space="preserve"> принципов на глобальном уровне, выполнении глобальной Стратегии осуществления Конвенции и реализации его Программы работы на 2019 </w:t>
      </w:r>
      <w:r w:rsidR="0031645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2021 годы.  </w:t>
      </w:r>
    </w:p>
    <w:p w14:paraId="26209C0C" w14:textId="67A12478"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Принимая во внимание вышеперечисленные задачи, связанные с осуществлением председательства, создана Рабочая группа по вопросам осуществления председательства Республики Казахстан в Бюро Конвенции по трансграничным водам. Функции секретариата данной Рабочей группы возложены на Международный центр оценки вод (МЦОВ). Мероприятия, связанные с Рабочей группой</w:t>
      </w:r>
      <w:r w:rsidR="00F06EB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F160BD" w:rsidRPr="00F0736F">
        <w:rPr>
          <w:rFonts w:ascii="Times New Roman" w:hAnsi="Times New Roman" w:cs="Times New Roman"/>
          <w:color w:val="000000" w:themeColor="text1"/>
        </w:rPr>
        <w:t>на постоянной основе</w:t>
      </w:r>
      <w:r w:rsidRPr="00F0736F">
        <w:rPr>
          <w:rFonts w:ascii="Times New Roman" w:hAnsi="Times New Roman" w:cs="Times New Roman"/>
          <w:color w:val="000000" w:themeColor="text1"/>
        </w:rPr>
        <w:t xml:space="preserve"> освещаются на официальном веб-сайте МЦОВ. </w:t>
      </w:r>
    </w:p>
    <w:p w14:paraId="4C0F3D38"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С 2013 г</w:t>
      </w:r>
      <w:r w:rsidR="00003755" w:rsidRPr="00F0736F">
        <w:rPr>
          <w:rFonts w:ascii="Times New Roman" w:hAnsi="Times New Roman" w:cs="Times New Roman"/>
          <w:color w:val="000000" w:themeColor="text1"/>
        </w:rPr>
        <w:t xml:space="preserve">ода </w:t>
      </w:r>
      <w:r w:rsidRPr="00F0736F">
        <w:rPr>
          <w:rFonts w:ascii="Times New Roman" w:hAnsi="Times New Roman" w:cs="Times New Roman"/>
          <w:color w:val="000000" w:themeColor="text1"/>
        </w:rPr>
        <w:t>в Казахстане реализуется Национальный диалог в области интегрированного управления водными ресурсами в рамках Водной инициативы ЕС. К результатам этой работы относ</w:t>
      </w:r>
      <w:r w:rsidR="00F06EBD" w:rsidRPr="00F0736F">
        <w:rPr>
          <w:rFonts w:ascii="Times New Roman" w:hAnsi="Times New Roman" w:cs="Times New Roman"/>
          <w:color w:val="000000" w:themeColor="text1"/>
        </w:rPr>
        <w:t>и</w:t>
      </w:r>
      <w:r w:rsidRPr="00F0736F">
        <w:rPr>
          <w:rFonts w:ascii="Times New Roman" w:hAnsi="Times New Roman" w:cs="Times New Roman"/>
          <w:color w:val="000000" w:themeColor="text1"/>
        </w:rPr>
        <w:t>тся подготовка к присоединению страны к Протоколу по проблемам воды и здоровья, в том числе путем разработки целевых показателей по воде и здоровью, а также составлени</w:t>
      </w:r>
      <w:r w:rsidR="00F06EBD" w:rsidRPr="00F0736F">
        <w:rPr>
          <w:rFonts w:ascii="Times New Roman" w:hAnsi="Times New Roman" w:cs="Times New Roman"/>
          <w:color w:val="000000" w:themeColor="text1"/>
        </w:rPr>
        <w:t>я</w:t>
      </w:r>
      <w:r w:rsidRPr="00F0736F">
        <w:rPr>
          <w:rFonts w:ascii="Times New Roman" w:hAnsi="Times New Roman" w:cs="Times New Roman"/>
          <w:color w:val="000000" w:themeColor="text1"/>
        </w:rPr>
        <w:t xml:space="preserve"> совместной казахстанско-российской оценки по р. Урал и р. Кигач (протока р. Волга).</w:t>
      </w:r>
    </w:p>
    <w:p w14:paraId="7FAC6468"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В мае 2019 года на площадке XII Астанинского экономического форума проведена панельная сессия высокого уровня «Вода как фактор экономического роста и безопасности в Центральной Азии» по вопросу создания водно-энергетического консорциума в Центральной Азии.</w:t>
      </w:r>
    </w:p>
    <w:p w14:paraId="1394EC89"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В июне 2019 года в городе Нур-Султане представители государственных организации</w:t>
      </w:r>
      <w:r w:rsidR="00F06EB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ответственны</w:t>
      </w:r>
      <w:r w:rsidR="00003755" w:rsidRPr="00F0736F">
        <w:rPr>
          <w:rFonts w:ascii="Times New Roman" w:hAnsi="Times New Roman" w:cs="Times New Roman"/>
          <w:color w:val="000000" w:themeColor="text1"/>
        </w:rPr>
        <w:t>х</w:t>
      </w:r>
      <w:r w:rsidRPr="00F0736F">
        <w:rPr>
          <w:rFonts w:ascii="Times New Roman" w:hAnsi="Times New Roman" w:cs="Times New Roman"/>
          <w:color w:val="000000" w:themeColor="text1"/>
        </w:rPr>
        <w:t xml:space="preserve"> за водные проблемы, научных учреждений, неправительственных и международных организаций приняли участи</w:t>
      </w:r>
      <w:r w:rsidR="00003755"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 xml:space="preserve"> на совещании Рабочей группы по НДВП по вопросам сотрудничества Казахстана в области трансграничных подземных вод, обеспечения безопасности гидротехнических сооружений в Казахстане и предотвращения случайного загрязнения вод, а также </w:t>
      </w:r>
      <w:r w:rsidR="00003755" w:rsidRPr="00F0736F">
        <w:rPr>
          <w:rFonts w:ascii="Times New Roman" w:hAnsi="Times New Roman" w:cs="Times New Roman"/>
          <w:color w:val="000000" w:themeColor="text1"/>
        </w:rPr>
        <w:t>по</w:t>
      </w:r>
      <w:r w:rsidRPr="00F0736F">
        <w:rPr>
          <w:rFonts w:ascii="Times New Roman" w:hAnsi="Times New Roman" w:cs="Times New Roman"/>
          <w:color w:val="000000" w:themeColor="text1"/>
        </w:rPr>
        <w:t xml:space="preserve"> возможности создания водно-энергетического консорциума в Центральной Азии.</w:t>
      </w:r>
    </w:p>
    <w:p w14:paraId="5342F5E5"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С момента запуска процесса по НДВП в Казахстане успешно реализован ряд проектов при поддержке ЕЭК ООН в качестве подкомпонентов совместного проекта ЕС\ПРООН\ЕЭК ООН «Поддержка Казахстана в переходе к зеленой экономике», финансируемого Европейским Союзом.</w:t>
      </w:r>
    </w:p>
    <w:p w14:paraId="4AE03FE3"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В Казахстане, начиная с 2017 года, Германское общество по международному сотрудничеству (GIZ) при помощи Исполнительной Дирекции МФСА в РК содействует организации заседаний Бассейнового Совета Арало-Сырдарьинского водохозяйственного района, повышает доступность к чистой питьевой воде наиболее отдаленных сельских населенных пунктов Приаралья, проводит целевую социально-экономическую помощь наиболее уязвимым слоям населения. На сегодняшний день проводимые заседания Бассейнового Совета Арало-Сырдарьинского водохозяйственного района стали показательными для других Бассейновых Советов Казахстана, кроме того, данный опыт уже перенимают представители водного хозяйства Уз</w:t>
      </w:r>
      <w:bookmarkStart w:id="7" w:name="_GoBack41"/>
      <w:bookmarkEnd w:id="7"/>
      <w:r w:rsidRPr="00F0736F">
        <w:rPr>
          <w:rFonts w:ascii="Times New Roman" w:hAnsi="Times New Roman" w:cs="Times New Roman"/>
          <w:color w:val="000000" w:themeColor="text1"/>
        </w:rPr>
        <w:t>бекистана.</w:t>
      </w:r>
    </w:p>
    <w:p w14:paraId="17FFBE4F"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В 2019 году GIZ в рамках проекта «Трансграничное управление водными ресурсами в Центральной Азии» (ТУВРЦА)</w:t>
      </w:r>
      <w:r w:rsidR="00F06EB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совместно с Исполнительной Дирекцией МФСА в РК, КазНИИ рыбного хозяйства, ПК «Казгипроводхоз» и Кызылординского филиала РГП «Казводхоз» реализуется крупный инвестиционный проект</w:t>
      </w:r>
      <w:r w:rsidR="00003755" w:rsidRPr="00F0736F">
        <w:rPr>
          <w:rFonts w:ascii="Times New Roman" w:hAnsi="Times New Roman" w:cs="Times New Roman"/>
          <w:color w:val="000000" w:themeColor="text1"/>
        </w:rPr>
        <w:t xml:space="preserve"> - р</w:t>
      </w:r>
      <w:r w:rsidRPr="00F0736F">
        <w:rPr>
          <w:rFonts w:ascii="Times New Roman" w:hAnsi="Times New Roman" w:cs="Times New Roman"/>
          <w:color w:val="000000" w:themeColor="text1"/>
        </w:rPr>
        <w:t>ыбозащитно</w:t>
      </w:r>
      <w:r w:rsidR="00003755"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 xml:space="preserve"> устройств</w:t>
      </w:r>
      <w:r w:rsidR="00003755"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 на Кокаральской дамбе Северного Аральского моря.</w:t>
      </w:r>
    </w:p>
    <w:p w14:paraId="4934A42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Важным элементом сотрудничества по трансграничным водам является совместный мониторинг количества и качества трансграничных водных ресурсов. Казгидромет осуществляет гидрологический мониторинг на трансграничных реках: гидрологические наблюдения проводятся на 21 посту на границе с Российской Федерацией, на 6 постах на границе с Китайской Народной Республикой, на одном посту на границе с Узбекистаном и на девяти постах на границе с Кыргызстаном. Организован обмен гидрологическими данными между странами.</w:t>
      </w:r>
    </w:p>
    <w:p w14:paraId="038B5D7E" w14:textId="77777777" w:rsidR="00F674A4" w:rsidRPr="00F0736F" w:rsidRDefault="00F674A4" w:rsidP="008727D9">
      <w:pPr>
        <w:ind w:firstLine="709"/>
        <w:jc w:val="both"/>
        <w:rPr>
          <w:rFonts w:ascii="Calibri" w:hAnsi="Calibri"/>
          <w:color w:val="000000" w:themeColor="text1"/>
        </w:rPr>
      </w:pPr>
      <w:r w:rsidRPr="00F0736F">
        <w:rPr>
          <w:rFonts w:ascii="Times New Roman" w:eastAsia="Times New Roman" w:hAnsi="Times New Roman" w:cs="Times New Roman"/>
          <w:bCs/>
          <w:color w:val="000000" w:themeColor="text1"/>
          <w:spacing w:val="2"/>
          <w:lang w:eastAsia="ru-RU"/>
        </w:rPr>
        <w:t>Тем не менее, необходимо отметить, что двустороннее сотрудничество Казахстана в области водных ресурсов не охватывает трансграничные подземные воды. Еще одним специфическим вопросом остается отсутствие трехстороннего сотрудничества по всему бассейну р. Ертис (Иртыш).</w:t>
      </w:r>
    </w:p>
    <w:p w14:paraId="148E6A04" w14:textId="77777777" w:rsidR="00F674A4" w:rsidRPr="00F0736F" w:rsidRDefault="00F674A4" w:rsidP="008727D9">
      <w:pPr>
        <w:ind w:firstLine="709"/>
        <w:jc w:val="both"/>
        <w:rPr>
          <w:color w:val="000000" w:themeColor="text1"/>
        </w:rPr>
      </w:pPr>
      <w:r w:rsidRPr="00F0736F">
        <w:rPr>
          <w:rStyle w:val="CharStyle5"/>
          <w:rFonts w:eastAsia="SimSun"/>
          <w:bCs/>
          <w:color w:val="000000" w:themeColor="text1"/>
          <w:sz w:val="24"/>
          <w:szCs w:val="24"/>
        </w:rPr>
        <w:t>Существенным национальным вкладом</w:t>
      </w:r>
      <w:r w:rsidRPr="00F0736F">
        <w:rPr>
          <w:rStyle w:val="CharStyle5"/>
          <w:rFonts w:eastAsia="SimSun"/>
          <w:color w:val="000000" w:themeColor="text1"/>
          <w:sz w:val="24"/>
          <w:szCs w:val="24"/>
        </w:rPr>
        <w:t xml:space="preserve"> всех прикаспийских государств, в том числе и Казахстана, является подписание четырех</w:t>
      </w:r>
      <w:r w:rsidRPr="00F0736F">
        <w:rPr>
          <w:rStyle w:val="CharStyle5"/>
          <w:rFonts w:eastAsia="SimSun"/>
          <w:bCs/>
          <w:color w:val="000000" w:themeColor="text1"/>
          <w:spacing w:val="2"/>
          <w:sz w:val="24"/>
          <w:szCs w:val="24"/>
          <w:lang w:eastAsia="ko-KR"/>
        </w:rPr>
        <w:t xml:space="preserve"> международных Протоколов к Рамочной конвенции по защите морской среды Каспийского моря (Тегеранской конвенции):</w:t>
      </w:r>
    </w:p>
    <w:p w14:paraId="3685DA9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Протокол о региональной готовности, реагировании и сотрудничестве в случае инцидентов, вызывающих загрязнение нефтью (Актауский протокол);</w:t>
      </w:r>
    </w:p>
    <w:p w14:paraId="4820BDF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Протокол о защите Каспийского моря от загрязнения из наземных источников (Московский протокол);</w:t>
      </w:r>
    </w:p>
    <w:p w14:paraId="2B2442B0" w14:textId="77777777" w:rsidR="00F674A4" w:rsidRPr="00F0736F" w:rsidRDefault="00F674A4" w:rsidP="008727D9">
      <w:pPr>
        <w:ind w:firstLine="709"/>
        <w:jc w:val="both"/>
        <w:rPr>
          <w:color w:val="000000" w:themeColor="text1"/>
        </w:rPr>
      </w:pPr>
      <w:r w:rsidRPr="00F0736F">
        <w:rPr>
          <w:rStyle w:val="CharStyle5"/>
          <w:rFonts w:eastAsia="NSimSun"/>
          <w:color w:val="000000" w:themeColor="text1"/>
          <w:sz w:val="24"/>
          <w:szCs w:val="24"/>
        </w:rPr>
        <w:t>- Протокол о сохранении биологического разнообразия Каспийского моря (Ашхабадский протокол);</w:t>
      </w:r>
    </w:p>
    <w:p w14:paraId="291F15E2" w14:textId="77777777" w:rsidR="00F674A4" w:rsidRPr="00F0736F" w:rsidRDefault="00F674A4" w:rsidP="008727D9">
      <w:pPr>
        <w:ind w:firstLine="709"/>
        <w:jc w:val="both"/>
        <w:rPr>
          <w:color w:val="000000" w:themeColor="text1"/>
        </w:rPr>
      </w:pPr>
      <w:r w:rsidRPr="00F0736F">
        <w:rPr>
          <w:rStyle w:val="CharStyle5"/>
          <w:rFonts w:eastAsia="NSimSun"/>
          <w:color w:val="000000" w:themeColor="text1"/>
          <w:sz w:val="24"/>
          <w:szCs w:val="24"/>
        </w:rPr>
        <w:t>- Протокол по оценке воздействия на окружающую среду (Московский протокол).</w:t>
      </w:r>
    </w:p>
    <w:p w14:paraId="28973E91" w14:textId="77777777" w:rsidR="00F674A4" w:rsidRPr="00F0736F" w:rsidRDefault="00F674A4" w:rsidP="008727D9">
      <w:pPr>
        <w:ind w:firstLine="709"/>
        <w:jc w:val="both"/>
        <w:rPr>
          <w:color w:val="000000" w:themeColor="text1"/>
        </w:rPr>
      </w:pPr>
      <w:r w:rsidRPr="00F0736F">
        <w:rPr>
          <w:rStyle w:val="CharStyle5"/>
          <w:rFonts w:eastAsia="NSimSun"/>
          <w:color w:val="000000" w:themeColor="text1"/>
          <w:sz w:val="24"/>
          <w:szCs w:val="24"/>
        </w:rPr>
        <w:t>Актауский протокол ратифицирован всеми прикаспийскими государствами и вступил в силу в 2017 году.</w:t>
      </w:r>
    </w:p>
    <w:p w14:paraId="4D4814BF" w14:textId="729E09F7" w:rsidR="00F674A4" w:rsidRPr="00F0736F" w:rsidRDefault="00F674A4" w:rsidP="008727D9">
      <w:pPr>
        <w:pStyle w:val="1f8"/>
        <w:ind w:firstLine="709"/>
        <w:jc w:val="both"/>
        <w:rPr>
          <w:color w:val="000000" w:themeColor="text1"/>
        </w:rPr>
      </w:pPr>
      <w:r w:rsidRPr="00F0736F">
        <w:rPr>
          <w:color w:val="000000" w:themeColor="text1"/>
        </w:rPr>
        <w:t>Также Казахстаном проводится работа по Соглашению о сотрудничестве в области гидрометеорологии Каспийского моря, подписанном</w:t>
      </w:r>
      <w:r w:rsidR="00003755" w:rsidRPr="00F0736F">
        <w:rPr>
          <w:color w:val="000000" w:themeColor="text1"/>
        </w:rPr>
        <w:t>у</w:t>
      </w:r>
      <w:r w:rsidRPr="00F0736F">
        <w:rPr>
          <w:color w:val="000000" w:themeColor="text1"/>
        </w:rPr>
        <w:t xml:space="preserve"> Казахстаном в 2014 году и утвержденном</w:t>
      </w:r>
      <w:r w:rsidR="00003755" w:rsidRPr="00F0736F">
        <w:rPr>
          <w:color w:val="000000" w:themeColor="text1"/>
        </w:rPr>
        <w:t>у</w:t>
      </w:r>
      <w:r w:rsidRPr="00F0736F">
        <w:rPr>
          <w:color w:val="000000" w:themeColor="text1"/>
        </w:rPr>
        <w:t xml:space="preserve"> Постановлением Правительства РК </w:t>
      </w:r>
      <w:r w:rsidRPr="00F0736F">
        <w:rPr>
          <w:color w:val="000000" w:themeColor="text1"/>
          <w:sz w:val="22"/>
          <w:szCs w:val="22"/>
          <w:lang w:bidi="ar-SA"/>
        </w:rPr>
        <w:t>о</w:t>
      </w:r>
      <w:r w:rsidRPr="00F0736F">
        <w:rPr>
          <w:color w:val="000000" w:themeColor="text1"/>
        </w:rPr>
        <w:t>т 16 июля 2015 года №</w:t>
      </w:r>
      <w:r w:rsidR="001B57CC" w:rsidRPr="00F0736F">
        <w:rPr>
          <w:color w:val="000000" w:themeColor="text1"/>
        </w:rPr>
        <w:t xml:space="preserve"> </w:t>
      </w:r>
      <w:r w:rsidRPr="00F0736F">
        <w:rPr>
          <w:color w:val="000000" w:themeColor="text1"/>
        </w:rPr>
        <w:t>533.</w:t>
      </w:r>
    </w:p>
    <w:p w14:paraId="6150B595" w14:textId="77777777" w:rsidR="00F674A4" w:rsidRPr="00F0736F" w:rsidRDefault="00F674A4" w:rsidP="008727D9">
      <w:pPr>
        <w:pStyle w:val="yellow3"/>
        <w:ind w:firstLine="709"/>
        <w:rPr>
          <w:rFonts w:ascii="Times New Roman" w:hAnsi="Times New Roman" w:cs="Times New Roman"/>
          <w:color w:val="000000" w:themeColor="text1"/>
          <w:sz w:val="24"/>
          <w:szCs w:val="24"/>
        </w:rPr>
      </w:pPr>
    </w:p>
    <w:p w14:paraId="7052F8EE" w14:textId="33F143D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Международный опыт</w:t>
      </w:r>
    </w:p>
    <w:p w14:paraId="3A24C091"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2019 г</w:t>
      </w:r>
      <w:r w:rsidR="00003755" w:rsidRPr="00F0736F">
        <w:rPr>
          <w:rFonts w:ascii="Times New Roman" w:eastAsia="Times New Roman" w:hAnsi="Times New Roman" w:cs="Times New Roman"/>
          <w:color w:val="000000" w:themeColor="text1"/>
          <w:spacing w:val="2"/>
          <w:lang w:eastAsia="ru-RU"/>
        </w:rPr>
        <w:t xml:space="preserve">оду </w:t>
      </w:r>
      <w:r w:rsidRPr="00F0736F">
        <w:rPr>
          <w:rFonts w:ascii="Times New Roman" w:eastAsia="Times New Roman" w:hAnsi="Times New Roman" w:cs="Times New Roman"/>
          <w:color w:val="000000" w:themeColor="text1"/>
          <w:spacing w:val="2"/>
          <w:lang w:eastAsia="ru-RU"/>
        </w:rPr>
        <w:t xml:space="preserve">вышел </w:t>
      </w:r>
      <w:r w:rsidRPr="00F0736F">
        <w:rPr>
          <w:rFonts w:ascii="Times New Roman" w:eastAsia="Times New Roman" w:hAnsi="Times New Roman" w:cs="Times New Roman"/>
          <w:bCs/>
          <w:color w:val="000000" w:themeColor="text1"/>
          <w:spacing w:val="2"/>
          <w:lang w:eastAsia="ru-RU"/>
        </w:rPr>
        <w:t>Всемирный доклад Организации Объединенных Наций о состоянии водных ресурсов «Не оставляя никого в стороне»</w:t>
      </w:r>
      <w:r w:rsidRPr="00F0736F">
        <w:rPr>
          <w:rStyle w:val="a4"/>
          <w:rFonts w:ascii="Times New Roman" w:eastAsia="Times New Roman" w:hAnsi="Times New Roman" w:cs="Times New Roman"/>
          <w:bCs/>
          <w:color w:val="000000" w:themeColor="text1"/>
          <w:spacing w:val="2"/>
          <w:lang w:eastAsia="ru-RU"/>
        </w:rPr>
        <w:footnoteReference w:id="11"/>
      </w:r>
      <w:r w:rsidRPr="00F0736F">
        <w:rPr>
          <w:rFonts w:ascii="Times New Roman" w:eastAsia="Times New Roman" w:hAnsi="Times New Roman" w:cs="Times New Roman"/>
          <w:bCs/>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В нем в очередной раз показывается, что с 1980-х годов общемировое использование водных ресурсов в среднем возрастает приблизительно на 1% в год в результате совокупного воздействия таких факторов, как демографический рост, социально-экономическое развитие и меняющиеся модели потребления. Ожидается, что глобальная потребность в водных ресурсах будет и далее увеличиваться примерно такими же темпами вплоть до 2050 г., что приведет к повышению уровня водопотребления на 20-30% по сравнению с сегодняшним, главным образом в связи с ростом промышленных и бытовых нужд. В странах, где водные ресурсы испытывают высокую нагрузку, проживают более двух миллиардов человек, и свыше четырех миллиардов сталкиваются с серьезной нехваткой воды, по крайней мере, один месяц в году.</w:t>
      </w:r>
    </w:p>
    <w:p w14:paraId="2EFC4921" w14:textId="6AD95A15"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spacing w:val="2"/>
          <w:lang w:eastAsia="ru-RU"/>
        </w:rPr>
        <w:t xml:space="preserve">Издание Всемирного доклада 2020 года </w:t>
      </w:r>
      <w:r w:rsidR="001B57C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Водные ресурсы и изменение климата</w:t>
      </w:r>
      <w:r w:rsidR="001B57C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демонстрирует важнейшие связи между водой и изменением климата в контексте более широкой Повестки дня в области устойчивого развития. Опираясь на примеры из разных стран мира, Доклад описывает как проблемы, так и возможности, создаваемые изменением климата, и предлагает потенциальные меры реагирования </w:t>
      </w:r>
      <w:r w:rsidR="00CB5F3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с точки зрения адаптации, смягчения последствий и повышения устойчивости </w:t>
      </w:r>
      <w:r w:rsidR="00CB5F3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которые могут быть приняты путем улучшения управления водными ресурсами, снижения связанных с водой рисков и улучшения </w:t>
      </w:r>
      <w:r w:rsidRPr="00F0736F">
        <w:rPr>
          <w:rFonts w:ascii="Times New Roman" w:hAnsi="Times New Roman" w:cs="Times New Roman"/>
          <w:color w:val="000000" w:themeColor="text1"/>
        </w:rPr>
        <w:t>доступа к услугам водоснабжения и санитарии для всех на устойчивой основе</w:t>
      </w:r>
      <w:r w:rsidR="00CB5F3B" w:rsidRPr="00F0736F">
        <w:rPr>
          <w:rStyle w:val="a4"/>
          <w:rFonts w:ascii="Times New Roman" w:hAnsi="Times New Roman" w:cs="Times New Roman"/>
          <w:color w:val="000000" w:themeColor="text1"/>
        </w:rPr>
        <w:footnoteReference w:id="12"/>
      </w:r>
      <w:r w:rsidRPr="00F0736F">
        <w:rPr>
          <w:rFonts w:ascii="Times New Roman" w:hAnsi="Times New Roman" w:cs="Times New Roman"/>
          <w:color w:val="000000" w:themeColor="text1"/>
        </w:rPr>
        <w:t xml:space="preserve">. </w:t>
      </w:r>
    </w:p>
    <w:p w14:paraId="1F8E3149" w14:textId="651DC779"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частности</w:t>
      </w:r>
      <w:r w:rsidR="001B57C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докладе указано, что во всем мире ежегодно</w:t>
      </w:r>
      <w:r w:rsidR="002A29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неадекватное водоснабжение и санитария являются причиной: </w:t>
      </w:r>
    </w:p>
    <w:p w14:paraId="2D057D23"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почти 2 миллионов предотвратимых смертей; </w:t>
      </w:r>
    </w:p>
    <w:p w14:paraId="469E635C"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123 миллион</w:t>
      </w:r>
      <w:r w:rsidR="002A291E" w:rsidRPr="00F0736F">
        <w:rPr>
          <w:rFonts w:ascii="Times New Roman" w:hAnsi="Times New Roman" w:cs="Times New Roman"/>
          <w:color w:val="000000" w:themeColor="text1"/>
        </w:rPr>
        <w:t xml:space="preserve">ов </w:t>
      </w:r>
      <w:r w:rsidRPr="00F0736F">
        <w:rPr>
          <w:rFonts w:ascii="Times New Roman" w:hAnsi="Times New Roman" w:cs="Times New Roman"/>
          <w:color w:val="000000" w:themeColor="text1"/>
        </w:rPr>
        <w:t xml:space="preserve">предотвратимых лет жизни с инвалидностью; </w:t>
      </w:r>
    </w:p>
    <w:p w14:paraId="45568A60"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наибольшего влияния на детей в возрасте до 5 лет. </w:t>
      </w:r>
    </w:p>
    <w:p w14:paraId="2407696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регионе ЕЭК ООН в особо тяжелом положении находится значительная часть населения в Восточной Европе, на Кавказе и в Центральной Азии. </w:t>
      </w:r>
    </w:p>
    <w:p w14:paraId="4B6471A9"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 xml:space="preserve">По решению проблем водоснабжения и санитарии в докладе говорится, что для предоставления услуг многочисленным контингентам пользователей в густонаселенных городских районах целесообразно привлекать крупномасштабные инфраструктуры и службы для совместного использования ресурсов и достижения экономии за счет массовости, но с другой стороны, в меньших городских поселениях и сельских районах менее затратными являются децентрализованные системы водоснабжения и санитарии. В сельских районах с малой плотностью населения одна из главных задач состоит в том, чтобы приблизить соответствующие структуры непосредственно к человеческому жилью. Таким образом, основой для выбора технологического подхода к предоставлению услуг является принцип не столько передовой практики, сколько максимального соответствия стоящим задачам, т. е. обеспечения населения услугами водоснабжения, санитарии и гигиены. </w:t>
      </w:r>
    </w:p>
    <w:p w14:paraId="67692BEC" w14:textId="765D5A7B" w:rsidR="00921F54" w:rsidRPr="00F0736F" w:rsidRDefault="00921F54" w:rsidP="00921F54">
      <w:pPr>
        <w:ind w:firstLine="567"/>
        <w:jc w:val="both"/>
        <w:rPr>
          <w:color w:val="000000" w:themeColor="text1"/>
        </w:rPr>
      </w:pPr>
      <w:r w:rsidRPr="00F0736F">
        <w:rPr>
          <w:rFonts w:ascii="Times New Roman" w:eastAsia="Times New Roman" w:hAnsi="Times New Roman" w:cs="Times New Roman"/>
          <w:color w:val="000000" w:themeColor="text1"/>
          <w:spacing w:val="2"/>
          <w:lang w:eastAsia="ru-RU"/>
        </w:rPr>
        <w:t>Эксперты ЕЭК ООН отмечают, что н</w:t>
      </w:r>
      <w:r w:rsidRPr="00F0736F">
        <w:rPr>
          <w:rFonts w:ascii="Times New Roman" w:hAnsi="Times New Roman" w:cs="Times New Roman"/>
          <w:color w:val="000000" w:themeColor="text1"/>
        </w:rPr>
        <w:t>есмотря на некоторые улучшения в водоснабжении, в Казахстане существует ряд проблем в этой области. В частности, сохраняется проблема эксплуатации и технического обслуживания новых объектов водоснабжения после их сдачи. Только объекты на районном уровне обеспечены материальными и трудовыми ресурсами.</w:t>
      </w:r>
      <w:r w:rsidR="004654F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В сельских районах управлением и обслуживанием систем водоснабжения занимаются сельские акиматы, которые не обеспечены минимальными средствами, необходимыми для эксплуатации и технического обслуживания таких объектов или их обслуживания специалистами</w:t>
      </w:r>
      <w:r w:rsidRPr="00F0736F">
        <w:rPr>
          <w:rStyle w:val="a4"/>
          <w:rFonts w:ascii="Times New Roman" w:hAnsi="Times New Roman" w:cs="Times New Roman"/>
          <w:color w:val="000000" w:themeColor="text1"/>
        </w:rPr>
        <w:footnoteReference w:id="13"/>
      </w:r>
      <w:r w:rsidRPr="00F0736F">
        <w:rPr>
          <w:rFonts w:ascii="Times New Roman" w:hAnsi="Times New Roman" w:cs="Times New Roman"/>
          <w:color w:val="000000" w:themeColor="text1"/>
        </w:rPr>
        <w:t xml:space="preserve">. </w:t>
      </w:r>
    </w:p>
    <w:p w14:paraId="48C6DA2B" w14:textId="77777777" w:rsidR="00921F54" w:rsidRPr="00F0736F" w:rsidRDefault="00921F54" w:rsidP="00921F54">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Несмотря на достигнутый прогресс, ситуация с водоснабжением в сельских районах в настоящее время по-прежнему намного хуже, чем в городах (с точки зрения технического состояния и оборудования, форм управления, наличия квалифицированных специалистов</w:t>
      </w:r>
      <w:r w:rsidR="000F4AF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и т</w:t>
      </w:r>
      <w:r w:rsidR="000F4AF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д.). </w:t>
      </w:r>
      <w:r w:rsidR="001B57CC" w:rsidRPr="00F0736F">
        <w:rPr>
          <w:rFonts w:ascii="Times New Roman" w:hAnsi="Times New Roman" w:cs="Times New Roman"/>
          <w:color w:val="000000" w:themeColor="text1"/>
        </w:rPr>
        <w:t>Так, о</w:t>
      </w:r>
      <w:r w:rsidRPr="00F0736F">
        <w:rPr>
          <w:rFonts w:ascii="Times New Roman" w:hAnsi="Times New Roman" w:cs="Times New Roman"/>
          <w:color w:val="000000" w:themeColor="text1"/>
        </w:rPr>
        <w:t>тсутствуют организованные лаборатории для регулярного мониторинга безопасности питьевой воды, за исключением крупных городов. Во многих населенных пунктах не установлены и не соблюдаются санитарно-защитные зоны вокруг источников питьевого водоснабжения. На водозаборных сооружениях и в сетях водоснабжения сельских регионов установлено недостаточно</w:t>
      </w:r>
      <w:r w:rsidR="000F4AF3" w:rsidRPr="00F0736F">
        <w:rPr>
          <w:rFonts w:ascii="Times New Roman" w:hAnsi="Times New Roman" w:cs="Times New Roman"/>
          <w:color w:val="000000" w:themeColor="text1"/>
        </w:rPr>
        <w:t>е количество</w:t>
      </w:r>
      <w:r w:rsidRPr="00F0736F">
        <w:rPr>
          <w:rFonts w:ascii="Times New Roman" w:hAnsi="Times New Roman" w:cs="Times New Roman"/>
          <w:color w:val="000000" w:themeColor="text1"/>
        </w:rPr>
        <w:t xml:space="preserve"> хлоринаторов и средств для дезинфекции. Еще одним важным аспектом является недостаточное использование потенциала подземных вод для обеспечения населения (в том числе, сельского населения) питьевой водой.</w:t>
      </w:r>
    </w:p>
    <w:p w14:paraId="0FAC90DF" w14:textId="77777777" w:rsidR="00921F54" w:rsidRPr="00F0736F" w:rsidRDefault="00921F54" w:rsidP="00921F54">
      <w:pPr>
        <w:pStyle w:val="Standard1"/>
        <w:ind w:firstLine="567"/>
        <w:rPr>
          <w:rFonts w:eastAsia="Times New Roman" w:cs="Times New Roman"/>
          <w:bCs/>
          <w:color w:val="000000" w:themeColor="text1"/>
        </w:rPr>
      </w:pPr>
      <w:r w:rsidRPr="00F0736F">
        <w:rPr>
          <w:rFonts w:eastAsia="Times New Roman" w:cs="Times New Roman"/>
          <w:bCs/>
          <w:color w:val="000000" w:themeColor="text1"/>
        </w:rPr>
        <w:t>Наращивание усилий и инвестиций имеет решающее значение для достижения Казахстаном своих национальных целей в этой области, а также соответствующих обязательств по Цели 6 Повестки дня в области устойчивого развития на период до 2030 г.</w:t>
      </w:r>
    </w:p>
    <w:p w14:paraId="6A3E680B" w14:textId="77777777" w:rsidR="00921F54" w:rsidRPr="00F0736F" w:rsidRDefault="00921F54" w:rsidP="00921F54">
      <w:pPr>
        <w:pStyle w:val="Standard1"/>
        <w:ind w:firstLine="567"/>
        <w:rPr>
          <w:rFonts w:eastAsia="Times New Roman" w:cs="Times New Roman"/>
          <w:bCs/>
          <w:i/>
          <w:color w:val="000000" w:themeColor="text1"/>
        </w:rPr>
      </w:pPr>
      <w:r w:rsidRPr="00F0736F">
        <w:rPr>
          <w:rFonts w:eastAsia="Times New Roman" w:cs="Times New Roman"/>
          <w:bCs/>
          <w:i/>
          <w:color w:val="000000" w:themeColor="text1"/>
        </w:rPr>
        <w:t>Казахстану необходимо продолжить работу по обеспечению населения безопасной питьевой водой и услугами санитарии, в частности</w:t>
      </w:r>
      <w:r w:rsidR="001843D5" w:rsidRPr="00F0736F">
        <w:rPr>
          <w:rFonts w:eastAsia="Times New Roman" w:cs="Times New Roman"/>
          <w:bCs/>
          <w:i/>
          <w:color w:val="000000" w:themeColor="text1"/>
        </w:rPr>
        <w:t>,</w:t>
      </w:r>
      <w:r w:rsidRPr="00F0736F">
        <w:rPr>
          <w:rFonts w:eastAsia="Times New Roman" w:cs="Times New Roman"/>
          <w:bCs/>
          <w:i/>
          <w:color w:val="000000" w:themeColor="text1"/>
        </w:rPr>
        <w:t xml:space="preserve"> путем:</w:t>
      </w:r>
    </w:p>
    <w:p w14:paraId="460E6259" w14:textId="77777777" w:rsidR="004654F7" w:rsidRPr="00F0736F" w:rsidRDefault="001B57CC" w:rsidP="004654F7">
      <w:pPr>
        <w:pStyle w:val="Standard1"/>
        <w:ind w:firstLine="567"/>
        <w:rPr>
          <w:rFonts w:eastAsia="Times New Roman" w:cs="Times New Roman"/>
          <w:bCs/>
          <w:i/>
          <w:color w:val="000000" w:themeColor="text1"/>
        </w:rPr>
      </w:pPr>
      <w:r w:rsidRPr="00F0736F">
        <w:rPr>
          <w:rFonts w:eastAsia="Times New Roman" w:cs="Times New Roman"/>
          <w:bCs/>
          <w:i/>
          <w:color w:val="000000" w:themeColor="text1"/>
        </w:rPr>
        <w:t>у</w:t>
      </w:r>
      <w:r w:rsidR="00921F54" w:rsidRPr="00F0736F">
        <w:rPr>
          <w:rFonts w:eastAsia="Times New Roman" w:cs="Times New Roman"/>
          <w:bCs/>
          <w:i/>
          <w:color w:val="000000" w:themeColor="text1"/>
        </w:rPr>
        <w:t>силения внимания к вопросам водоснабжения и водоотведения в сельской местности;</w:t>
      </w:r>
    </w:p>
    <w:p w14:paraId="2D07036C" w14:textId="07AE5563" w:rsidR="00921F54" w:rsidRPr="00F0736F" w:rsidRDefault="001B57CC" w:rsidP="004654F7">
      <w:pPr>
        <w:pStyle w:val="Standard1"/>
        <w:ind w:firstLine="567"/>
        <w:rPr>
          <w:rFonts w:eastAsia="Times New Roman" w:cs="Times New Roman"/>
          <w:bCs/>
          <w:i/>
          <w:color w:val="000000" w:themeColor="text1"/>
        </w:rPr>
      </w:pPr>
      <w:r w:rsidRPr="00F0736F">
        <w:rPr>
          <w:rFonts w:eastAsia="Times New Roman" w:cs="Times New Roman"/>
          <w:bCs/>
          <w:i/>
          <w:color w:val="000000" w:themeColor="text1"/>
        </w:rPr>
        <w:t>н</w:t>
      </w:r>
      <w:r w:rsidR="00921F54" w:rsidRPr="00F0736F">
        <w:rPr>
          <w:rFonts w:eastAsia="Times New Roman" w:cs="Times New Roman"/>
          <w:bCs/>
          <w:i/>
          <w:color w:val="000000" w:themeColor="text1"/>
        </w:rPr>
        <w:t>аращивания инвестиций и создания благоприятных условий для привлечения инвестиций в сектор</w:t>
      </w:r>
      <w:r w:rsidRPr="00F0736F">
        <w:rPr>
          <w:rFonts w:eastAsia="Times New Roman" w:cs="Times New Roman"/>
          <w:bCs/>
          <w:i/>
          <w:color w:val="000000" w:themeColor="text1"/>
        </w:rPr>
        <w:t xml:space="preserve"> </w:t>
      </w:r>
      <w:r w:rsidR="00921F54" w:rsidRPr="00F0736F">
        <w:rPr>
          <w:rFonts w:eastAsia="Times New Roman" w:cs="Times New Roman"/>
          <w:bCs/>
          <w:i/>
          <w:color w:val="000000" w:themeColor="text1"/>
        </w:rPr>
        <w:t>водоснабжения и водоотведения.</w:t>
      </w:r>
    </w:p>
    <w:p w14:paraId="011B1AAF"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2017 году вышел </w:t>
      </w:r>
      <w:r w:rsidRPr="00F0736F">
        <w:rPr>
          <w:rFonts w:ascii="Times New Roman" w:eastAsia="Times New Roman" w:hAnsi="Times New Roman" w:cs="Times New Roman"/>
          <w:b/>
          <w:color w:val="000000" w:themeColor="text1"/>
          <w:spacing w:val="2"/>
          <w:lang w:eastAsia="ru-RU"/>
        </w:rPr>
        <w:t>Обзор ОЭСР по управлению водохозяйственной инфраструктурой</w:t>
      </w:r>
      <w:r w:rsidRPr="00F0736F">
        <w:rPr>
          <w:rStyle w:val="a4"/>
          <w:rFonts w:ascii="Times New Roman" w:eastAsia="Times New Roman" w:hAnsi="Times New Roman" w:cs="Times New Roman"/>
          <w:color w:val="000000" w:themeColor="text1"/>
          <w:spacing w:val="2"/>
          <w:lang w:eastAsia="ru-RU"/>
        </w:rPr>
        <w:footnoteReference w:id="14"/>
      </w:r>
      <w:r w:rsidRPr="00F0736F">
        <w:rPr>
          <w:rFonts w:ascii="Times New Roman" w:eastAsia="Times New Roman" w:hAnsi="Times New Roman" w:cs="Times New Roman"/>
          <w:color w:val="000000" w:themeColor="text1"/>
          <w:spacing w:val="2"/>
          <w:lang w:eastAsia="ru-RU"/>
        </w:rPr>
        <w:t>. Ввиду сложности строительства и управления гидротехническими и гидроэнергетическими объектами в данном обзоре приводятся примеры успешного разделения рисков между государством и инвесторами посредством государственно-частного партнерства и других инструментов подобного сотрудничества, что рекомендуется к применению в странах Центральной Азии.</w:t>
      </w:r>
    </w:p>
    <w:p w14:paraId="07DB53E4" w14:textId="77777777" w:rsidR="00921F54" w:rsidRPr="00F0736F" w:rsidRDefault="00921F54" w:rsidP="00921F54">
      <w:pPr>
        <w:ind w:firstLine="567"/>
        <w:jc w:val="both"/>
        <w:rPr>
          <w:color w:val="000000" w:themeColor="text1"/>
        </w:rPr>
      </w:pPr>
      <w:r w:rsidRPr="00F0736F">
        <w:rPr>
          <w:rFonts w:ascii="Times New Roman" w:hAnsi="Times New Roman" w:cs="Times New Roman"/>
          <w:color w:val="000000" w:themeColor="text1"/>
        </w:rPr>
        <w:t>В Казахстане основными проблемами водного сектора являются недостаточност</w:t>
      </w:r>
      <w:r w:rsidR="001843D5" w:rsidRPr="00F0736F">
        <w:rPr>
          <w:rFonts w:ascii="Times New Roman" w:hAnsi="Times New Roman" w:cs="Times New Roman"/>
          <w:color w:val="000000" w:themeColor="text1"/>
        </w:rPr>
        <w:t>ь</w:t>
      </w:r>
      <w:r w:rsidRPr="00F0736F">
        <w:rPr>
          <w:rFonts w:ascii="Times New Roman" w:hAnsi="Times New Roman" w:cs="Times New Roman"/>
          <w:color w:val="000000" w:themeColor="text1"/>
        </w:rPr>
        <w:t xml:space="preserve"> инвестиций и неудовлетворительн</w:t>
      </w:r>
      <w:r w:rsidR="001843D5" w:rsidRPr="00F0736F">
        <w:rPr>
          <w:rFonts w:ascii="Times New Roman" w:hAnsi="Times New Roman" w:cs="Times New Roman"/>
          <w:color w:val="000000" w:themeColor="text1"/>
        </w:rPr>
        <w:t>ый</w:t>
      </w:r>
      <w:r w:rsidRPr="00F0736F">
        <w:rPr>
          <w:rFonts w:ascii="Times New Roman" w:hAnsi="Times New Roman" w:cs="Times New Roman"/>
          <w:color w:val="000000" w:themeColor="text1"/>
        </w:rPr>
        <w:t xml:space="preserve"> менеджмент на государственных коммунальных предприятиях: эффективность выделяемых государством финансовых ресурсов и привлекаемых регионами инвестиций сталкивается с низкими тарифами, не обеспечивающими возвратность инвестиций, непрозрачность сектора, отсутствие корпоративного управления. </w:t>
      </w:r>
    </w:p>
    <w:p w14:paraId="042DFAAB" w14:textId="77777777" w:rsidR="00921F54" w:rsidRPr="00F0736F" w:rsidRDefault="00921F54" w:rsidP="00921F54">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Решением этих проблем является внедрение государственно-частного партнерства (ГЧП) в секторе жилищно-коммунального хозяйства (ЖКХ). Такая задача была поставлена Главой государства в Послании народу Казахстана 31 января 2017 года «Третья модернизация Казахстана: глобальная конкурентоспособность».  </w:t>
      </w:r>
    </w:p>
    <w:p w14:paraId="72F630DF" w14:textId="77777777" w:rsidR="00921F54" w:rsidRPr="00F0736F" w:rsidRDefault="00921F54" w:rsidP="00921F54">
      <w:pPr>
        <w:ind w:firstLine="567"/>
        <w:jc w:val="both"/>
        <w:rPr>
          <w:color w:val="000000" w:themeColor="text1"/>
        </w:rPr>
      </w:pPr>
      <w:r w:rsidRPr="00F0736F">
        <w:rPr>
          <w:rFonts w:ascii="Times New Roman" w:hAnsi="Times New Roman" w:cs="Times New Roman"/>
          <w:color w:val="000000" w:themeColor="text1"/>
        </w:rPr>
        <w:t xml:space="preserve">На сайте АО «Казцентр ЖКХ», подведомственной организации Министерства по инвестициям и развитию Республики Казахстан, размещена информация по актуальным вопросам ГЧП в секторе ЖКХ и организована работа call-центра по вопросам планирования, подготовки и реализации проектов ГЧП. В результате проведенной работы сформирован перечень пилотных проектов ГЧП, состоящий из 39 проектов, из них 15 проектов по сектору водоснабжения (5 проектов по доверительному управлению). Наиболее значимыми проектами являются передача в доверительное управление водоканалов городов Кызылорда и Актобе. Реализация этих проектов будет осуществляться при сотрудничестве с ЕБРР. </w:t>
      </w:r>
    </w:p>
    <w:p w14:paraId="69BDCCCA" w14:textId="77777777" w:rsidR="00921F54" w:rsidRPr="00F0736F" w:rsidRDefault="00921F54" w:rsidP="00921F54">
      <w:pPr>
        <w:ind w:firstLine="567"/>
        <w:jc w:val="both"/>
        <w:rPr>
          <w:color w:val="000000" w:themeColor="text1"/>
        </w:rPr>
      </w:pPr>
      <w:r w:rsidRPr="00F0736F">
        <w:rPr>
          <w:rFonts w:ascii="Times New Roman" w:hAnsi="Times New Roman" w:cs="Times New Roman"/>
          <w:color w:val="000000" w:themeColor="text1"/>
        </w:rPr>
        <w:t>В настоящее время законодательством Республики Казахстан созданы все правовые условия для развития ГЧП в данном секторе. Внесены изменения в Водный кодекс Республики Казахстан, а также утвержден постановлением Правительства Республики Казахстан Перечень объектов, не подлежащих передаче для реализации государственно-частного партнерства, в том числе в концессию, в соответствии с которыми разрешена передача водохозяйственных сооружений, имеющих особое стратегическое значение, в аренду, доверительное управление и концессию.</w:t>
      </w:r>
    </w:p>
    <w:p w14:paraId="316647A9" w14:textId="77777777" w:rsidR="00FC3C14" w:rsidRPr="00F0736F" w:rsidRDefault="00FC3C1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Внимание зарубежных ученых все больше обращается на технологии опреснения вод</w:t>
      </w:r>
      <w:r w:rsidR="001B57CC" w:rsidRPr="00F0736F">
        <w:rPr>
          <w:rFonts w:ascii="Times New Roman" w:eastAsia="Times New Roman" w:hAnsi="Times New Roman" w:cs="Times New Roman"/>
          <w:color w:val="000000" w:themeColor="text1"/>
          <w:spacing w:val="2"/>
          <w:lang w:eastAsia="ru-RU"/>
        </w:rPr>
        <w:t>ы</w:t>
      </w:r>
      <w:r w:rsidRPr="00F0736F">
        <w:rPr>
          <w:rFonts w:ascii="Times New Roman" w:eastAsia="Times New Roman" w:hAnsi="Times New Roman" w:cs="Times New Roman"/>
          <w:color w:val="000000" w:themeColor="text1"/>
          <w:spacing w:val="2"/>
          <w:lang w:eastAsia="ru-RU"/>
        </w:rPr>
        <w:t>, особенно с использованием ВИЭ. Так</w:t>
      </w:r>
      <w:r w:rsidR="001B57C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с</w:t>
      </w:r>
      <w:r w:rsidRPr="00F0736F">
        <w:rPr>
          <w:rFonts w:ascii="Times New Roman" w:hAnsi="Times New Roman" w:cs="Times New Roman"/>
          <w:color w:val="000000" w:themeColor="text1"/>
        </w:rPr>
        <w:t>овместная группа учёных из Массачусетского технологического института и Шанхайского университета Джао Тонг (Shanghai Jiao Tong University) разработала высокоэффективный пассивный опреснитель воды. Опытная установка, расположенная на крыше одного из кампусов MIT, показала производительность 1,52 галлона в час с квадратного метра освещённой поверхности (примерно 5,7 л). Такие системы могут потенциально обслуживать автономные прибрежные районы, чтобы обеспечить эффективный и недорогой источник воды. Качество полученной воды, кстати, было выше, чем того требуют санитарные нормы. По мнению исследователей, в перспективе разработка позволит создать небольшие опреснители воды стоимостью до $100 для суточного обслуживания питьевой водой семьи из четырёх человек</w:t>
      </w:r>
      <w:r w:rsidRPr="00F0736F">
        <w:rPr>
          <w:rStyle w:val="a4"/>
          <w:rFonts w:ascii="Times New Roman" w:hAnsi="Times New Roman" w:cs="Times New Roman"/>
          <w:color w:val="000000" w:themeColor="text1"/>
        </w:rPr>
        <w:footnoteReference w:id="15"/>
      </w:r>
      <w:r w:rsidRPr="00F0736F">
        <w:rPr>
          <w:rFonts w:ascii="Times New Roman" w:hAnsi="Times New Roman" w:cs="Times New Roman"/>
          <w:color w:val="000000" w:themeColor="text1"/>
        </w:rPr>
        <w:t>.</w:t>
      </w:r>
    </w:p>
    <w:p w14:paraId="3BD7F5E9" w14:textId="77777777" w:rsidR="00C60E37" w:rsidRPr="00F0736F" w:rsidRDefault="00C60E37" w:rsidP="008727D9">
      <w:pPr>
        <w:ind w:firstLine="709"/>
        <w:jc w:val="both"/>
        <w:rPr>
          <w:color w:val="000000" w:themeColor="text1"/>
        </w:rPr>
      </w:pPr>
      <w:r w:rsidRPr="00F0736F">
        <w:rPr>
          <w:rFonts w:ascii="Times New Roman" w:hAnsi="Times New Roman" w:cs="Times New Roman"/>
          <w:color w:val="000000" w:themeColor="text1"/>
        </w:rPr>
        <w:t>В 2019 году ВОЗ выпустило свое первое всеобъемлющее Руководство по обеспечению санитарии и охраны здоровья. В данном Руководстве ясно показана потребность в принятии практических мер и рекомендуются методические инструменты и информационные ресурсы для этого, в нем также с новой силой подчеркивается роль органов здравоохранения как главных поборников санитарии</w:t>
      </w:r>
      <w:r w:rsidRPr="00F0736F">
        <w:rPr>
          <w:rStyle w:val="a4"/>
          <w:rFonts w:ascii="Times New Roman" w:hAnsi="Times New Roman" w:cs="Times New Roman"/>
          <w:color w:val="000000" w:themeColor="text1"/>
        </w:rPr>
        <w:footnoteReference w:id="16"/>
      </w:r>
      <w:r w:rsidRPr="00F0736F">
        <w:rPr>
          <w:rFonts w:ascii="Times New Roman" w:hAnsi="Times New Roman" w:cs="Times New Roman"/>
          <w:color w:val="000000" w:themeColor="text1"/>
        </w:rPr>
        <w:t xml:space="preserve">. В Руководстве признается, что безопасные системы санитарии являются опорой для ВОЗ в выполнении ее миссии, лежат в основе ее стратегических приоритетов и уставных задач министерств здравоохранения во всем мире. Данное Руководство будет иметь большую практическую ценность для министерств, органов здравоохранения и практических работников. В Руководстве в обобщенном виде излагаются современные фактические данные, подтверждающие связь между санитарией и здоровьем, даются рекомендации на доказательной основе и предлагаются общие методические указания в отношении принятия международных, национальных и местных стратегий в области санитарии и осуществления мер, направленных на охрану общественного здоровья. </w:t>
      </w:r>
    </w:p>
    <w:p w14:paraId="6701CB7A" w14:textId="57BFE1D3"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4AE7ED5F"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Решени</w:t>
      </w:r>
      <w:r w:rsidR="001843D5" w:rsidRPr="00F0736F">
        <w:rPr>
          <w:rFonts w:ascii="Times New Roman" w:eastAsia="Times New Roman" w:hAnsi="Times New Roman" w:cs="Times New Roman"/>
          <w:color w:val="000000" w:themeColor="text1"/>
          <w:spacing w:val="2"/>
          <w:lang w:eastAsia="ru-RU"/>
        </w:rPr>
        <w:t>е</w:t>
      </w:r>
      <w:r w:rsidRPr="00F0736F">
        <w:rPr>
          <w:rFonts w:ascii="Times New Roman" w:eastAsia="Times New Roman" w:hAnsi="Times New Roman" w:cs="Times New Roman"/>
          <w:color w:val="000000" w:themeColor="text1"/>
          <w:spacing w:val="2"/>
          <w:lang w:eastAsia="ru-RU"/>
        </w:rPr>
        <w:t xml:space="preserve"> проблем, связанных с водой, в основном каса</w:t>
      </w:r>
      <w:r w:rsidR="001843D5" w:rsidRPr="00F0736F">
        <w:rPr>
          <w:rFonts w:ascii="Times New Roman" w:eastAsia="Times New Roman" w:hAnsi="Times New Roman" w:cs="Times New Roman"/>
          <w:color w:val="000000" w:themeColor="text1"/>
          <w:spacing w:val="2"/>
          <w:lang w:eastAsia="ru-RU"/>
        </w:rPr>
        <w:t>е</w:t>
      </w:r>
      <w:r w:rsidRPr="00F0736F">
        <w:rPr>
          <w:rFonts w:ascii="Times New Roman" w:eastAsia="Times New Roman" w:hAnsi="Times New Roman" w:cs="Times New Roman"/>
          <w:color w:val="000000" w:themeColor="text1"/>
          <w:spacing w:val="2"/>
          <w:lang w:eastAsia="ru-RU"/>
        </w:rPr>
        <w:t>тся з</w:t>
      </w:r>
      <w:r w:rsidRPr="00F0736F">
        <w:rPr>
          <w:rFonts w:ascii="Times New Roman" w:eastAsia="Times New Roman" w:hAnsi="Times New Roman" w:cs="Times New Roman"/>
          <w:color w:val="000000" w:themeColor="text1"/>
          <w:spacing w:val="2"/>
          <w:lang w:eastAsia="en-GB"/>
        </w:rPr>
        <w:t>адач</w:t>
      </w:r>
      <w:r w:rsidR="00F160BD" w:rsidRPr="00F0736F">
        <w:rPr>
          <w:rFonts w:ascii="Times New Roman" w:eastAsia="Times New Roman" w:hAnsi="Times New Roman" w:cs="Times New Roman"/>
          <w:color w:val="000000" w:themeColor="text1"/>
          <w:spacing w:val="2"/>
          <w:lang w:eastAsia="en-GB"/>
        </w:rPr>
        <w:t>и</w:t>
      </w:r>
      <w:r w:rsidRPr="00F0736F">
        <w:rPr>
          <w:rFonts w:ascii="Times New Roman" w:eastAsia="Times New Roman" w:hAnsi="Times New Roman" w:cs="Times New Roman"/>
          <w:color w:val="000000" w:themeColor="text1"/>
          <w:spacing w:val="2"/>
          <w:lang w:eastAsia="en-GB"/>
        </w:rPr>
        <w:t xml:space="preserve"> ЦУР 3.9 и отдельны</w:t>
      </w:r>
      <w:r w:rsidR="001843D5" w:rsidRPr="00F0736F">
        <w:rPr>
          <w:rFonts w:ascii="Times New Roman" w:eastAsia="Times New Roman" w:hAnsi="Times New Roman" w:cs="Times New Roman"/>
          <w:color w:val="000000" w:themeColor="text1"/>
          <w:spacing w:val="2"/>
          <w:lang w:eastAsia="en-GB"/>
        </w:rPr>
        <w:t>х</w:t>
      </w:r>
      <w:r w:rsidRPr="00F0736F">
        <w:rPr>
          <w:rFonts w:ascii="Times New Roman" w:eastAsia="Times New Roman" w:hAnsi="Times New Roman" w:cs="Times New Roman"/>
          <w:color w:val="000000" w:themeColor="text1"/>
          <w:spacing w:val="2"/>
          <w:lang w:eastAsia="en-GB"/>
        </w:rPr>
        <w:t xml:space="preserve"> задач по Цели 6 Повестки дня в области устойчивого развития на период до 2030 г (таблица 1.1.</w:t>
      </w:r>
      <w:r w:rsidR="00FC3C14" w:rsidRPr="00F0736F">
        <w:rPr>
          <w:rFonts w:ascii="Times New Roman" w:eastAsia="Times New Roman" w:hAnsi="Times New Roman" w:cs="Times New Roman"/>
          <w:color w:val="000000" w:themeColor="text1"/>
          <w:spacing w:val="2"/>
          <w:lang w:eastAsia="en-GB"/>
        </w:rPr>
        <w:t>5</w:t>
      </w:r>
      <w:r w:rsidR="001843D5" w:rsidRPr="00F0736F">
        <w:rPr>
          <w:rFonts w:ascii="Times New Roman" w:eastAsia="Times New Roman" w:hAnsi="Times New Roman" w:cs="Times New Roman"/>
          <w:color w:val="000000" w:themeColor="text1"/>
          <w:spacing w:val="2"/>
          <w:lang w:eastAsia="en-GB"/>
        </w:rPr>
        <w:t>.</w:t>
      </w:r>
      <w:r w:rsidRPr="00F0736F">
        <w:rPr>
          <w:rFonts w:ascii="Times New Roman" w:eastAsia="Times New Roman" w:hAnsi="Times New Roman" w:cs="Times New Roman"/>
          <w:color w:val="000000" w:themeColor="text1"/>
          <w:spacing w:val="2"/>
          <w:lang w:eastAsia="en-GB"/>
        </w:rPr>
        <w:t xml:space="preserve">). </w:t>
      </w:r>
    </w:p>
    <w:p w14:paraId="3E8A3E7D"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en-GB"/>
        </w:rPr>
        <w:t>В Повестке-2030 водные ресурсы выступают в качестве (зачастую) не признанного, но важного связующего фактора для достижения различных целей в области устойчивого развития (ЦУР). В связи с этим отсутствие мер по адаптации к изменению климата не только ставит под угрозу достижение ЦУР 6 (Водные ресурсы), но и подвергает риску реализацию большинства других ЦУР. ЦУР 13 (Принятие срочных мер по борьбе с изменением климата и его последствиями) включает конкретные задачи и показатели, однако официальный механизм для увязки ЦУР 13 с целями Парижского соглашения отсутствует, что ведет к дублированию усилий</w:t>
      </w:r>
      <w:r w:rsidRPr="00F0736F">
        <w:rPr>
          <w:rStyle w:val="a4"/>
          <w:rFonts w:ascii="Times New Roman" w:eastAsia="Times New Roman" w:hAnsi="Times New Roman" w:cs="Times New Roman"/>
          <w:color w:val="000000" w:themeColor="text1"/>
          <w:spacing w:val="2"/>
          <w:lang w:eastAsia="en-GB"/>
        </w:rPr>
        <w:footnoteReference w:id="17"/>
      </w:r>
      <w:r w:rsidRPr="00F0736F">
        <w:rPr>
          <w:rFonts w:ascii="Times New Roman" w:eastAsia="Times New Roman" w:hAnsi="Times New Roman" w:cs="Times New Roman"/>
          <w:color w:val="000000" w:themeColor="text1"/>
          <w:spacing w:val="2"/>
          <w:lang w:eastAsia="en-GB"/>
        </w:rPr>
        <w:t xml:space="preserve">. </w:t>
      </w:r>
    </w:p>
    <w:p w14:paraId="588C073E"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color w:val="000000" w:themeColor="text1"/>
          <w:spacing w:val="2"/>
          <w:lang w:eastAsia="en-GB"/>
        </w:rPr>
        <w:t>По задаче 3.9 статистические наблюдения ведутся по показателям заболеваемости, связанной с водным путем передачи (холера, брюшной тиф, острые кишечные инфекции). По анализу ОРЭД-3 частота кишечных инфекций, передающихся через воду, невелика в Казахстане. В 2010 г., 2012 г. и 2013 г. было зарегистрировано по одной вспышке острой кишечной инфекции, передающейся через воду, а в 2011 г. был зарегистрирован один случай вирусного гепатита</w:t>
      </w:r>
      <w:r w:rsidRPr="00F0736F">
        <w:rPr>
          <w:rFonts w:ascii="Times New Roman" w:eastAsia="Times New Roman" w:hAnsi="Times New Roman" w:cs="Times New Roman"/>
          <w:color w:val="000000" w:themeColor="text1"/>
          <w:spacing w:val="2"/>
          <w:lang w:eastAsia="en-GB"/>
        </w:rPr>
        <w:t xml:space="preserve"> А. В 2017 г. в 1,0% случаев острых кишечных инфекций источником инфекции была питьевая вода. Причинно-следственная связь между химическим составом воды и распространенностью заболеваний мочевыделительной системы подтверждена в Северо-Казахстанской, Павлодарской и Южно-Казахстанской областях. Значительный рост уролитиаза в г. Алматы и г. Нур-Султан наряду с другими причинами может быть связан с высокой минерализацией и жесткостью питьевой воды</w:t>
      </w:r>
      <w:r w:rsidRPr="00F0736F">
        <w:rPr>
          <w:rStyle w:val="a4"/>
          <w:rFonts w:ascii="Times New Roman" w:eastAsia="Times New Roman" w:hAnsi="Times New Roman" w:cs="Times New Roman"/>
          <w:color w:val="000000" w:themeColor="text1"/>
          <w:spacing w:val="2"/>
          <w:lang w:eastAsia="en-GB"/>
        </w:rPr>
        <w:footnoteReference w:id="18"/>
      </w:r>
      <w:r w:rsidRPr="00F0736F">
        <w:rPr>
          <w:rFonts w:ascii="Times New Roman" w:eastAsia="Times New Roman" w:hAnsi="Times New Roman" w:cs="Times New Roman"/>
          <w:color w:val="000000" w:themeColor="text1"/>
          <w:spacing w:val="2"/>
          <w:lang w:eastAsia="en-GB"/>
        </w:rPr>
        <w:t>.</w:t>
      </w:r>
    </w:p>
    <w:p w14:paraId="0EFEBA75" w14:textId="7F5ACE8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рамках подготовки Казахстана к присоединению к Протоколу по проблемам воды и здоровья, в стране были выработаны 30 целевых показателей, в т.ч. показатели, связанные с сокращением числа случаев заболеваний, передающихся через воду. Среди предложенных показателей показатели 5</w:t>
      </w:r>
      <w:r w:rsidR="00E1583B" w:rsidRPr="00F0736F">
        <w:rPr>
          <w:rFonts w:ascii="Times New Roman" w:hAnsi="Times New Roman" w:cs="Times New Roman"/>
          <w:color w:val="000000" w:themeColor="text1"/>
        </w:rPr>
        <w:t xml:space="preserve"> - </w:t>
      </w:r>
      <w:r w:rsidRPr="00F0736F">
        <w:rPr>
          <w:rFonts w:ascii="Times New Roman" w:hAnsi="Times New Roman" w:cs="Times New Roman"/>
          <w:color w:val="000000" w:themeColor="text1"/>
        </w:rPr>
        <w:t>9 призваны измерять снижение уровня заболеваемости: холерой и брюшным тифом (5), острым вирусным гепатитом (6), дизентерией (7) и острыми кишечными инфекциями (8), а также сокращение масштабов вспышек и случаев заболеваний, связанных с водой (9).</w:t>
      </w:r>
    </w:p>
    <w:p w14:paraId="5D43C151" w14:textId="3DAAB0AE"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2017 г</w:t>
      </w:r>
      <w:r w:rsidR="001843D5"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Казахстан принял участие в первом раунде представления докладов в рамках Конвенции по трансграничным водам, представив Национальный доклад об осуществлении Конвенции и показателя ЦУР 6.5.2. Согласно информации, предоставленной Казахстаном в 2017 г</w:t>
      </w:r>
      <w:r w:rsidR="00E1583B" w:rsidRPr="00F0736F">
        <w:rPr>
          <w:rFonts w:ascii="Times New Roman" w:hAnsi="Times New Roman" w:cs="Times New Roman"/>
          <w:color w:val="000000" w:themeColor="text1"/>
        </w:rPr>
        <w:t xml:space="preserve">оду </w:t>
      </w:r>
      <w:r w:rsidRPr="00F0736F">
        <w:rPr>
          <w:rFonts w:ascii="Times New Roman" w:hAnsi="Times New Roman" w:cs="Times New Roman"/>
          <w:color w:val="000000" w:themeColor="text1"/>
        </w:rPr>
        <w:t>в рамках отчетности</w:t>
      </w:r>
      <w:r w:rsidR="001843D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соответствии с Конвенцией по охране и использованию трансграничных водотоков и международных озер и для глобального показателя 6.5.2, в Казахстане доля площади трансграничных бассейнов, охваченных действующими договоренностями о водном сотрудничестве, составляет 73%. Все поверхностные воды, разделяемые Казахстаном с другими странами, охвачены соглашениями о трансграничных водах, но ни один из 15 трансграничных подземных водоносных горизонтов не охвачен каким-либо соглашением. </w:t>
      </w:r>
    </w:p>
    <w:p w14:paraId="0B5C1DB7"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По </w:t>
      </w:r>
      <w:r w:rsidRPr="00F0736F">
        <w:rPr>
          <w:rFonts w:ascii="Times New Roman" w:eastAsia="Times New Roman" w:hAnsi="Times New Roman" w:cs="Times New Roman"/>
          <w:color w:val="000000" w:themeColor="text1"/>
          <w:spacing w:val="2"/>
          <w:lang w:eastAsia="en-GB"/>
        </w:rPr>
        <w:t xml:space="preserve">ЦУР </w:t>
      </w:r>
      <w:r w:rsidRPr="00F0736F">
        <w:rPr>
          <w:rFonts w:ascii="Times New Roman" w:hAnsi="Times New Roman" w:cs="Times New Roman"/>
          <w:color w:val="000000" w:themeColor="text1"/>
          <w:lang w:eastAsia="en-GB"/>
        </w:rPr>
        <w:t>6 в</w:t>
      </w:r>
      <w:r w:rsidRPr="00F0736F">
        <w:rPr>
          <w:rFonts w:ascii="Times New Roman" w:eastAsia="Times New Roman" w:hAnsi="Times New Roman" w:cs="Times New Roman"/>
          <w:color w:val="000000" w:themeColor="text1"/>
          <w:spacing w:val="2"/>
          <w:lang w:eastAsia="en-GB"/>
        </w:rPr>
        <w:t xml:space="preserve"> настоящее время в Казахстане не отслеживается ряд показателей, аналогичных показателям 6.3.1, 6.4.2, 6.5.1, 6.6.1 и 6b.1. Это связано с отсутствием утвержденной методологии для таких показателей. Данные показатели для Казахстана считаются крайне важными.</w:t>
      </w:r>
    </w:p>
    <w:p w14:paraId="67ECAE6D" w14:textId="1508D9D9" w:rsidR="00F674A4" w:rsidRPr="00F0736F" w:rsidRDefault="00F674A4" w:rsidP="008727D9">
      <w:pPr>
        <w:ind w:firstLine="709"/>
        <w:jc w:val="both"/>
        <w:rPr>
          <w:rFonts w:ascii="Calibri" w:hAnsi="Calibri"/>
          <w:color w:val="000000" w:themeColor="text1"/>
        </w:rPr>
      </w:pPr>
      <w:r w:rsidRPr="00F0736F">
        <w:rPr>
          <w:rFonts w:ascii="Times New Roman" w:eastAsia="Times New Roman" w:hAnsi="Times New Roman" w:cs="Times New Roman"/>
          <w:color w:val="000000" w:themeColor="text1"/>
          <w:spacing w:val="2"/>
          <w:lang w:eastAsia="en-GB"/>
        </w:rPr>
        <w:t>По задачам 6.1 и 6</w:t>
      </w:r>
      <w:r w:rsidR="00EC7A93" w:rsidRPr="00F0736F">
        <w:rPr>
          <w:rFonts w:ascii="Times New Roman" w:eastAsia="Times New Roman" w:hAnsi="Times New Roman" w:cs="Times New Roman"/>
          <w:color w:val="000000" w:themeColor="text1"/>
          <w:spacing w:val="2"/>
          <w:lang w:eastAsia="en-GB"/>
        </w:rPr>
        <w:t>.</w:t>
      </w:r>
      <w:r w:rsidRPr="00F0736F">
        <w:rPr>
          <w:rFonts w:ascii="Times New Roman" w:eastAsia="Times New Roman" w:hAnsi="Times New Roman" w:cs="Times New Roman"/>
          <w:color w:val="000000" w:themeColor="text1"/>
          <w:spacing w:val="2"/>
          <w:lang w:eastAsia="en-GB"/>
        </w:rPr>
        <w:t>2 информация в Казахстане собирается в достаточном объеме, но ОРЭД-3 рекомендует Казахстану расширить сбор данных, касающихся качества воды и провести исследования по гендерным аспектам неравного доступа к водным ресурсам и санитарии. Вместе с тем, в ОРЭД-3 выражается сомнение, что при нынешнем уровне капиталовложений возможно выполнение целевых показателей, поставленных в Стратегическом плане развития до 2025 г</w:t>
      </w:r>
      <w:r w:rsidR="00E1583B" w:rsidRPr="00F0736F">
        <w:rPr>
          <w:rFonts w:ascii="Times New Roman" w:eastAsia="Times New Roman" w:hAnsi="Times New Roman" w:cs="Times New Roman"/>
          <w:color w:val="000000" w:themeColor="text1"/>
          <w:spacing w:val="2"/>
          <w:lang w:eastAsia="en-GB"/>
        </w:rPr>
        <w:t>ода</w:t>
      </w:r>
      <w:r w:rsidRPr="00F0736F">
        <w:rPr>
          <w:rFonts w:ascii="Times New Roman" w:eastAsia="Times New Roman" w:hAnsi="Times New Roman" w:cs="Times New Roman"/>
          <w:color w:val="000000" w:themeColor="text1"/>
          <w:spacing w:val="2"/>
          <w:lang w:eastAsia="en-GB"/>
        </w:rPr>
        <w:t xml:space="preserve"> (достижение к 2025 г</w:t>
      </w:r>
      <w:r w:rsidR="00E1583B" w:rsidRPr="00F0736F">
        <w:rPr>
          <w:rFonts w:ascii="Times New Roman" w:eastAsia="Times New Roman" w:hAnsi="Times New Roman" w:cs="Times New Roman"/>
          <w:color w:val="000000" w:themeColor="text1"/>
          <w:spacing w:val="2"/>
          <w:lang w:eastAsia="en-GB"/>
        </w:rPr>
        <w:t>оду</w:t>
      </w:r>
      <w:r w:rsidRPr="00F0736F">
        <w:rPr>
          <w:rFonts w:ascii="Times New Roman" w:eastAsia="Times New Roman" w:hAnsi="Times New Roman" w:cs="Times New Roman"/>
          <w:color w:val="000000" w:themeColor="text1"/>
          <w:spacing w:val="2"/>
          <w:lang w:eastAsia="en-GB"/>
        </w:rPr>
        <w:t xml:space="preserve"> обеспечения централизованным водоснабжением в городах на уровне 100% и в сельских районах на уровне 80%)</w:t>
      </w:r>
      <w:r w:rsidRPr="00F0736F">
        <w:rPr>
          <w:rStyle w:val="a4"/>
          <w:rFonts w:ascii="Times New Roman" w:eastAsia="Times New Roman" w:hAnsi="Times New Roman" w:cs="Times New Roman"/>
          <w:color w:val="000000" w:themeColor="text1"/>
          <w:spacing w:val="2"/>
          <w:lang w:eastAsia="en-GB"/>
        </w:rPr>
        <w:footnoteReference w:id="19"/>
      </w:r>
      <w:r w:rsidRPr="00F0736F">
        <w:rPr>
          <w:rFonts w:ascii="Times New Roman" w:eastAsia="Times New Roman" w:hAnsi="Times New Roman" w:cs="Times New Roman"/>
          <w:color w:val="000000" w:themeColor="text1"/>
          <w:spacing w:val="2"/>
          <w:lang w:eastAsia="en-GB"/>
        </w:rPr>
        <w:t xml:space="preserve">. </w:t>
      </w:r>
    </w:p>
    <w:p w14:paraId="7DEC673B" w14:textId="77777777" w:rsidR="00EC7A93" w:rsidRPr="00F0736F" w:rsidRDefault="00EC7A93" w:rsidP="008727D9">
      <w:pPr>
        <w:ind w:firstLine="709"/>
        <w:jc w:val="both"/>
        <w:rPr>
          <w:rFonts w:ascii="Calibri" w:hAnsi="Calibri"/>
          <w:color w:val="000000" w:themeColor="text1"/>
        </w:rPr>
      </w:pPr>
    </w:p>
    <w:p w14:paraId="71414841" w14:textId="77777777" w:rsidR="00F674A4" w:rsidRPr="00F0736F" w:rsidRDefault="00F674A4" w:rsidP="008727D9">
      <w:pPr>
        <w:ind w:firstLine="709"/>
        <w:jc w:val="both"/>
        <w:rPr>
          <w:bCs/>
          <w:color w:val="000000" w:themeColor="text1"/>
        </w:rPr>
      </w:pPr>
      <w:r w:rsidRPr="00F0736F">
        <w:rPr>
          <w:rFonts w:ascii="Times New Roman" w:hAnsi="Times New Roman" w:cs="Times New Roman"/>
          <w:bCs/>
          <w:color w:val="000000" w:themeColor="text1"/>
        </w:rPr>
        <w:t>Таблица 1.1.</w:t>
      </w:r>
      <w:r w:rsidR="00FC3C14" w:rsidRPr="00F0736F">
        <w:rPr>
          <w:rFonts w:ascii="Times New Roman" w:hAnsi="Times New Roman" w:cs="Times New Roman"/>
          <w:bCs/>
          <w:color w:val="000000" w:themeColor="text1"/>
        </w:rPr>
        <w:t>5</w:t>
      </w:r>
      <w:r w:rsidRPr="00F0736F">
        <w:rPr>
          <w:rFonts w:ascii="Times New Roman" w:hAnsi="Times New Roman" w:cs="Times New Roman"/>
          <w:bCs/>
          <w:color w:val="000000" w:themeColor="text1"/>
        </w:rPr>
        <w:t>. Проблемы достижения ЦУР, связанных с водой</w:t>
      </w:r>
    </w:p>
    <w:p w14:paraId="707DCF56" w14:textId="77777777" w:rsidR="00F674A4" w:rsidRPr="00F0736F" w:rsidRDefault="00F674A4" w:rsidP="008727D9">
      <w:pPr>
        <w:ind w:firstLine="709"/>
        <w:jc w:val="both"/>
        <w:rPr>
          <w:rFonts w:ascii="Times New Roman" w:hAnsi="Times New Roman" w:cs="Times New Roman"/>
          <w:color w:val="000000" w:themeColor="text1"/>
        </w:rPr>
      </w:pPr>
    </w:p>
    <w:tbl>
      <w:tblPr>
        <w:tblW w:w="9781" w:type="dxa"/>
        <w:tblInd w:w="108" w:type="dxa"/>
        <w:tblLayout w:type="fixed"/>
        <w:tblLook w:val="0000" w:firstRow="0" w:lastRow="0" w:firstColumn="0" w:lastColumn="0" w:noHBand="0" w:noVBand="0"/>
      </w:tblPr>
      <w:tblGrid>
        <w:gridCol w:w="2410"/>
        <w:gridCol w:w="1980"/>
        <w:gridCol w:w="1989"/>
        <w:gridCol w:w="1815"/>
        <w:gridCol w:w="1587"/>
      </w:tblGrid>
      <w:tr w:rsidR="00F0736F" w:rsidRPr="00F0736F" w14:paraId="53B00960" w14:textId="77777777" w:rsidTr="00FC3C14">
        <w:tc>
          <w:tcPr>
            <w:tcW w:w="2410" w:type="dxa"/>
            <w:tcBorders>
              <w:top w:val="single" w:sz="4" w:space="0" w:color="000000"/>
              <w:left w:val="single" w:sz="4" w:space="0" w:color="000000"/>
              <w:bottom w:val="single" w:sz="4" w:space="0" w:color="000000"/>
            </w:tcBorders>
            <w:shd w:val="clear" w:color="auto" w:fill="auto"/>
          </w:tcPr>
          <w:p w14:paraId="2587FB79" w14:textId="77777777" w:rsidR="00F674A4" w:rsidRPr="00F0736F" w:rsidRDefault="00F674A4" w:rsidP="00E1583B">
            <w:pPr>
              <w:ind w:firstLine="34"/>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1980" w:type="dxa"/>
            <w:tcBorders>
              <w:top w:val="single" w:sz="4" w:space="0" w:color="000000"/>
              <w:left w:val="single" w:sz="4" w:space="0" w:color="000000"/>
              <w:bottom w:val="single" w:sz="4" w:space="0" w:color="000000"/>
            </w:tcBorders>
            <w:shd w:val="clear" w:color="auto" w:fill="auto"/>
          </w:tcPr>
          <w:p w14:paraId="6CC713B7" w14:textId="77777777" w:rsidR="00F674A4" w:rsidRPr="00F0736F" w:rsidRDefault="00F674A4" w:rsidP="00E1583B">
            <w:pPr>
              <w:ind w:firstLine="34"/>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989" w:type="dxa"/>
            <w:tcBorders>
              <w:top w:val="single" w:sz="4" w:space="0" w:color="000000"/>
              <w:left w:val="single" w:sz="4" w:space="0" w:color="000000"/>
              <w:bottom w:val="single" w:sz="4" w:space="0" w:color="000000"/>
            </w:tcBorders>
            <w:shd w:val="clear" w:color="auto" w:fill="auto"/>
          </w:tcPr>
          <w:p w14:paraId="2C4C4D9D" w14:textId="77777777" w:rsidR="00F674A4" w:rsidRPr="00F0736F" w:rsidRDefault="00F674A4" w:rsidP="00E1583B">
            <w:pPr>
              <w:ind w:firstLine="34"/>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815" w:type="dxa"/>
            <w:tcBorders>
              <w:top w:val="single" w:sz="4" w:space="0" w:color="000000"/>
              <w:left w:val="single" w:sz="4" w:space="0" w:color="000000"/>
              <w:bottom w:val="single" w:sz="4" w:space="0" w:color="000000"/>
            </w:tcBorders>
            <w:shd w:val="clear" w:color="auto" w:fill="auto"/>
          </w:tcPr>
          <w:p w14:paraId="064A5CE0" w14:textId="77777777" w:rsidR="00F674A4" w:rsidRPr="00F0736F" w:rsidRDefault="00F674A4" w:rsidP="00E1583B">
            <w:pPr>
              <w:ind w:firstLine="34"/>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6DD9B2DF" w14:textId="77777777" w:rsidR="00F674A4" w:rsidRPr="00F0736F" w:rsidRDefault="00F674A4" w:rsidP="00E1583B">
            <w:pPr>
              <w:ind w:firstLine="34"/>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62555534" w14:textId="77777777" w:rsidTr="00FC3C14">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14:paraId="2364852A" w14:textId="77777777" w:rsidR="00F674A4" w:rsidRPr="00F0736F" w:rsidRDefault="00F674A4" w:rsidP="00E1583B">
            <w:pPr>
              <w:jc w:val="center"/>
              <w:rPr>
                <w:color w:val="000000" w:themeColor="text1"/>
              </w:rPr>
            </w:pPr>
            <w:r w:rsidRPr="00F0736F">
              <w:rPr>
                <w:rFonts w:ascii="Times New Roman" w:eastAsia="Calibri" w:hAnsi="Times New Roman" w:cs="Times New Roman"/>
                <w:color w:val="000000" w:themeColor="text1"/>
                <w:sz w:val="20"/>
                <w:szCs w:val="20"/>
              </w:rPr>
              <w:t>ЦУР 3. Обеспечение здорового образа жизни и содействие благополучию для всех в любом возрасте</w:t>
            </w:r>
          </w:p>
        </w:tc>
      </w:tr>
      <w:tr w:rsidR="00F0736F" w:rsidRPr="00F0736F" w14:paraId="409E96CA" w14:textId="77777777" w:rsidTr="00FC3C14">
        <w:tc>
          <w:tcPr>
            <w:tcW w:w="2410" w:type="dxa"/>
            <w:tcBorders>
              <w:top w:val="single" w:sz="4" w:space="0" w:color="000000"/>
              <w:left w:val="single" w:sz="4" w:space="0" w:color="000000"/>
              <w:bottom w:val="single" w:sz="4" w:space="0" w:color="000000"/>
            </w:tcBorders>
            <w:shd w:val="clear" w:color="auto" w:fill="auto"/>
          </w:tcPr>
          <w:p w14:paraId="7EB28786" w14:textId="0AC27356"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Задача 3.9. К 2030 году существенно сократить количество случаев смерти и заболевания в результате воздействия опасных химических веществ</w:t>
            </w:r>
            <w:r w:rsidR="00E1583B"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загрязнения и отравления воздуха, воды и почв </w:t>
            </w:r>
          </w:p>
        </w:tc>
        <w:tc>
          <w:tcPr>
            <w:tcW w:w="1980" w:type="dxa"/>
            <w:tcBorders>
              <w:top w:val="single" w:sz="4" w:space="0" w:color="000000"/>
              <w:left w:val="single" w:sz="4" w:space="0" w:color="000000"/>
              <w:bottom w:val="single" w:sz="4" w:space="0" w:color="000000"/>
            </w:tcBorders>
            <w:shd w:val="clear" w:color="auto" w:fill="auto"/>
          </w:tcPr>
          <w:p w14:paraId="22062581" w14:textId="77777777" w:rsidR="00F674A4" w:rsidRPr="00F0736F" w:rsidRDefault="00F674A4" w:rsidP="00F6387D">
            <w:pPr>
              <w:jc w:val="both"/>
              <w:rPr>
                <w:color w:val="000000" w:themeColor="text1"/>
              </w:rPr>
            </w:pPr>
            <w:r w:rsidRPr="00F0736F">
              <w:rPr>
                <w:rFonts w:ascii="Times New Roman" w:eastAsia="Times New Roman" w:hAnsi="Times New Roman" w:cs="Times New Roman"/>
                <w:color w:val="000000" w:themeColor="text1"/>
                <w:spacing w:val="2"/>
                <w:sz w:val="20"/>
                <w:szCs w:val="20"/>
                <w:lang w:eastAsia="en-GB"/>
              </w:rPr>
              <w:t xml:space="preserve">3.9.2 (смертность от </w:t>
            </w:r>
            <w:r w:rsidRPr="00F0736F">
              <w:rPr>
                <w:rFonts w:ascii="Times New Roman" w:eastAsia="Times New Roman" w:hAnsi="Times New Roman" w:cs="Times New Roman"/>
                <w:bCs/>
                <w:color w:val="000000" w:themeColor="text1"/>
                <w:spacing w:val="2"/>
                <w:sz w:val="20"/>
                <w:szCs w:val="20"/>
                <w:lang w:eastAsia="en-GB"/>
              </w:rPr>
              <w:t>отсутствия безопасной воды, безопасной санитарии и гигиены (от отсутствия безопасных услуг в области водоснабжения, санитарии и гигиены)</w:t>
            </w:r>
          </w:p>
        </w:tc>
        <w:tc>
          <w:tcPr>
            <w:tcW w:w="1989" w:type="dxa"/>
            <w:tcBorders>
              <w:top w:val="single" w:sz="4" w:space="0" w:color="000000"/>
              <w:left w:val="single" w:sz="4" w:space="0" w:color="000000"/>
              <w:bottom w:val="single" w:sz="4" w:space="0" w:color="000000"/>
            </w:tcBorders>
            <w:shd w:val="clear" w:color="auto" w:fill="auto"/>
          </w:tcPr>
          <w:p w14:paraId="60D98939"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Прямых показателей нет.</w:t>
            </w:r>
          </w:p>
          <w:p w14:paraId="147234DD"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7C62BE00"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Отслеживаются показатели заболеваемости, связанной с водным путем передачи (холера, брюшной тиф, острые кишечные инфекции)</w:t>
            </w:r>
          </w:p>
        </w:tc>
        <w:tc>
          <w:tcPr>
            <w:tcW w:w="1815" w:type="dxa"/>
            <w:tcBorders>
              <w:top w:val="single" w:sz="4" w:space="0" w:color="000000"/>
              <w:left w:val="single" w:sz="4" w:space="0" w:color="000000"/>
              <w:bottom w:val="single" w:sz="4" w:space="0" w:color="000000"/>
            </w:tcBorders>
            <w:shd w:val="clear" w:color="auto" w:fill="auto"/>
          </w:tcPr>
          <w:p w14:paraId="731FFD48" w14:textId="0F9A08BE"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Необходимо снижение уровня заболеваемости: холерой и брюшным тифом, острым вирусным гепатитом, дизентерией и острыми кишечными инфекциями, а также сокращение масштабов вспышек и случаев заболеваний, связанных с водой</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2D44B9F4" w14:textId="4B1459D9"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Количество случаев смерти и заболевания в результате воздействия опасных химических веществ</w:t>
            </w:r>
            <w:r w:rsidR="00E1583B"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загрязнения и отравления воздуха, воды и почв</w:t>
            </w:r>
          </w:p>
        </w:tc>
      </w:tr>
      <w:tr w:rsidR="00F0736F" w:rsidRPr="00F0736F" w14:paraId="19FA9822" w14:textId="77777777" w:rsidTr="00FC3C14">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14:paraId="1F0B925C" w14:textId="77777777" w:rsidR="00F674A4" w:rsidRPr="00F0736F" w:rsidRDefault="00F674A4" w:rsidP="00E1583B">
            <w:pPr>
              <w:jc w:val="center"/>
              <w:rPr>
                <w:color w:val="000000" w:themeColor="text1"/>
              </w:rPr>
            </w:pPr>
            <w:r w:rsidRPr="00F0736F">
              <w:rPr>
                <w:rFonts w:ascii="Times New Roman" w:hAnsi="Times New Roman" w:cs="Times New Roman"/>
                <w:color w:val="000000" w:themeColor="text1"/>
                <w:sz w:val="20"/>
                <w:szCs w:val="20"/>
              </w:rPr>
              <w:t>ЦУР 6. Обеспечение наличия и рационального использования водных ресурсов и санитарии для всех</w:t>
            </w:r>
          </w:p>
        </w:tc>
      </w:tr>
      <w:tr w:rsidR="00F0736F" w:rsidRPr="00F0736F" w14:paraId="350A982E" w14:textId="77777777" w:rsidTr="00FC3C14">
        <w:tc>
          <w:tcPr>
            <w:tcW w:w="2410" w:type="dxa"/>
            <w:tcBorders>
              <w:top w:val="single" w:sz="4" w:space="0" w:color="000000"/>
              <w:left w:val="single" w:sz="4" w:space="0" w:color="000000"/>
              <w:bottom w:val="single" w:sz="4" w:space="0" w:color="000000"/>
            </w:tcBorders>
            <w:shd w:val="clear" w:color="auto" w:fill="auto"/>
          </w:tcPr>
          <w:p w14:paraId="3DAB197B"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Задача 6.1. К 2030 г. обеспечить всеобщий и равноправный доступ к безопасной и недорогой питьевой воде для всех</w:t>
            </w:r>
          </w:p>
        </w:tc>
        <w:tc>
          <w:tcPr>
            <w:tcW w:w="1980" w:type="dxa"/>
            <w:tcBorders>
              <w:top w:val="single" w:sz="4" w:space="0" w:color="000000"/>
              <w:left w:val="single" w:sz="4" w:space="0" w:color="000000"/>
              <w:bottom w:val="single" w:sz="4" w:space="0" w:color="000000"/>
            </w:tcBorders>
            <w:shd w:val="clear" w:color="auto" w:fill="auto"/>
          </w:tcPr>
          <w:p w14:paraId="67FD684F"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6.1.1 Доля населения, пользующегося услугами водоснабжения, организованного с соблюдением требований безопасности</w:t>
            </w:r>
          </w:p>
        </w:tc>
        <w:tc>
          <w:tcPr>
            <w:tcW w:w="1989" w:type="dxa"/>
            <w:tcBorders>
              <w:top w:val="single" w:sz="4" w:space="0" w:color="000000"/>
              <w:left w:val="single" w:sz="4" w:space="0" w:color="000000"/>
              <w:bottom w:val="single" w:sz="4" w:space="0" w:color="000000"/>
            </w:tcBorders>
            <w:shd w:val="clear" w:color="auto" w:fill="auto"/>
          </w:tcPr>
          <w:p w14:paraId="7F979CBA"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Обеспеченность централизованным водоснабжением в Республике Казахстан в городах и в селах</w:t>
            </w:r>
          </w:p>
        </w:tc>
        <w:tc>
          <w:tcPr>
            <w:tcW w:w="1815" w:type="dxa"/>
            <w:tcBorders>
              <w:top w:val="single" w:sz="4" w:space="0" w:color="000000"/>
              <w:left w:val="single" w:sz="4" w:space="0" w:color="000000"/>
              <w:bottom w:val="single" w:sz="4" w:space="0" w:color="000000"/>
            </w:tcBorders>
            <w:shd w:val="clear" w:color="auto" w:fill="auto"/>
          </w:tcPr>
          <w:p w14:paraId="76647956"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Необходимо увеличение финансирования</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078FDC7F"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w:t>
            </w:r>
          </w:p>
        </w:tc>
      </w:tr>
      <w:tr w:rsidR="00F0736F" w:rsidRPr="00F0736F" w14:paraId="2B37A6F7" w14:textId="77777777" w:rsidTr="00FC3C14">
        <w:tc>
          <w:tcPr>
            <w:tcW w:w="2410" w:type="dxa"/>
            <w:tcBorders>
              <w:top w:val="single" w:sz="4" w:space="0" w:color="000000"/>
              <w:left w:val="single" w:sz="4" w:space="0" w:color="000000"/>
              <w:bottom w:val="single" w:sz="4" w:space="0" w:color="000000"/>
            </w:tcBorders>
            <w:shd w:val="clear" w:color="auto" w:fill="auto"/>
          </w:tcPr>
          <w:p w14:paraId="727CDE58"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Задача 6</w:t>
            </w:r>
            <w:r w:rsidR="005816A5"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2. К 2030 г. обеспечить всеобщий и равноправный доступ к надлежащим санитарно-гигиеническим средствам и положить конец открытой дефекации, уделяя особое внимание потребностям женщин и девочек и лиц, находящихся в уязвимом положении</w:t>
            </w:r>
          </w:p>
        </w:tc>
        <w:tc>
          <w:tcPr>
            <w:tcW w:w="1980" w:type="dxa"/>
            <w:tcBorders>
              <w:top w:val="single" w:sz="4" w:space="0" w:color="000000"/>
              <w:left w:val="single" w:sz="4" w:space="0" w:color="000000"/>
              <w:bottom w:val="single" w:sz="4" w:space="0" w:color="000000"/>
            </w:tcBorders>
            <w:shd w:val="clear" w:color="auto" w:fill="auto"/>
          </w:tcPr>
          <w:p w14:paraId="3B6ADAAB"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6.2.1 Доля населения, использующего организованные с соблюдением требований безопасности услуги санитарии, включая устройства для мытья рук с мылом и водой</w:t>
            </w:r>
          </w:p>
        </w:tc>
        <w:tc>
          <w:tcPr>
            <w:tcW w:w="1989" w:type="dxa"/>
            <w:tcBorders>
              <w:top w:val="single" w:sz="4" w:space="0" w:color="000000"/>
              <w:left w:val="single" w:sz="4" w:space="0" w:color="000000"/>
              <w:bottom w:val="single" w:sz="4" w:space="0" w:color="000000"/>
            </w:tcBorders>
            <w:shd w:val="clear" w:color="auto" w:fill="auto"/>
          </w:tcPr>
          <w:p w14:paraId="0D539FFA"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Протяженность сетей канализации в городах и сельской местности</w:t>
            </w:r>
          </w:p>
        </w:tc>
        <w:tc>
          <w:tcPr>
            <w:tcW w:w="1815" w:type="dxa"/>
            <w:tcBorders>
              <w:top w:val="single" w:sz="4" w:space="0" w:color="000000"/>
              <w:left w:val="single" w:sz="4" w:space="0" w:color="000000"/>
              <w:bottom w:val="single" w:sz="4" w:space="0" w:color="000000"/>
            </w:tcBorders>
            <w:shd w:val="clear" w:color="auto" w:fill="auto"/>
          </w:tcPr>
          <w:p w14:paraId="5C2CE2BB"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Необходимо увеличение финансирования</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41030084"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w:t>
            </w:r>
          </w:p>
        </w:tc>
      </w:tr>
      <w:tr w:rsidR="00F0736F" w:rsidRPr="00F0736F" w14:paraId="23675599" w14:textId="77777777" w:rsidTr="00FC3C14">
        <w:tc>
          <w:tcPr>
            <w:tcW w:w="2410" w:type="dxa"/>
            <w:tcBorders>
              <w:top w:val="single" w:sz="4" w:space="0" w:color="000000"/>
              <w:left w:val="single" w:sz="4" w:space="0" w:color="000000"/>
              <w:bottom w:val="single" w:sz="4" w:space="0" w:color="000000"/>
            </w:tcBorders>
            <w:shd w:val="clear" w:color="auto" w:fill="auto"/>
          </w:tcPr>
          <w:p w14:paraId="110D117F"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Задача 6.3. 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w:t>
            </w:r>
          </w:p>
        </w:tc>
        <w:tc>
          <w:tcPr>
            <w:tcW w:w="1980" w:type="dxa"/>
            <w:tcBorders>
              <w:top w:val="single" w:sz="4" w:space="0" w:color="000000"/>
              <w:left w:val="single" w:sz="4" w:space="0" w:color="000000"/>
              <w:bottom w:val="single" w:sz="4" w:space="0" w:color="000000"/>
            </w:tcBorders>
            <w:shd w:val="clear" w:color="auto" w:fill="auto"/>
          </w:tcPr>
          <w:p w14:paraId="3D64FEB7"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6.3.1 Доля безопасно очищаемых сточных вод</w:t>
            </w:r>
          </w:p>
          <w:p w14:paraId="668C9A8E"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3B121EE4"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6.3.2 Доля водоемов с хорошим качеством воды</w:t>
            </w:r>
          </w:p>
        </w:tc>
        <w:tc>
          <w:tcPr>
            <w:tcW w:w="1989" w:type="dxa"/>
            <w:tcBorders>
              <w:top w:val="single" w:sz="4" w:space="0" w:color="000000"/>
              <w:left w:val="single" w:sz="4" w:space="0" w:color="000000"/>
              <w:bottom w:val="single" w:sz="4" w:space="0" w:color="000000"/>
            </w:tcBorders>
            <w:shd w:val="clear" w:color="auto" w:fill="auto"/>
          </w:tcPr>
          <w:p w14:paraId="4137DA7C"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Количество сточных вод в городах и сельской местности, в т. ч. количество очищенных сточных вод</w:t>
            </w:r>
          </w:p>
          <w:p w14:paraId="16C58FBB"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3427B3C1"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Перечень водоемов с хорошим качеством воды</w:t>
            </w:r>
          </w:p>
        </w:tc>
        <w:tc>
          <w:tcPr>
            <w:tcW w:w="1815" w:type="dxa"/>
            <w:tcBorders>
              <w:top w:val="single" w:sz="4" w:space="0" w:color="000000"/>
              <w:left w:val="single" w:sz="4" w:space="0" w:color="000000"/>
              <w:bottom w:val="single" w:sz="4" w:space="0" w:color="000000"/>
            </w:tcBorders>
            <w:shd w:val="clear" w:color="auto" w:fill="auto"/>
          </w:tcPr>
          <w:p w14:paraId="7227BD24"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Необходимо увеличение финансирования</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798FF999" w14:textId="77777777" w:rsidR="00F674A4" w:rsidRPr="00F0736F" w:rsidRDefault="00F674A4" w:rsidP="00F6387D">
            <w:pPr>
              <w:jc w:val="both"/>
              <w:rPr>
                <w:color w:val="000000" w:themeColor="text1"/>
              </w:rPr>
            </w:pPr>
            <w:r w:rsidRPr="00F0736F">
              <w:rPr>
                <w:rFonts w:ascii="Times New Roman" w:hAnsi="Times New Roman" w:cs="Times New Roman"/>
                <w:color w:val="000000" w:themeColor="text1"/>
                <w:sz w:val="20"/>
                <w:szCs w:val="20"/>
              </w:rPr>
              <w:t>Доля водоемов с хорошим качеством воды в соответствии с международными критериями</w:t>
            </w:r>
          </w:p>
        </w:tc>
      </w:tr>
      <w:tr w:rsidR="00F0736F" w:rsidRPr="00F0736F" w14:paraId="2781ED15" w14:textId="77777777" w:rsidTr="00FC3C14">
        <w:tc>
          <w:tcPr>
            <w:tcW w:w="2410" w:type="dxa"/>
            <w:tcBorders>
              <w:top w:val="single" w:sz="4" w:space="0" w:color="000000"/>
              <w:left w:val="single" w:sz="4" w:space="0" w:color="000000"/>
              <w:bottom w:val="single" w:sz="4" w:space="0" w:color="000000"/>
            </w:tcBorders>
            <w:shd w:val="clear" w:color="auto" w:fill="auto"/>
          </w:tcPr>
          <w:p w14:paraId="4E4BA187"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Задача 6.4. К 2030 году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и значительного сокращения числа людей, страдающих от нехватки воды</w:t>
            </w:r>
          </w:p>
        </w:tc>
        <w:tc>
          <w:tcPr>
            <w:tcW w:w="1980" w:type="dxa"/>
            <w:tcBorders>
              <w:top w:val="single" w:sz="4" w:space="0" w:color="000000"/>
              <w:left w:val="single" w:sz="4" w:space="0" w:color="000000"/>
              <w:bottom w:val="single" w:sz="4" w:space="0" w:color="000000"/>
            </w:tcBorders>
            <w:shd w:val="clear" w:color="auto" w:fill="auto"/>
          </w:tcPr>
          <w:p w14:paraId="468094CE"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6.4.1 Динамика изменения эффективности водопользования</w:t>
            </w:r>
          </w:p>
          <w:p w14:paraId="4DD977BB"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6.4.2 Уровень нагрузки на водные ресурсы: забор пресной воды в процентном отношении к имеющимся запасам пресной воды</w:t>
            </w:r>
          </w:p>
        </w:tc>
        <w:tc>
          <w:tcPr>
            <w:tcW w:w="1989" w:type="dxa"/>
            <w:tcBorders>
              <w:top w:val="single" w:sz="4" w:space="0" w:color="000000"/>
              <w:left w:val="single" w:sz="4" w:space="0" w:color="000000"/>
              <w:bottom w:val="single" w:sz="4" w:space="0" w:color="000000"/>
            </w:tcBorders>
            <w:shd w:val="clear" w:color="auto" w:fill="auto"/>
          </w:tcPr>
          <w:p w14:paraId="2AD3130E"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Динамика изменения эффективности водопользования по видам экономической деятельности</w:t>
            </w:r>
          </w:p>
          <w:p w14:paraId="7E8EDCEB"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Забор пресной воды по отраслям</w:t>
            </w:r>
          </w:p>
        </w:tc>
        <w:tc>
          <w:tcPr>
            <w:tcW w:w="1815" w:type="dxa"/>
            <w:tcBorders>
              <w:top w:val="single" w:sz="4" w:space="0" w:color="000000"/>
              <w:left w:val="single" w:sz="4" w:space="0" w:color="000000"/>
              <w:bottom w:val="single" w:sz="4" w:space="0" w:color="000000"/>
            </w:tcBorders>
            <w:shd w:val="clear" w:color="auto" w:fill="auto"/>
          </w:tcPr>
          <w:p w14:paraId="49BE2599"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1EB52CBC"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0736F" w:rsidRPr="00F0736F" w14:paraId="4C353747" w14:textId="77777777" w:rsidTr="00FC3C14">
        <w:tc>
          <w:tcPr>
            <w:tcW w:w="2410" w:type="dxa"/>
            <w:tcBorders>
              <w:top w:val="single" w:sz="4" w:space="0" w:color="000000"/>
              <w:left w:val="single" w:sz="4" w:space="0" w:color="000000"/>
              <w:bottom w:val="single" w:sz="4" w:space="0" w:color="000000"/>
            </w:tcBorders>
            <w:shd w:val="clear" w:color="auto" w:fill="auto"/>
          </w:tcPr>
          <w:p w14:paraId="3E710EBA"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Задача 6.5. К 2030 году обеспечить комплексное управление водными ресурсами на всех уровнях, в том числе, при необходимости, на основе трансграничного сотрудничества</w:t>
            </w:r>
          </w:p>
        </w:tc>
        <w:tc>
          <w:tcPr>
            <w:tcW w:w="1980" w:type="dxa"/>
            <w:tcBorders>
              <w:top w:val="single" w:sz="4" w:space="0" w:color="000000"/>
              <w:left w:val="single" w:sz="4" w:space="0" w:color="000000"/>
              <w:bottom w:val="single" w:sz="4" w:space="0" w:color="000000"/>
            </w:tcBorders>
            <w:shd w:val="clear" w:color="auto" w:fill="auto"/>
          </w:tcPr>
          <w:p w14:paraId="124ED615"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6.5.1 Степень внедрения комплексного управления водными ресурсами (от 0 до 100)</w:t>
            </w:r>
          </w:p>
          <w:p w14:paraId="7577954E"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6.5.2 Доля трансграничных водных бассейнов, охваченных действующими договоренностями о сотрудничестве в области водопользования</w:t>
            </w:r>
          </w:p>
        </w:tc>
        <w:tc>
          <w:tcPr>
            <w:tcW w:w="1989" w:type="dxa"/>
            <w:tcBorders>
              <w:top w:val="single" w:sz="4" w:space="0" w:color="000000"/>
              <w:left w:val="single" w:sz="4" w:space="0" w:color="000000"/>
              <w:bottom w:val="single" w:sz="4" w:space="0" w:color="000000"/>
            </w:tcBorders>
            <w:shd w:val="clear" w:color="auto" w:fill="auto"/>
          </w:tcPr>
          <w:p w14:paraId="07A7BB97"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В Казахстане уже внедрено бассейновое управление.</w:t>
            </w:r>
          </w:p>
          <w:p w14:paraId="48D432D9" w14:textId="77777777" w:rsidR="00F674A4" w:rsidRPr="00F0736F" w:rsidRDefault="00F674A4" w:rsidP="00EF5C9C">
            <w:pPr>
              <w:ind w:firstLine="709"/>
              <w:jc w:val="both"/>
              <w:rPr>
                <w:rFonts w:ascii="Times New Roman" w:hAnsi="Times New Roman" w:cs="Times New Roman"/>
                <w:color w:val="000000" w:themeColor="text1"/>
                <w:sz w:val="20"/>
                <w:szCs w:val="20"/>
              </w:rPr>
            </w:pPr>
          </w:p>
          <w:p w14:paraId="0FAF8201"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Доля трансграничных водных бассейнов, охваченных действующими договоренностями о сотрудничестве в области водопользования</w:t>
            </w:r>
          </w:p>
          <w:p w14:paraId="5B1B2BAA" w14:textId="77777777" w:rsidR="00F674A4" w:rsidRPr="00F0736F" w:rsidRDefault="00F674A4" w:rsidP="00EF5C9C">
            <w:pPr>
              <w:ind w:firstLine="709"/>
              <w:jc w:val="both"/>
              <w:rPr>
                <w:rFonts w:ascii="Times New Roman" w:hAnsi="Times New Roman" w:cs="Times New Roman"/>
                <w:color w:val="000000" w:themeColor="text1"/>
                <w:sz w:val="20"/>
                <w:szCs w:val="20"/>
              </w:rPr>
            </w:pPr>
          </w:p>
        </w:tc>
        <w:tc>
          <w:tcPr>
            <w:tcW w:w="1815" w:type="dxa"/>
            <w:tcBorders>
              <w:top w:val="single" w:sz="4" w:space="0" w:color="000000"/>
              <w:left w:val="single" w:sz="4" w:space="0" w:color="000000"/>
              <w:bottom w:val="single" w:sz="4" w:space="0" w:color="000000"/>
            </w:tcBorders>
            <w:shd w:val="clear" w:color="auto" w:fill="auto"/>
          </w:tcPr>
          <w:p w14:paraId="3C6707A7"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579D64EA"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0736F" w:rsidRPr="00F0736F" w14:paraId="63A3ABD6" w14:textId="77777777" w:rsidTr="00FC3C14">
        <w:tc>
          <w:tcPr>
            <w:tcW w:w="2410" w:type="dxa"/>
            <w:tcBorders>
              <w:top w:val="single" w:sz="4" w:space="0" w:color="000000"/>
              <w:left w:val="single" w:sz="4" w:space="0" w:color="000000"/>
              <w:bottom w:val="single" w:sz="4" w:space="0" w:color="000000"/>
            </w:tcBorders>
            <w:shd w:val="clear" w:color="auto" w:fill="auto"/>
          </w:tcPr>
          <w:p w14:paraId="30968991"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Задача 6.6. К 2020 году обеспечить охрану и восстановление связанных с водой экосистем, в том числе гор, лесов, водно-болотных угодий, рек, водоносных слоев и озер</w:t>
            </w:r>
          </w:p>
        </w:tc>
        <w:tc>
          <w:tcPr>
            <w:tcW w:w="1980" w:type="dxa"/>
            <w:tcBorders>
              <w:top w:val="single" w:sz="4" w:space="0" w:color="000000"/>
              <w:left w:val="single" w:sz="4" w:space="0" w:color="000000"/>
              <w:bottom w:val="single" w:sz="4" w:space="0" w:color="000000"/>
            </w:tcBorders>
            <w:shd w:val="clear" w:color="auto" w:fill="auto"/>
          </w:tcPr>
          <w:p w14:paraId="1A28534C"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6.6.1 Динамика изменения площади связанных с водой экосистем</w:t>
            </w:r>
          </w:p>
        </w:tc>
        <w:tc>
          <w:tcPr>
            <w:tcW w:w="1989" w:type="dxa"/>
            <w:tcBorders>
              <w:top w:val="single" w:sz="4" w:space="0" w:color="000000"/>
              <w:left w:val="single" w:sz="4" w:space="0" w:color="000000"/>
              <w:bottom w:val="single" w:sz="4" w:space="0" w:color="000000"/>
            </w:tcBorders>
            <w:shd w:val="clear" w:color="auto" w:fill="auto"/>
          </w:tcPr>
          <w:p w14:paraId="1810595D"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Площадь земель водного фонда</w:t>
            </w:r>
          </w:p>
        </w:tc>
        <w:tc>
          <w:tcPr>
            <w:tcW w:w="1815" w:type="dxa"/>
            <w:tcBorders>
              <w:top w:val="single" w:sz="4" w:space="0" w:color="000000"/>
              <w:left w:val="single" w:sz="4" w:space="0" w:color="000000"/>
              <w:bottom w:val="single" w:sz="4" w:space="0" w:color="000000"/>
            </w:tcBorders>
            <w:shd w:val="clear" w:color="auto" w:fill="auto"/>
          </w:tcPr>
          <w:p w14:paraId="4640F497"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44F41A59"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0736F" w:rsidRPr="00F0736F" w14:paraId="30E28979" w14:textId="77777777" w:rsidTr="00FC3C14">
        <w:tc>
          <w:tcPr>
            <w:tcW w:w="2410" w:type="dxa"/>
            <w:tcBorders>
              <w:top w:val="single" w:sz="4" w:space="0" w:color="000000"/>
              <w:left w:val="single" w:sz="4" w:space="0" w:color="000000"/>
              <w:bottom w:val="single" w:sz="4" w:space="0" w:color="000000"/>
            </w:tcBorders>
            <w:shd w:val="clear" w:color="auto" w:fill="auto"/>
          </w:tcPr>
          <w:p w14:paraId="190412FA"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Задача 6.a. К 2030 году расширить международное сотрудничество и поддержку в деле укрепления потенциала развивающихся стран в осуществлении деятельности и программ в области водоснабжения и санитарии, включая сбор поверхностного стока, опреснение воды, повышение эффективности водопользования, очистку сточных вод и применение технологий рециркуляции и повторного использования</w:t>
            </w:r>
          </w:p>
        </w:tc>
        <w:tc>
          <w:tcPr>
            <w:tcW w:w="1980" w:type="dxa"/>
            <w:tcBorders>
              <w:top w:val="single" w:sz="4" w:space="0" w:color="000000"/>
              <w:left w:val="single" w:sz="4" w:space="0" w:color="000000"/>
              <w:bottom w:val="single" w:sz="4" w:space="0" w:color="000000"/>
            </w:tcBorders>
            <w:shd w:val="clear" w:color="auto" w:fill="auto"/>
          </w:tcPr>
          <w:p w14:paraId="4C58B951"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6.a.1 Объем официальной помощи в целях развития, выделенной на водоснабжение и санитарию в рамках координируемой государственной программы расходов</w:t>
            </w:r>
          </w:p>
        </w:tc>
        <w:tc>
          <w:tcPr>
            <w:tcW w:w="1989" w:type="dxa"/>
            <w:tcBorders>
              <w:top w:val="single" w:sz="4" w:space="0" w:color="000000"/>
              <w:left w:val="single" w:sz="4" w:space="0" w:color="000000"/>
              <w:bottom w:val="single" w:sz="4" w:space="0" w:color="000000"/>
            </w:tcBorders>
            <w:shd w:val="clear" w:color="auto" w:fill="auto"/>
          </w:tcPr>
          <w:p w14:paraId="02CA309F"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Отслеживаются данные по Казахстану как получателю и как донору</w:t>
            </w:r>
          </w:p>
        </w:tc>
        <w:tc>
          <w:tcPr>
            <w:tcW w:w="1815" w:type="dxa"/>
            <w:tcBorders>
              <w:top w:val="single" w:sz="4" w:space="0" w:color="000000"/>
              <w:left w:val="single" w:sz="4" w:space="0" w:color="000000"/>
              <w:bottom w:val="single" w:sz="4" w:space="0" w:color="000000"/>
            </w:tcBorders>
            <w:shd w:val="clear" w:color="auto" w:fill="auto"/>
          </w:tcPr>
          <w:p w14:paraId="21B7EF39"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28611EAD"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674A4" w:rsidRPr="00F0736F" w14:paraId="20E86D1E" w14:textId="77777777" w:rsidTr="00FC3C14">
        <w:tc>
          <w:tcPr>
            <w:tcW w:w="2410" w:type="dxa"/>
            <w:tcBorders>
              <w:top w:val="single" w:sz="4" w:space="0" w:color="000000"/>
              <w:left w:val="single" w:sz="4" w:space="0" w:color="000000"/>
              <w:bottom w:val="single" w:sz="4" w:space="0" w:color="000000"/>
            </w:tcBorders>
            <w:shd w:val="clear" w:color="auto" w:fill="auto"/>
          </w:tcPr>
          <w:p w14:paraId="7DC0AA64"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Задача 6.b. Поддерживать и укреплять участие местных общин в улучшении водного хозяйства и санитарии</w:t>
            </w:r>
          </w:p>
        </w:tc>
        <w:tc>
          <w:tcPr>
            <w:tcW w:w="1980" w:type="dxa"/>
            <w:tcBorders>
              <w:top w:val="single" w:sz="4" w:space="0" w:color="000000"/>
              <w:left w:val="single" w:sz="4" w:space="0" w:color="000000"/>
              <w:bottom w:val="single" w:sz="4" w:space="0" w:color="000000"/>
            </w:tcBorders>
            <w:shd w:val="clear" w:color="auto" w:fill="auto"/>
          </w:tcPr>
          <w:p w14:paraId="6355AA73"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1989" w:type="dxa"/>
            <w:tcBorders>
              <w:top w:val="single" w:sz="4" w:space="0" w:color="000000"/>
              <w:left w:val="single" w:sz="4" w:space="0" w:color="000000"/>
              <w:bottom w:val="single" w:sz="4" w:space="0" w:color="000000"/>
            </w:tcBorders>
            <w:shd w:val="clear" w:color="auto" w:fill="auto"/>
          </w:tcPr>
          <w:p w14:paraId="6878DBCF"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На всей территории Казахстана действуют Бассейновые советы с привлечением граждан и общественных организаций</w:t>
            </w:r>
          </w:p>
        </w:tc>
        <w:tc>
          <w:tcPr>
            <w:tcW w:w="1815" w:type="dxa"/>
            <w:tcBorders>
              <w:top w:val="single" w:sz="4" w:space="0" w:color="000000"/>
              <w:left w:val="single" w:sz="4" w:space="0" w:color="000000"/>
              <w:bottom w:val="single" w:sz="4" w:space="0" w:color="000000"/>
            </w:tcBorders>
            <w:shd w:val="clear" w:color="auto" w:fill="auto"/>
          </w:tcPr>
          <w:p w14:paraId="7F9592D3"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282EA7CF" w14:textId="77777777" w:rsidR="00F674A4" w:rsidRPr="00F0736F" w:rsidRDefault="00F674A4" w:rsidP="00EF5C9C">
            <w:pPr>
              <w:jc w:val="both"/>
              <w:rPr>
                <w:color w:val="000000" w:themeColor="text1"/>
              </w:rPr>
            </w:pPr>
            <w:r w:rsidRPr="00F0736F">
              <w:rPr>
                <w:rFonts w:ascii="Times New Roman" w:hAnsi="Times New Roman" w:cs="Times New Roman"/>
                <w:color w:val="000000" w:themeColor="text1"/>
                <w:sz w:val="20"/>
                <w:szCs w:val="20"/>
              </w:rPr>
              <w:t xml:space="preserve">Нет </w:t>
            </w:r>
          </w:p>
        </w:tc>
      </w:tr>
    </w:tbl>
    <w:p w14:paraId="439CA6EE" w14:textId="0BBA6571" w:rsidR="00F674A4" w:rsidRPr="00F0736F" w:rsidRDefault="00F674A4" w:rsidP="00EF5C9C">
      <w:pPr>
        <w:jc w:val="both"/>
        <w:rPr>
          <w:rFonts w:ascii="Times New Roman" w:hAnsi="Times New Roman" w:cs="Times New Roman"/>
          <w:b/>
          <w:bCs/>
          <w:i/>
          <w:iCs/>
          <w:color w:val="000000" w:themeColor="text1"/>
          <w:sz w:val="20"/>
          <w:szCs w:val="20"/>
        </w:rPr>
      </w:pPr>
    </w:p>
    <w:p w14:paraId="08D25EEB" w14:textId="77777777" w:rsidR="00252217" w:rsidRPr="00F0736F" w:rsidRDefault="00252217" w:rsidP="00EF5C9C">
      <w:pPr>
        <w:jc w:val="both"/>
        <w:rPr>
          <w:rFonts w:ascii="Times New Roman" w:hAnsi="Times New Roman" w:cs="Times New Roman"/>
          <w:b/>
          <w:bCs/>
          <w:i/>
          <w:iCs/>
          <w:color w:val="000000" w:themeColor="text1"/>
          <w:sz w:val="20"/>
          <w:szCs w:val="20"/>
        </w:rPr>
      </w:pPr>
    </w:p>
    <w:p w14:paraId="6BBCCF86"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45724A6E"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По мнению многих международных экспертов, Казахстан по-прежнему сталкивается с рядом проблем устойчивого водопользования. Согласно докладу Switzerland Global, ключевыми проблемами в управлении водными ресурсами в Казахстане являются следующие: </w:t>
      </w:r>
    </w:p>
    <w:p w14:paraId="4C9E3673"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использование водных ресурсов в Казахстане имеет низкую эффективность в сравнении с другими странами, учитывая, что используется в три раза больше воды на доллар ВВП в сравнении с Россией или США и в шесть раз больше, чем в Австралии;  </w:t>
      </w:r>
    </w:p>
    <w:p w14:paraId="6C9BC778"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текущая тарифная система и утвержденные тарифы, особенно в сельском хозяйстве, не покрывают требуемые эксплуатационные расходы и амортизационные отчисления;  </w:t>
      </w:r>
    </w:p>
    <w:p w14:paraId="2F4043CD"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недостаточное стимулирование сбережения воды во всех секторах, особенно в сельском хозяйстве, где потери достигают 66%;  </w:t>
      </w:r>
    </w:p>
    <w:p w14:paraId="4F75D707"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отсутствие инвестиций в инфраструктуру, как в строительстве новых объектов для обеспечения доступа к воде, так и в обслуживании существующих объектов инфраструктуры; </w:t>
      </w:r>
    </w:p>
    <w:p w14:paraId="76C71349"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устаревшая инфраструктура управления водными ресурсами из-за недостаточного инвестирования и отсутствия поддержания;</w:t>
      </w:r>
    </w:p>
    <w:p w14:paraId="4E3BDF5D" w14:textId="77777777" w:rsidR="00F674A4" w:rsidRPr="00F0736F" w:rsidRDefault="00F674A4" w:rsidP="008727D9">
      <w:pPr>
        <w:ind w:firstLine="709"/>
        <w:jc w:val="both"/>
        <w:rPr>
          <w:color w:val="000000" w:themeColor="text1"/>
        </w:rPr>
      </w:pPr>
      <w:r w:rsidRPr="00F0736F">
        <w:rPr>
          <w:rStyle w:val="a6"/>
          <w:rFonts w:ascii="Times New Roman" w:eastAsia="MS Mincho" w:hAnsi="Times New Roman" w:cs="Times New Roman"/>
          <w:color w:val="000000" w:themeColor="text1"/>
          <w:spacing w:val="2"/>
          <w:u w:val="none"/>
          <w:lang w:eastAsia="ru-RU"/>
        </w:rPr>
        <w:t>- отсутствие информационной базы данных по водным объектам (государственный водный кадастр)</w:t>
      </w:r>
      <w:r w:rsidRPr="00F0736F">
        <w:rPr>
          <w:rStyle w:val="a4"/>
          <w:rFonts w:ascii="Times New Roman" w:eastAsia="MS Mincho" w:hAnsi="Times New Roman" w:cs="Times New Roman"/>
          <w:color w:val="000000" w:themeColor="text1"/>
          <w:spacing w:val="2"/>
          <w:lang w:eastAsia="ru-RU"/>
        </w:rPr>
        <w:footnoteReference w:id="20"/>
      </w:r>
      <w:r w:rsidRPr="00F0736F">
        <w:rPr>
          <w:rStyle w:val="a6"/>
          <w:rFonts w:ascii="Times New Roman" w:eastAsia="MS Mincho" w:hAnsi="Times New Roman" w:cs="Times New Roman"/>
          <w:color w:val="000000" w:themeColor="text1"/>
          <w:spacing w:val="2"/>
          <w:u w:val="none"/>
          <w:lang w:eastAsia="ru-RU"/>
        </w:rPr>
        <w:t>.</w:t>
      </w:r>
    </w:p>
    <w:p w14:paraId="69F4D8C3" w14:textId="77777777" w:rsidR="00F674A4" w:rsidRPr="00F0736F" w:rsidRDefault="00B413A8" w:rsidP="008727D9">
      <w:pPr>
        <w:ind w:firstLine="709"/>
        <w:jc w:val="both"/>
        <w:rPr>
          <w:color w:val="000000" w:themeColor="text1"/>
        </w:rPr>
      </w:pPr>
      <w:r w:rsidRPr="00F0736F">
        <w:rPr>
          <w:rStyle w:val="a6"/>
          <w:rFonts w:ascii="Times New Roman" w:eastAsia="MS Mincho" w:hAnsi="Times New Roman" w:cs="Times New Roman"/>
          <w:color w:val="000000" w:themeColor="text1"/>
          <w:spacing w:val="2"/>
          <w:u w:val="none"/>
          <w:lang w:eastAsia="ru-RU"/>
        </w:rPr>
        <w:t>Стратегический план развития Республики Казахстан до 2025 года</w:t>
      </w:r>
      <w:r w:rsidRPr="00F0736F">
        <w:rPr>
          <w:rStyle w:val="a4"/>
          <w:rFonts w:ascii="Times New Roman" w:eastAsia="Calibri" w:hAnsi="Times New Roman" w:cs="Times New Roman"/>
          <w:color w:val="000000" w:themeColor="text1"/>
          <w:spacing w:val="2"/>
          <w:lang w:eastAsia="ru-RU"/>
        </w:rPr>
        <w:footnoteReference w:id="21"/>
      </w:r>
      <w:r w:rsidRPr="00F0736F">
        <w:rPr>
          <w:rFonts w:ascii="Times New Roman" w:eastAsia="Calibri" w:hAnsi="Times New Roman" w:cs="Times New Roman"/>
          <w:color w:val="000000" w:themeColor="text1"/>
          <w:spacing w:val="2"/>
          <w:lang w:eastAsia="ru-RU"/>
        </w:rPr>
        <w:t xml:space="preserve"> в рамках Приоритета</w:t>
      </w:r>
      <w:r w:rsidR="00F674A4" w:rsidRPr="00F0736F">
        <w:rPr>
          <w:rFonts w:ascii="Times New Roman" w:eastAsia="Calibri" w:hAnsi="Times New Roman" w:cs="Times New Roman"/>
          <w:color w:val="000000" w:themeColor="text1"/>
          <w:spacing w:val="2"/>
          <w:lang w:eastAsia="ru-RU"/>
        </w:rPr>
        <w:t xml:space="preserve"> </w:t>
      </w:r>
      <w:r w:rsidR="005816A5"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color w:val="000000" w:themeColor="text1"/>
          <w:spacing w:val="2"/>
          <w:lang w:eastAsia="ru-RU"/>
        </w:rPr>
        <w:t>Обеспечение базового качества жизни во всех регионах</w:t>
      </w:r>
      <w:r w:rsidR="005816A5" w:rsidRPr="00F0736F">
        <w:rPr>
          <w:rFonts w:ascii="Times New Roman" w:eastAsia="Calibri" w:hAnsi="Times New Roman" w:cs="Times New Roman"/>
          <w:color w:val="000000" w:themeColor="text1"/>
          <w:spacing w:val="2"/>
          <w:lang w:eastAsia="ru-RU"/>
        </w:rPr>
        <w:t>»</w:t>
      </w:r>
      <w:r w:rsidR="00F674A4" w:rsidRPr="00F0736F">
        <w:rPr>
          <w:rFonts w:ascii="Times New Roman" w:eastAsia="Calibri" w:hAnsi="Times New Roman" w:cs="Times New Roman"/>
          <w:b/>
          <w:color w:val="000000" w:themeColor="text1"/>
          <w:spacing w:val="2"/>
          <w:lang w:eastAsia="ru-RU"/>
        </w:rPr>
        <w:t xml:space="preserve"> </w:t>
      </w:r>
      <w:r w:rsidR="00F674A4" w:rsidRPr="00F0736F">
        <w:rPr>
          <w:rFonts w:ascii="Times New Roman" w:eastAsia="Calibri" w:hAnsi="Times New Roman" w:cs="Times New Roman"/>
          <w:bCs/>
          <w:color w:val="000000" w:themeColor="text1"/>
          <w:spacing w:val="2"/>
          <w:lang w:eastAsia="ru-RU"/>
        </w:rPr>
        <w:t>предусматривает, что для повышения качества жизни населения и создания более равных условий в каждом регионе должны быть обеспечены базовые социальные услуги, включая доступное качественное образование и здравоохранение, обеспечена безопасность граждан, повышена доступность воды, а также качество окружающей среды. Также предусмотрена конкретная И</w:t>
      </w:r>
      <w:bookmarkStart w:id="8" w:name="z702"/>
      <w:bookmarkEnd w:id="8"/>
      <w:r w:rsidR="00F674A4" w:rsidRPr="00F0736F">
        <w:rPr>
          <w:rFonts w:ascii="Times New Roman" w:eastAsia="Calibri" w:hAnsi="Times New Roman" w:cs="Times New Roman"/>
          <w:bCs/>
          <w:color w:val="000000" w:themeColor="text1"/>
          <w:spacing w:val="2"/>
          <w:lang w:eastAsia="ru-RU"/>
        </w:rPr>
        <w:t xml:space="preserve">нициатива 5.15 </w:t>
      </w:r>
      <w:r w:rsidR="005816A5" w:rsidRPr="00F0736F">
        <w:rPr>
          <w:rFonts w:ascii="Times New Roman" w:eastAsia="Calibri" w:hAnsi="Times New Roman" w:cs="Times New Roman"/>
          <w:bCs/>
          <w:color w:val="000000" w:themeColor="text1"/>
          <w:spacing w:val="2"/>
          <w:lang w:eastAsia="ru-RU"/>
        </w:rPr>
        <w:t>«</w:t>
      </w:r>
      <w:r w:rsidR="00F674A4" w:rsidRPr="00F0736F">
        <w:rPr>
          <w:rFonts w:ascii="Times New Roman" w:eastAsia="Calibri" w:hAnsi="Times New Roman" w:cs="Times New Roman"/>
          <w:bCs/>
          <w:color w:val="000000" w:themeColor="text1"/>
          <w:spacing w:val="2"/>
          <w:lang w:eastAsia="ru-RU"/>
        </w:rPr>
        <w:t>Обеспечение доступа к питьевой воде</w:t>
      </w:r>
      <w:r w:rsidR="005816A5" w:rsidRPr="00F0736F">
        <w:rPr>
          <w:rFonts w:ascii="Times New Roman" w:eastAsia="Calibri" w:hAnsi="Times New Roman" w:cs="Times New Roman"/>
          <w:bCs/>
          <w:color w:val="000000" w:themeColor="text1"/>
          <w:spacing w:val="2"/>
          <w:lang w:eastAsia="ru-RU"/>
        </w:rPr>
        <w:t>»</w:t>
      </w:r>
      <w:r w:rsidR="00F674A4" w:rsidRPr="00F0736F">
        <w:rPr>
          <w:rFonts w:ascii="Times New Roman" w:eastAsia="Calibri" w:hAnsi="Times New Roman" w:cs="Times New Roman"/>
          <w:bCs/>
          <w:color w:val="000000" w:themeColor="text1"/>
          <w:spacing w:val="2"/>
          <w:lang w:eastAsia="ru-RU"/>
        </w:rPr>
        <w:t>. Для обеспечения населения питьевой водой соответствующего качества и в полном объеме, а также необходимого уровня очистки сточных вод</w:t>
      </w:r>
      <w:r w:rsidR="005816A5" w:rsidRPr="00F0736F">
        <w:rPr>
          <w:rFonts w:ascii="Times New Roman" w:eastAsia="Calibri" w:hAnsi="Times New Roman" w:cs="Times New Roman"/>
          <w:bCs/>
          <w:color w:val="000000" w:themeColor="text1"/>
          <w:spacing w:val="2"/>
          <w:lang w:eastAsia="ru-RU"/>
        </w:rPr>
        <w:t>,</w:t>
      </w:r>
      <w:r w:rsidR="00F674A4" w:rsidRPr="00F0736F">
        <w:rPr>
          <w:rFonts w:ascii="Times New Roman" w:eastAsia="Calibri" w:hAnsi="Times New Roman" w:cs="Times New Roman"/>
          <w:bCs/>
          <w:color w:val="000000" w:themeColor="text1"/>
          <w:spacing w:val="2"/>
          <w:lang w:eastAsia="ru-RU"/>
        </w:rPr>
        <w:t xml:space="preserve"> продолжатся строительство новых объектов водоснабжения и водоотведения и реконструкция уже действующих объектов. Увеличится выделение бюджетных средств на эти цели. В результате к 2025 году все города будут обеспечены централизованным водоснабжением, а уровень обеспечения централизованным водообеспечением в селах составит 80%.</w:t>
      </w:r>
    </w:p>
    <w:p w14:paraId="712C92D8" w14:textId="27D32D8A" w:rsidR="00F674A4" w:rsidRPr="00F0736F" w:rsidRDefault="00F674A4" w:rsidP="008727D9">
      <w:pPr>
        <w:ind w:firstLine="709"/>
        <w:jc w:val="both"/>
        <w:rPr>
          <w:rFonts w:ascii="Times New Roman" w:eastAsia="Calibri" w:hAnsi="Times New Roman" w:cs="Times New Roman"/>
          <w:bCs/>
          <w:color w:val="000000" w:themeColor="text1"/>
          <w:spacing w:val="2"/>
          <w:lang w:eastAsia="ru-RU"/>
        </w:rPr>
      </w:pPr>
      <w:r w:rsidRPr="00F0736F">
        <w:rPr>
          <w:rFonts w:ascii="Times New Roman" w:eastAsia="Calibri" w:hAnsi="Times New Roman" w:cs="Times New Roman"/>
          <w:bCs/>
          <w:color w:val="000000" w:themeColor="text1"/>
          <w:spacing w:val="2"/>
          <w:lang w:eastAsia="ru-RU"/>
        </w:rPr>
        <w:t>Также в Стратегическом плане предусмотрена</w:t>
      </w:r>
      <w:bookmarkStart w:id="9" w:name="z1117"/>
      <w:bookmarkEnd w:id="9"/>
      <w:r w:rsidRPr="00F0736F">
        <w:rPr>
          <w:rFonts w:ascii="Times New Roman" w:eastAsia="Calibri" w:hAnsi="Times New Roman" w:cs="Times New Roman"/>
          <w:bCs/>
          <w:color w:val="000000" w:themeColor="text1"/>
          <w:spacing w:val="2"/>
          <w:lang w:eastAsia="ru-RU"/>
        </w:rPr>
        <w:t xml:space="preserve"> Задача 5. </w:t>
      </w:r>
      <w:r w:rsidR="005816A5" w:rsidRPr="00F0736F">
        <w:rPr>
          <w:rFonts w:ascii="Times New Roman" w:eastAsia="Calibri" w:hAnsi="Times New Roman" w:cs="Times New Roman"/>
          <w:bCs/>
          <w:color w:val="000000" w:themeColor="text1"/>
          <w:spacing w:val="2"/>
          <w:lang w:eastAsia="ru-RU"/>
        </w:rPr>
        <w:t>«</w:t>
      </w:r>
      <w:r w:rsidRPr="00F0736F">
        <w:rPr>
          <w:rFonts w:ascii="Times New Roman" w:eastAsia="Calibri" w:hAnsi="Times New Roman" w:cs="Times New Roman"/>
          <w:bCs/>
          <w:color w:val="000000" w:themeColor="text1"/>
          <w:spacing w:val="2"/>
          <w:lang w:eastAsia="ru-RU"/>
        </w:rPr>
        <w:t>Повышение эффективности использования и охрана водных ресурсов</w:t>
      </w:r>
      <w:r w:rsidR="005816A5" w:rsidRPr="00F0736F">
        <w:rPr>
          <w:rFonts w:ascii="Times New Roman" w:eastAsia="Calibri" w:hAnsi="Times New Roman" w:cs="Times New Roman"/>
          <w:bCs/>
          <w:color w:val="000000" w:themeColor="text1"/>
          <w:spacing w:val="2"/>
          <w:lang w:eastAsia="ru-RU"/>
        </w:rPr>
        <w:t>»</w:t>
      </w:r>
      <w:r w:rsidRPr="00F0736F">
        <w:rPr>
          <w:rFonts w:ascii="Times New Roman" w:eastAsia="Calibri" w:hAnsi="Times New Roman" w:cs="Times New Roman"/>
          <w:bCs/>
          <w:color w:val="000000" w:themeColor="text1"/>
          <w:spacing w:val="2"/>
          <w:lang w:eastAsia="ru-RU"/>
        </w:rPr>
        <w:t xml:space="preserve">, </w:t>
      </w:r>
      <w:r w:rsidR="00426D6B" w:rsidRPr="00F0736F">
        <w:rPr>
          <w:rFonts w:ascii="Times New Roman" w:eastAsia="Calibri" w:hAnsi="Times New Roman" w:cs="Times New Roman"/>
          <w:bCs/>
          <w:color w:val="000000" w:themeColor="text1"/>
          <w:spacing w:val="2"/>
          <w:lang w:eastAsia="ru-RU"/>
        </w:rPr>
        <w:t>Для охраны и рационального использования водных ресурсов трансграничных рек будет установлено сотрудничество по совместному отбору и обмену гидрологической и гидрохимической информацией со странами Центральной Азии, Китая и России</w:t>
      </w:r>
      <w:r w:rsidRPr="00F0736F">
        <w:rPr>
          <w:rFonts w:ascii="Times New Roman" w:eastAsia="Calibri" w:hAnsi="Times New Roman" w:cs="Times New Roman"/>
          <w:bCs/>
          <w:color w:val="000000" w:themeColor="text1"/>
          <w:spacing w:val="2"/>
          <w:lang w:eastAsia="ru-RU"/>
        </w:rPr>
        <w:t xml:space="preserve">. Правительство будет работать над заключением двусторонних и многосторонних международных правовых документов с вышеназванными странами по обеспечению водными ресурсами территории </w:t>
      </w:r>
      <w:r w:rsidR="00252217" w:rsidRPr="00F0736F">
        <w:rPr>
          <w:rStyle w:val="a6"/>
          <w:rFonts w:ascii="Times New Roman" w:eastAsia="MS Mincho" w:hAnsi="Times New Roman" w:cs="Times New Roman"/>
          <w:color w:val="000000" w:themeColor="text1"/>
          <w:spacing w:val="2"/>
          <w:u w:val="none"/>
          <w:lang w:eastAsia="ru-RU"/>
        </w:rPr>
        <w:t>Республики Казахстан</w:t>
      </w:r>
      <w:r w:rsidRPr="00F0736F">
        <w:rPr>
          <w:rFonts w:ascii="Times New Roman" w:eastAsia="Calibri" w:hAnsi="Times New Roman" w:cs="Times New Roman"/>
          <w:bCs/>
          <w:color w:val="000000" w:themeColor="text1"/>
          <w:spacing w:val="2"/>
          <w:lang w:eastAsia="ru-RU"/>
        </w:rPr>
        <w:t xml:space="preserve"> в достаточном объеме и соответствующего качества.</w:t>
      </w:r>
    </w:p>
    <w:p w14:paraId="560A58C9" w14:textId="77777777" w:rsidR="00F674A4" w:rsidRPr="00F0736F" w:rsidRDefault="00F674A4" w:rsidP="008727D9">
      <w:pPr>
        <w:ind w:firstLine="709"/>
        <w:jc w:val="both"/>
        <w:rPr>
          <w:rFonts w:ascii="Calibri" w:hAnsi="Calibri"/>
          <w:color w:val="000000" w:themeColor="text1"/>
        </w:rPr>
      </w:pPr>
      <w:r w:rsidRPr="00F0736F">
        <w:rPr>
          <w:rFonts w:ascii="Times New Roman" w:eastAsia="Calibri" w:hAnsi="Times New Roman" w:cs="Times New Roman"/>
          <w:bCs/>
          <w:color w:val="000000" w:themeColor="text1"/>
          <w:spacing w:val="2"/>
          <w:lang w:eastAsia="ru-RU"/>
        </w:rPr>
        <w:t>Однако п</w:t>
      </w:r>
      <w:r w:rsidRPr="00F0736F">
        <w:rPr>
          <w:rFonts w:ascii="Times New Roman" w:eastAsia="Calibri" w:hAnsi="Times New Roman" w:cs="Times New Roman"/>
          <w:color w:val="000000" w:themeColor="text1"/>
          <w:spacing w:val="2"/>
          <w:lang w:eastAsia="ru-RU"/>
        </w:rPr>
        <w:t>ри сохранении текущей ситуации использования водных ресурсов в коммунальном и сельском хозяйстве, умеренном повышении эффективности в промышленности до 2040 года ожидается рост водозабора до 29,7 км</w:t>
      </w:r>
      <w:r w:rsidRPr="00F0736F">
        <w:rPr>
          <w:rFonts w:ascii="Times New Roman" w:eastAsia="Calibri" w:hAnsi="Times New Roman" w:cs="Times New Roman"/>
          <w:color w:val="000000" w:themeColor="text1"/>
          <w:spacing w:val="2"/>
          <w:vertAlign w:val="superscript"/>
          <w:lang w:eastAsia="ru-RU"/>
        </w:rPr>
        <w:t>3</w:t>
      </w:r>
      <w:r w:rsidRPr="00F0736F">
        <w:rPr>
          <w:rFonts w:ascii="Times New Roman" w:eastAsia="Calibri" w:hAnsi="Times New Roman" w:cs="Times New Roman"/>
          <w:color w:val="000000" w:themeColor="text1"/>
          <w:spacing w:val="2"/>
          <w:lang w:eastAsia="ru-RU"/>
        </w:rPr>
        <w:t xml:space="preserve"> в год, то есть дефицит водных ресурсов может превысить 20%, а в маловодные годы достигать 40% от потребности.</w:t>
      </w:r>
    </w:p>
    <w:p w14:paraId="65FCFBA5" w14:textId="1FA0EBF8"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lang w:val="kk-KZ"/>
        </w:rPr>
        <w:t>Начиная с 2020 года</w:t>
      </w:r>
      <w:r w:rsidR="00252217" w:rsidRPr="00F0736F">
        <w:rPr>
          <w:rFonts w:ascii="Times New Roman" w:eastAsia="Calibri" w:hAnsi="Times New Roman" w:cs="Times New Roman"/>
          <w:color w:val="000000" w:themeColor="text1"/>
          <w:lang w:val="kk-KZ"/>
        </w:rPr>
        <w:t>,</w:t>
      </w:r>
      <w:r w:rsidRPr="00F0736F">
        <w:rPr>
          <w:rFonts w:ascii="Times New Roman" w:eastAsia="Calibri" w:hAnsi="Times New Roman" w:cs="Times New Roman"/>
          <w:color w:val="000000" w:themeColor="text1"/>
          <w:lang w:val="kk-KZ"/>
        </w:rPr>
        <w:t xml:space="preserve"> улучшение систем водоснабжения и водоотведения планируется реализовать в рамках </w:t>
      </w:r>
      <w:r w:rsidRPr="00F0736F">
        <w:rPr>
          <w:rFonts w:ascii="Times New Roman" w:eastAsia="Calibri" w:hAnsi="Times New Roman" w:cs="Times New Roman"/>
          <w:bCs/>
          <w:color w:val="000000" w:themeColor="text1"/>
          <w:lang w:val="kk-KZ"/>
        </w:rPr>
        <w:t>Государственной программы жилищно-коммунального</w:t>
      </w:r>
      <w:r w:rsidR="00273A9B" w:rsidRPr="00F0736F">
        <w:rPr>
          <w:rFonts w:ascii="Times New Roman" w:eastAsia="Calibri" w:hAnsi="Times New Roman" w:cs="Times New Roman"/>
          <w:bCs/>
          <w:color w:val="000000" w:themeColor="text1"/>
          <w:lang w:val="kk-KZ"/>
        </w:rPr>
        <w:t xml:space="preserve"> развития </w:t>
      </w:r>
      <w:r w:rsidR="005816A5" w:rsidRPr="00F0736F">
        <w:rPr>
          <w:rFonts w:ascii="Times New Roman" w:eastAsia="Calibri" w:hAnsi="Times New Roman" w:cs="Times New Roman"/>
          <w:bCs/>
          <w:color w:val="000000" w:themeColor="text1"/>
          <w:lang w:val="kk-KZ"/>
        </w:rPr>
        <w:t>«</w:t>
      </w:r>
      <w:r w:rsidR="00273A9B" w:rsidRPr="00F0736F">
        <w:rPr>
          <w:rFonts w:ascii="Times New Roman" w:eastAsia="Calibri" w:hAnsi="Times New Roman" w:cs="Times New Roman"/>
          <w:bCs/>
          <w:color w:val="000000" w:themeColor="text1"/>
          <w:lang w:val="kk-KZ"/>
        </w:rPr>
        <w:t>Нұрлы жер</w:t>
      </w:r>
      <w:r w:rsidR="005816A5" w:rsidRPr="00F0736F">
        <w:rPr>
          <w:rFonts w:ascii="Times New Roman" w:eastAsia="Calibri" w:hAnsi="Times New Roman" w:cs="Times New Roman"/>
          <w:bCs/>
          <w:color w:val="000000" w:themeColor="text1"/>
          <w:lang w:val="kk-KZ"/>
        </w:rPr>
        <w:t>»</w:t>
      </w:r>
      <w:r w:rsidR="00273A9B" w:rsidRPr="00F0736F">
        <w:rPr>
          <w:rFonts w:ascii="Times New Roman" w:eastAsia="Calibri" w:hAnsi="Times New Roman" w:cs="Times New Roman"/>
          <w:bCs/>
          <w:color w:val="000000" w:themeColor="text1"/>
          <w:lang w:val="kk-KZ"/>
        </w:rPr>
        <w:t xml:space="preserve"> на 2020</w:t>
      </w:r>
      <w:r w:rsidR="00252217" w:rsidRPr="00F0736F">
        <w:rPr>
          <w:rFonts w:ascii="Times New Roman" w:eastAsia="Calibri" w:hAnsi="Times New Roman" w:cs="Times New Roman"/>
          <w:bCs/>
          <w:color w:val="000000" w:themeColor="text1"/>
          <w:lang w:val="kk-KZ"/>
        </w:rPr>
        <w:t>-</w:t>
      </w:r>
      <w:r w:rsidRPr="00F0736F">
        <w:rPr>
          <w:rFonts w:ascii="Times New Roman" w:eastAsia="Calibri" w:hAnsi="Times New Roman" w:cs="Times New Roman"/>
          <w:bCs/>
          <w:color w:val="000000" w:themeColor="text1"/>
          <w:lang w:val="kk-KZ"/>
        </w:rPr>
        <w:t>2025 годы</w:t>
      </w:r>
      <w:r w:rsidRPr="00F0736F">
        <w:rPr>
          <w:rFonts w:ascii="Times New Roman" w:eastAsia="Calibri" w:hAnsi="Times New Roman" w:cs="Times New Roman"/>
          <w:b/>
          <w:color w:val="000000" w:themeColor="text1"/>
          <w:lang w:val="kk-KZ"/>
        </w:rPr>
        <w:t xml:space="preserve">. </w:t>
      </w:r>
      <w:r w:rsidRPr="00F0736F">
        <w:rPr>
          <w:rFonts w:ascii="Times New Roman" w:hAnsi="Times New Roman" w:cs="Times New Roman"/>
          <w:color w:val="000000" w:themeColor="text1"/>
        </w:rPr>
        <w:t>За данный период планируется построить и реконструировать 7</w:t>
      </w:r>
      <w:r w:rsidR="0025221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666 км водопроводов.</w:t>
      </w:r>
    </w:p>
    <w:p w14:paraId="354EE6F9"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В результате реализации Госпрограммы из 462 сельских населенных пунктов будет водообеспечено 105 сельских населенных пунктов (будет являться источником водоснабжения) и улучшено водоснабжение в 351 населенных пунктах и 6 городах.</w:t>
      </w:r>
    </w:p>
    <w:p w14:paraId="2EFFA5D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 2023 году предусматривается доведение показателя «Доля населения, обеспеченного услугами водоснабжения, соответствующих санитарным нормам» до 100% в городах и селах.</w:t>
      </w:r>
    </w:p>
    <w:p w14:paraId="208AED19" w14:textId="06E426D8" w:rsidR="00F674A4" w:rsidRPr="00F0736F" w:rsidRDefault="00F674A4" w:rsidP="008727D9">
      <w:pPr>
        <w:ind w:firstLine="709"/>
        <w:jc w:val="both"/>
        <w:rPr>
          <w:rFonts w:ascii="Calibri" w:hAnsi="Calibri"/>
          <w:strike/>
          <w:color w:val="000000" w:themeColor="text1"/>
        </w:rPr>
      </w:pPr>
    </w:p>
    <w:p w14:paraId="79B2D7C6" w14:textId="77777777" w:rsidR="00252217" w:rsidRPr="00F0736F" w:rsidRDefault="00252217" w:rsidP="008727D9">
      <w:pPr>
        <w:ind w:firstLine="709"/>
        <w:jc w:val="both"/>
        <w:rPr>
          <w:rFonts w:ascii="Calibri" w:hAnsi="Calibri"/>
          <w:strike/>
          <w:color w:val="000000" w:themeColor="text1"/>
        </w:rPr>
      </w:pPr>
    </w:p>
    <w:p w14:paraId="0CB69B72"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10" w:name="_Toc57818723"/>
      <w:r w:rsidRPr="007272FB">
        <w:rPr>
          <w:rFonts w:ascii="Times New Roman" w:eastAsia="Times New Roman" w:hAnsi="Times New Roman" w:cs="Times New Roman"/>
          <w:color w:val="000000" w:themeColor="text1"/>
          <w:sz w:val="24"/>
          <w:szCs w:val="24"/>
        </w:rPr>
        <w:t>1.2. Развитие устойчивого и высокопроизводительного сельского хозяйства</w:t>
      </w:r>
      <w:bookmarkEnd w:id="10"/>
    </w:p>
    <w:p w14:paraId="54762334" w14:textId="77777777" w:rsidR="00F674A4" w:rsidRPr="00F0736F" w:rsidRDefault="00F674A4" w:rsidP="008727D9">
      <w:pPr>
        <w:ind w:firstLine="709"/>
        <w:jc w:val="both"/>
        <w:rPr>
          <w:rFonts w:ascii="Times New Roman" w:hAnsi="Times New Roman" w:cs="Times New Roman"/>
          <w:b/>
          <w:bCs/>
          <w:color w:val="000000" w:themeColor="text1"/>
        </w:rPr>
      </w:pPr>
    </w:p>
    <w:p w14:paraId="533163F9" w14:textId="7B89415D"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28D51862" w14:textId="42D55EA9"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Концепция по переходу к «зеленой</w:t>
      </w:r>
      <w:r w:rsidR="00252217"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 xml:space="preserve">экономике» ставит перед сельским хозяйством Казахстана амбициозные цели до 2020 года </w:t>
      </w:r>
      <w:r w:rsidR="001843D5"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достиж</w:t>
      </w:r>
      <w:r w:rsidR="001843D5" w:rsidRPr="00F0736F">
        <w:rPr>
          <w:rFonts w:ascii="Times New Roman" w:eastAsia="Times New Roman" w:hAnsi="Times New Roman" w:cs="Times New Roman"/>
          <w:color w:val="000000" w:themeColor="text1"/>
          <w:lang w:eastAsia="ru-RU"/>
        </w:rPr>
        <w:t>ение</w:t>
      </w:r>
      <w:r w:rsidRPr="00F0736F">
        <w:rPr>
          <w:rFonts w:ascii="Times New Roman" w:eastAsia="Times New Roman" w:hAnsi="Times New Roman" w:cs="Times New Roman"/>
          <w:color w:val="000000" w:themeColor="text1"/>
          <w:lang w:eastAsia="ru-RU"/>
        </w:rPr>
        <w:t xml:space="preserve"> увеличения производител</w:t>
      </w:r>
      <w:r w:rsidR="001843D5" w:rsidRPr="00F0736F">
        <w:rPr>
          <w:rFonts w:ascii="Times New Roman" w:eastAsia="Times New Roman" w:hAnsi="Times New Roman" w:cs="Times New Roman"/>
          <w:color w:val="000000" w:themeColor="text1"/>
          <w:lang w:eastAsia="ru-RU"/>
        </w:rPr>
        <w:t>ьности труда в 3 раза, повышение</w:t>
      </w:r>
      <w:r w:rsidRPr="00F0736F">
        <w:rPr>
          <w:rFonts w:ascii="Times New Roman" w:eastAsia="Times New Roman" w:hAnsi="Times New Roman" w:cs="Times New Roman"/>
          <w:color w:val="000000" w:themeColor="text1"/>
          <w:lang w:eastAsia="ru-RU"/>
        </w:rPr>
        <w:t xml:space="preserve"> урожайности пшеницы </w:t>
      </w:r>
      <w:r w:rsidR="005846C7" w:rsidRPr="00F0736F">
        <w:rPr>
          <w:rFonts w:ascii="Times New Roman" w:eastAsia="Times New Roman" w:hAnsi="Times New Roman" w:cs="Times New Roman"/>
          <w:color w:val="000000" w:themeColor="text1"/>
          <w:lang w:eastAsia="ru-RU"/>
        </w:rPr>
        <w:t xml:space="preserve">до </w:t>
      </w:r>
      <w:r w:rsidR="001843D5" w:rsidRPr="00F0736F">
        <w:rPr>
          <w:rFonts w:ascii="Times New Roman" w:eastAsia="Times New Roman" w:hAnsi="Times New Roman" w:cs="Times New Roman"/>
          <w:color w:val="000000" w:themeColor="text1"/>
          <w:lang w:eastAsia="ru-RU"/>
        </w:rPr>
        <w:t>1,4 т/га, снижение</w:t>
      </w:r>
      <w:r w:rsidRPr="00F0736F">
        <w:rPr>
          <w:rFonts w:ascii="Times New Roman" w:eastAsia="Times New Roman" w:hAnsi="Times New Roman" w:cs="Times New Roman"/>
          <w:color w:val="000000" w:themeColor="text1"/>
          <w:lang w:eastAsia="ru-RU"/>
        </w:rPr>
        <w:t xml:space="preserve"> затрат воды на орошение до 450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/т.</w:t>
      </w:r>
    </w:p>
    <w:p w14:paraId="121521AD" w14:textId="77777777"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bCs/>
          <w:iCs/>
          <w:color w:val="000000" w:themeColor="text1"/>
          <w:spacing w:val="2"/>
          <w:sz w:val="24"/>
          <w:lang w:eastAsia="ru-RU"/>
        </w:rPr>
        <w:t xml:space="preserve">В настоящее время реализуется </w:t>
      </w:r>
      <w:r w:rsidRPr="00F0736F">
        <w:rPr>
          <w:rStyle w:val="21"/>
          <w:rFonts w:ascii="Times New Roman" w:eastAsia="Times New Roman" w:hAnsi="Times New Roman" w:cs="Times New Roman"/>
          <w:iCs/>
          <w:color w:val="000000" w:themeColor="text1"/>
          <w:spacing w:val="2"/>
          <w:sz w:val="24"/>
          <w:lang w:eastAsia="ru-RU"/>
        </w:rPr>
        <w:t xml:space="preserve">Государственная программа развития АПК на 2017 - 2021 годы, </w:t>
      </w:r>
      <w:r w:rsidRPr="00F0736F">
        <w:rPr>
          <w:rStyle w:val="21"/>
          <w:rFonts w:ascii="Times New Roman" w:eastAsia="Times New Roman" w:hAnsi="Times New Roman" w:cs="Times New Roman"/>
          <w:bCs/>
          <w:iCs/>
          <w:color w:val="000000" w:themeColor="text1"/>
          <w:spacing w:val="2"/>
          <w:sz w:val="24"/>
          <w:lang w:eastAsia="ru-RU"/>
        </w:rPr>
        <w:t xml:space="preserve">направленная на повышение конкурентоспособности агропромышленного сектора, широкое вовлечение мелких и средних хозяйств в сельскохозяйственную кооперацию, рост экспорта сельскохозяйственной продукции и </w:t>
      </w:r>
      <w:r w:rsidRPr="00F0736F">
        <w:rPr>
          <w:rStyle w:val="21"/>
          <w:rFonts w:ascii="Times New Roman" w:eastAsia="Times New Roman" w:hAnsi="Times New Roman" w:cs="Times New Roman"/>
          <w:iCs/>
          <w:color w:val="000000" w:themeColor="text1"/>
          <w:spacing w:val="2"/>
          <w:sz w:val="24"/>
          <w:lang w:eastAsia="ru-RU"/>
        </w:rPr>
        <w:t>эффективное использование водных и земельных ресурсов</w:t>
      </w:r>
      <w:r w:rsidRPr="00F0736F">
        <w:rPr>
          <w:rStyle w:val="a4"/>
          <w:rFonts w:ascii="Times New Roman" w:eastAsia="Times New Roman" w:hAnsi="Times New Roman" w:cs="Times New Roman"/>
          <w:iCs/>
          <w:color w:val="000000" w:themeColor="text1"/>
          <w:spacing w:val="2"/>
          <w:lang w:eastAsia="ru-RU"/>
        </w:rPr>
        <w:footnoteReference w:id="22"/>
      </w:r>
      <w:r w:rsidRPr="00F0736F">
        <w:rPr>
          <w:rStyle w:val="21"/>
          <w:rFonts w:ascii="Times New Roman" w:eastAsia="Times New Roman" w:hAnsi="Times New Roman" w:cs="Times New Roman"/>
          <w:iCs/>
          <w:color w:val="000000" w:themeColor="text1"/>
          <w:spacing w:val="2"/>
          <w:sz w:val="24"/>
          <w:lang w:eastAsia="ru-RU"/>
        </w:rPr>
        <w:t xml:space="preserve">. В целом данная программа продолжает реализацию задач и достижение показателей, установленных Концепцией по переходу к «зеленой экономике». </w:t>
      </w:r>
      <w:r w:rsidRPr="00F0736F">
        <w:rPr>
          <w:rStyle w:val="21"/>
          <w:rFonts w:ascii="Times New Roman" w:eastAsia="Times New Roman" w:hAnsi="Times New Roman" w:cs="Times New Roman"/>
          <w:bCs/>
          <w:iCs/>
          <w:color w:val="000000" w:themeColor="text1"/>
          <w:spacing w:val="2"/>
          <w:sz w:val="24"/>
          <w:szCs w:val="28"/>
          <w:lang w:eastAsia="ru-RU"/>
        </w:rPr>
        <w:t xml:space="preserve">В данной программе предусмотрено </w:t>
      </w:r>
      <w:r w:rsidRPr="00F0736F">
        <w:rPr>
          <w:rStyle w:val="21"/>
          <w:rFonts w:ascii="Times New Roman" w:eastAsia="Times New Roman" w:hAnsi="Times New Roman" w:cs="Times New Roman"/>
          <w:iCs/>
          <w:color w:val="000000" w:themeColor="text1"/>
          <w:spacing w:val="2"/>
          <w:sz w:val="24"/>
          <w:lang w:eastAsia="ru-RU"/>
        </w:rPr>
        <w:t>увеличение производительности труда в сельском хозяйстве с 1,2 млн. тенге до 3,7 млн. тенге на одного занятого. Также ей установлены следующие показатели:</w:t>
      </w:r>
    </w:p>
    <w:p w14:paraId="4FB9948E" w14:textId="42C02B4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1) снижение расхода поливной воды на 1 га орошаемой площади на 20% к уровню 2015 года (снижение с 9</w:t>
      </w:r>
      <w:r w:rsidR="0025221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180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в 2015 году до 7</w:t>
      </w:r>
      <w:r w:rsidR="0025221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348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w:t>
      </w:r>
    </w:p>
    <w:p w14:paraId="1D84F9F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2) объем воды в системах повторного и оборотного водоснабжения в промышленности:</w:t>
      </w:r>
    </w:p>
    <w:p w14:paraId="1175F4D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повторное с 0,69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в 2015 году до 0,77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w:t>
      </w:r>
    </w:p>
    <w:p w14:paraId="753E7E7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оборотное с 7,3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в 2015 году до 7,62 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w:t>
      </w:r>
    </w:p>
    <w:p w14:paraId="7987B64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достижения вышеуказанных индикаторов и показателей запланированы следующие мероприятия:</w:t>
      </w:r>
    </w:p>
    <w:p w14:paraId="6668FAF0" w14:textId="77777777" w:rsidR="001843D5"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восстановление ирригационной инфраструктуры на площади 610,0 тыс. га земель регулярного орошения; </w:t>
      </w:r>
    </w:p>
    <w:p w14:paraId="646FC31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восстановление инфраструктуры земель лиманного орошения на площади 368 тыс. га;</w:t>
      </w:r>
    </w:p>
    <w:p w14:paraId="2E9C5DD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реконструкция 41-го аварийного водохранилища;</w:t>
      </w:r>
    </w:p>
    <w:p w14:paraId="3FC9C19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восстановление коллекторно-дренажной сети (250 км) и скважин вертикального дренажа (519 ед.);</w:t>
      </w:r>
    </w:p>
    <w:p w14:paraId="3A13F986" w14:textId="77777777" w:rsidR="00F674A4" w:rsidRPr="00F0736F" w:rsidRDefault="00F674A4" w:rsidP="008727D9">
      <w:pPr>
        <w:ind w:firstLine="709"/>
        <w:jc w:val="both"/>
        <w:rPr>
          <w:rFonts w:ascii="Calibri" w:hAnsi="Calibri"/>
          <w:color w:val="000000" w:themeColor="text1"/>
        </w:rPr>
      </w:pPr>
      <w:r w:rsidRPr="00F0736F">
        <w:rPr>
          <w:rFonts w:ascii="Times New Roman" w:eastAsia="Times New Roman" w:hAnsi="Times New Roman" w:cs="Times New Roman"/>
          <w:color w:val="000000" w:themeColor="text1"/>
          <w:lang w:eastAsia="ru-RU"/>
        </w:rPr>
        <w:t>- внедрение водосберегающих методов орошения (капельное, дождевание) на площади 260 тыс. га.</w:t>
      </w:r>
    </w:p>
    <w:p w14:paraId="2B584A58" w14:textId="77777777"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bCs/>
          <w:iCs/>
          <w:color w:val="000000" w:themeColor="text1"/>
          <w:spacing w:val="2"/>
          <w:sz w:val="24"/>
          <w:lang w:eastAsia="ru-RU"/>
        </w:rPr>
        <w:t>Целевые показатели, поставленные Концепцией</w:t>
      </w:r>
      <w:r w:rsidRPr="00F0736F">
        <w:rPr>
          <w:rStyle w:val="21"/>
          <w:rFonts w:ascii="Times New Roman" w:eastAsia="Times New Roman" w:hAnsi="Times New Roman" w:cs="Times New Roman"/>
          <w:iCs/>
          <w:color w:val="000000" w:themeColor="text1"/>
          <w:spacing w:val="2"/>
          <w:sz w:val="24"/>
          <w:lang w:eastAsia="ru-RU"/>
        </w:rPr>
        <w:t xml:space="preserve"> по переходу к «зеленой экономике»</w:t>
      </w:r>
      <w:r w:rsidRPr="00F0736F">
        <w:rPr>
          <w:rStyle w:val="21"/>
          <w:rFonts w:ascii="Times New Roman" w:eastAsia="Times New Roman" w:hAnsi="Times New Roman" w:cs="Times New Roman"/>
          <w:bCs/>
          <w:iCs/>
          <w:color w:val="000000" w:themeColor="text1"/>
          <w:spacing w:val="2"/>
          <w:sz w:val="24"/>
          <w:lang w:eastAsia="ru-RU"/>
        </w:rPr>
        <w:t>, и их достижение показано в таблице 1.2.1.</w:t>
      </w:r>
    </w:p>
    <w:p w14:paraId="7528E270" w14:textId="09902010" w:rsidR="00F674A4" w:rsidRPr="00F0736F" w:rsidRDefault="00F674A4" w:rsidP="008727D9">
      <w:pPr>
        <w:ind w:firstLine="709"/>
        <w:jc w:val="both"/>
        <w:rPr>
          <w:rFonts w:ascii="Times New Roman" w:hAnsi="Times New Roman" w:cs="Times New Roman"/>
          <w:color w:val="000000" w:themeColor="text1"/>
        </w:rPr>
      </w:pPr>
    </w:p>
    <w:p w14:paraId="792AAC3F" w14:textId="751EF40E" w:rsidR="00252217" w:rsidRPr="00F0736F" w:rsidRDefault="00252217" w:rsidP="008727D9">
      <w:pPr>
        <w:ind w:firstLine="709"/>
        <w:jc w:val="both"/>
        <w:rPr>
          <w:rFonts w:ascii="Times New Roman" w:hAnsi="Times New Roman" w:cs="Times New Roman"/>
          <w:color w:val="000000" w:themeColor="text1"/>
        </w:rPr>
      </w:pPr>
    </w:p>
    <w:p w14:paraId="3C83E60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1.2.1. Достижение целевых показателей в 2013 - 201</w:t>
      </w:r>
      <w:r w:rsidR="00CD03B1" w:rsidRPr="00F0736F">
        <w:rPr>
          <w:rFonts w:ascii="Times New Roman" w:hAnsi="Times New Roman" w:cs="Times New Roman"/>
          <w:color w:val="000000" w:themeColor="text1"/>
        </w:rPr>
        <w:t>9</w:t>
      </w:r>
      <w:r w:rsidRPr="00F0736F">
        <w:rPr>
          <w:rFonts w:ascii="Times New Roman" w:hAnsi="Times New Roman" w:cs="Times New Roman"/>
          <w:color w:val="000000" w:themeColor="text1"/>
        </w:rPr>
        <w:t xml:space="preserve"> годах</w:t>
      </w:r>
    </w:p>
    <w:p w14:paraId="2B1CD125"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5" w:type="dxa"/>
        <w:tblLayout w:type="fixed"/>
        <w:tblCellMar>
          <w:left w:w="5" w:type="dxa"/>
          <w:right w:w="103" w:type="dxa"/>
        </w:tblCellMar>
        <w:tblLook w:val="0000" w:firstRow="0" w:lastRow="0" w:firstColumn="0" w:lastColumn="0" w:noHBand="0" w:noVBand="0"/>
      </w:tblPr>
      <w:tblGrid>
        <w:gridCol w:w="3402"/>
        <w:gridCol w:w="1842"/>
        <w:gridCol w:w="1844"/>
        <w:gridCol w:w="1559"/>
        <w:gridCol w:w="1134"/>
      </w:tblGrid>
      <w:tr w:rsidR="00F0736F" w:rsidRPr="00F0736F" w14:paraId="456D4509" w14:textId="77777777" w:rsidTr="005A1D01">
        <w:tc>
          <w:tcPr>
            <w:tcW w:w="3402" w:type="dxa"/>
            <w:tcBorders>
              <w:top w:val="single" w:sz="4" w:space="0" w:color="000000"/>
              <w:left w:val="single" w:sz="4" w:space="0" w:color="000000"/>
              <w:bottom w:val="single" w:sz="4" w:space="0" w:color="000000"/>
            </w:tcBorders>
            <w:shd w:val="clear" w:color="auto" w:fill="FFFFFF"/>
          </w:tcPr>
          <w:p w14:paraId="0B90452C"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Описание цели</w:t>
            </w:r>
          </w:p>
        </w:tc>
        <w:tc>
          <w:tcPr>
            <w:tcW w:w="1842" w:type="dxa"/>
            <w:tcBorders>
              <w:top w:val="single" w:sz="4" w:space="0" w:color="000000"/>
              <w:left w:val="single" w:sz="4" w:space="0" w:color="000000"/>
              <w:bottom w:val="single" w:sz="4" w:space="0" w:color="000000"/>
            </w:tcBorders>
            <w:shd w:val="clear" w:color="auto" w:fill="FFFFFF"/>
          </w:tcPr>
          <w:p w14:paraId="38BA5C76"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2017</w:t>
            </w:r>
          </w:p>
        </w:tc>
        <w:tc>
          <w:tcPr>
            <w:tcW w:w="1844" w:type="dxa"/>
            <w:tcBorders>
              <w:top w:val="single" w:sz="4" w:space="0" w:color="000000"/>
              <w:left w:val="single" w:sz="4" w:space="0" w:color="000000"/>
              <w:bottom w:val="single" w:sz="4" w:space="0" w:color="000000"/>
            </w:tcBorders>
            <w:shd w:val="clear" w:color="auto" w:fill="FFFFFF"/>
          </w:tcPr>
          <w:p w14:paraId="6079EC8A"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2018</w:t>
            </w:r>
          </w:p>
        </w:tc>
        <w:tc>
          <w:tcPr>
            <w:tcW w:w="1559" w:type="dxa"/>
            <w:tcBorders>
              <w:top w:val="single" w:sz="4" w:space="0" w:color="000000"/>
              <w:left w:val="single" w:sz="4" w:space="0" w:color="000000"/>
              <w:bottom w:val="single" w:sz="4" w:space="0" w:color="000000"/>
            </w:tcBorders>
            <w:shd w:val="clear" w:color="auto" w:fill="FFFFFF"/>
          </w:tcPr>
          <w:p w14:paraId="40744386"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74F39E8" w14:textId="4DD55212"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2020  (цель)</w:t>
            </w:r>
          </w:p>
        </w:tc>
      </w:tr>
      <w:tr w:rsidR="00F0736F" w:rsidRPr="00F0736F" w14:paraId="46E7393C" w14:textId="77777777" w:rsidTr="005A1D01">
        <w:tc>
          <w:tcPr>
            <w:tcW w:w="3402" w:type="dxa"/>
            <w:tcBorders>
              <w:top w:val="single" w:sz="4" w:space="0" w:color="000000"/>
              <w:left w:val="single" w:sz="4" w:space="0" w:color="000000"/>
              <w:bottom w:val="single" w:sz="4" w:space="0" w:color="000000"/>
            </w:tcBorders>
            <w:shd w:val="clear" w:color="auto" w:fill="FFFFFF"/>
          </w:tcPr>
          <w:p w14:paraId="0BFE3640" w14:textId="77777777" w:rsidR="00F674A4" w:rsidRPr="00F0736F" w:rsidRDefault="00F674A4" w:rsidP="001843D5">
            <w:pPr>
              <w:ind w:hanging="5"/>
              <w:jc w:val="both"/>
              <w:rPr>
                <w:color w:val="000000" w:themeColor="text1"/>
              </w:rPr>
            </w:pPr>
            <w:r w:rsidRPr="00F0736F">
              <w:rPr>
                <w:rFonts w:ascii="Times New Roman" w:hAnsi="Times New Roman" w:cs="Times New Roman"/>
                <w:color w:val="000000" w:themeColor="text1"/>
                <w:sz w:val="20"/>
                <w:szCs w:val="20"/>
              </w:rPr>
              <w:t>Производительность труда в сельском хозяйстве (увеличение к уровню 2012 года в % - 612,2 тыс. тенге/чел)</w:t>
            </w:r>
          </w:p>
        </w:tc>
        <w:tc>
          <w:tcPr>
            <w:tcW w:w="1842" w:type="dxa"/>
            <w:tcBorders>
              <w:top w:val="single" w:sz="4" w:space="0" w:color="000000"/>
              <w:left w:val="single" w:sz="4" w:space="0" w:color="000000"/>
              <w:bottom w:val="single" w:sz="4" w:space="0" w:color="000000"/>
            </w:tcBorders>
            <w:shd w:val="clear" w:color="auto" w:fill="auto"/>
          </w:tcPr>
          <w:p w14:paraId="3273EFC5" w14:textId="61499A96" w:rsidR="00F674A4" w:rsidRPr="00F0736F" w:rsidRDefault="00F674A4" w:rsidP="00630C6B">
            <w:pPr>
              <w:jc w:val="both"/>
              <w:rPr>
                <w:color w:val="000000" w:themeColor="text1"/>
              </w:rPr>
            </w:pPr>
            <w:r w:rsidRPr="00F0736F">
              <w:rPr>
                <w:rFonts w:ascii="Times New Roman" w:hAnsi="Times New Roman" w:cs="Times New Roman"/>
                <w:color w:val="000000" w:themeColor="text1"/>
                <w:sz w:val="20"/>
                <w:szCs w:val="20"/>
              </w:rPr>
              <w:t>Увеличение в 2,8</w:t>
            </w:r>
            <w:r w:rsidR="00F732DA" w:rsidRPr="00F0736F">
              <w:rPr>
                <w:rFonts w:ascii="Times New Roman" w:hAnsi="Times New Roman" w:cs="Times New Roman"/>
                <w:color w:val="000000" w:themeColor="text1"/>
                <w:sz w:val="20"/>
                <w:szCs w:val="20"/>
              </w:rPr>
              <w:t>3</w:t>
            </w:r>
            <w:r w:rsidRPr="00F0736F">
              <w:rPr>
                <w:rFonts w:ascii="Times New Roman" w:hAnsi="Times New Roman" w:cs="Times New Roman"/>
                <w:color w:val="000000" w:themeColor="text1"/>
                <w:sz w:val="20"/>
                <w:szCs w:val="20"/>
              </w:rPr>
              <w:t xml:space="preserve"> раза (1</w:t>
            </w:r>
            <w:r w:rsidR="00252217"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735,9 тыс. тенге)</w:t>
            </w:r>
          </w:p>
        </w:tc>
        <w:tc>
          <w:tcPr>
            <w:tcW w:w="1844" w:type="dxa"/>
            <w:tcBorders>
              <w:top w:val="single" w:sz="4" w:space="0" w:color="000000"/>
              <w:left w:val="single" w:sz="4" w:space="0" w:color="000000"/>
              <w:bottom w:val="single" w:sz="4" w:space="0" w:color="000000"/>
            </w:tcBorders>
            <w:shd w:val="clear" w:color="auto" w:fill="auto"/>
          </w:tcPr>
          <w:p w14:paraId="24C22D16" w14:textId="5FBC4B20" w:rsidR="00F674A4" w:rsidRPr="00F0736F" w:rsidRDefault="00F674A4" w:rsidP="00630C6B">
            <w:pPr>
              <w:jc w:val="both"/>
              <w:rPr>
                <w:color w:val="000000" w:themeColor="text1"/>
              </w:rPr>
            </w:pPr>
            <w:r w:rsidRPr="00F0736F">
              <w:rPr>
                <w:rFonts w:ascii="Times New Roman" w:hAnsi="Times New Roman" w:cs="Times New Roman"/>
                <w:color w:val="000000" w:themeColor="text1"/>
                <w:sz w:val="20"/>
                <w:szCs w:val="20"/>
              </w:rPr>
              <w:t>Увеличение в 3,</w:t>
            </w:r>
            <w:r w:rsidR="00F732DA" w:rsidRPr="00F0736F">
              <w:rPr>
                <w:rFonts w:ascii="Times New Roman" w:hAnsi="Times New Roman" w:cs="Times New Roman"/>
                <w:color w:val="000000" w:themeColor="text1"/>
                <w:sz w:val="20"/>
                <w:szCs w:val="20"/>
              </w:rPr>
              <w:t>39</w:t>
            </w:r>
            <w:r w:rsidRPr="00F0736F">
              <w:rPr>
                <w:rFonts w:ascii="Times New Roman" w:hAnsi="Times New Roman" w:cs="Times New Roman"/>
                <w:color w:val="000000" w:themeColor="text1"/>
                <w:sz w:val="20"/>
                <w:szCs w:val="20"/>
              </w:rPr>
              <w:t xml:space="preserve"> раза (2</w:t>
            </w:r>
            <w:r w:rsidR="00252217"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076,6 тыс. тенге)</w:t>
            </w:r>
          </w:p>
        </w:tc>
        <w:tc>
          <w:tcPr>
            <w:tcW w:w="1559" w:type="dxa"/>
            <w:tcBorders>
              <w:top w:val="single" w:sz="4" w:space="0" w:color="000000"/>
              <w:left w:val="single" w:sz="4" w:space="0" w:color="000000"/>
              <w:bottom w:val="single" w:sz="4" w:space="0" w:color="000000"/>
            </w:tcBorders>
            <w:shd w:val="clear" w:color="auto" w:fill="auto"/>
          </w:tcPr>
          <w:p w14:paraId="48487AA3" w14:textId="559AF446" w:rsidR="00F674A4" w:rsidRPr="00F0736F" w:rsidRDefault="00F674A4" w:rsidP="00630C6B">
            <w:pPr>
              <w:snapToGrid w:val="0"/>
              <w:jc w:val="both"/>
              <w:rPr>
                <w:color w:val="000000" w:themeColor="text1"/>
              </w:rPr>
            </w:pPr>
            <w:r w:rsidRPr="00F0736F">
              <w:rPr>
                <w:rFonts w:ascii="Times New Roman" w:hAnsi="Times New Roman" w:cs="Times New Roman"/>
                <w:color w:val="000000" w:themeColor="text1"/>
                <w:sz w:val="20"/>
                <w:szCs w:val="20"/>
              </w:rPr>
              <w:t>Увеличение в 4</w:t>
            </w:r>
            <w:r w:rsidR="00F732DA" w:rsidRPr="00F0736F">
              <w:rPr>
                <w:rFonts w:ascii="Times New Roman" w:hAnsi="Times New Roman" w:cs="Times New Roman"/>
                <w:color w:val="000000" w:themeColor="text1"/>
                <w:sz w:val="20"/>
                <w:szCs w:val="20"/>
              </w:rPr>
              <w:t>.03</w:t>
            </w:r>
            <w:r w:rsidRPr="00F0736F">
              <w:rPr>
                <w:rFonts w:ascii="Times New Roman" w:hAnsi="Times New Roman" w:cs="Times New Roman"/>
                <w:color w:val="000000" w:themeColor="text1"/>
                <w:sz w:val="20"/>
                <w:szCs w:val="20"/>
              </w:rPr>
              <w:t xml:space="preserve"> раза</w:t>
            </w:r>
            <w:r w:rsidR="005A1D01"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(2</w:t>
            </w:r>
            <w:r w:rsidR="00252217"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4</w:t>
            </w:r>
            <w:r w:rsidR="00F732DA" w:rsidRPr="00F0736F">
              <w:rPr>
                <w:rFonts w:ascii="Times New Roman" w:hAnsi="Times New Roman" w:cs="Times New Roman"/>
                <w:color w:val="000000" w:themeColor="text1"/>
                <w:sz w:val="20"/>
                <w:szCs w:val="20"/>
              </w:rPr>
              <w:t>66.0</w:t>
            </w:r>
            <w:r w:rsidRPr="00F0736F">
              <w:rPr>
                <w:rFonts w:ascii="Times New Roman" w:hAnsi="Times New Roman" w:cs="Times New Roman"/>
                <w:color w:val="000000" w:themeColor="text1"/>
                <w:sz w:val="20"/>
                <w:szCs w:val="20"/>
              </w:rPr>
              <w:t xml:space="preserve"> тыс. тенге)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F958A4C" w14:textId="77777777" w:rsidR="00F674A4" w:rsidRPr="00F0736F" w:rsidRDefault="00F674A4" w:rsidP="00630C6B">
            <w:pPr>
              <w:jc w:val="both"/>
              <w:rPr>
                <w:color w:val="000000" w:themeColor="text1"/>
              </w:rPr>
            </w:pPr>
            <w:r w:rsidRPr="00F0736F">
              <w:rPr>
                <w:rFonts w:ascii="Times New Roman" w:hAnsi="Times New Roman" w:cs="Times New Roman"/>
                <w:color w:val="000000" w:themeColor="text1"/>
                <w:sz w:val="20"/>
                <w:szCs w:val="20"/>
              </w:rPr>
              <w:t>Увеличение в 3 раза</w:t>
            </w:r>
          </w:p>
        </w:tc>
      </w:tr>
      <w:tr w:rsidR="00F0736F" w:rsidRPr="00F0736F" w14:paraId="1D63DB93" w14:textId="77777777" w:rsidTr="005A1D01">
        <w:tc>
          <w:tcPr>
            <w:tcW w:w="3402" w:type="dxa"/>
            <w:tcBorders>
              <w:top w:val="single" w:sz="4" w:space="0" w:color="000000"/>
              <w:left w:val="single" w:sz="4" w:space="0" w:color="000000"/>
              <w:bottom w:val="single" w:sz="4" w:space="0" w:color="000000"/>
            </w:tcBorders>
            <w:shd w:val="clear" w:color="auto" w:fill="FFFFFF"/>
          </w:tcPr>
          <w:p w14:paraId="2F8B9268" w14:textId="77777777" w:rsidR="00F674A4" w:rsidRPr="00F0736F" w:rsidRDefault="00F674A4" w:rsidP="00675771">
            <w:pPr>
              <w:ind w:hanging="5"/>
              <w:jc w:val="both"/>
              <w:rPr>
                <w:color w:val="000000" w:themeColor="text1"/>
              </w:rPr>
            </w:pPr>
            <w:r w:rsidRPr="00F0736F">
              <w:rPr>
                <w:rFonts w:ascii="Times New Roman" w:hAnsi="Times New Roman" w:cs="Times New Roman"/>
                <w:color w:val="000000" w:themeColor="text1"/>
                <w:sz w:val="20"/>
                <w:szCs w:val="20"/>
              </w:rPr>
              <w:t>Урожайность пшеницы (т/га)</w:t>
            </w:r>
          </w:p>
        </w:tc>
        <w:tc>
          <w:tcPr>
            <w:tcW w:w="1842" w:type="dxa"/>
            <w:tcBorders>
              <w:top w:val="single" w:sz="4" w:space="0" w:color="000000"/>
              <w:left w:val="single" w:sz="4" w:space="0" w:color="000000"/>
              <w:bottom w:val="single" w:sz="4" w:space="0" w:color="000000"/>
            </w:tcBorders>
            <w:shd w:val="clear" w:color="auto" w:fill="FFFFFF"/>
          </w:tcPr>
          <w:p w14:paraId="187C70EE"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1,24</w:t>
            </w:r>
          </w:p>
        </w:tc>
        <w:tc>
          <w:tcPr>
            <w:tcW w:w="1844" w:type="dxa"/>
            <w:tcBorders>
              <w:top w:val="single" w:sz="4" w:space="0" w:color="000000"/>
              <w:left w:val="single" w:sz="4" w:space="0" w:color="000000"/>
              <w:bottom w:val="single" w:sz="4" w:space="0" w:color="000000"/>
            </w:tcBorders>
            <w:shd w:val="clear" w:color="auto" w:fill="FFFFFF"/>
          </w:tcPr>
          <w:p w14:paraId="7905296F"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1,23</w:t>
            </w:r>
          </w:p>
        </w:tc>
        <w:tc>
          <w:tcPr>
            <w:tcW w:w="1559" w:type="dxa"/>
            <w:tcBorders>
              <w:top w:val="single" w:sz="4" w:space="0" w:color="000000"/>
              <w:left w:val="single" w:sz="4" w:space="0" w:color="000000"/>
              <w:bottom w:val="single" w:sz="4" w:space="0" w:color="000000"/>
            </w:tcBorders>
            <w:shd w:val="clear" w:color="auto" w:fill="FFFFFF"/>
          </w:tcPr>
          <w:p w14:paraId="56137265" w14:textId="77777777" w:rsidR="00F674A4" w:rsidRPr="00F0736F" w:rsidRDefault="00F674A4" w:rsidP="00252217">
            <w:pPr>
              <w:snapToGrid w:val="0"/>
              <w:jc w:val="center"/>
              <w:rPr>
                <w:color w:val="000000" w:themeColor="text1"/>
                <w:lang w:val="en-US"/>
              </w:rPr>
            </w:pPr>
            <w:r w:rsidRPr="00F0736F">
              <w:rPr>
                <w:rFonts w:ascii="Times New Roman" w:hAnsi="Times New Roman" w:cs="Times New Roman"/>
                <w:color w:val="000000" w:themeColor="text1"/>
                <w:sz w:val="20"/>
                <w:szCs w:val="20"/>
              </w:rPr>
              <w:t>1,0</w:t>
            </w:r>
            <w:r w:rsidR="00F732DA" w:rsidRPr="00F0736F">
              <w:rPr>
                <w:rFonts w:ascii="Times New Roman" w:hAnsi="Times New Roman" w:cs="Times New Roman"/>
                <w:color w:val="000000" w:themeColor="text1"/>
                <w:sz w:val="20"/>
                <w:szCs w:val="20"/>
                <w:lang w:val="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3187C43" w14:textId="77777777"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1,4</w:t>
            </w:r>
          </w:p>
        </w:tc>
      </w:tr>
      <w:tr w:rsidR="00F0736F" w:rsidRPr="00F0736F" w14:paraId="6D6A5153" w14:textId="77777777" w:rsidTr="005A1D01">
        <w:tc>
          <w:tcPr>
            <w:tcW w:w="3402" w:type="dxa"/>
            <w:tcBorders>
              <w:top w:val="single" w:sz="4" w:space="0" w:color="000000"/>
              <w:left w:val="single" w:sz="4" w:space="0" w:color="000000"/>
              <w:bottom w:val="single" w:sz="4" w:space="0" w:color="000000"/>
            </w:tcBorders>
            <w:shd w:val="clear" w:color="auto" w:fill="FFFFFF"/>
          </w:tcPr>
          <w:p w14:paraId="1AEB69F3" w14:textId="77777777" w:rsidR="00F674A4" w:rsidRPr="00F0736F" w:rsidRDefault="00F674A4" w:rsidP="00675771">
            <w:pPr>
              <w:ind w:hanging="5"/>
              <w:jc w:val="both"/>
              <w:rPr>
                <w:color w:val="000000" w:themeColor="text1"/>
              </w:rPr>
            </w:pPr>
            <w:r w:rsidRPr="00F0736F">
              <w:rPr>
                <w:rFonts w:ascii="Times New Roman" w:eastAsia="Times New Roman" w:hAnsi="Times New Roman" w:cs="Times New Roman"/>
                <w:color w:val="000000" w:themeColor="text1"/>
                <w:sz w:val="20"/>
                <w:szCs w:val="20"/>
              </w:rPr>
              <w:t>Затраты воды на орошение (м</w:t>
            </w:r>
            <w:r w:rsidRPr="00F0736F">
              <w:rPr>
                <w:rFonts w:ascii="Times New Roman" w:eastAsia="Times New Roman" w:hAnsi="Times New Roman" w:cs="Times New Roman"/>
                <w:color w:val="000000" w:themeColor="text1"/>
                <w:sz w:val="20"/>
                <w:szCs w:val="20"/>
                <w:vertAlign w:val="superscript"/>
              </w:rPr>
              <w:t>3</w:t>
            </w:r>
            <w:r w:rsidRPr="00F0736F">
              <w:rPr>
                <w:rFonts w:ascii="Times New Roman" w:eastAsia="Times New Roman" w:hAnsi="Times New Roman" w:cs="Times New Roman"/>
                <w:color w:val="000000" w:themeColor="text1"/>
                <w:sz w:val="20"/>
                <w:szCs w:val="20"/>
              </w:rPr>
              <w:t>/га)</w:t>
            </w:r>
          </w:p>
        </w:tc>
        <w:tc>
          <w:tcPr>
            <w:tcW w:w="1842" w:type="dxa"/>
            <w:tcBorders>
              <w:top w:val="single" w:sz="4" w:space="0" w:color="000000"/>
              <w:left w:val="single" w:sz="4" w:space="0" w:color="000000"/>
              <w:bottom w:val="single" w:sz="4" w:space="0" w:color="000000"/>
            </w:tcBorders>
            <w:shd w:val="clear" w:color="auto" w:fill="FFFFFF"/>
          </w:tcPr>
          <w:p w14:paraId="544C570F"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1844" w:type="dxa"/>
            <w:tcBorders>
              <w:top w:val="single" w:sz="4" w:space="0" w:color="000000"/>
              <w:left w:val="single" w:sz="4" w:space="0" w:color="000000"/>
              <w:bottom w:val="single" w:sz="4" w:space="0" w:color="000000"/>
            </w:tcBorders>
            <w:shd w:val="clear" w:color="auto" w:fill="FFFFFF"/>
          </w:tcPr>
          <w:p w14:paraId="0FB4B4BE" w14:textId="3499FF9E"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8</w:t>
            </w:r>
            <w:r w:rsidR="00252217"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209</w:t>
            </w:r>
          </w:p>
        </w:tc>
        <w:tc>
          <w:tcPr>
            <w:tcW w:w="1559" w:type="dxa"/>
            <w:tcBorders>
              <w:top w:val="single" w:sz="4" w:space="0" w:color="000000"/>
              <w:left w:val="single" w:sz="4" w:space="0" w:color="000000"/>
              <w:bottom w:val="single" w:sz="4" w:space="0" w:color="000000"/>
            </w:tcBorders>
            <w:shd w:val="clear" w:color="auto" w:fill="FFFFFF"/>
          </w:tcPr>
          <w:p w14:paraId="22868BC8"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EAD3852" w14:textId="12F0103E" w:rsidR="00F674A4" w:rsidRPr="00F0736F" w:rsidRDefault="00F674A4" w:rsidP="00252217">
            <w:pPr>
              <w:jc w:val="center"/>
              <w:rPr>
                <w:color w:val="000000" w:themeColor="text1"/>
              </w:rPr>
            </w:pPr>
            <w:r w:rsidRPr="00F0736F">
              <w:rPr>
                <w:rFonts w:ascii="Times New Roman" w:hAnsi="Times New Roman" w:cs="Times New Roman"/>
                <w:color w:val="000000" w:themeColor="text1"/>
                <w:sz w:val="20"/>
                <w:szCs w:val="20"/>
              </w:rPr>
              <w:t>7</w:t>
            </w:r>
            <w:r w:rsidR="00252217"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348</w:t>
            </w:r>
          </w:p>
          <w:p w14:paraId="76567242" w14:textId="77777777" w:rsidR="00F674A4" w:rsidRPr="00F0736F" w:rsidRDefault="00F674A4" w:rsidP="00252217">
            <w:pPr>
              <w:jc w:val="center"/>
              <w:rPr>
                <w:rFonts w:ascii="Times New Roman" w:hAnsi="Times New Roman" w:cs="Times New Roman"/>
                <w:color w:val="000000" w:themeColor="text1"/>
                <w:sz w:val="20"/>
                <w:szCs w:val="20"/>
              </w:rPr>
            </w:pPr>
          </w:p>
        </w:tc>
      </w:tr>
    </w:tbl>
    <w:p w14:paraId="22BEC707" w14:textId="77777777" w:rsidR="00F674A4" w:rsidRPr="00F0736F" w:rsidRDefault="00F674A4" w:rsidP="008727D9">
      <w:pPr>
        <w:ind w:firstLine="709"/>
        <w:jc w:val="both"/>
        <w:rPr>
          <w:i/>
          <w:color w:val="000000" w:themeColor="text1"/>
        </w:rPr>
      </w:pPr>
      <w:r w:rsidRPr="00F0736F">
        <w:rPr>
          <w:rFonts w:ascii="Times New Roman" w:eastAsia="Times New Roman" w:hAnsi="Times New Roman" w:cs="Times New Roman"/>
          <w:bCs/>
          <w:i/>
          <w:iCs/>
          <w:color w:val="000000" w:themeColor="text1"/>
          <w:spacing w:val="2"/>
          <w:sz w:val="20"/>
          <w:szCs w:val="20"/>
          <w:lang w:eastAsia="ru-RU"/>
        </w:rPr>
        <w:t>По данным МСХ РК</w:t>
      </w:r>
      <w:r w:rsidRPr="00F0736F">
        <w:rPr>
          <w:rStyle w:val="a4"/>
          <w:rFonts w:ascii="Times New Roman" w:eastAsia="Times New Roman" w:hAnsi="Times New Roman" w:cs="Times New Roman"/>
          <w:bCs/>
          <w:i/>
          <w:iCs/>
          <w:color w:val="000000" w:themeColor="text1"/>
          <w:spacing w:val="2"/>
          <w:sz w:val="20"/>
          <w:szCs w:val="20"/>
          <w:lang w:eastAsia="ru-RU"/>
        </w:rPr>
        <w:footnoteReference w:id="23"/>
      </w:r>
      <w:r w:rsidRPr="00F0736F">
        <w:rPr>
          <w:rStyle w:val="21"/>
          <w:rFonts w:ascii="Times New Roman" w:eastAsia="Times New Roman" w:hAnsi="Times New Roman" w:cs="Times New Roman"/>
          <w:bCs/>
          <w:i/>
          <w:iCs/>
          <w:color w:val="000000" w:themeColor="text1"/>
          <w:spacing w:val="2"/>
          <w:szCs w:val="20"/>
          <w:lang w:eastAsia="ru-RU"/>
        </w:rPr>
        <w:t xml:space="preserve"> и Комитета по статистике </w:t>
      </w:r>
      <w:r w:rsidR="00630C6B" w:rsidRPr="00F0736F">
        <w:rPr>
          <w:rStyle w:val="21"/>
          <w:rFonts w:ascii="Times New Roman" w:eastAsia="Times New Roman" w:hAnsi="Times New Roman" w:cs="Times New Roman"/>
          <w:bCs/>
          <w:i/>
          <w:iCs/>
          <w:color w:val="000000" w:themeColor="text1"/>
          <w:spacing w:val="2"/>
          <w:szCs w:val="20"/>
          <w:lang w:eastAsia="ru-RU"/>
        </w:rPr>
        <w:t xml:space="preserve"> </w:t>
      </w:r>
    </w:p>
    <w:p w14:paraId="0BE62459" w14:textId="77777777" w:rsidR="00F674A4" w:rsidRPr="00F0736F" w:rsidRDefault="00F674A4" w:rsidP="008727D9">
      <w:pPr>
        <w:ind w:firstLine="709"/>
        <w:jc w:val="both"/>
        <w:rPr>
          <w:rFonts w:ascii="Times New Roman" w:hAnsi="Times New Roman" w:cs="Times New Roman"/>
          <w:color w:val="000000" w:themeColor="text1"/>
        </w:rPr>
      </w:pPr>
    </w:p>
    <w:p w14:paraId="170D24C7" w14:textId="5D0CC6AE"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bCs/>
          <w:iCs/>
          <w:color w:val="000000" w:themeColor="text1"/>
          <w:spacing w:val="2"/>
          <w:sz w:val="24"/>
          <w:szCs w:val="28"/>
          <w:lang w:eastAsia="ru-RU"/>
        </w:rPr>
        <w:t xml:space="preserve">Вместе с тем, производительность труда в сельском хозяйстве далеко отстает от других секторов экономики, а урожайность основных культур несопоставима с показателями развитых государств </w:t>
      </w:r>
      <w:r w:rsidRPr="00F0736F">
        <w:rPr>
          <w:rStyle w:val="21"/>
          <w:rFonts w:ascii="Times New Roman" w:eastAsia="MS Mincho" w:hAnsi="Times New Roman" w:cs="Times New Roman"/>
          <w:bCs/>
          <w:iCs/>
          <w:color w:val="000000" w:themeColor="text1"/>
          <w:spacing w:val="2"/>
          <w:sz w:val="24"/>
          <w:szCs w:val="28"/>
          <w:lang w:eastAsia="ja-JP"/>
        </w:rPr>
        <w:t>(например, урожайность пшеницы в 2015 г. составляла 1,33 т/га при среднемировом показателе 3,75 т/га)</w:t>
      </w:r>
      <w:r w:rsidRPr="00F0736F">
        <w:rPr>
          <w:rStyle w:val="a4"/>
          <w:rFonts w:ascii="Times New Roman" w:eastAsia="MS Mincho" w:hAnsi="Times New Roman" w:cs="Times New Roman"/>
          <w:bCs/>
          <w:iCs/>
          <w:color w:val="000000" w:themeColor="text1"/>
          <w:spacing w:val="2"/>
          <w:szCs w:val="28"/>
          <w:lang w:eastAsia="ja-JP"/>
        </w:rPr>
        <w:footnoteReference w:id="24"/>
      </w:r>
      <w:r w:rsidRPr="00F0736F">
        <w:rPr>
          <w:rStyle w:val="21"/>
          <w:rFonts w:ascii="Times New Roman" w:eastAsia="Times New Roman" w:hAnsi="Times New Roman" w:cs="Times New Roman"/>
          <w:bCs/>
          <w:iCs/>
          <w:color w:val="000000" w:themeColor="text1"/>
          <w:spacing w:val="2"/>
          <w:sz w:val="24"/>
          <w:szCs w:val="28"/>
          <w:lang w:eastAsia="ru-RU"/>
        </w:rPr>
        <w:t>. Кроме того, сельское хозяйство является наиболее водоемким сектором, к тому же с наибольшими потерями воды при ее транспортировке и использовании. В результате сельское хозяйство в Казахстане является непривлекательным для инвестиций и испытывает трудности с финансированием, что еще более усугубляет имеющиеся проблемы.</w:t>
      </w:r>
    </w:p>
    <w:p w14:paraId="6E48B3D7" w14:textId="5F5E9F4A"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По данным Комитета по статистике</w:t>
      </w:r>
      <w:r w:rsidR="00252217"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в 2017 </w:t>
      </w:r>
      <w:r w:rsidR="00252217"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2019 годах валовая продукция сельского хозяйства постоянно росла в денежном выражении на 11 </w:t>
      </w:r>
      <w:r w:rsidR="00675771"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17% в год, </w:t>
      </w:r>
      <w:r w:rsidRPr="00F0736F">
        <w:rPr>
          <w:rFonts w:ascii="Times New Roman" w:eastAsia="Times New Roman" w:hAnsi="Times New Roman" w:cs="Times New Roman"/>
          <w:bCs/>
          <w:color w:val="000000" w:themeColor="text1"/>
          <w:szCs w:val="28"/>
          <w:lang w:eastAsia="ru-RU"/>
        </w:rPr>
        <w:t xml:space="preserve">(2016 год </w:t>
      </w:r>
      <w:r w:rsidR="00252217" w:rsidRPr="00F0736F">
        <w:rPr>
          <w:rFonts w:ascii="Times New Roman" w:eastAsia="Times New Roman" w:hAnsi="Times New Roman" w:cs="Times New Roman"/>
          <w:bCs/>
          <w:color w:val="000000" w:themeColor="text1"/>
          <w:szCs w:val="28"/>
          <w:lang w:eastAsia="ru-RU"/>
        </w:rPr>
        <w:t>–</w:t>
      </w:r>
      <w:r w:rsidRPr="00F0736F">
        <w:rPr>
          <w:rFonts w:ascii="Times New Roman" w:eastAsia="Times New Roman" w:hAnsi="Times New Roman" w:cs="Times New Roman"/>
          <w:bCs/>
          <w:color w:val="000000" w:themeColor="text1"/>
          <w:szCs w:val="28"/>
          <w:lang w:eastAsia="ru-RU"/>
        </w:rPr>
        <w:t xml:space="preserve"> 3</w:t>
      </w:r>
      <w:r w:rsidR="00252217" w:rsidRPr="00F0736F">
        <w:rPr>
          <w:rFonts w:ascii="Times New Roman" w:eastAsia="Times New Roman" w:hAnsi="Times New Roman" w:cs="Times New Roman"/>
          <w:bCs/>
          <w:color w:val="000000" w:themeColor="text1"/>
          <w:szCs w:val="28"/>
          <w:lang w:eastAsia="ru-RU"/>
        </w:rPr>
        <w:t xml:space="preserve"> </w:t>
      </w:r>
      <w:r w:rsidRPr="00F0736F">
        <w:rPr>
          <w:rFonts w:ascii="Times New Roman" w:eastAsia="Times New Roman" w:hAnsi="Times New Roman" w:cs="Times New Roman"/>
          <w:bCs/>
          <w:color w:val="000000" w:themeColor="text1"/>
          <w:szCs w:val="28"/>
          <w:lang w:eastAsia="ru-RU"/>
        </w:rPr>
        <w:t xml:space="preserve">684,4 млрд. тенге, 2017 году </w:t>
      </w:r>
      <w:r w:rsidR="00252217" w:rsidRPr="00F0736F">
        <w:rPr>
          <w:rFonts w:ascii="Times New Roman" w:eastAsia="Times New Roman" w:hAnsi="Times New Roman" w:cs="Times New Roman"/>
          <w:bCs/>
          <w:color w:val="000000" w:themeColor="text1"/>
          <w:szCs w:val="28"/>
          <w:lang w:eastAsia="ru-RU"/>
        </w:rPr>
        <w:t>–</w:t>
      </w:r>
      <w:r w:rsidRPr="00F0736F">
        <w:rPr>
          <w:rFonts w:ascii="Times New Roman" w:eastAsia="Times New Roman" w:hAnsi="Times New Roman" w:cs="Times New Roman"/>
          <w:bCs/>
          <w:color w:val="000000" w:themeColor="text1"/>
          <w:szCs w:val="28"/>
          <w:lang w:eastAsia="ru-RU"/>
        </w:rPr>
        <w:t xml:space="preserve"> 4</w:t>
      </w:r>
      <w:r w:rsidR="00252217" w:rsidRPr="00F0736F">
        <w:rPr>
          <w:rFonts w:ascii="Times New Roman" w:eastAsia="Times New Roman" w:hAnsi="Times New Roman" w:cs="Times New Roman"/>
          <w:bCs/>
          <w:color w:val="000000" w:themeColor="text1"/>
          <w:szCs w:val="28"/>
          <w:lang w:eastAsia="ru-RU"/>
        </w:rPr>
        <w:t xml:space="preserve"> </w:t>
      </w:r>
      <w:r w:rsidRPr="00F0736F">
        <w:rPr>
          <w:rFonts w:ascii="Times New Roman" w:eastAsia="Times New Roman" w:hAnsi="Times New Roman" w:cs="Times New Roman"/>
          <w:bCs/>
          <w:color w:val="000000" w:themeColor="text1"/>
          <w:szCs w:val="28"/>
          <w:lang w:eastAsia="ru-RU"/>
        </w:rPr>
        <w:t>070,9 млрд. тенге, в 2018 году -  4</w:t>
      </w:r>
      <w:r w:rsidR="00252217" w:rsidRPr="00F0736F">
        <w:rPr>
          <w:rFonts w:ascii="Times New Roman" w:eastAsia="Times New Roman" w:hAnsi="Times New Roman" w:cs="Times New Roman"/>
          <w:bCs/>
          <w:color w:val="000000" w:themeColor="text1"/>
          <w:szCs w:val="28"/>
          <w:lang w:eastAsia="ru-RU"/>
        </w:rPr>
        <w:t xml:space="preserve"> </w:t>
      </w:r>
      <w:r w:rsidRPr="00F0736F">
        <w:rPr>
          <w:rFonts w:ascii="Times New Roman" w:eastAsia="Times New Roman" w:hAnsi="Times New Roman" w:cs="Times New Roman"/>
          <w:bCs/>
          <w:color w:val="000000" w:themeColor="text1"/>
          <w:szCs w:val="28"/>
          <w:lang w:eastAsia="ru-RU"/>
        </w:rPr>
        <w:t xml:space="preserve">474,1 млрд. тенге, 2019 год </w:t>
      </w:r>
      <w:r w:rsidR="005A1D01" w:rsidRPr="00F0736F">
        <w:rPr>
          <w:rFonts w:ascii="Times New Roman" w:eastAsia="Times New Roman" w:hAnsi="Times New Roman" w:cs="Times New Roman"/>
          <w:bCs/>
          <w:color w:val="000000" w:themeColor="text1"/>
          <w:szCs w:val="28"/>
          <w:lang w:eastAsia="ru-RU"/>
        </w:rPr>
        <w:t xml:space="preserve"> - </w:t>
      </w:r>
      <w:r w:rsidR="005846C7" w:rsidRPr="00F0736F">
        <w:rPr>
          <w:rFonts w:ascii="Times New Roman" w:eastAsia="Times New Roman" w:hAnsi="Times New Roman" w:cs="Times New Roman"/>
          <w:bCs/>
          <w:color w:val="000000" w:themeColor="text1"/>
          <w:szCs w:val="28"/>
          <w:lang w:eastAsia="ru-RU"/>
        </w:rPr>
        <w:t>5</w:t>
      </w:r>
      <w:r w:rsidR="00252217" w:rsidRPr="00F0736F">
        <w:rPr>
          <w:rFonts w:ascii="Times New Roman" w:eastAsia="Times New Roman" w:hAnsi="Times New Roman" w:cs="Times New Roman"/>
          <w:bCs/>
          <w:color w:val="000000" w:themeColor="text1"/>
          <w:szCs w:val="28"/>
          <w:lang w:eastAsia="ru-RU"/>
        </w:rPr>
        <w:t xml:space="preserve"> </w:t>
      </w:r>
      <w:r w:rsidR="005846C7" w:rsidRPr="00F0736F">
        <w:rPr>
          <w:rFonts w:ascii="Times New Roman" w:eastAsia="Times New Roman" w:hAnsi="Times New Roman" w:cs="Times New Roman"/>
          <w:bCs/>
          <w:color w:val="000000" w:themeColor="text1"/>
          <w:szCs w:val="28"/>
          <w:lang w:eastAsia="ru-RU"/>
        </w:rPr>
        <w:t>151,2 млрд. тенге)</w:t>
      </w:r>
      <w:r w:rsidR="005846C7"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Индекс физического объема продукции сельского хозяйства</w:t>
      </w:r>
      <w:r w:rsidR="005A1D01" w:rsidRPr="00F0736F">
        <w:rPr>
          <w:rFonts w:ascii="Times New Roman" w:eastAsia="Times New Roman" w:hAnsi="Times New Roman" w:cs="Times New Roman"/>
          <w:color w:val="000000" w:themeColor="text1"/>
          <w:lang w:eastAsia="ru-RU"/>
        </w:rPr>
        <w:t xml:space="preserve"> при этом рос на 3-</w:t>
      </w:r>
      <w:r w:rsidRPr="00F0736F">
        <w:rPr>
          <w:rFonts w:ascii="Times New Roman" w:eastAsia="Times New Roman" w:hAnsi="Times New Roman" w:cs="Times New Roman"/>
          <w:color w:val="000000" w:themeColor="text1"/>
          <w:lang w:eastAsia="ru-RU"/>
        </w:rPr>
        <w:t>4%.</w:t>
      </w:r>
    </w:p>
    <w:p w14:paraId="76283F3B" w14:textId="77777777" w:rsidR="005846C7" w:rsidRPr="00F0736F" w:rsidRDefault="00F674A4" w:rsidP="002A22BB">
      <w:pPr>
        <w:ind w:firstLine="709"/>
        <w:jc w:val="both"/>
        <w:rPr>
          <w:rFonts w:ascii="Times New Roman" w:eastAsia="MS Mincho" w:hAnsi="Times New Roman" w:cs="Times New Roman"/>
          <w:bCs/>
          <w:color w:val="000000" w:themeColor="text1"/>
          <w:szCs w:val="28"/>
          <w:lang w:eastAsia="ja-JP"/>
        </w:rPr>
      </w:pPr>
      <w:r w:rsidRPr="00F0736F">
        <w:rPr>
          <w:rStyle w:val="21"/>
          <w:rFonts w:ascii="Times New Roman" w:eastAsia="Times New Roman" w:hAnsi="Times New Roman" w:cs="Times New Roman"/>
          <w:bCs/>
          <w:iCs/>
          <w:color w:val="000000" w:themeColor="text1"/>
          <w:spacing w:val="2"/>
          <w:sz w:val="24"/>
          <w:lang w:eastAsia="ru-RU"/>
        </w:rPr>
        <w:t>Основой сельского хозяйства является растениеводство (55%)</w:t>
      </w:r>
      <w:r w:rsidR="002A22BB" w:rsidRPr="00F0736F">
        <w:rPr>
          <w:rStyle w:val="21"/>
          <w:rFonts w:ascii="Times New Roman" w:eastAsia="Times New Roman" w:hAnsi="Times New Roman" w:cs="Times New Roman"/>
          <w:bCs/>
          <w:iCs/>
          <w:color w:val="000000" w:themeColor="text1"/>
          <w:spacing w:val="2"/>
          <w:sz w:val="24"/>
          <w:lang w:eastAsia="ru-RU"/>
        </w:rPr>
        <w:t>,</w:t>
      </w:r>
      <w:r w:rsidRPr="00F0736F">
        <w:rPr>
          <w:rStyle w:val="21"/>
          <w:rFonts w:ascii="Times New Roman" w:eastAsia="Times New Roman" w:hAnsi="Times New Roman" w:cs="Times New Roman"/>
          <w:bCs/>
          <w:iCs/>
          <w:color w:val="000000" w:themeColor="text1"/>
          <w:spacing w:val="2"/>
          <w:sz w:val="24"/>
          <w:lang w:eastAsia="ru-RU"/>
        </w:rPr>
        <w:t xml:space="preserve"> немалую роль играет и животноводство (45%).</w:t>
      </w:r>
      <w:r w:rsidRPr="00F0736F">
        <w:rPr>
          <w:rFonts w:ascii="Times New Roman" w:eastAsia="Times New Roman" w:hAnsi="Times New Roman" w:cs="Times New Roman"/>
          <w:bCs/>
          <w:color w:val="000000" w:themeColor="text1"/>
          <w:szCs w:val="28"/>
          <w:lang w:eastAsia="ru-RU"/>
        </w:rPr>
        <w:t xml:space="preserve"> </w:t>
      </w:r>
      <w:r w:rsidRPr="00F0736F">
        <w:rPr>
          <w:rFonts w:ascii="Times New Roman" w:eastAsia="MS Mincho" w:hAnsi="Times New Roman" w:cs="Times New Roman"/>
          <w:bCs/>
          <w:color w:val="000000" w:themeColor="text1"/>
          <w:szCs w:val="28"/>
          <w:lang w:eastAsia="ja-JP"/>
        </w:rPr>
        <w:t>Казахстан занимает второе место в мире после Австралии по площади пахотных земель на душу населения (1,675 га на человека, в то время как среднемировой показатель составляет 0,194 га на человека) и является одним из крупнейших экспортеров зерна и муки.</w:t>
      </w:r>
    </w:p>
    <w:p w14:paraId="010EABA8"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Общая </w:t>
      </w:r>
      <w:r w:rsidRPr="00F0736F">
        <w:rPr>
          <w:rFonts w:ascii="Times New Roman" w:hAnsi="Times New Roman" w:cs="Times New Roman"/>
          <w:b/>
          <w:color w:val="000000" w:themeColor="text1"/>
        </w:rPr>
        <w:t>площадь земель сельскохозяйственного назначения</w:t>
      </w:r>
      <w:r w:rsidRPr="00F0736F">
        <w:rPr>
          <w:color w:val="000000" w:themeColor="text1"/>
        </w:rPr>
        <w:t xml:space="preserve"> </w:t>
      </w:r>
      <w:r w:rsidRPr="00F0736F">
        <w:rPr>
          <w:rFonts w:ascii="Times New Roman" w:hAnsi="Times New Roman" w:cs="Times New Roman"/>
          <w:color w:val="000000" w:themeColor="text1"/>
        </w:rPr>
        <w:t xml:space="preserve">увеличилась на 11,4%, с 93,3 млн. га в 2010 году до 104,1 млн. га в 2017 году, до 105,4 млн. га в 2018 году,  и до </w:t>
      </w:r>
      <w:r w:rsidR="000C032C" w:rsidRPr="00F0736F">
        <w:rPr>
          <w:rFonts w:ascii="Times New Roman" w:hAnsi="Times New Roman" w:cs="Times New Roman"/>
          <w:color w:val="000000" w:themeColor="text1"/>
        </w:rPr>
        <w:t xml:space="preserve">106,4 </w:t>
      </w:r>
      <w:r w:rsidRPr="00F0736F">
        <w:rPr>
          <w:rFonts w:ascii="Times New Roman" w:hAnsi="Times New Roman" w:cs="Times New Roman"/>
          <w:color w:val="000000" w:themeColor="text1"/>
        </w:rPr>
        <w:t>млн. га в 2019 году, в основном за счет земель запаса, площадь которых в 2018 году составила 96,7 млн. га и, по сравнению с 2010 годом (111,8 млн. га), уменьшилась на 13,5%.</w:t>
      </w:r>
    </w:p>
    <w:p w14:paraId="2ADBEAD4"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В 2017 году </w:t>
      </w:r>
      <w:r w:rsidRPr="00F0736F">
        <w:rPr>
          <w:rFonts w:ascii="Times New Roman" w:hAnsi="Times New Roman" w:cs="Times New Roman"/>
          <w:b/>
          <w:color w:val="000000" w:themeColor="text1"/>
        </w:rPr>
        <w:t>площадь пашни</w:t>
      </w:r>
      <w:r w:rsidRPr="00F0736F">
        <w:rPr>
          <w:rFonts w:ascii="Times New Roman" w:hAnsi="Times New Roman" w:cs="Times New Roman"/>
          <w:color w:val="000000" w:themeColor="text1"/>
        </w:rPr>
        <w:t xml:space="preserve"> составляла 25,2 млн. га, в сравнении с 2010 годом (24,2 млн. га) увеличилась на 4,4%, а в 2018 году увеличилась до 25,8 млн. га. В том числе площадь орошаемой пашни составила 1,5 млн. га в 2017 году и 1,6 млн. га в 2018 году.</w:t>
      </w:r>
    </w:p>
    <w:p w14:paraId="51CC9398" w14:textId="77777777" w:rsidR="00F674A4" w:rsidRPr="00DA2F8F" w:rsidRDefault="00F674A4" w:rsidP="008727D9">
      <w:pPr>
        <w:pStyle w:val="afc"/>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Площадь пастбищ</w:t>
      </w:r>
      <w:r w:rsidRPr="00F0736F">
        <w:rPr>
          <w:rFonts w:ascii="Times New Roman" w:hAnsi="Times New Roman" w:cs="Times New Roman"/>
          <w:color w:val="000000" w:themeColor="text1"/>
        </w:rPr>
        <w:t xml:space="preserve"> в 2017 году составляла 186,4 млн. га, что на 1,02% меньше чем в 2010 году (188,3 млн. га), а в 2018 году уменьшилась до </w:t>
      </w:r>
      <w:r w:rsidR="000C032C" w:rsidRPr="00F0736F">
        <w:rPr>
          <w:rFonts w:ascii="Times New Roman" w:hAnsi="Times New Roman" w:cs="Times New Roman"/>
          <w:color w:val="000000" w:themeColor="text1"/>
        </w:rPr>
        <w:t xml:space="preserve">186,2 </w:t>
      </w:r>
      <w:r w:rsidRPr="00F0736F">
        <w:rPr>
          <w:rFonts w:ascii="Times New Roman" w:hAnsi="Times New Roman" w:cs="Times New Roman"/>
          <w:color w:val="000000" w:themeColor="text1"/>
        </w:rPr>
        <w:t xml:space="preserve">млн. га, в том числе обводненные пастбища занимают 105,1 млн. га. </w:t>
      </w:r>
    </w:p>
    <w:p w14:paraId="21C0FF14" w14:textId="77777777" w:rsidR="00E95C2A" w:rsidRPr="00DA2F8F" w:rsidRDefault="00E95C2A" w:rsidP="00DA2F8F">
      <w:pPr>
        <w:pStyle w:val="afc"/>
        <w:ind w:firstLine="709"/>
        <w:jc w:val="both"/>
        <w:rPr>
          <w:rFonts w:ascii="Times New Roman" w:hAnsi="Times New Roman" w:cs="Times New Roman"/>
          <w:color w:val="000000" w:themeColor="text1"/>
        </w:rPr>
      </w:pPr>
      <w:r w:rsidRPr="00DA2F8F">
        <w:rPr>
          <w:rFonts w:ascii="Times New Roman" w:hAnsi="Times New Roman" w:cs="Times New Roman"/>
          <w:color w:val="000000" w:themeColor="text1"/>
        </w:rPr>
        <w:t>Во второй половине 2019 года Министерством сельского хозяйства, cовместно с Министерством цифрового развития, инноваций и аэрокосмической промышленности Республики Казахстан, создан геопортал на базе АО «НК «Қазақстан Ғарыш Сапары». По итогам анализа данных дистанционного зондирования Земли:  </w:t>
      </w:r>
    </w:p>
    <w:p w14:paraId="04065A9E" w14:textId="77777777" w:rsidR="00E95C2A" w:rsidRPr="00DA2F8F" w:rsidRDefault="00E95C2A" w:rsidP="00DA2F8F">
      <w:pPr>
        <w:pStyle w:val="afc"/>
        <w:ind w:firstLine="709"/>
        <w:jc w:val="both"/>
        <w:rPr>
          <w:rFonts w:ascii="Times New Roman" w:hAnsi="Times New Roman" w:cs="Times New Roman"/>
          <w:color w:val="000000" w:themeColor="text1"/>
        </w:rPr>
      </w:pPr>
      <w:r w:rsidRPr="00DA2F8F">
        <w:rPr>
          <w:rFonts w:ascii="Times New Roman" w:hAnsi="Times New Roman" w:cs="Times New Roman"/>
          <w:color w:val="000000" w:themeColor="text1"/>
        </w:rPr>
        <w:t>– выявлено неиспользуемых пахотных земель в Акмолинской области – 223405,72 га, в Северо-Казахстанской области – 269753,5 га, в Карагандинской области – 214168 га, в Восточно-Казахстанской области – 154600,1 га, в Жамбылской области – 53946,83 га,  Алматинской области – 67889,92 га; </w:t>
      </w:r>
    </w:p>
    <w:p w14:paraId="02CF1A4C" w14:textId="77777777" w:rsidR="00E95C2A" w:rsidRPr="00DA2F8F" w:rsidRDefault="00E95C2A" w:rsidP="00DA2F8F">
      <w:pPr>
        <w:pStyle w:val="afc"/>
        <w:ind w:firstLine="709"/>
        <w:jc w:val="both"/>
        <w:rPr>
          <w:rFonts w:ascii="Times New Roman" w:hAnsi="Times New Roman" w:cs="Times New Roman"/>
          <w:color w:val="000000" w:themeColor="text1"/>
        </w:rPr>
      </w:pPr>
      <w:r w:rsidRPr="00DA2F8F">
        <w:rPr>
          <w:rFonts w:ascii="Times New Roman" w:hAnsi="Times New Roman" w:cs="Times New Roman"/>
          <w:color w:val="000000" w:themeColor="text1"/>
        </w:rPr>
        <w:t>– выявлено неучтенных и свободных земель на территории Акмолинской области – 123274,9 га, Северо-Казахстанской области – 64456,6  га, Карагандинской области – 32107,5 га, Восточно-Казахстанской области – 66336 га, в Жамбылской области – 29404,6 га., Алматинской области – 52298,5  га.  </w:t>
      </w:r>
    </w:p>
    <w:p w14:paraId="2A2C2240" w14:textId="77777777" w:rsidR="002A22BB" w:rsidRPr="00F0736F" w:rsidRDefault="002A22BB" w:rsidP="002A22BB">
      <w:pPr>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Таким образом, на геосервисе zher.gharysh.kz представлены предварительные результаты мониторинга землепользования. Валидация и интерпретация результатов будет завершена в конце 2020 года.</w:t>
      </w:r>
    </w:p>
    <w:p w14:paraId="7A2ABCB3" w14:textId="1A3AAA70"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Кроме того, в 2019 году Комитет по управлению земельными ресурсами в рамках осуществления госконтроля за соблюдением земельного законодательства возвратил в госсобственность через суд </w:t>
      </w:r>
      <w:r w:rsidR="00E6382B" w:rsidRPr="00F0736F">
        <w:rPr>
          <w:rFonts w:ascii="Times New Roman" w:eastAsia="Times New Roman" w:hAnsi="Times New Roman" w:cs="Times New Roman"/>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eastAsia="Times New Roman" w:hAnsi="Times New Roman" w:cs="Times New Roman"/>
          <w:bCs/>
          <w:color w:val="000000" w:themeColor="text1"/>
          <w:kern w:val="0"/>
          <w:lang w:eastAsia="ru-RU" w:bidi="ar-SA"/>
        </w:rPr>
        <w:t xml:space="preserve">1,2 </w:t>
      </w:r>
      <w:r w:rsidRPr="00F0736F">
        <w:rPr>
          <w:rFonts w:ascii="Times New Roman" w:eastAsia="Times New Roman" w:hAnsi="Times New Roman" w:cs="Times New Roman"/>
          <w:color w:val="000000" w:themeColor="text1"/>
          <w:kern w:val="0"/>
          <w:lang w:eastAsia="ru-RU" w:bidi="ar-SA"/>
        </w:rPr>
        <w:t xml:space="preserve">млн. га неиспользуемых земель, из них </w:t>
      </w:r>
      <w:r w:rsidRPr="00F0736F">
        <w:rPr>
          <w:rFonts w:ascii="Times New Roman" w:eastAsia="Times New Roman" w:hAnsi="Times New Roman" w:cs="Times New Roman"/>
          <w:bCs/>
          <w:color w:val="000000" w:themeColor="text1"/>
          <w:kern w:val="0"/>
          <w:lang w:eastAsia="ru-RU" w:bidi="ar-SA"/>
        </w:rPr>
        <w:t xml:space="preserve">37 </w:t>
      </w:r>
      <w:r w:rsidRPr="00F0736F">
        <w:rPr>
          <w:rFonts w:ascii="Times New Roman" w:eastAsia="Times New Roman" w:hAnsi="Times New Roman" w:cs="Times New Roman"/>
          <w:color w:val="000000" w:themeColor="text1"/>
          <w:kern w:val="0"/>
          <w:lang w:eastAsia="ru-RU" w:bidi="ar-SA"/>
        </w:rPr>
        <w:t xml:space="preserve">тыс. га </w:t>
      </w:r>
      <w:r w:rsidR="00E6382B" w:rsidRPr="00F0736F">
        <w:rPr>
          <w:rFonts w:ascii="Times New Roman" w:eastAsia="Times New Roman" w:hAnsi="Times New Roman" w:cs="Times New Roman"/>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пашни, </w:t>
      </w:r>
      <w:r w:rsidR="00E6382B"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eastAsia="Times New Roman" w:hAnsi="Times New Roman" w:cs="Times New Roman"/>
          <w:bCs/>
          <w:color w:val="000000" w:themeColor="text1"/>
          <w:kern w:val="0"/>
          <w:lang w:eastAsia="ru-RU" w:bidi="ar-SA"/>
        </w:rPr>
        <w:t>1</w:t>
      </w:r>
      <w:r w:rsidR="00E6382B" w:rsidRPr="00F0736F">
        <w:rPr>
          <w:rFonts w:ascii="Times New Roman" w:eastAsia="Times New Roman" w:hAnsi="Times New Roman" w:cs="Times New Roman"/>
          <w:bCs/>
          <w:color w:val="000000" w:themeColor="text1"/>
          <w:kern w:val="0"/>
          <w:lang w:eastAsia="ru-RU" w:bidi="ar-SA"/>
        </w:rPr>
        <w:t xml:space="preserve"> </w:t>
      </w:r>
      <w:r w:rsidRPr="00F0736F">
        <w:rPr>
          <w:rFonts w:ascii="Times New Roman" w:eastAsia="Times New Roman" w:hAnsi="Times New Roman" w:cs="Times New Roman"/>
          <w:bCs/>
          <w:color w:val="000000" w:themeColor="text1"/>
          <w:kern w:val="0"/>
          <w:lang w:eastAsia="ru-RU" w:bidi="ar-SA"/>
        </w:rPr>
        <w:t xml:space="preserve">163 </w:t>
      </w:r>
      <w:r w:rsidRPr="00F0736F">
        <w:rPr>
          <w:rFonts w:ascii="Times New Roman" w:eastAsia="Times New Roman" w:hAnsi="Times New Roman" w:cs="Times New Roman"/>
          <w:color w:val="000000" w:themeColor="text1"/>
          <w:kern w:val="0"/>
          <w:lang w:eastAsia="ru-RU" w:bidi="ar-SA"/>
        </w:rPr>
        <w:t xml:space="preserve">тыс. га </w:t>
      </w:r>
      <w:r w:rsidR="00E6382B" w:rsidRPr="00F0736F">
        <w:rPr>
          <w:rFonts w:ascii="Times New Roman" w:eastAsia="Times New Roman" w:hAnsi="Times New Roman" w:cs="Times New Roman"/>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пастбищ. По указанным землям проводятся работы по их перераспределению новым землепользователям и вовлечению их в сельхозоборот.</w:t>
      </w:r>
    </w:p>
    <w:p w14:paraId="54961BDB" w14:textId="77777777" w:rsidR="00F674A4" w:rsidRPr="00F0736F" w:rsidRDefault="00F674A4" w:rsidP="008727D9">
      <w:pPr>
        <w:ind w:firstLine="709"/>
        <w:jc w:val="both"/>
        <w:rPr>
          <w:rStyle w:val="21"/>
          <w:rFonts w:ascii="Times New Roman" w:eastAsia="Times New Roman" w:hAnsi="Times New Roman" w:cs="Times New Roman"/>
          <w:bCs/>
          <w:iCs/>
          <w:color w:val="000000" w:themeColor="text1"/>
          <w:spacing w:val="2"/>
          <w:sz w:val="24"/>
          <w:szCs w:val="28"/>
          <w:lang w:eastAsia="ru-RU"/>
        </w:rPr>
      </w:pPr>
      <w:r w:rsidRPr="00F0736F">
        <w:rPr>
          <w:rFonts w:ascii="Times New Roman" w:hAnsi="Times New Roman" w:cs="Times New Roman"/>
          <w:b/>
          <w:color w:val="000000" w:themeColor="text1"/>
          <w:szCs w:val="28"/>
        </w:rPr>
        <w:t xml:space="preserve">Производительность труда в сельском хозяйстве </w:t>
      </w:r>
      <w:r w:rsidRPr="00F0736F">
        <w:rPr>
          <w:rStyle w:val="21"/>
          <w:rFonts w:ascii="Times New Roman" w:eastAsia="Times New Roman" w:hAnsi="Times New Roman" w:cs="Times New Roman"/>
          <w:bCs/>
          <w:iCs/>
          <w:color w:val="000000" w:themeColor="text1"/>
          <w:spacing w:val="2"/>
          <w:sz w:val="24"/>
          <w:szCs w:val="28"/>
          <w:lang w:eastAsia="ru-RU"/>
        </w:rPr>
        <w:t xml:space="preserve">по сравнению с 2012 годом увеличилась в 2017 году в 2,8 раза, а в 2018 году в 3,4 раза, превысив плановый показатель 2020 года, в 2019 году превышение составило уже </w:t>
      </w:r>
      <w:r w:rsidR="0046515B" w:rsidRPr="00F0736F">
        <w:rPr>
          <w:rStyle w:val="21"/>
          <w:rFonts w:ascii="Times New Roman" w:eastAsia="Times New Roman" w:hAnsi="Times New Roman" w:cs="Times New Roman"/>
          <w:bCs/>
          <w:iCs/>
          <w:color w:val="000000" w:themeColor="text1"/>
          <w:spacing w:val="2"/>
          <w:sz w:val="24"/>
          <w:szCs w:val="28"/>
          <w:lang w:eastAsia="ru-RU"/>
        </w:rPr>
        <w:t xml:space="preserve">в </w:t>
      </w:r>
      <w:r w:rsidRPr="00F0736F">
        <w:rPr>
          <w:rStyle w:val="21"/>
          <w:rFonts w:ascii="Times New Roman" w:eastAsia="Times New Roman" w:hAnsi="Times New Roman" w:cs="Times New Roman"/>
          <w:bCs/>
          <w:iCs/>
          <w:color w:val="000000" w:themeColor="text1"/>
          <w:spacing w:val="2"/>
          <w:sz w:val="24"/>
          <w:szCs w:val="28"/>
          <w:lang w:eastAsia="ru-RU"/>
        </w:rPr>
        <w:t xml:space="preserve">4 раза </w:t>
      </w:r>
      <w:r w:rsidRPr="00F0736F">
        <w:rPr>
          <w:rStyle w:val="21"/>
          <w:rFonts w:ascii="Times New Roman" w:eastAsia="Times New Roman" w:hAnsi="Times New Roman" w:cs="Times New Roman"/>
          <w:bCs/>
          <w:iCs/>
          <w:color w:val="000000" w:themeColor="text1"/>
          <w:spacing w:val="2"/>
          <w:sz w:val="24"/>
          <w:lang w:eastAsia="ru-RU"/>
        </w:rPr>
        <w:t>(таблица 1.2.</w:t>
      </w:r>
      <w:r w:rsidR="005A1D01" w:rsidRPr="00F0736F">
        <w:rPr>
          <w:rStyle w:val="21"/>
          <w:rFonts w:ascii="Times New Roman" w:eastAsia="Times New Roman" w:hAnsi="Times New Roman" w:cs="Times New Roman"/>
          <w:bCs/>
          <w:iCs/>
          <w:color w:val="000000" w:themeColor="text1"/>
          <w:spacing w:val="2"/>
          <w:sz w:val="24"/>
          <w:lang w:eastAsia="ru-RU"/>
        </w:rPr>
        <w:t>1</w:t>
      </w:r>
      <w:r w:rsidRPr="00F0736F">
        <w:rPr>
          <w:rStyle w:val="21"/>
          <w:rFonts w:ascii="Times New Roman" w:eastAsia="Times New Roman" w:hAnsi="Times New Roman" w:cs="Times New Roman"/>
          <w:bCs/>
          <w:iCs/>
          <w:color w:val="000000" w:themeColor="text1"/>
          <w:spacing w:val="2"/>
          <w:sz w:val="24"/>
          <w:lang w:eastAsia="ru-RU"/>
        </w:rPr>
        <w:t>.)</w:t>
      </w:r>
      <w:r w:rsidRPr="00F0736F">
        <w:rPr>
          <w:rStyle w:val="21"/>
          <w:rFonts w:ascii="Times New Roman" w:eastAsia="Times New Roman" w:hAnsi="Times New Roman" w:cs="Times New Roman"/>
          <w:bCs/>
          <w:iCs/>
          <w:color w:val="000000" w:themeColor="text1"/>
          <w:spacing w:val="2"/>
          <w:sz w:val="24"/>
          <w:szCs w:val="28"/>
          <w:lang w:eastAsia="ru-RU"/>
        </w:rPr>
        <w:t xml:space="preserve">. </w:t>
      </w:r>
    </w:p>
    <w:p w14:paraId="1DB79214" w14:textId="57A94CFF" w:rsidR="00C33CC5" w:rsidRPr="00F0736F" w:rsidRDefault="00C33CC5"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Производительно</w:t>
      </w:r>
      <w:r w:rsidR="0039015D" w:rsidRPr="00F0736F">
        <w:rPr>
          <w:rFonts w:ascii="Times New Roman" w:hAnsi="Times New Roman" w:cs="Times New Roman"/>
          <w:color w:val="000000" w:themeColor="text1"/>
        </w:rPr>
        <w:t xml:space="preserve">сть труда в сельском хозяйстве </w:t>
      </w:r>
      <w:r w:rsidRPr="00F0736F">
        <w:rPr>
          <w:rFonts w:ascii="Times New Roman" w:hAnsi="Times New Roman" w:cs="Times New Roman"/>
          <w:color w:val="000000" w:themeColor="text1"/>
        </w:rPr>
        <w:t>за последние пят</w:t>
      </w:r>
      <w:r w:rsidR="0039015D" w:rsidRPr="00F0736F">
        <w:rPr>
          <w:rFonts w:ascii="Times New Roman" w:hAnsi="Times New Roman" w:cs="Times New Roman"/>
          <w:color w:val="000000" w:themeColor="text1"/>
        </w:rPr>
        <w:t xml:space="preserve">ь лет увеличилась более чем </w:t>
      </w:r>
      <w:r w:rsidRPr="00F0736F">
        <w:rPr>
          <w:rFonts w:ascii="Times New Roman" w:hAnsi="Times New Roman" w:cs="Times New Roman"/>
          <w:color w:val="000000" w:themeColor="text1"/>
        </w:rPr>
        <w:t>в 4 раза от уровня 2012 г.</w:t>
      </w:r>
      <w:r w:rsidR="005A1D0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По данным </w:t>
      </w:r>
      <w:r w:rsidR="00630C6B" w:rsidRPr="00F0736F">
        <w:rPr>
          <w:rFonts w:ascii="Times New Roman" w:hAnsi="Times New Roman" w:cs="Times New Roman"/>
          <w:color w:val="000000" w:themeColor="text1"/>
        </w:rPr>
        <w:t>Комитета по статистике</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за 2019 год производительность труда в сельском хозяйстве составила 2</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466,0 тыс. тенге.</w:t>
      </w:r>
    </w:p>
    <w:p w14:paraId="266BC3DD" w14:textId="77777777"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bCs/>
          <w:iCs/>
          <w:color w:val="000000" w:themeColor="text1"/>
          <w:spacing w:val="2"/>
          <w:sz w:val="24"/>
          <w:lang w:eastAsia="ru-RU"/>
        </w:rPr>
        <w:t xml:space="preserve">В растениеводстве необходимо отметить результаты структурной и технологической диверсификации, если в 2013 году посевная площадь под пшеницей составляла почти 60,8% (13,1 млн. га), то в 2018 году эти площади сократились до 51,8% (11,4 млн. га). </w:t>
      </w:r>
      <w:r w:rsidRPr="00F0736F">
        <w:rPr>
          <w:rFonts w:ascii="Times New Roman" w:eastAsia="Times New Roman" w:hAnsi="Times New Roman" w:cs="Times New Roman"/>
          <w:color w:val="000000" w:themeColor="text1"/>
          <w:lang w:eastAsia="ru-RU"/>
        </w:rPr>
        <w:t xml:space="preserve">В рамках диверсификации в 2018 году валовой сбор маслосемян составил 2,7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При этом по производству льна Казахстан впервые занял 1 место в мире, доведя его объем до 930 тыс.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(доклад Министра МСХ РК, 18 июня 2019 г</w:t>
      </w:r>
      <w:r w:rsidR="0046515B"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moa.gov.kz). Из собранного урожая зерновых культур в объеме 20,3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(при урожайности 13,5 ц/га) на экспорт с учетом муки отправлено 11,7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зерна, что на 33% больше уровня 2017 года. Это рекордный экспорт за годы независимости Казахстана. Общий экспорт продукции АПК за 2018 год увеличился на 24,5%, в том числе экспорт продукции переработки вырос на 3,5%. что также содействовало росту производительности труда.</w:t>
      </w:r>
    </w:p>
    <w:p w14:paraId="0F45AA6A" w14:textId="6A507A73"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В 2019 году в</w:t>
      </w:r>
      <w:r w:rsidRPr="00F0736F">
        <w:rPr>
          <w:rFonts w:ascii="Times New Roman" w:hAnsi="Times New Roman" w:cs="Times New Roman"/>
          <w:color w:val="000000" w:themeColor="text1"/>
        </w:rPr>
        <w:t>аловой сбор зерновых (включая рис) и бобовых культур в весе после доработки уменьшился по сравнению с уровнем 2018 года на 14% и составил 17</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428,6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w:t>
      </w:r>
      <w:r w:rsidR="0046515B"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аловой сбор масличных культур уменьшился на 4,1% и составил 2</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583,7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хлопка увеличился на 0,2% и 344,4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картофеля </w:t>
      </w:r>
      <w:r w:rsidR="00E638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на 2,7% и 3</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912,1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w:t>
      </w:r>
    </w:p>
    <w:p w14:paraId="7EA74FAA" w14:textId="59F8C550" w:rsidR="00C33CC5" w:rsidRPr="00F0736F" w:rsidRDefault="00F674A4" w:rsidP="00630C6B">
      <w:pPr>
        <w:ind w:firstLine="709"/>
        <w:jc w:val="both"/>
        <w:rPr>
          <w:color w:val="000000" w:themeColor="text1"/>
        </w:rPr>
      </w:pPr>
      <w:r w:rsidRPr="00F0736F">
        <w:rPr>
          <w:rFonts w:ascii="Times New Roman" w:hAnsi="Times New Roman" w:cs="Times New Roman"/>
          <w:color w:val="000000" w:themeColor="text1"/>
        </w:rPr>
        <w:t>В 2019 году произведено 15</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255,3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высококачественных оригинальных и элитных семян зерновых, масличных, кормовых культур, в том числе зерновых 14</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504,1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сои 500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подсолнечника 225,2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кормовых 26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сена. Новые сорта зерновых, масличных, кормовых культур внедрены на площади 1</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108</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801 га, в том числе зерновые 1</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107</w:t>
      </w:r>
      <w:r w:rsidR="00E638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728 га, соя 871 га, подсолнечник 202 га, кормовые 139 га, сафлор 702 га </w:t>
      </w:r>
      <w:r w:rsidR="00630C6B" w:rsidRPr="00F0736F">
        <w:rPr>
          <w:color w:val="000000" w:themeColor="text1"/>
        </w:rPr>
        <w:t>.</w:t>
      </w:r>
    </w:p>
    <w:p w14:paraId="73A81E92" w14:textId="2A3293BC" w:rsidR="00F674A4" w:rsidRPr="00F0736F" w:rsidRDefault="00F674A4" w:rsidP="008727D9">
      <w:pPr>
        <w:ind w:firstLine="709"/>
        <w:jc w:val="both"/>
        <w:rPr>
          <w:color w:val="000000" w:themeColor="text1"/>
        </w:rPr>
      </w:pPr>
      <w:r w:rsidRPr="00F0736F">
        <w:rPr>
          <w:rFonts w:ascii="Times New Roman" w:eastAsia="Calibri" w:hAnsi="Times New Roman" w:cs="Times New Roman"/>
          <w:b/>
          <w:color w:val="000000" w:themeColor="text1"/>
        </w:rPr>
        <w:t xml:space="preserve">Урожайность пшеницы </w:t>
      </w:r>
      <w:r w:rsidRPr="00F0736F">
        <w:rPr>
          <w:rFonts w:ascii="Times New Roman" w:eastAsia="Calibri" w:hAnsi="Times New Roman" w:cs="Times New Roman"/>
          <w:bCs/>
          <w:color w:val="000000" w:themeColor="text1"/>
        </w:rPr>
        <w:t xml:space="preserve">по </w:t>
      </w:r>
      <w:r w:rsidRPr="00F0736F">
        <w:rPr>
          <w:rFonts w:ascii="Times New Roman" w:eastAsia="Calibri" w:hAnsi="Times New Roman" w:cs="Times New Roman"/>
          <w:color w:val="000000" w:themeColor="text1"/>
        </w:rPr>
        <w:t>данным Комитета по статистике</w:t>
      </w:r>
      <w:r w:rsidR="00675771" w:rsidRPr="00F0736F">
        <w:rPr>
          <w:rFonts w:ascii="Times New Roman" w:eastAsia="Calibri" w:hAnsi="Times New Roman" w:cs="Times New Roman"/>
          <w:color w:val="000000" w:themeColor="text1"/>
        </w:rPr>
        <w:t>,</w:t>
      </w:r>
      <w:r w:rsidR="0046515B"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возросла с 7,9 ц/га в 2012 году до 12,4 ц/га в 2017 году и 12,3 ц/га в 2018 году (в целом зерновые культуры </w:t>
      </w:r>
      <w:r w:rsidR="00E6382B"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13,5 ц/га), однако темпы роста данного показателя недостаточны для достижения его плановых значений в 2020 году. </w:t>
      </w:r>
      <w:r w:rsidRPr="00F0736F">
        <w:rPr>
          <w:rStyle w:val="21"/>
          <w:rFonts w:ascii="Times New Roman" w:eastAsia="Times New Roman" w:hAnsi="Times New Roman" w:cs="Times New Roman"/>
          <w:bCs/>
          <w:iCs/>
          <w:color w:val="000000" w:themeColor="text1"/>
          <w:spacing w:val="2"/>
          <w:sz w:val="24"/>
          <w:lang w:eastAsia="ru-RU"/>
        </w:rPr>
        <w:t>Наибольшая урожайность пшеницы отмечена в 2018 году в Жамбыской и Алматинской областях, наименьшая</w:t>
      </w:r>
      <w:r w:rsidR="00E6382B" w:rsidRPr="00F0736F">
        <w:rPr>
          <w:rStyle w:val="21"/>
          <w:rFonts w:ascii="Times New Roman" w:eastAsia="Times New Roman" w:hAnsi="Times New Roman" w:cs="Times New Roman"/>
          <w:bCs/>
          <w:iCs/>
          <w:color w:val="000000" w:themeColor="text1"/>
          <w:spacing w:val="2"/>
          <w:sz w:val="24"/>
          <w:lang w:eastAsia="ru-RU"/>
        </w:rPr>
        <w:t xml:space="preserve"> -</w:t>
      </w:r>
      <w:r w:rsidRPr="00F0736F">
        <w:rPr>
          <w:rStyle w:val="21"/>
          <w:rFonts w:ascii="Times New Roman" w:eastAsia="Times New Roman" w:hAnsi="Times New Roman" w:cs="Times New Roman"/>
          <w:bCs/>
          <w:iCs/>
          <w:color w:val="000000" w:themeColor="text1"/>
          <w:spacing w:val="2"/>
          <w:sz w:val="24"/>
          <w:lang w:eastAsia="ru-RU"/>
        </w:rPr>
        <w:t xml:space="preserve"> в ЗКО (таблица 1.2.2.).</w:t>
      </w:r>
    </w:p>
    <w:p w14:paraId="13A9C3F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2019 год для отдельных областей нашей страны выдался экстремальным. Так, по итогам уборки урожая 2019 года намолочено 17,4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зерна, что на 2,9 млн. </w:t>
      </w:r>
      <w:r w:rsidR="00AC18E0" w:rsidRPr="00F0736F">
        <w:rPr>
          <w:rFonts w:ascii="Times New Roman" w:hAnsi="Times New Roman" w:cs="Times New Roman"/>
          <w:color w:val="000000" w:themeColor="text1"/>
        </w:rPr>
        <w:t>т.</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14,3% меньше уровня 2018 года, в том числе пшеницы в 2019 году намолочено 11,5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что на 2,5 млн</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меньше, чем в 2018 году</w:t>
      </w:r>
      <w:r w:rsidRPr="00F0736F">
        <w:rPr>
          <w:rStyle w:val="a4"/>
          <w:rFonts w:ascii="Times New Roman" w:hAnsi="Times New Roman" w:cs="Times New Roman"/>
          <w:color w:val="000000" w:themeColor="text1"/>
        </w:rPr>
        <w:footnoteReference w:id="25"/>
      </w:r>
      <w:r w:rsidRPr="00F0736F">
        <w:rPr>
          <w:rFonts w:ascii="Times New Roman" w:hAnsi="Times New Roman" w:cs="Times New Roman"/>
          <w:color w:val="000000" w:themeColor="text1"/>
        </w:rPr>
        <w:t>. Основное снижение произошло в Костанайской и Акмолинской областях. Урожайность пшеницы</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уточненным данным Комитета по статистике</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составила </w:t>
      </w:r>
      <w:r w:rsidR="005846C7" w:rsidRPr="00F0736F">
        <w:rPr>
          <w:rFonts w:ascii="Times New Roman" w:hAnsi="Times New Roman" w:cs="Times New Roman"/>
          <w:color w:val="000000" w:themeColor="text1"/>
        </w:rPr>
        <w:t xml:space="preserve">10,1 </w:t>
      </w:r>
      <w:r w:rsidRPr="00F0736F">
        <w:rPr>
          <w:rFonts w:ascii="Times New Roman" w:hAnsi="Times New Roman" w:cs="Times New Roman"/>
          <w:color w:val="000000" w:themeColor="text1"/>
        </w:rPr>
        <w:t>центнеров с га. Более урожайным год оказался для сахарной свеклы (рост урожайности на 6,3%), хлопка (на 1,3%), картофеля (на 2,8%), овощей открытого грунта (на 1,3%).</w:t>
      </w:r>
    </w:p>
    <w:p w14:paraId="72CEECF5" w14:textId="77777777" w:rsidR="00F674A4" w:rsidRPr="00F0736F" w:rsidRDefault="00F674A4" w:rsidP="008727D9">
      <w:pPr>
        <w:ind w:firstLine="709"/>
        <w:jc w:val="both"/>
        <w:rPr>
          <w:rFonts w:ascii="Times New Roman" w:hAnsi="Times New Roman" w:cs="Times New Roman"/>
          <w:color w:val="000000" w:themeColor="text1"/>
        </w:rPr>
      </w:pPr>
    </w:p>
    <w:p w14:paraId="07656F3D"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Таблица 1.2.2. Урожайность пшеницы по регионам Казахстана.</w:t>
      </w:r>
    </w:p>
    <w:p w14:paraId="596930EE" w14:textId="3438143B" w:rsidR="00F674A4" w:rsidRPr="00F0736F" w:rsidRDefault="00E6382B" w:rsidP="005E73C8">
      <w:pPr>
        <w:ind w:firstLine="709"/>
        <w:jc w:val="right"/>
        <w:rPr>
          <w:rFonts w:asciiTheme="minorHAnsi" w:hAnsiTheme="minorHAnsi"/>
          <w:color w:val="000000" w:themeColor="text1"/>
        </w:rPr>
      </w:pPr>
      <w:r w:rsidRPr="00F0736F">
        <w:rPr>
          <w:rFonts w:ascii="Times New Roman" w:hAnsi="Times New Roman" w:cs="Times New Roman"/>
          <w:color w:val="000000" w:themeColor="text1"/>
        </w:rPr>
        <w:t>млн. т.</w:t>
      </w:r>
    </w:p>
    <w:tbl>
      <w:tblPr>
        <w:tblW w:w="9892" w:type="dxa"/>
        <w:tblInd w:w="-10" w:type="dxa"/>
        <w:tblLayout w:type="fixed"/>
        <w:tblCellMar>
          <w:left w:w="0" w:type="dxa"/>
          <w:right w:w="0" w:type="dxa"/>
        </w:tblCellMar>
        <w:tblLook w:val="0000" w:firstRow="0" w:lastRow="0" w:firstColumn="0" w:lastColumn="0" w:noHBand="0" w:noVBand="0"/>
      </w:tblPr>
      <w:tblGrid>
        <w:gridCol w:w="3402"/>
        <w:gridCol w:w="2127"/>
        <w:gridCol w:w="2126"/>
        <w:gridCol w:w="2237"/>
      </w:tblGrid>
      <w:tr w:rsidR="00F0736F" w:rsidRPr="00F0736F" w14:paraId="7E60160B" w14:textId="77777777" w:rsidTr="00E6382B">
        <w:trPr>
          <w:trHeight w:val="270"/>
        </w:trPr>
        <w:tc>
          <w:tcPr>
            <w:tcW w:w="3402" w:type="dxa"/>
            <w:tcBorders>
              <w:top w:val="single" w:sz="8" w:space="0" w:color="000000"/>
              <w:left w:val="single" w:sz="8" w:space="0" w:color="000000"/>
              <w:bottom w:val="single" w:sz="8" w:space="0" w:color="000000"/>
            </w:tcBorders>
            <w:shd w:val="clear" w:color="auto" w:fill="auto"/>
          </w:tcPr>
          <w:p w14:paraId="3386F606" w14:textId="715A5887" w:rsidR="00F674A4" w:rsidRPr="00F0736F" w:rsidRDefault="002866E7" w:rsidP="00E6382B">
            <w:pPr>
              <w:ind w:left="-450" w:firstLine="451"/>
              <w:jc w:val="center"/>
              <w:rPr>
                <w:color w:val="000000" w:themeColor="text1"/>
              </w:rPr>
            </w:pPr>
            <w:r w:rsidRPr="00F0736F">
              <w:rPr>
                <w:rFonts w:ascii="Times New Roman" w:hAnsi="Times New Roman" w:cs="Times New Roman"/>
                <w:color w:val="000000" w:themeColor="text1"/>
                <w:sz w:val="20"/>
                <w:szCs w:val="20"/>
              </w:rPr>
              <w:t>Регионы</w:t>
            </w:r>
          </w:p>
        </w:tc>
        <w:tc>
          <w:tcPr>
            <w:tcW w:w="2127" w:type="dxa"/>
            <w:tcBorders>
              <w:top w:val="single" w:sz="8" w:space="0" w:color="000000"/>
              <w:left w:val="single" w:sz="8" w:space="0" w:color="000000"/>
              <w:bottom w:val="single" w:sz="8" w:space="0" w:color="000000"/>
            </w:tcBorders>
            <w:shd w:val="clear" w:color="auto" w:fill="auto"/>
          </w:tcPr>
          <w:p w14:paraId="5B991CAB"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2017</w:t>
            </w:r>
          </w:p>
        </w:tc>
        <w:tc>
          <w:tcPr>
            <w:tcW w:w="2126" w:type="dxa"/>
            <w:tcBorders>
              <w:top w:val="single" w:sz="8" w:space="0" w:color="000000"/>
              <w:left w:val="single" w:sz="8" w:space="0" w:color="000000"/>
              <w:bottom w:val="single" w:sz="8" w:space="0" w:color="000000"/>
            </w:tcBorders>
            <w:shd w:val="clear" w:color="auto" w:fill="auto"/>
          </w:tcPr>
          <w:p w14:paraId="1BEDB9D2"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2018</w:t>
            </w: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14:paraId="09FE5DC5"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122C057D" w14:textId="77777777" w:rsidTr="00E6382B">
        <w:trPr>
          <w:trHeight w:val="255"/>
        </w:trPr>
        <w:tc>
          <w:tcPr>
            <w:tcW w:w="3402" w:type="dxa"/>
            <w:tcBorders>
              <w:top w:val="single" w:sz="4" w:space="0" w:color="000000"/>
              <w:left w:val="single" w:sz="4" w:space="0" w:color="000000"/>
              <w:bottom w:val="single" w:sz="4" w:space="0" w:color="000000"/>
            </w:tcBorders>
            <w:shd w:val="clear" w:color="auto" w:fill="auto"/>
            <w:vAlign w:val="bottom"/>
          </w:tcPr>
          <w:p w14:paraId="473AAF23"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Республика Казахстан</w:t>
            </w:r>
          </w:p>
        </w:tc>
        <w:tc>
          <w:tcPr>
            <w:tcW w:w="2127" w:type="dxa"/>
            <w:tcBorders>
              <w:top w:val="single" w:sz="4" w:space="0" w:color="000000"/>
              <w:left w:val="single" w:sz="4" w:space="0" w:color="000000"/>
              <w:bottom w:val="single" w:sz="4" w:space="0" w:color="000000"/>
            </w:tcBorders>
            <w:shd w:val="clear" w:color="auto" w:fill="auto"/>
            <w:vAlign w:val="bottom"/>
          </w:tcPr>
          <w:p w14:paraId="315DB765"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12,4</w:t>
            </w:r>
          </w:p>
        </w:tc>
        <w:tc>
          <w:tcPr>
            <w:tcW w:w="2126" w:type="dxa"/>
            <w:tcBorders>
              <w:top w:val="single" w:sz="4" w:space="0" w:color="000000"/>
              <w:left w:val="single" w:sz="4" w:space="0" w:color="000000"/>
              <w:bottom w:val="single" w:sz="4" w:space="0" w:color="000000"/>
            </w:tcBorders>
            <w:shd w:val="clear" w:color="auto" w:fill="auto"/>
            <w:vAlign w:val="bottom"/>
          </w:tcPr>
          <w:p w14:paraId="735163D2"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12,3</w:t>
            </w:r>
          </w:p>
        </w:tc>
        <w:tc>
          <w:tcPr>
            <w:tcW w:w="2237" w:type="dxa"/>
            <w:tcBorders>
              <w:left w:val="single" w:sz="8" w:space="0" w:color="000000"/>
              <w:bottom w:val="single" w:sz="8" w:space="0" w:color="000000"/>
              <w:right w:val="single" w:sz="8" w:space="0" w:color="000000"/>
            </w:tcBorders>
            <w:shd w:val="clear" w:color="auto" w:fill="auto"/>
            <w:vAlign w:val="bottom"/>
          </w:tcPr>
          <w:p w14:paraId="146F7018" w14:textId="77777777" w:rsidR="00F674A4" w:rsidRPr="00F0736F" w:rsidRDefault="005846C7" w:rsidP="00E6382B">
            <w:pPr>
              <w:snapToGrid w:val="0"/>
              <w:ind w:firstLine="451"/>
              <w:jc w:val="center"/>
              <w:rPr>
                <w:color w:val="000000" w:themeColor="text1"/>
              </w:rPr>
            </w:pPr>
            <w:r w:rsidRPr="00F0736F">
              <w:rPr>
                <w:rFonts w:ascii="Times New Roman" w:hAnsi="Times New Roman" w:cs="Times New Roman"/>
                <w:color w:val="000000" w:themeColor="text1"/>
                <w:sz w:val="20"/>
                <w:szCs w:val="20"/>
              </w:rPr>
              <w:t>10,1</w:t>
            </w:r>
          </w:p>
        </w:tc>
      </w:tr>
      <w:tr w:rsidR="00F0736F" w:rsidRPr="00F0736F" w14:paraId="2ACD8FB2" w14:textId="77777777" w:rsidTr="00E6382B">
        <w:trPr>
          <w:trHeight w:val="255"/>
        </w:trPr>
        <w:tc>
          <w:tcPr>
            <w:tcW w:w="3402" w:type="dxa"/>
            <w:tcBorders>
              <w:left w:val="single" w:sz="4" w:space="0" w:color="000000"/>
              <w:bottom w:val="single" w:sz="4" w:space="0" w:color="000000"/>
            </w:tcBorders>
            <w:shd w:val="clear" w:color="auto" w:fill="auto"/>
            <w:vAlign w:val="bottom"/>
          </w:tcPr>
          <w:p w14:paraId="3DDB4BCD"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Акмолинская</w:t>
            </w:r>
          </w:p>
        </w:tc>
        <w:tc>
          <w:tcPr>
            <w:tcW w:w="2127" w:type="dxa"/>
            <w:tcBorders>
              <w:left w:val="single" w:sz="4" w:space="0" w:color="000000"/>
              <w:bottom w:val="single" w:sz="4" w:space="0" w:color="000000"/>
            </w:tcBorders>
            <w:shd w:val="clear" w:color="auto" w:fill="auto"/>
            <w:vAlign w:val="bottom"/>
          </w:tcPr>
          <w:p w14:paraId="20F7C493"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10,9</w:t>
            </w:r>
          </w:p>
        </w:tc>
        <w:tc>
          <w:tcPr>
            <w:tcW w:w="2126" w:type="dxa"/>
            <w:tcBorders>
              <w:left w:val="single" w:sz="4" w:space="0" w:color="000000"/>
              <w:bottom w:val="single" w:sz="4" w:space="0" w:color="000000"/>
            </w:tcBorders>
            <w:shd w:val="clear" w:color="auto" w:fill="auto"/>
            <w:vAlign w:val="bottom"/>
          </w:tcPr>
          <w:p w14:paraId="5C3D11B8"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11,1</w:t>
            </w:r>
          </w:p>
        </w:tc>
        <w:tc>
          <w:tcPr>
            <w:tcW w:w="2237" w:type="dxa"/>
            <w:tcBorders>
              <w:left w:val="single" w:sz="8" w:space="0" w:color="000000"/>
              <w:bottom w:val="single" w:sz="8" w:space="0" w:color="000000"/>
              <w:right w:val="single" w:sz="8" w:space="0" w:color="000000"/>
            </w:tcBorders>
            <w:shd w:val="clear" w:color="auto" w:fill="auto"/>
            <w:vAlign w:val="bottom"/>
          </w:tcPr>
          <w:p w14:paraId="2DDDA346"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9,2</w:t>
            </w:r>
          </w:p>
        </w:tc>
      </w:tr>
      <w:tr w:rsidR="00F0736F" w:rsidRPr="00F0736F" w14:paraId="09A04E1C" w14:textId="77777777" w:rsidTr="00E6382B">
        <w:trPr>
          <w:trHeight w:val="255"/>
        </w:trPr>
        <w:tc>
          <w:tcPr>
            <w:tcW w:w="3402" w:type="dxa"/>
            <w:tcBorders>
              <w:left w:val="single" w:sz="4" w:space="0" w:color="000000"/>
              <w:bottom w:val="single" w:sz="4" w:space="0" w:color="000000"/>
            </w:tcBorders>
            <w:shd w:val="clear" w:color="auto" w:fill="auto"/>
            <w:vAlign w:val="bottom"/>
          </w:tcPr>
          <w:p w14:paraId="2B0E5C48"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Актюбинская</w:t>
            </w:r>
          </w:p>
        </w:tc>
        <w:tc>
          <w:tcPr>
            <w:tcW w:w="2127" w:type="dxa"/>
            <w:tcBorders>
              <w:left w:val="single" w:sz="4" w:space="0" w:color="000000"/>
              <w:bottom w:val="single" w:sz="4" w:space="0" w:color="000000"/>
            </w:tcBorders>
            <w:shd w:val="clear" w:color="auto" w:fill="auto"/>
            <w:vAlign w:val="bottom"/>
          </w:tcPr>
          <w:p w14:paraId="60F70DF8"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12,7</w:t>
            </w:r>
          </w:p>
        </w:tc>
        <w:tc>
          <w:tcPr>
            <w:tcW w:w="2126" w:type="dxa"/>
            <w:tcBorders>
              <w:left w:val="single" w:sz="4" w:space="0" w:color="000000"/>
              <w:bottom w:val="single" w:sz="4" w:space="0" w:color="000000"/>
            </w:tcBorders>
            <w:shd w:val="clear" w:color="auto" w:fill="auto"/>
            <w:vAlign w:val="bottom"/>
          </w:tcPr>
          <w:p w14:paraId="00DFDECE"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11,0</w:t>
            </w:r>
          </w:p>
        </w:tc>
        <w:tc>
          <w:tcPr>
            <w:tcW w:w="2237" w:type="dxa"/>
            <w:tcBorders>
              <w:left w:val="single" w:sz="8" w:space="0" w:color="000000"/>
              <w:bottom w:val="single" w:sz="8" w:space="0" w:color="000000"/>
              <w:right w:val="single" w:sz="8" w:space="0" w:color="000000"/>
            </w:tcBorders>
            <w:shd w:val="clear" w:color="auto" w:fill="auto"/>
            <w:vAlign w:val="bottom"/>
          </w:tcPr>
          <w:p w14:paraId="2773340B"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8,2</w:t>
            </w:r>
          </w:p>
        </w:tc>
      </w:tr>
      <w:tr w:rsidR="00F0736F" w:rsidRPr="00F0736F" w14:paraId="6E5A1756" w14:textId="77777777" w:rsidTr="00E6382B">
        <w:trPr>
          <w:trHeight w:val="255"/>
        </w:trPr>
        <w:tc>
          <w:tcPr>
            <w:tcW w:w="3402" w:type="dxa"/>
            <w:tcBorders>
              <w:left w:val="single" w:sz="4" w:space="0" w:color="000000"/>
              <w:bottom w:val="single" w:sz="4" w:space="0" w:color="000000"/>
            </w:tcBorders>
            <w:shd w:val="clear" w:color="auto" w:fill="auto"/>
            <w:vAlign w:val="bottom"/>
          </w:tcPr>
          <w:p w14:paraId="65E14B6B"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Алматинская</w:t>
            </w:r>
          </w:p>
        </w:tc>
        <w:tc>
          <w:tcPr>
            <w:tcW w:w="2127" w:type="dxa"/>
            <w:tcBorders>
              <w:left w:val="single" w:sz="4" w:space="0" w:color="000000"/>
              <w:bottom w:val="single" w:sz="4" w:space="0" w:color="000000"/>
            </w:tcBorders>
            <w:shd w:val="clear" w:color="auto" w:fill="auto"/>
            <w:vAlign w:val="bottom"/>
          </w:tcPr>
          <w:p w14:paraId="0F1735C2"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20,1</w:t>
            </w:r>
          </w:p>
        </w:tc>
        <w:tc>
          <w:tcPr>
            <w:tcW w:w="2126" w:type="dxa"/>
            <w:tcBorders>
              <w:left w:val="single" w:sz="4" w:space="0" w:color="000000"/>
              <w:bottom w:val="single" w:sz="4" w:space="0" w:color="000000"/>
            </w:tcBorders>
            <w:shd w:val="clear" w:color="auto" w:fill="auto"/>
            <w:vAlign w:val="bottom"/>
          </w:tcPr>
          <w:p w14:paraId="0876023C"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20,3</w:t>
            </w:r>
          </w:p>
        </w:tc>
        <w:tc>
          <w:tcPr>
            <w:tcW w:w="2237" w:type="dxa"/>
            <w:tcBorders>
              <w:left w:val="single" w:sz="8" w:space="0" w:color="000000"/>
              <w:bottom w:val="single" w:sz="8" w:space="0" w:color="000000"/>
              <w:right w:val="single" w:sz="8" w:space="0" w:color="000000"/>
            </w:tcBorders>
            <w:shd w:val="clear" w:color="auto" w:fill="auto"/>
            <w:vAlign w:val="bottom"/>
          </w:tcPr>
          <w:p w14:paraId="32407876"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19,7</w:t>
            </w:r>
          </w:p>
        </w:tc>
      </w:tr>
      <w:tr w:rsidR="00F0736F" w:rsidRPr="00F0736F" w14:paraId="1034CD79" w14:textId="77777777" w:rsidTr="00E6382B">
        <w:trPr>
          <w:trHeight w:val="255"/>
        </w:trPr>
        <w:tc>
          <w:tcPr>
            <w:tcW w:w="3402" w:type="dxa"/>
            <w:tcBorders>
              <w:left w:val="single" w:sz="4" w:space="0" w:color="000000"/>
              <w:bottom w:val="single" w:sz="4" w:space="0" w:color="000000"/>
            </w:tcBorders>
            <w:shd w:val="clear" w:color="auto" w:fill="auto"/>
            <w:vAlign w:val="bottom"/>
          </w:tcPr>
          <w:p w14:paraId="113E4198"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Атырауская</w:t>
            </w:r>
          </w:p>
        </w:tc>
        <w:tc>
          <w:tcPr>
            <w:tcW w:w="2127" w:type="dxa"/>
            <w:tcBorders>
              <w:left w:val="single" w:sz="4" w:space="0" w:color="000000"/>
              <w:bottom w:val="single" w:sz="4" w:space="0" w:color="000000"/>
            </w:tcBorders>
            <w:shd w:val="clear" w:color="auto" w:fill="auto"/>
            <w:vAlign w:val="bottom"/>
          </w:tcPr>
          <w:p w14:paraId="1C6727BB"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w:t>
            </w:r>
          </w:p>
        </w:tc>
        <w:tc>
          <w:tcPr>
            <w:tcW w:w="2126" w:type="dxa"/>
            <w:tcBorders>
              <w:left w:val="single" w:sz="4" w:space="0" w:color="000000"/>
              <w:bottom w:val="single" w:sz="4" w:space="0" w:color="000000"/>
            </w:tcBorders>
            <w:shd w:val="clear" w:color="auto" w:fill="auto"/>
            <w:vAlign w:val="bottom"/>
          </w:tcPr>
          <w:p w14:paraId="3C6BFDA9"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w:t>
            </w:r>
          </w:p>
        </w:tc>
        <w:tc>
          <w:tcPr>
            <w:tcW w:w="2237" w:type="dxa"/>
            <w:tcBorders>
              <w:left w:val="single" w:sz="8" w:space="0" w:color="000000"/>
              <w:bottom w:val="single" w:sz="8" w:space="0" w:color="000000"/>
              <w:right w:val="single" w:sz="8" w:space="0" w:color="000000"/>
            </w:tcBorders>
            <w:shd w:val="clear" w:color="auto" w:fill="auto"/>
            <w:vAlign w:val="bottom"/>
          </w:tcPr>
          <w:p w14:paraId="15EF163D"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w:t>
            </w:r>
          </w:p>
        </w:tc>
      </w:tr>
      <w:tr w:rsidR="00F0736F" w:rsidRPr="00F0736F" w14:paraId="6F68F41A" w14:textId="77777777" w:rsidTr="00E6382B">
        <w:trPr>
          <w:trHeight w:val="255"/>
        </w:trPr>
        <w:tc>
          <w:tcPr>
            <w:tcW w:w="3402" w:type="dxa"/>
            <w:tcBorders>
              <w:left w:val="single" w:sz="4" w:space="0" w:color="000000"/>
              <w:bottom w:val="single" w:sz="4" w:space="0" w:color="000000"/>
            </w:tcBorders>
            <w:shd w:val="clear" w:color="auto" w:fill="auto"/>
            <w:vAlign w:val="bottom"/>
          </w:tcPr>
          <w:p w14:paraId="54BB4DFB"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Западно-Казахстанская</w:t>
            </w:r>
          </w:p>
        </w:tc>
        <w:tc>
          <w:tcPr>
            <w:tcW w:w="2127" w:type="dxa"/>
            <w:tcBorders>
              <w:left w:val="single" w:sz="4" w:space="0" w:color="000000"/>
              <w:bottom w:val="single" w:sz="4" w:space="0" w:color="000000"/>
            </w:tcBorders>
            <w:shd w:val="clear" w:color="auto" w:fill="auto"/>
            <w:vAlign w:val="bottom"/>
          </w:tcPr>
          <w:p w14:paraId="30AB8AC6"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16,2</w:t>
            </w:r>
          </w:p>
        </w:tc>
        <w:tc>
          <w:tcPr>
            <w:tcW w:w="2126" w:type="dxa"/>
            <w:tcBorders>
              <w:left w:val="single" w:sz="4" w:space="0" w:color="000000"/>
              <w:bottom w:val="single" w:sz="4" w:space="0" w:color="000000"/>
            </w:tcBorders>
            <w:shd w:val="clear" w:color="auto" w:fill="auto"/>
            <w:vAlign w:val="bottom"/>
          </w:tcPr>
          <w:p w14:paraId="3FF799AF"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7,7</w:t>
            </w:r>
          </w:p>
        </w:tc>
        <w:tc>
          <w:tcPr>
            <w:tcW w:w="2237" w:type="dxa"/>
            <w:tcBorders>
              <w:left w:val="single" w:sz="8" w:space="0" w:color="000000"/>
              <w:bottom w:val="single" w:sz="8" w:space="0" w:color="000000"/>
              <w:right w:val="single" w:sz="8" w:space="0" w:color="000000"/>
            </w:tcBorders>
            <w:shd w:val="clear" w:color="auto" w:fill="auto"/>
            <w:vAlign w:val="bottom"/>
          </w:tcPr>
          <w:p w14:paraId="18CF9A8E"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10,8</w:t>
            </w:r>
          </w:p>
        </w:tc>
      </w:tr>
      <w:tr w:rsidR="00F0736F" w:rsidRPr="00F0736F" w14:paraId="56097DC3" w14:textId="77777777" w:rsidTr="00E6382B">
        <w:trPr>
          <w:trHeight w:val="255"/>
        </w:trPr>
        <w:tc>
          <w:tcPr>
            <w:tcW w:w="3402" w:type="dxa"/>
            <w:tcBorders>
              <w:left w:val="single" w:sz="4" w:space="0" w:color="000000"/>
              <w:bottom w:val="single" w:sz="4" w:space="0" w:color="000000"/>
            </w:tcBorders>
            <w:shd w:val="clear" w:color="auto" w:fill="auto"/>
            <w:vAlign w:val="bottom"/>
          </w:tcPr>
          <w:p w14:paraId="28698454"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Жамбылская</w:t>
            </w:r>
          </w:p>
        </w:tc>
        <w:tc>
          <w:tcPr>
            <w:tcW w:w="2127" w:type="dxa"/>
            <w:tcBorders>
              <w:left w:val="single" w:sz="4" w:space="0" w:color="000000"/>
              <w:bottom w:val="single" w:sz="4" w:space="0" w:color="000000"/>
            </w:tcBorders>
            <w:shd w:val="clear" w:color="auto" w:fill="auto"/>
            <w:vAlign w:val="bottom"/>
          </w:tcPr>
          <w:p w14:paraId="73066028"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21,1</w:t>
            </w:r>
          </w:p>
        </w:tc>
        <w:tc>
          <w:tcPr>
            <w:tcW w:w="2126" w:type="dxa"/>
            <w:tcBorders>
              <w:left w:val="single" w:sz="4" w:space="0" w:color="000000"/>
              <w:bottom w:val="single" w:sz="4" w:space="0" w:color="000000"/>
            </w:tcBorders>
            <w:shd w:val="clear" w:color="auto" w:fill="auto"/>
            <w:vAlign w:val="bottom"/>
          </w:tcPr>
          <w:p w14:paraId="56A3CFF9"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22,5</w:t>
            </w:r>
          </w:p>
        </w:tc>
        <w:tc>
          <w:tcPr>
            <w:tcW w:w="2237" w:type="dxa"/>
            <w:tcBorders>
              <w:left w:val="single" w:sz="8" w:space="0" w:color="000000"/>
              <w:bottom w:val="single" w:sz="8" w:space="0" w:color="000000"/>
              <w:right w:val="single" w:sz="8" w:space="0" w:color="000000"/>
            </w:tcBorders>
            <w:shd w:val="clear" w:color="auto" w:fill="auto"/>
            <w:vAlign w:val="bottom"/>
          </w:tcPr>
          <w:p w14:paraId="656E5D98"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19,8</w:t>
            </w:r>
          </w:p>
        </w:tc>
      </w:tr>
      <w:tr w:rsidR="00F0736F" w:rsidRPr="00F0736F" w14:paraId="3436E549" w14:textId="77777777" w:rsidTr="00E6382B">
        <w:trPr>
          <w:trHeight w:val="255"/>
        </w:trPr>
        <w:tc>
          <w:tcPr>
            <w:tcW w:w="3402" w:type="dxa"/>
            <w:tcBorders>
              <w:left w:val="single" w:sz="4" w:space="0" w:color="000000"/>
              <w:bottom w:val="single" w:sz="4" w:space="0" w:color="000000"/>
            </w:tcBorders>
            <w:shd w:val="clear" w:color="auto" w:fill="auto"/>
            <w:vAlign w:val="bottom"/>
          </w:tcPr>
          <w:p w14:paraId="452A911C"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Карагандинская</w:t>
            </w:r>
          </w:p>
        </w:tc>
        <w:tc>
          <w:tcPr>
            <w:tcW w:w="2127" w:type="dxa"/>
            <w:tcBorders>
              <w:left w:val="single" w:sz="4" w:space="0" w:color="000000"/>
              <w:bottom w:val="single" w:sz="4" w:space="0" w:color="000000"/>
            </w:tcBorders>
            <w:shd w:val="clear" w:color="auto" w:fill="auto"/>
            <w:vAlign w:val="bottom"/>
          </w:tcPr>
          <w:p w14:paraId="0D0DAEE6"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9,6</w:t>
            </w:r>
          </w:p>
        </w:tc>
        <w:tc>
          <w:tcPr>
            <w:tcW w:w="2126" w:type="dxa"/>
            <w:tcBorders>
              <w:left w:val="single" w:sz="4" w:space="0" w:color="000000"/>
              <w:bottom w:val="single" w:sz="4" w:space="0" w:color="000000"/>
            </w:tcBorders>
            <w:shd w:val="clear" w:color="auto" w:fill="auto"/>
            <w:vAlign w:val="bottom"/>
          </w:tcPr>
          <w:p w14:paraId="60FB6B38"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11,9</w:t>
            </w:r>
          </w:p>
        </w:tc>
        <w:tc>
          <w:tcPr>
            <w:tcW w:w="2237" w:type="dxa"/>
            <w:tcBorders>
              <w:left w:val="single" w:sz="8" w:space="0" w:color="000000"/>
              <w:bottom w:val="single" w:sz="8" w:space="0" w:color="000000"/>
              <w:right w:val="single" w:sz="8" w:space="0" w:color="000000"/>
            </w:tcBorders>
            <w:shd w:val="clear" w:color="auto" w:fill="auto"/>
            <w:vAlign w:val="bottom"/>
          </w:tcPr>
          <w:p w14:paraId="284D2FFE"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9,1</w:t>
            </w:r>
          </w:p>
        </w:tc>
      </w:tr>
      <w:tr w:rsidR="00F0736F" w:rsidRPr="00F0736F" w14:paraId="0DD4789C" w14:textId="77777777" w:rsidTr="00E6382B">
        <w:trPr>
          <w:trHeight w:val="255"/>
        </w:trPr>
        <w:tc>
          <w:tcPr>
            <w:tcW w:w="3402" w:type="dxa"/>
            <w:tcBorders>
              <w:left w:val="single" w:sz="4" w:space="0" w:color="000000"/>
              <w:bottom w:val="single" w:sz="4" w:space="0" w:color="000000"/>
            </w:tcBorders>
            <w:shd w:val="clear" w:color="auto" w:fill="auto"/>
            <w:vAlign w:val="bottom"/>
          </w:tcPr>
          <w:p w14:paraId="3906FC55"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Костанайская</w:t>
            </w:r>
          </w:p>
        </w:tc>
        <w:tc>
          <w:tcPr>
            <w:tcW w:w="2127" w:type="dxa"/>
            <w:tcBorders>
              <w:left w:val="single" w:sz="4" w:space="0" w:color="000000"/>
              <w:bottom w:val="single" w:sz="4" w:space="0" w:color="000000"/>
            </w:tcBorders>
            <w:shd w:val="clear" w:color="auto" w:fill="auto"/>
            <w:vAlign w:val="bottom"/>
          </w:tcPr>
          <w:p w14:paraId="5C0B2869"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11,3</w:t>
            </w:r>
          </w:p>
        </w:tc>
        <w:tc>
          <w:tcPr>
            <w:tcW w:w="2126" w:type="dxa"/>
            <w:tcBorders>
              <w:left w:val="single" w:sz="4" w:space="0" w:color="000000"/>
              <w:bottom w:val="single" w:sz="4" w:space="0" w:color="000000"/>
            </w:tcBorders>
            <w:shd w:val="clear" w:color="auto" w:fill="auto"/>
            <w:vAlign w:val="bottom"/>
          </w:tcPr>
          <w:p w14:paraId="331A34B0"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11,4</w:t>
            </w:r>
          </w:p>
        </w:tc>
        <w:tc>
          <w:tcPr>
            <w:tcW w:w="2237" w:type="dxa"/>
            <w:tcBorders>
              <w:left w:val="single" w:sz="8" w:space="0" w:color="000000"/>
              <w:bottom w:val="single" w:sz="8" w:space="0" w:color="000000"/>
              <w:right w:val="single" w:sz="8" w:space="0" w:color="000000"/>
            </w:tcBorders>
            <w:shd w:val="clear" w:color="auto" w:fill="auto"/>
            <w:vAlign w:val="bottom"/>
          </w:tcPr>
          <w:p w14:paraId="0F641709"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7,3</w:t>
            </w:r>
          </w:p>
        </w:tc>
      </w:tr>
      <w:tr w:rsidR="00F0736F" w:rsidRPr="00F0736F" w14:paraId="4BE312C7" w14:textId="77777777" w:rsidTr="00E6382B">
        <w:trPr>
          <w:trHeight w:val="255"/>
        </w:trPr>
        <w:tc>
          <w:tcPr>
            <w:tcW w:w="3402" w:type="dxa"/>
            <w:tcBorders>
              <w:left w:val="single" w:sz="4" w:space="0" w:color="000000"/>
              <w:bottom w:val="single" w:sz="4" w:space="0" w:color="000000"/>
            </w:tcBorders>
            <w:shd w:val="clear" w:color="auto" w:fill="auto"/>
            <w:vAlign w:val="bottom"/>
          </w:tcPr>
          <w:p w14:paraId="2B239EF6"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Кызылординская</w:t>
            </w:r>
          </w:p>
        </w:tc>
        <w:tc>
          <w:tcPr>
            <w:tcW w:w="2127" w:type="dxa"/>
            <w:tcBorders>
              <w:left w:val="single" w:sz="4" w:space="0" w:color="000000"/>
              <w:bottom w:val="single" w:sz="4" w:space="0" w:color="000000"/>
            </w:tcBorders>
            <w:shd w:val="clear" w:color="auto" w:fill="auto"/>
            <w:vAlign w:val="bottom"/>
          </w:tcPr>
          <w:p w14:paraId="1096163E"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15,1</w:t>
            </w:r>
          </w:p>
        </w:tc>
        <w:tc>
          <w:tcPr>
            <w:tcW w:w="2126" w:type="dxa"/>
            <w:tcBorders>
              <w:left w:val="single" w:sz="4" w:space="0" w:color="000000"/>
              <w:bottom w:val="single" w:sz="4" w:space="0" w:color="000000"/>
            </w:tcBorders>
            <w:shd w:val="clear" w:color="auto" w:fill="auto"/>
            <w:vAlign w:val="bottom"/>
          </w:tcPr>
          <w:p w14:paraId="68DFF7F3"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16,8</w:t>
            </w:r>
          </w:p>
        </w:tc>
        <w:tc>
          <w:tcPr>
            <w:tcW w:w="2237" w:type="dxa"/>
            <w:tcBorders>
              <w:left w:val="single" w:sz="8" w:space="0" w:color="000000"/>
              <w:bottom w:val="single" w:sz="8" w:space="0" w:color="000000"/>
              <w:right w:val="single" w:sz="8" w:space="0" w:color="000000"/>
            </w:tcBorders>
            <w:shd w:val="clear" w:color="auto" w:fill="auto"/>
            <w:vAlign w:val="bottom"/>
          </w:tcPr>
          <w:p w14:paraId="733824A7"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16,3</w:t>
            </w:r>
          </w:p>
        </w:tc>
      </w:tr>
      <w:tr w:rsidR="00F0736F" w:rsidRPr="00F0736F" w14:paraId="446916CC" w14:textId="77777777" w:rsidTr="00E6382B">
        <w:trPr>
          <w:trHeight w:val="255"/>
        </w:trPr>
        <w:tc>
          <w:tcPr>
            <w:tcW w:w="3402" w:type="dxa"/>
            <w:tcBorders>
              <w:left w:val="single" w:sz="4" w:space="0" w:color="000000"/>
              <w:bottom w:val="single" w:sz="4" w:space="0" w:color="000000"/>
            </w:tcBorders>
            <w:shd w:val="clear" w:color="auto" w:fill="auto"/>
            <w:vAlign w:val="bottom"/>
          </w:tcPr>
          <w:p w14:paraId="61543CB9"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Южно-Казахстанская</w:t>
            </w:r>
          </w:p>
        </w:tc>
        <w:tc>
          <w:tcPr>
            <w:tcW w:w="2127" w:type="dxa"/>
            <w:tcBorders>
              <w:left w:val="single" w:sz="4" w:space="0" w:color="000000"/>
              <w:bottom w:val="single" w:sz="4" w:space="0" w:color="000000"/>
            </w:tcBorders>
            <w:shd w:val="clear" w:color="auto" w:fill="auto"/>
            <w:vAlign w:val="bottom"/>
          </w:tcPr>
          <w:p w14:paraId="77AA7CA4"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16,4</w:t>
            </w:r>
          </w:p>
        </w:tc>
        <w:tc>
          <w:tcPr>
            <w:tcW w:w="2126" w:type="dxa"/>
            <w:tcBorders>
              <w:left w:val="single" w:sz="4" w:space="0" w:color="000000"/>
              <w:bottom w:val="single" w:sz="4" w:space="0" w:color="000000"/>
            </w:tcBorders>
            <w:shd w:val="clear" w:color="auto" w:fill="auto"/>
            <w:vAlign w:val="bottom"/>
          </w:tcPr>
          <w:p w14:paraId="627C8DF2"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w:t>
            </w:r>
          </w:p>
        </w:tc>
        <w:tc>
          <w:tcPr>
            <w:tcW w:w="2237" w:type="dxa"/>
            <w:tcBorders>
              <w:left w:val="single" w:sz="8" w:space="0" w:color="000000"/>
              <w:bottom w:val="single" w:sz="8" w:space="0" w:color="000000"/>
              <w:right w:val="single" w:sz="8" w:space="0" w:color="000000"/>
            </w:tcBorders>
            <w:shd w:val="clear" w:color="auto" w:fill="auto"/>
            <w:vAlign w:val="bottom"/>
          </w:tcPr>
          <w:p w14:paraId="5F5E6C2E"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w:t>
            </w:r>
          </w:p>
        </w:tc>
      </w:tr>
      <w:tr w:rsidR="00F0736F" w:rsidRPr="00F0736F" w14:paraId="01F9FD46" w14:textId="77777777" w:rsidTr="00E6382B">
        <w:trPr>
          <w:trHeight w:val="255"/>
        </w:trPr>
        <w:tc>
          <w:tcPr>
            <w:tcW w:w="3402" w:type="dxa"/>
            <w:tcBorders>
              <w:left w:val="single" w:sz="4" w:space="0" w:color="000000"/>
              <w:bottom w:val="single" w:sz="4" w:space="0" w:color="000000"/>
            </w:tcBorders>
            <w:shd w:val="clear" w:color="auto" w:fill="auto"/>
            <w:vAlign w:val="bottom"/>
          </w:tcPr>
          <w:p w14:paraId="0E9C7424"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Туркестанская</w:t>
            </w:r>
          </w:p>
        </w:tc>
        <w:tc>
          <w:tcPr>
            <w:tcW w:w="2127" w:type="dxa"/>
            <w:tcBorders>
              <w:left w:val="single" w:sz="4" w:space="0" w:color="000000"/>
              <w:bottom w:val="single" w:sz="4" w:space="0" w:color="000000"/>
            </w:tcBorders>
            <w:shd w:val="clear" w:color="auto" w:fill="auto"/>
            <w:vAlign w:val="bottom"/>
          </w:tcPr>
          <w:p w14:paraId="23204F5D"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w:t>
            </w:r>
          </w:p>
        </w:tc>
        <w:tc>
          <w:tcPr>
            <w:tcW w:w="2126" w:type="dxa"/>
            <w:tcBorders>
              <w:left w:val="single" w:sz="4" w:space="0" w:color="000000"/>
              <w:bottom w:val="single" w:sz="4" w:space="0" w:color="000000"/>
            </w:tcBorders>
            <w:shd w:val="clear" w:color="auto" w:fill="auto"/>
            <w:vAlign w:val="bottom"/>
          </w:tcPr>
          <w:p w14:paraId="299164CC"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14,9</w:t>
            </w:r>
          </w:p>
        </w:tc>
        <w:tc>
          <w:tcPr>
            <w:tcW w:w="2237" w:type="dxa"/>
            <w:tcBorders>
              <w:left w:val="single" w:sz="8" w:space="0" w:color="000000"/>
              <w:bottom w:val="single" w:sz="8" w:space="0" w:color="000000"/>
              <w:right w:val="single" w:sz="8" w:space="0" w:color="000000"/>
            </w:tcBorders>
            <w:shd w:val="clear" w:color="auto" w:fill="auto"/>
            <w:vAlign w:val="bottom"/>
          </w:tcPr>
          <w:p w14:paraId="49D4C0EC"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19,9</w:t>
            </w:r>
          </w:p>
        </w:tc>
      </w:tr>
      <w:tr w:rsidR="00F0736F" w:rsidRPr="00F0736F" w14:paraId="194CF56C" w14:textId="77777777" w:rsidTr="00E6382B">
        <w:trPr>
          <w:trHeight w:val="255"/>
        </w:trPr>
        <w:tc>
          <w:tcPr>
            <w:tcW w:w="3402" w:type="dxa"/>
            <w:tcBorders>
              <w:left w:val="single" w:sz="4" w:space="0" w:color="000000"/>
              <w:bottom w:val="single" w:sz="4" w:space="0" w:color="000000"/>
            </w:tcBorders>
            <w:shd w:val="clear" w:color="auto" w:fill="auto"/>
            <w:vAlign w:val="bottom"/>
          </w:tcPr>
          <w:p w14:paraId="6E760A3E"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Павлодарская</w:t>
            </w:r>
          </w:p>
        </w:tc>
        <w:tc>
          <w:tcPr>
            <w:tcW w:w="2127" w:type="dxa"/>
            <w:tcBorders>
              <w:left w:val="single" w:sz="4" w:space="0" w:color="000000"/>
              <w:bottom w:val="single" w:sz="4" w:space="0" w:color="000000"/>
            </w:tcBorders>
            <w:shd w:val="clear" w:color="auto" w:fill="auto"/>
            <w:vAlign w:val="bottom"/>
          </w:tcPr>
          <w:p w14:paraId="4173E5FC"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10,0</w:t>
            </w:r>
          </w:p>
        </w:tc>
        <w:tc>
          <w:tcPr>
            <w:tcW w:w="2126" w:type="dxa"/>
            <w:tcBorders>
              <w:left w:val="single" w:sz="4" w:space="0" w:color="000000"/>
              <w:bottom w:val="single" w:sz="4" w:space="0" w:color="000000"/>
            </w:tcBorders>
            <w:shd w:val="clear" w:color="auto" w:fill="auto"/>
            <w:vAlign w:val="bottom"/>
          </w:tcPr>
          <w:p w14:paraId="164ACFE3"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11,2</w:t>
            </w:r>
          </w:p>
        </w:tc>
        <w:tc>
          <w:tcPr>
            <w:tcW w:w="2237" w:type="dxa"/>
            <w:tcBorders>
              <w:left w:val="single" w:sz="8" w:space="0" w:color="000000"/>
              <w:bottom w:val="single" w:sz="8" w:space="0" w:color="000000"/>
              <w:right w:val="single" w:sz="8" w:space="0" w:color="000000"/>
            </w:tcBorders>
            <w:shd w:val="clear" w:color="auto" w:fill="auto"/>
            <w:vAlign w:val="bottom"/>
          </w:tcPr>
          <w:p w14:paraId="4F15FB0D"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7,9</w:t>
            </w:r>
          </w:p>
        </w:tc>
      </w:tr>
      <w:tr w:rsidR="00F0736F" w:rsidRPr="00F0736F" w14:paraId="2D7D2AFE" w14:textId="77777777" w:rsidTr="00E6382B">
        <w:trPr>
          <w:trHeight w:val="255"/>
        </w:trPr>
        <w:tc>
          <w:tcPr>
            <w:tcW w:w="3402" w:type="dxa"/>
            <w:tcBorders>
              <w:left w:val="single" w:sz="4" w:space="0" w:color="000000"/>
              <w:bottom w:val="single" w:sz="4" w:space="0" w:color="000000"/>
            </w:tcBorders>
            <w:shd w:val="clear" w:color="auto" w:fill="auto"/>
            <w:vAlign w:val="bottom"/>
          </w:tcPr>
          <w:p w14:paraId="386FDF97"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Северо-Казахстанская</w:t>
            </w:r>
          </w:p>
        </w:tc>
        <w:tc>
          <w:tcPr>
            <w:tcW w:w="2127" w:type="dxa"/>
            <w:tcBorders>
              <w:left w:val="single" w:sz="4" w:space="0" w:color="000000"/>
              <w:bottom w:val="single" w:sz="4" w:space="0" w:color="000000"/>
            </w:tcBorders>
            <w:shd w:val="clear" w:color="auto" w:fill="auto"/>
            <w:vAlign w:val="bottom"/>
          </w:tcPr>
          <w:p w14:paraId="36E175E7"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16,7</w:t>
            </w:r>
          </w:p>
        </w:tc>
        <w:tc>
          <w:tcPr>
            <w:tcW w:w="2126" w:type="dxa"/>
            <w:tcBorders>
              <w:left w:val="single" w:sz="4" w:space="0" w:color="000000"/>
              <w:bottom w:val="single" w:sz="4" w:space="0" w:color="000000"/>
            </w:tcBorders>
            <w:shd w:val="clear" w:color="auto" w:fill="auto"/>
            <w:vAlign w:val="bottom"/>
          </w:tcPr>
          <w:p w14:paraId="0274F4CA"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15,4</w:t>
            </w:r>
          </w:p>
        </w:tc>
        <w:tc>
          <w:tcPr>
            <w:tcW w:w="2237" w:type="dxa"/>
            <w:tcBorders>
              <w:left w:val="single" w:sz="8" w:space="0" w:color="000000"/>
              <w:bottom w:val="single" w:sz="8" w:space="0" w:color="000000"/>
              <w:right w:val="single" w:sz="8" w:space="0" w:color="000000"/>
            </w:tcBorders>
            <w:shd w:val="clear" w:color="auto" w:fill="auto"/>
            <w:vAlign w:val="bottom"/>
          </w:tcPr>
          <w:p w14:paraId="5BDFA300"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14,2</w:t>
            </w:r>
          </w:p>
        </w:tc>
      </w:tr>
      <w:tr w:rsidR="00F0736F" w:rsidRPr="00F0736F" w14:paraId="01EFECAE" w14:textId="77777777" w:rsidTr="00E6382B">
        <w:trPr>
          <w:trHeight w:val="255"/>
        </w:trPr>
        <w:tc>
          <w:tcPr>
            <w:tcW w:w="3402" w:type="dxa"/>
            <w:tcBorders>
              <w:left w:val="single" w:sz="4" w:space="0" w:color="000000"/>
              <w:bottom w:val="single" w:sz="4" w:space="0" w:color="000000"/>
            </w:tcBorders>
            <w:shd w:val="clear" w:color="auto" w:fill="auto"/>
            <w:vAlign w:val="bottom"/>
          </w:tcPr>
          <w:p w14:paraId="35E723A6" w14:textId="77777777" w:rsidR="00F674A4" w:rsidRPr="00F0736F" w:rsidRDefault="00F674A4" w:rsidP="00E6382B">
            <w:pPr>
              <w:ind w:firstLine="451"/>
              <w:jc w:val="both"/>
              <w:rPr>
                <w:color w:val="000000" w:themeColor="text1"/>
              </w:rPr>
            </w:pPr>
            <w:r w:rsidRPr="00F0736F">
              <w:rPr>
                <w:rFonts w:ascii="Times New Roman" w:hAnsi="Times New Roman" w:cs="Times New Roman"/>
                <w:color w:val="000000" w:themeColor="text1"/>
                <w:sz w:val="20"/>
                <w:szCs w:val="20"/>
              </w:rPr>
              <w:t>Восточно-Казахстанская</w:t>
            </w:r>
          </w:p>
        </w:tc>
        <w:tc>
          <w:tcPr>
            <w:tcW w:w="2127" w:type="dxa"/>
            <w:tcBorders>
              <w:left w:val="single" w:sz="4" w:space="0" w:color="000000"/>
              <w:bottom w:val="single" w:sz="4" w:space="0" w:color="000000"/>
            </w:tcBorders>
            <w:shd w:val="clear" w:color="auto" w:fill="auto"/>
            <w:vAlign w:val="bottom"/>
          </w:tcPr>
          <w:p w14:paraId="7F4F54D1"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11,3</w:t>
            </w:r>
          </w:p>
        </w:tc>
        <w:tc>
          <w:tcPr>
            <w:tcW w:w="2126" w:type="dxa"/>
            <w:tcBorders>
              <w:left w:val="single" w:sz="4" w:space="0" w:color="000000"/>
              <w:bottom w:val="single" w:sz="4" w:space="0" w:color="000000"/>
            </w:tcBorders>
            <w:shd w:val="clear" w:color="auto" w:fill="auto"/>
            <w:vAlign w:val="bottom"/>
          </w:tcPr>
          <w:p w14:paraId="2175DB00" w14:textId="77777777" w:rsidR="00F674A4" w:rsidRPr="00F0736F" w:rsidRDefault="00F674A4" w:rsidP="00E6382B">
            <w:pPr>
              <w:ind w:firstLine="451"/>
              <w:jc w:val="center"/>
              <w:rPr>
                <w:color w:val="000000" w:themeColor="text1"/>
              </w:rPr>
            </w:pPr>
            <w:r w:rsidRPr="00F0736F">
              <w:rPr>
                <w:rFonts w:ascii="Times New Roman" w:hAnsi="Times New Roman" w:cs="Times New Roman"/>
                <w:color w:val="000000" w:themeColor="text1"/>
                <w:sz w:val="20"/>
                <w:szCs w:val="20"/>
              </w:rPr>
              <w:t>14,4</w:t>
            </w:r>
          </w:p>
        </w:tc>
        <w:tc>
          <w:tcPr>
            <w:tcW w:w="2237" w:type="dxa"/>
            <w:tcBorders>
              <w:left w:val="single" w:sz="8" w:space="0" w:color="000000"/>
              <w:bottom w:val="single" w:sz="8" w:space="0" w:color="000000"/>
              <w:right w:val="single" w:sz="8" w:space="0" w:color="000000"/>
            </w:tcBorders>
            <w:shd w:val="clear" w:color="auto" w:fill="auto"/>
            <w:vAlign w:val="bottom"/>
          </w:tcPr>
          <w:p w14:paraId="415F5941"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16,2</w:t>
            </w:r>
          </w:p>
        </w:tc>
      </w:tr>
      <w:tr w:rsidR="00F0736F" w:rsidRPr="00F0736F" w14:paraId="0AE41B50" w14:textId="77777777" w:rsidTr="00E6382B">
        <w:trPr>
          <w:trHeight w:val="255"/>
        </w:trPr>
        <w:tc>
          <w:tcPr>
            <w:tcW w:w="3402" w:type="dxa"/>
            <w:tcBorders>
              <w:left w:val="single" w:sz="4" w:space="0" w:color="000000"/>
              <w:bottom w:val="single" w:sz="4" w:space="0" w:color="000000"/>
            </w:tcBorders>
            <w:shd w:val="clear" w:color="auto" w:fill="auto"/>
            <w:vAlign w:val="bottom"/>
          </w:tcPr>
          <w:p w14:paraId="6C578F6C" w14:textId="77777777" w:rsidR="00F674A4" w:rsidRPr="00F0736F" w:rsidRDefault="00F674A4" w:rsidP="00E6382B">
            <w:pPr>
              <w:pStyle w:val="aff6"/>
              <w:ind w:firstLine="451"/>
              <w:jc w:val="both"/>
              <w:rPr>
                <w:color w:val="000000" w:themeColor="text1"/>
              </w:rPr>
            </w:pPr>
            <w:r w:rsidRPr="00F0736F">
              <w:rPr>
                <w:rFonts w:ascii="Times New Roman" w:hAnsi="Times New Roman" w:cs="Times New Roman"/>
                <w:color w:val="000000" w:themeColor="text1"/>
                <w:sz w:val="20"/>
                <w:szCs w:val="20"/>
              </w:rPr>
              <w:t>г. Нур-Султан</w:t>
            </w:r>
          </w:p>
        </w:tc>
        <w:tc>
          <w:tcPr>
            <w:tcW w:w="2127" w:type="dxa"/>
            <w:tcBorders>
              <w:left w:val="single" w:sz="4" w:space="0" w:color="000000"/>
              <w:bottom w:val="single" w:sz="4" w:space="0" w:color="000000"/>
            </w:tcBorders>
            <w:shd w:val="clear" w:color="auto" w:fill="auto"/>
            <w:vAlign w:val="bottom"/>
          </w:tcPr>
          <w:p w14:paraId="762615A0"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6,3</w:t>
            </w:r>
          </w:p>
        </w:tc>
        <w:tc>
          <w:tcPr>
            <w:tcW w:w="2126" w:type="dxa"/>
            <w:tcBorders>
              <w:left w:val="single" w:sz="4" w:space="0" w:color="000000"/>
              <w:bottom w:val="single" w:sz="4" w:space="0" w:color="000000"/>
            </w:tcBorders>
            <w:shd w:val="clear" w:color="auto" w:fill="auto"/>
            <w:vAlign w:val="bottom"/>
          </w:tcPr>
          <w:p w14:paraId="2E18818E"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5,8</w:t>
            </w:r>
          </w:p>
        </w:tc>
        <w:tc>
          <w:tcPr>
            <w:tcW w:w="2237" w:type="dxa"/>
            <w:tcBorders>
              <w:left w:val="single" w:sz="8" w:space="0" w:color="000000"/>
              <w:bottom w:val="single" w:sz="8" w:space="0" w:color="000000"/>
              <w:right w:val="single" w:sz="8" w:space="0" w:color="000000"/>
            </w:tcBorders>
            <w:shd w:val="clear" w:color="auto" w:fill="auto"/>
            <w:vAlign w:val="bottom"/>
          </w:tcPr>
          <w:p w14:paraId="7D2EE3BF"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8,5</w:t>
            </w:r>
          </w:p>
        </w:tc>
      </w:tr>
      <w:tr w:rsidR="00F0736F" w:rsidRPr="00F0736F" w14:paraId="5FB6BC6C" w14:textId="77777777" w:rsidTr="00E6382B">
        <w:trPr>
          <w:trHeight w:val="255"/>
        </w:trPr>
        <w:tc>
          <w:tcPr>
            <w:tcW w:w="3402" w:type="dxa"/>
            <w:tcBorders>
              <w:left w:val="single" w:sz="4" w:space="0" w:color="000000"/>
              <w:bottom w:val="single" w:sz="4" w:space="0" w:color="000000"/>
            </w:tcBorders>
            <w:shd w:val="clear" w:color="auto" w:fill="auto"/>
            <w:vAlign w:val="bottom"/>
          </w:tcPr>
          <w:p w14:paraId="6BF88887" w14:textId="77777777" w:rsidR="00F674A4" w:rsidRPr="00F0736F" w:rsidRDefault="00F674A4" w:rsidP="00E6382B">
            <w:pPr>
              <w:pStyle w:val="aff6"/>
              <w:ind w:firstLine="451"/>
              <w:jc w:val="both"/>
              <w:rPr>
                <w:color w:val="000000" w:themeColor="text1"/>
              </w:rPr>
            </w:pPr>
            <w:r w:rsidRPr="00F0736F">
              <w:rPr>
                <w:rFonts w:ascii="Times New Roman" w:hAnsi="Times New Roman" w:cs="Times New Roman"/>
                <w:color w:val="000000" w:themeColor="text1"/>
                <w:sz w:val="20"/>
                <w:szCs w:val="20"/>
              </w:rPr>
              <w:t>г. Алматы</w:t>
            </w:r>
          </w:p>
        </w:tc>
        <w:tc>
          <w:tcPr>
            <w:tcW w:w="2127" w:type="dxa"/>
            <w:tcBorders>
              <w:left w:val="single" w:sz="4" w:space="0" w:color="000000"/>
              <w:bottom w:val="single" w:sz="4" w:space="0" w:color="000000"/>
            </w:tcBorders>
            <w:shd w:val="clear" w:color="auto" w:fill="auto"/>
            <w:vAlign w:val="bottom"/>
          </w:tcPr>
          <w:p w14:paraId="389A9349"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6,9</w:t>
            </w:r>
          </w:p>
        </w:tc>
        <w:tc>
          <w:tcPr>
            <w:tcW w:w="2126" w:type="dxa"/>
            <w:tcBorders>
              <w:left w:val="single" w:sz="4" w:space="0" w:color="000000"/>
              <w:bottom w:val="single" w:sz="4" w:space="0" w:color="000000"/>
            </w:tcBorders>
            <w:shd w:val="clear" w:color="auto" w:fill="auto"/>
            <w:vAlign w:val="bottom"/>
          </w:tcPr>
          <w:p w14:paraId="1D113542"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6,1</w:t>
            </w:r>
          </w:p>
        </w:tc>
        <w:tc>
          <w:tcPr>
            <w:tcW w:w="2237" w:type="dxa"/>
            <w:tcBorders>
              <w:left w:val="single" w:sz="8" w:space="0" w:color="000000"/>
              <w:bottom w:val="single" w:sz="8" w:space="0" w:color="000000"/>
              <w:right w:val="single" w:sz="8" w:space="0" w:color="000000"/>
            </w:tcBorders>
            <w:shd w:val="clear" w:color="auto" w:fill="auto"/>
            <w:vAlign w:val="bottom"/>
          </w:tcPr>
          <w:p w14:paraId="3834E15F"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w:t>
            </w:r>
          </w:p>
        </w:tc>
      </w:tr>
      <w:tr w:rsidR="00F0736F" w:rsidRPr="00F0736F" w14:paraId="35EAED28" w14:textId="77777777" w:rsidTr="00E6382B">
        <w:trPr>
          <w:trHeight w:val="255"/>
        </w:trPr>
        <w:tc>
          <w:tcPr>
            <w:tcW w:w="3402" w:type="dxa"/>
            <w:tcBorders>
              <w:left w:val="single" w:sz="4" w:space="0" w:color="000000"/>
              <w:bottom w:val="single" w:sz="4" w:space="0" w:color="000000"/>
            </w:tcBorders>
            <w:shd w:val="clear" w:color="auto" w:fill="auto"/>
            <w:vAlign w:val="bottom"/>
          </w:tcPr>
          <w:p w14:paraId="00675CF2" w14:textId="77777777" w:rsidR="00F674A4" w:rsidRPr="00F0736F" w:rsidRDefault="00F674A4" w:rsidP="00E6382B">
            <w:pPr>
              <w:pStyle w:val="aff6"/>
              <w:ind w:firstLine="451"/>
              <w:jc w:val="both"/>
              <w:rPr>
                <w:color w:val="000000" w:themeColor="text1"/>
              </w:rPr>
            </w:pPr>
            <w:r w:rsidRPr="00F0736F">
              <w:rPr>
                <w:rFonts w:ascii="Times New Roman" w:hAnsi="Times New Roman" w:cs="Times New Roman"/>
                <w:color w:val="000000" w:themeColor="text1"/>
                <w:sz w:val="20"/>
                <w:szCs w:val="20"/>
              </w:rPr>
              <w:t>г. Шымкент</w:t>
            </w:r>
          </w:p>
        </w:tc>
        <w:tc>
          <w:tcPr>
            <w:tcW w:w="2127" w:type="dxa"/>
            <w:tcBorders>
              <w:left w:val="single" w:sz="4" w:space="0" w:color="000000"/>
              <w:bottom w:val="single" w:sz="4" w:space="0" w:color="000000"/>
            </w:tcBorders>
            <w:shd w:val="clear" w:color="auto" w:fill="auto"/>
            <w:vAlign w:val="bottom"/>
          </w:tcPr>
          <w:p w14:paraId="18655DFF"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w:t>
            </w:r>
          </w:p>
        </w:tc>
        <w:tc>
          <w:tcPr>
            <w:tcW w:w="2126" w:type="dxa"/>
            <w:tcBorders>
              <w:left w:val="single" w:sz="4" w:space="0" w:color="000000"/>
              <w:bottom w:val="single" w:sz="4" w:space="0" w:color="000000"/>
            </w:tcBorders>
            <w:shd w:val="clear" w:color="auto" w:fill="auto"/>
            <w:vAlign w:val="bottom"/>
          </w:tcPr>
          <w:p w14:paraId="03D3CE51"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8,6</w:t>
            </w:r>
          </w:p>
        </w:tc>
        <w:tc>
          <w:tcPr>
            <w:tcW w:w="2237" w:type="dxa"/>
            <w:tcBorders>
              <w:left w:val="single" w:sz="8" w:space="0" w:color="000000"/>
              <w:bottom w:val="single" w:sz="8" w:space="0" w:color="000000"/>
              <w:right w:val="single" w:sz="8" w:space="0" w:color="000000"/>
            </w:tcBorders>
            <w:shd w:val="clear" w:color="auto" w:fill="auto"/>
            <w:vAlign w:val="bottom"/>
          </w:tcPr>
          <w:p w14:paraId="6F9EB0A0" w14:textId="77777777" w:rsidR="00F674A4" w:rsidRPr="00F0736F" w:rsidRDefault="00F674A4" w:rsidP="00E6382B">
            <w:pPr>
              <w:pStyle w:val="aff6"/>
              <w:ind w:firstLine="451"/>
              <w:jc w:val="center"/>
              <w:rPr>
                <w:color w:val="000000" w:themeColor="text1"/>
              </w:rPr>
            </w:pPr>
            <w:r w:rsidRPr="00F0736F">
              <w:rPr>
                <w:rFonts w:ascii="Times New Roman" w:hAnsi="Times New Roman" w:cs="Times New Roman"/>
                <w:color w:val="000000" w:themeColor="text1"/>
                <w:sz w:val="20"/>
                <w:szCs w:val="20"/>
              </w:rPr>
              <w:t>13,4</w:t>
            </w:r>
          </w:p>
        </w:tc>
      </w:tr>
    </w:tbl>
    <w:p w14:paraId="1098ED54" w14:textId="77777777" w:rsidR="00F674A4" w:rsidRPr="00F0736F" w:rsidRDefault="00F674A4" w:rsidP="008727D9">
      <w:pPr>
        <w:ind w:firstLine="709"/>
        <w:jc w:val="both"/>
        <w:rPr>
          <w:rFonts w:ascii="Times New Roman" w:hAnsi="Times New Roman" w:cs="Times New Roman"/>
          <w:i/>
          <w:color w:val="000000" w:themeColor="text1"/>
        </w:rPr>
      </w:pPr>
      <w:r w:rsidRPr="00F0736F">
        <w:rPr>
          <w:rFonts w:ascii="Times New Roman" w:eastAsia="Calibri" w:hAnsi="Times New Roman" w:cs="Times New Roman"/>
          <w:i/>
          <w:color w:val="000000" w:themeColor="text1"/>
          <w:sz w:val="20"/>
          <w:szCs w:val="20"/>
        </w:rPr>
        <w:t xml:space="preserve">Источник: </w:t>
      </w:r>
      <w:hyperlink r:id="rId9" w:history="1">
        <w:r w:rsidRPr="00F0736F">
          <w:rPr>
            <w:rStyle w:val="a6"/>
            <w:rFonts w:ascii="Times New Roman" w:eastAsia="Calibri" w:hAnsi="Times New Roman" w:cs="Times New Roman"/>
            <w:i/>
            <w:color w:val="000000" w:themeColor="text1"/>
            <w:sz w:val="20"/>
            <w:szCs w:val="20"/>
            <w:u w:val="none"/>
          </w:rPr>
          <w:t>http://stat.gov.kz</w:t>
        </w:r>
      </w:hyperlink>
    </w:p>
    <w:p w14:paraId="55D5622B" w14:textId="77777777" w:rsidR="00F674A4" w:rsidRPr="00F0736F" w:rsidRDefault="00F674A4" w:rsidP="008727D9">
      <w:pPr>
        <w:ind w:firstLine="709"/>
        <w:jc w:val="both"/>
        <w:rPr>
          <w:rFonts w:ascii="Times New Roman" w:hAnsi="Times New Roman" w:cs="Times New Roman"/>
          <w:color w:val="000000" w:themeColor="text1"/>
        </w:rPr>
      </w:pPr>
    </w:p>
    <w:p w14:paraId="7623DD5D" w14:textId="2B0EA84D" w:rsidR="00C33CC5" w:rsidRPr="00F0736F" w:rsidRDefault="00F674A4" w:rsidP="008727D9">
      <w:pPr>
        <w:widowControl w:val="0"/>
        <w:ind w:firstLine="709"/>
        <w:jc w:val="both"/>
        <w:rPr>
          <w:rFonts w:ascii="Arial" w:eastAsia="SimSun" w:hAnsi="Arial" w:cs="Arial"/>
          <w:bCs/>
          <w:color w:val="000000" w:themeColor="text1"/>
          <w:sz w:val="20"/>
          <w:szCs w:val="20"/>
        </w:rPr>
      </w:pPr>
      <w:r w:rsidRPr="00F0736F">
        <w:rPr>
          <w:rFonts w:ascii="Times New Roman" w:eastAsia="Times New Roman" w:hAnsi="Times New Roman" w:cs="Times New Roman"/>
          <w:b/>
          <w:bCs/>
          <w:color w:val="000000" w:themeColor="text1"/>
          <w:lang w:eastAsia="ru-RU"/>
        </w:rPr>
        <w:t>Расход воды на орошение</w:t>
      </w:r>
      <w:r w:rsidRPr="00F0736F">
        <w:rPr>
          <w:rFonts w:ascii="Times New Roman" w:eastAsia="Times New Roman" w:hAnsi="Times New Roman" w:cs="Times New Roman"/>
          <w:color w:val="000000" w:themeColor="text1"/>
          <w:lang w:eastAsia="ru-RU"/>
        </w:rPr>
        <w:t xml:space="preserve"> в 2018 году составил 8</w:t>
      </w:r>
      <w:r w:rsidR="005E73C8"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209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на га, что несколько ниже плановых значений 8</w:t>
      </w:r>
      <w:r w:rsidR="005E73C8"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223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на 1 га </w:t>
      </w:r>
      <w:r w:rsidRPr="00F0736F">
        <w:rPr>
          <w:rStyle w:val="21"/>
          <w:rFonts w:ascii="Times New Roman" w:eastAsia="Times New Roman" w:hAnsi="Times New Roman" w:cs="Times New Roman"/>
          <w:bCs/>
          <w:iCs/>
          <w:color w:val="000000" w:themeColor="text1"/>
          <w:spacing w:val="2"/>
          <w:sz w:val="24"/>
          <w:lang w:eastAsia="ru-RU"/>
        </w:rPr>
        <w:t>(таблица 1.2.1.)</w:t>
      </w:r>
      <w:r w:rsidRPr="00F0736F">
        <w:rPr>
          <w:rStyle w:val="21"/>
          <w:rFonts w:ascii="Times New Roman" w:eastAsia="Times New Roman" w:hAnsi="Times New Roman" w:cs="Times New Roman"/>
          <w:bCs/>
          <w:iCs/>
          <w:color w:val="000000" w:themeColor="text1"/>
          <w:spacing w:val="2"/>
          <w:sz w:val="24"/>
          <w:szCs w:val="28"/>
          <w:lang w:eastAsia="ru-RU"/>
        </w:rPr>
        <w:t>. Решение задачи снижения потребления водных и иных ресурсов</w:t>
      </w:r>
      <w:r w:rsidRPr="00F0736F">
        <w:rPr>
          <w:rStyle w:val="21"/>
          <w:rFonts w:ascii="Times New Roman" w:eastAsia="Times New Roman" w:hAnsi="Times New Roman" w:cs="Times New Roman"/>
          <w:b/>
          <w:bCs/>
          <w:iCs/>
          <w:color w:val="000000" w:themeColor="text1"/>
          <w:spacing w:val="2"/>
          <w:sz w:val="24"/>
          <w:szCs w:val="28"/>
          <w:lang w:eastAsia="ru-RU"/>
        </w:rPr>
        <w:t xml:space="preserve"> </w:t>
      </w:r>
      <w:r w:rsidRPr="00F0736F">
        <w:rPr>
          <w:rStyle w:val="21"/>
          <w:rFonts w:ascii="Times New Roman" w:eastAsia="Times New Roman" w:hAnsi="Times New Roman" w:cs="Times New Roman"/>
          <w:bCs/>
          <w:iCs/>
          <w:color w:val="000000" w:themeColor="text1"/>
          <w:spacing w:val="2"/>
          <w:sz w:val="24"/>
          <w:szCs w:val="28"/>
          <w:lang w:eastAsia="ru-RU"/>
        </w:rPr>
        <w:t>осуществляется посредством внедрения водо- и ресурсосберегающих технологий на большей части сельхозугодий</w:t>
      </w:r>
      <w:r w:rsidR="00323D5F" w:rsidRPr="00F0736F">
        <w:rPr>
          <w:rStyle w:val="21"/>
          <w:rFonts w:ascii="Times New Roman" w:eastAsia="Times New Roman" w:hAnsi="Times New Roman" w:cs="Times New Roman"/>
          <w:bCs/>
          <w:iCs/>
          <w:color w:val="000000" w:themeColor="text1"/>
          <w:spacing w:val="2"/>
          <w:sz w:val="24"/>
          <w:szCs w:val="28"/>
          <w:lang w:eastAsia="ru-RU"/>
        </w:rPr>
        <w:t>.</w:t>
      </w:r>
    </w:p>
    <w:p w14:paraId="58F03F81" w14:textId="37F5034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Общая площадь орошаемых земель в РК в 1991 году составляла 2</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379,5 тыс</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га, в 2000 году </w:t>
      </w:r>
      <w:r w:rsidR="005E73C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228,3 тыс. га, в 2017 году </w:t>
      </w:r>
      <w:r w:rsidR="005E73C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2</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181,0 тыс. га, в 2018 году </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203,1</w:t>
      </w:r>
      <w:r w:rsidRPr="00F0736F">
        <w:rPr>
          <w:rStyle w:val="a4"/>
          <w:rFonts w:ascii="Times New Roman" w:hAnsi="Times New Roman" w:cs="Times New Roman"/>
          <w:color w:val="000000" w:themeColor="text1"/>
        </w:rPr>
        <w:footnoteReference w:id="26"/>
      </w:r>
      <w:r w:rsidRPr="00F0736F">
        <w:rPr>
          <w:rFonts w:ascii="Times New Roman" w:hAnsi="Times New Roman" w:cs="Times New Roman"/>
          <w:color w:val="000000" w:themeColor="text1"/>
        </w:rPr>
        <w:t xml:space="preserve">. Рассматривая динамику площадей орошаемых земель за 1991 - 2017 годы, прослеживается тенденция сокращения площадей орошаемых земель в наибольшей степени в Алматинской, Атырауской, Жамбылской, Кызылординской, Актюбинской, Восточно-Казахстанской, Павлодарской и Северо-Казахстанской областях. Одновременно отмечается ежегодный прирост орошаемых земель в Южно-Казахстанской (ныне Туркестанской) области. </w:t>
      </w:r>
    </w:p>
    <w:p w14:paraId="13C1287C" w14:textId="67FE037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Площадь водообеспеченных земель регулярного орошения на начало 2019 года составляла 1</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480 тыс. га. План восстановления ирригационной инфраструктуры орошаемых земель на 2019 год – 124 тыс. га. Фактическое исполнение – 66 тыс. га. Площадь водообеспеченных земель регулярного орошения на конец 2019 года составила 1</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546 тыс. га, в том числе с водосберегающими технологиями — 210,4 тыс. га. </w:t>
      </w:r>
      <w:r w:rsidRPr="00F0736F">
        <w:rPr>
          <w:rFonts w:ascii="Times New Roman" w:eastAsia="Calibri" w:hAnsi="Times New Roman" w:cs="Times New Roman"/>
          <w:color w:val="000000" w:themeColor="text1"/>
        </w:rPr>
        <w:t>В 2019 году для их полива было израсходовано 12,3 млрд</w:t>
      </w:r>
      <w:r w:rsidR="00675771"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воды</w:t>
      </w:r>
      <w:r w:rsidR="00B34CCA" w:rsidRPr="00F0736F">
        <w:rPr>
          <w:rFonts w:ascii="Times New Roman" w:eastAsia="Calibri" w:hAnsi="Times New Roman" w:cs="Times New Roman"/>
          <w:color w:val="000000" w:themeColor="text1"/>
        </w:rPr>
        <w:t xml:space="preserve"> и э</w:t>
      </w:r>
      <w:r w:rsidRPr="00F0736F">
        <w:rPr>
          <w:rFonts w:ascii="Times New Roman" w:eastAsia="Calibri" w:hAnsi="Times New Roman" w:cs="Times New Roman"/>
          <w:color w:val="000000" w:themeColor="text1"/>
        </w:rPr>
        <w:t xml:space="preserve">то 67% от общего водопотребления страны. </w:t>
      </w:r>
      <w:r w:rsidRPr="00F0736F">
        <w:rPr>
          <w:rFonts w:ascii="Times New Roman" w:hAnsi="Times New Roman" w:cs="Times New Roman"/>
          <w:color w:val="000000" w:themeColor="text1"/>
        </w:rPr>
        <w:t xml:space="preserve"> </w:t>
      </w:r>
    </w:p>
    <w:p w14:paraId="743AD0BF"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В 2019 году восстановлена хозяйственная инфраструктура в Алматинской обл</w:t>
      </w:r>
      <w:r w:rsidR="00360BEB" w:rsidRPr="00F0736F">
        <w:rPr>
          <w:rFonts w:ascii="Times New Roman" w:hAnsi="Times New Roman" w:cs="Times New Roman"/>
          <w:color w:val="000000" w:themeColor="text1"/>
        </w:rPr>
        <w:t>асти - 14,7 тыс. га, Восточно-</w:t>
      </w:r>
      <w:r w:rsidRPr="00F0736F">
        <w:rPr>
          <w:rFonts w:ascii="Times New Roman" w:hAnsi="Times New Roman" w:cs="Times New Roman"/>
          <w:color w:val="000000" w:themeColor="text1"/>
        </w:rPr>
        <w:t>Казахстанской области - 25,4 тыс. га, Жамбылской области - 2,6 тыс. га, Павлодарской области - 9,0 тыс. га, Карагандинской области - 1,5 тыс. га, Туркестанской области - 12,8 тыс. га.</w:t>
      </w:r>
    </w:p>
    <w:p w14:paraId="0F6715F8" w14:textId="77777777" w:rsidR="00CB13A3" w:rsidRPr="00F0736F" w:rsidRDefault="00CB13A3"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2017 году вышел </w:t>
      </w:r>
      <w:r w:rsidRPr="00F0736F">
        <w:rPr>
          <w:rFonts w:ascii="Times New Roman" w:eastAsia="Times New Roman" w:hAnsi="Times New Roman" w:cs="Times New Roman"/>
          <w:b/>
          <w:color w:val="000000" w:themeColor="text1"/>
          <w:spacing w:val="2"/>
          <w:lang w:eastAsia="ru-RU"/>
        </w:rPr>
        <w:t>Обзор ОЭСР по управлению водохозяйственной инфраструктурой</w:t>
      </w:r>
      <w:r w:rsidRPr="00F0736F">
        <w:rPr>
          <w:rStyle w:val="a4"/>
          <w:rFonts w:ascii="Times New Roman" w:eastAsia="Times New Roman" w:hAnsi="Times New Roman" w:cs="Times New Roman"/>
          <w:color w:val="000000" w:themeColor="text1"/>
          <w:spacing w:val="2"/>
          <w:lang w:eastAsia="ru-RU"/>
        </w:rPr>
        <w:footnoteReference w:id="27"/>
      </w:r>
      <w:r w:rsidRPr="00F0736F">
        <w:rPr>
          <w:rFonts w:ascii="Times New Roman" w:eastAsia="Times New Roman" w:hAnsi="Times New Roman" w:cs="Times New Roman"/>
          <w:color w:val="000000" w:themeColor="text1"/>
          <w:spacing w:val="2"/>
          <w:lang w:eastAsia="ru-RU"/>
        </w:rPr>
        <w:t>. Ввиду сложности строительства и управления гидротехническими и гидроэнергетическими объектами в данном обзоре приводятся примеры успешного разделения рисков между государством и инвесторами посредством государственно-частного партнерства и других инструментов подобного сотрудничества, что рекомендуется к применению в странах Центральной Азии.</w:t>
      </w:r>
    </w:p>
    <w:p w14:paraId="00C271D6" w14:textId="52A93752"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На 1 января 2019 года в сельском хозяйстве РК площадь, охваченная водосберегающими технологиями, составила 215,6 тыс. га (из них капельное орошение </w:t>
      </w:r>
      <w:r w:rsidR="005E73C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93,64 тыс. га, дождевание </w:t>
      </w:r>
      <w:r w:rsidR="005E73C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121,95 тыс. га), это 14,5% используемых орошаемых земель. намечается</w:t>
      </w:r>
      <w:r w:rsidRPr="00F0736F">
        <w:rPr>
          <w:rFonts w:ascii="Times New Roman" w:eastAsia="Calibri" w:hAnsi="Times New Roman" w:cs="Times New Roman"/>
          <w:color w:val="000000" w:themeColor="text1"/>
          <w:spacing w:val="2"/>
          <w:lang w:eastAsia="ru-RU"/>
        </w:rPr>
        <w:t xml:space="preserve"> довести площади внедрения водосберегающих технологий к 2021 году до 260 тыс. га. </w:t>
      </w:r>
    </w:p>
    <w:p w14:paraId="3E95CEB2" w14:textId="2F39C13F"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ja-JP"/>
        </w:rPr>
        <w:t>Согласно анализу, проведенному в рамках Государственной программы развития агропр</w:t>
      </w:r>
      <w:r w:rsidR="00360BEB" w:rsidRPr="00F0736F">
        <w:rPr>
          <w:rFonts w:ascii="Times New Roman" w:eastAsia="MS Mincho" w:hAnsi="Times New Roman" w:cs="Times New Roman"/>
          <w:color w:val="000000" w:themeColor="text1"/>
          <w:lang w:eastAsia="ja-JP"/>
        </w:rPr>
        <w:t>омышленного комплекса на 2017-</w:t>
      </w:r>
      <w:r w:rsidRPr="00F0736F">
        <w:rPr>
          <w:rFonts w:ascii="Times New Roman" w:eastAsia="MS Mincho" w:hAnsi="Times New Roman" w:cs="Times New Roman"/>
          <w:color w:val="000000" w:themeColor="text1"/>
          <w:lang w:eastAsia="ja-JP"/>
        </w:rPr>
        <w:t>2021 гг., в настоящее время стоимость воды, используемой для орошения, составляет менее 1% от стоимости выращивания основных сельскохозяйственных культур (0,9% для пшеницы, 0,1% для хлопка), что существенно ниже в сравнении с другими странами (4</w:t>
      </w:r>
      <w:r w:rsidR="005E73C8" w:rsidRPr="00F0736F">
        <w:rPr>
          <w:rFonts w:ascii="Times New Roman" w:eastAsia="MS Mincho" w:hAnsi="Times New Roman" w:cs="Times New Roman"/>
          <w:color w:val="000000" w:themeColor="text1"/>
          <w:lang w:eastAsia="ja-JP"/>
        </w:rPr>
        <w:t>-</w:t>
      </w:r>
      <w:r w:rsidRPr="00F0736F">
        <w:rPr>
          <w:rFonts w:ascii="Times New Roman" w:eastAsia="MS Mincho" w:hAnsi="Times New Roman" w:cs="Times New Roman"/>
          <w:color w:val="000000" w:themeColor="text1"/>
          <w:lang w:eastAsia="ja-JP"/>
        </w:rPr>
        <w:t>13% для пшеницы, 2</w:t>
      </w:r>
      <w:r w:rsidR="005E73C8" w:rsidRPr="00F0736F">
        <w:rPr>
          <w:rFonts w:ascii="Times New Roman" w:eastAsia="MS Mincho" w:hAnsi="Times New Roman" w:cs="Times New Roman"/>
          <w:color w:val="000000" w:themeColor="text1"/>
          <w:lang w:eastAsia="ja-JP"/>
        </w:rPr>
        <w:t>-</w:t>
      </w:r>
      <w:r w:rsidRPr="00F0736F">
        <w:rPr>
          <w:rFonts w:ascii="Times New Roman" w:eastAsia="MS Mincho" w:hAnsi="Times New Roman" w:cs="Times New Roman"/>
          <w:color w:val="000000" w:themeColor="text1"/>
          <w:lang w:eastAsia="ja-JP"/>
        </w:rPr>
        <w:t>10% для хлопка в таких странах, как Австралия, Китайская Народная Республика, Индия, Израиль, Южная Африка и Соединенные Штаты Америки). В абсолютном выражении, действующие тарифы на воду, используемую для орошения, являются одними из самых низких в мире: в 2–10 раз ниже, чем в таких странах, как Австралия, Китайская Народная Республика, Греция и Великобритания, и в 20 раз ниже, чем в Израиле. С учетом крайне низких тарифов на воду для конечного потребителя (средний тариф составляет 0,5 тенге/м</w:t>
      </w:r>
      <w:r w:rsidRPr="00F0736F">
        <w:rPr>
          <w:rFonts w:ascii="Times New Roman" w:eastAsia="MS Mincho" w:hAnsi="Times New Roman" w:cs="Times New Roman"/>
          <w:color w:val="000000" w:themeColor="text1"/>
          <w:vertAlign w:val="superscript"/>
          <w:lang w:eastAsia="ja-JP"/>
        </w:rPr>
        <w:t>3</w:t>
      </w:r>
      <w:r w:rsidRPr="00F0736F">
        <w:rPr>
          <w:rFonts w:ascii="Times New Roman" w:eastAsia="MS Mincho" w:hAnsi="Times New Roman" w:cs="Times New Roman"/>
          <w:color w:val="000000" w:themeColor="text1"/>
          <w:lang w:eastAsia="ja-JP"/>
        </w:rPr>
        <w:t>), они отнюдь не стимулируют эффективное водопотребление.</w:t>
      </w:r>
    </w:p>
    <w:p w14:paraId="14276619" w14:textId="7704E86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lang w:val="kk-KZ"/>
        </w:rPr>
        <w:t>В целях стимулирования сельхозтоваропроизводителей для внедрения водосберегающей технологии орошения приказом Заместителя Премьер-Министра РК – Министра сельского хозяйства РК от 1 февраля 2017 года №</w:t>
      </w:r>
      <w:r w:rsidR="00B34CCA"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lang w:val="kk-KZ"/>
        </w:rPr>
        <w:t xml:space="preserve">48 введена компенсация 30% затрат сельхозпроизводителей на приобретение систем и оборудования для капельного и дождевального орошения, введенных в эксплуатацию с 1 января 2015 года. В настоящее время, </w:t>
      </w:r>
      <w:r w:rsidRPr="00F0736F">
        <w:rPr>
          <w:rFonts w:ascii="Times New Roman" w:eastAsia="Calibri" w:hAnsi="Times New Roman" w:cs="Times New Roman"/>
          <w:bCs/>
          <w:color w:val="000000" w:themeColor="text1"/>
        </w:rPr>
        <w:t>в соответствии с Приказом и.о. Министра сельского хозяйства Республики Казахстан от 23 июля 2018 года №</w:t>
      </w:r>
      <w:r w:rsidR="00B34CCA" w:rsidRPr="00F0736F">
        <w:rPr>
          <w:rFonts w:ascii="Times New Roman" w:eastAsia="Calibri" w:hAnsi="Times New Roman" w:cs="Times New Roman"/>
          <w:bCs/>
          <w:color w:val="000000" w:themeColor="text1"/>
        </w:rPr>
        <w:t xml:space="preserve"> </w:t>
      </w:r>
      <w:r w:rsidRPr="00F0736F">
        <w:rPr>
          <w:rFonts w:ascii="Times New Roman" w:eastAsia="Calibri" w:hAnsi="Times New Roman" w:cs="Times New Roman"/>
          <w:bCs/>
          <w:color w:val="000000" w:themeColor="text1"/>
        </w:rPr>
        <w:t>317</w:t>
      </w:r>
      <w:r w:rsidR="00675771" w:rsidRPr="00F0736F">
        <w:rPr>
          <w:rFonts w:ascii="Times New Roman" w:eastAsia="Calibri" w:hAnsi="Times New Roman" w:cs="Times New Roman"/>
          <w:bCs/>
          <w:color w:val="000000" w:themeColor="text1"/>
        </w:rPr>
        <w:t>,</w:t>
      </w:r>
      <w:r w:rsidRPr="00F0736F">
        <w:rPr>
          <w:rFonts w:ascii="Times New Roman" w:eastAsia="Calibri" w:hAnsi="Times New Roman" w:cs="Times New Roman"/>
          <w:bCs/>
          <w:color w:val="000000" w:themeColor="text1"/>
        </w:rPr>
        <w:t xml:space="preserve"> такие субсидии увеличены до 50%. Кроме того, в соответствии с этим же приказом предусмотрены субсидии до 80% </w:t>
      </w:r>
      <w:r w:rsidRPr="00F0736F">
        <w:rPr>
          <w:rFonts w:ascii="Times New Roman" w:eastAsia="Times New Roman" w:hAnsi="Times New Roman" w:cs="Times New Roman"/>
          <w:bCs/>
          <w:color w:val="000000" w:themeColor="text1"/>
          <w:lang w:eastAsia="ru-RU"/>
        </w:rPr>
        <w:t xml:space="preserve">на создание инфраструктуры обводнения пастбищ и обеспечение водой животноводческих хозяйств (колодцы, скважины), на строительство и расширение тепличного комплекса </w:t>
      </w:r>
      <w:r w:rsidR="005E73C8" w:rsidRPr="00F0736F">
        <w:rPr>
          <w:rFonts w:ascii="Times New Roman" w:eastAsia="Times New Roman" w:hAnsi="Times New Roman" w:cs="Times New Roman"/>
          <w:bCs/>
          <w:color w:val="000000" w:themeColor="text1"/>
          <w:lang w:eastAsia="ru-RU"/>
        </w:rPr>
        <w:t>-</w:t>
      </w:r>
      <w:r w:rsidRPr="00F0736F">
        <w:rPr>
          <w:rFonts w:ascii="Times New Roman" w:eastAsia="Times New Roman" w:hAnsi="Times New Roman" w:cs="Times New Roman"/>
          <w:bCs/>
          <w:color w:val="000000" w:themeColor="text1"/>
          <w:lang w:eastAsia="ru-RU"/>
        </w:rPr>
        <w:t xml:space="preserve"> до 25%, а также на производство сельскохозяйственной продукции в теплицах (Приказ и. о. Министра сельского хозяйства №</w:t>
      </w:r>
      <w:r w:rsidR="00B34CCA" w:rsidRPr="00F0736F">
        <w:rPr>
          <w:rFonts w:ascii="Times New Roman" w:eastAsia="Times New Roman" w:hAnsi="Times New Roman" w:cs="Times New Roman"/>
          <w:bCs/>
          <w:color w:val="000000" w:themeColor="text1"/>
          <w:lang w:eastAsia="ru-RU"/>
        </w:rPr>
        <w:t xml:space="preserve"> </w:t>
      </w:r>
      <w:r w:rsidRPr="00F0736F">
        <w:rPr>
          <w:rFonts w:ascii="Times New Roman" w:eastAsia="Times New Roman" w:hAnsi="Times New Roman" w:cs="Times New Roman"/>
          <w:bCs/>
          <w:color w:val="000000" w:themeColor="text1"/>
          <w:lang w:eastAsia="ru-RU"/>
        </w:rPr>
        <w:t>4-3/177 2015 г.).</w:t>
      </w:r>
    </w:p>
    <w:p w14:paraId="46848D72"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В целях выполнения поручения Главы государства по увеличению площади орошаемых земель РГП «Казводхоз» проводится восстановление ирригационной инфраструктуры путем привлечения займов международных финансовых организаций.</w:t>
      </w:r>
    </w:p>
    <w:p w14:paraId="6633296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Основными причинами деградации сельскохозяйственных земель являются </w:t>
      </w:r>
      <w:r w:rsidRPr="00F0736F">
        <w:rPr>
          <w:rFonts w:ascii="Times New Roman" w:hAnsi="Times New Roman" w:cs="Times New Roman"/>
          <w:b/>
          <w:bCs/>
          <w:color w:val="000000" w:themeColor="text1"/>
        </w:rPr>
        <w:t>эрозия и дефляция почв</w:t>
      </w:r>
      <w:r w:rsidRPr="00F0736F">
        <w:rPr>
          <w:rFonts w:ascii="Times New Roman" w:hAnsi="Times New Roman" w:cs="Times New Roman"/>
          <w:color w:val="000000" w:themeColor="text1"/>
        </w:rPr>
        <w:t xml:space="preserve">. Эрозия возникает от неправильного землепользования, неумеренной пастьбы скота, неправильной агротехники, уничтожения травяной и лесной растительности. </w:t>
      </w:r>
    </w:p>
    <w:p w14:paraId="53C73558" w14:textId="12546E32" w:rsidR="00F674A4" w:rsidRPr="00F0736F" w:rsidRDefault="00543430"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2019 года в Казахстане ветровой эрозии (дефлированны</w:t>
      </w:r>
      <w:r w:rsidR="00675771" w:rsidRPr="00F0736F">
        <w:rPr>
          <w:rFonts w:ascii="Times New Roman" w:hAnsi="Times New Roman" w:cs="Times New Roman"/>
          <w:color w:val="000000" w:themeColor="text1"/>
        </w:rPr>
        <w:t>е угодия</w:t>
      </w:r>
      <w:r w:rsidRPr="00F0736F">
        <w:rPr>
          <w:rFonts w:ascii="Times New Roman" w:hAnsi="Times New Roman" w:cs="Times New Roman"/>
          <w:color w:val="000000" w:themeColor="text1"/>
        </w:rPr>
        <w:t xml:space="preserve">) </w:t>
      </w:r>
      <w:r w:rsidR="00AC39BD" w:rsidRPr="00F0736F">
        <w:rPr>
          <w:rFonts w:ascii="Times New Roman" w:hAnsi="Times New Roman" w:cs="Times New Roman"/>
          <w:color w:val="000000" w:themeColor="text1"/>
        </w:rPr>
        <w:t>подвержен</w:t>
      </w:r>
      <w:r w:rsidRPr="00F0736F">
        <w:rPr>
          <w:rFonts w:ascii="Times New Roman" w:hAnsi="Times New Roman" w:cs="Times New Roman"/>
          <w:color w:val="000000" w:themeColor="text1"/>
        </w:rPr>
        <w:t>ы 24</w:t>
      </w:r>
      <w:r w:rsidR="005E73C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200</w:t>
      </w:r>
      <w:r w:rsidR="00AC39BD" w:rsidRPr="00F0736F">
        <w:rPr>
          <w:rFonts w:ascii="Times New Roman" w:hAnsi="Times New Roman" w:cs="Times New Roman"/>
          <w:color w:val="000000" w:themeColor="text1"/>
        </w:rPr>
        <w:t>,1</w:t>
      </w:r>
      <w:r w:rsidRPr="00F0736F">
        <w:rPr>
          <w:rFonts w:ascii="Times New Roman" w:hAnsi="Times New Roman" w:cs="Times New Roman"/>
          <w:color w:val="000000" w:themeColor="text1"/>
        </w:rPr>
        <w:t xml:space="preserve"> тыс. га</w:t>
      </w:r>
      <w:r w:rsidR="0067577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11,3% сельскохозяйственных угодий. Подверженные водной эрозии (смытые) из общей площади эродированных земель занимают площадь 4 950,3 тыс. га</w:t>
      </w:r>
      <w:r w:rsidR="00A6172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2,3% сельскохозяйственных угодий</w:t>
      </w:r>
      <w:r w:rsidR="00AC39BD" w:rsidRPr="00F0736F">
        <w:rPr>
          <w:rStyle w:val="a4"/>
          <w:rFonts w:ascii="Times New Roman" w:hAnsi="Times New Roman" w:cs="Times New Roman"/>
          <w:color w:val="000000" w:themeColor="text1"/>
        </w:rPr>
        <w:footnoteReference w:id="28"/>
      </w:r>
      <w:r w:rsidR="00AC39B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(таблица 1.2.</w:t>
      </w:r>
      <w:r w:rsidR="00C558C5"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w:t>
      </w:r>
    </w:p>
    <w:p w14:paraId="1C565945" w14:textId="77777777" w:rsidR="00AC39BD" w:rsidRPr="00F0736F" w:rsidRDefault="00AC39BD" w:rsidP="008727D9">
      <w:pPr>
        <w:ind w:firstLine="709"/>
        <w:jc w:val="both"/>
        <w:rPr>
          <w:rFonts w:ascii="Times New Roman" w:hAnsi="Times New Roman" w:cs="Times New Roman"/>
          <w:color w:val="000000" w:themeColor="text1"/>
        </w:rPr>
      </w:pPr>
    </w:p>
    <w:p w14:paraId="37AB7FE9" w14:textId="77777777" w:rsidR="00F674A4" w:rsidRPr="00F0736F" w:rsidRDefault="00C558C5" w:rsidP="008727D9">
      <w:pPr>
        <w:ind w:firstLine="709"/>
        <w:jc w:val="both"/>
        <w:rPr>
          <w:color w:val="000000" w:themeColor="text1"/>
        </w:rPr>
      </w:pPr>
      <w:r w:rsidRPr="00F0736F">
        <w:rPr>
          <w:rFonts w:ascii="Times New Roman" w:hAnsi="Times New Roman" w:cs="Times New Roman"/>
          <w:color w:val="000000" w:themeColor="text1"/>
        </w:rPr>
        <w:t>Таблица 1.2.3</w:t>
      </w:r>
      <w:r w:rsidR="00860E58" w:rsidRPr="00F0736F">
        <w:rPr>
          <w:rFonts w:ascii="Times New Roman" w:hAnsi="Times New Roman" w:cs="Times New Roman"/>
          <w:color w:val="000000" w:themeColor="text1"/>
        </w:rPr>
        <w:t>. Динамика эродированных земель</w:t>
      </w:r>
    </w:p>
    <w:p w14:paraId="4956F14D" w14:textId="77777777" w:rsidR="00F674A4" w:rsidRPr="00F0736F" w:rsidRDefault="00F674A4" w:rsidP="008727D9">
      <w:pPr>
        <w:ind w:firstLine="709"/>
        <w:jc w:val="both"/>
        <w:rPr>
          <w:rFonts w:ascii="Times New Roman" w:hAnsi="Times New Roman" w:cs="Times New Roman"/>
          <w:color w:val="000000" w:themeColor="text1"/>
        </w:rPr>
      </w:pPr>
    </w:p>
    <w:tbl>
      <w:tblPr>
        <w:tblW w:w="9782" w:type="dxa"/>
        <w:tblInd w:w="108" w:type="dxa"/>
        <w:tblLayout w:type="fixed"/>
        <w:tblLook w:val="0000" w:firstRow="0" w:lastRow="0" w:firstColumn="0" w:lastColumn="0" w:noHBand="0" w:noVBand="0"/>
      </w:tblPr>
      <w:tblGrid>
        <w:gridCol w:w="6379"/>
        <w:gridCol w:w="1134"/>
        <w:gridCol w:w="1134"/>
        <w:gridCol w:w="1135"/>
      </w:tblGrid>
      <w:tr w:rsidR="00F0736F" w:rsidRPr="00F0736F" w14:paraId="736B8FB1" w14:textId="77777777" w:rsidTr="00AC39BD">
        <w:trPr>
          <w:cantSplit/>
          <w:trHeight w:val="236"/>
        </w:trPr>
        <w:tc>
          <w:tcPr>
            <w:tcW w:w="6379" w:type="dxa"/>
            <w:tcBorders>
              <w:top w:val="single" w:sz="4" w:space="0" w:color="00000A"/>
              <w:left w:val="single" w:sz="4" w:space="0" w:color="00000A"/>
              <w:bottom w:val="single" w:sz="4" w:space="0" w:color="00000A"/>
            </w:tcBorders>
            <w:shd w:val="clear" w:color="auto" w:fill="auto"/>
            <w:vAlign w:val="center"/>
          </w:tcPr>
          <w:p w14:paraId="2773E0C7" w14:textId="77777777" w:rsidR="00AC39BD" w:rsidRPr="00F0736F" w:rsidRDefault="00AC39BD" w:rsidP="008727D9">
            <w:pPr>
              <w:snapToGrid w:val="0"/>
              <w:ind w:firstLine="709"/>
              <w:jc w:val="both"/>
              <w:rPr>
                <w:rFonts w:ascii="Times New Roman" w:hAnsi="Times New Roman" w:cs="Times New Roman"/>
                <w:color w:val="000000" w:themeColor="text1"/>
                <w:sz w:val="20"/>
                <w:szCs w:val="20"/>
              </w:rPr>
            </w:pPr>
          </w:p>
        </w:tc>
        <w:tc>
          <w:tcPr>
            <w:tcW w:w="1134" w:type="dxa"/>
            <w:tcBorders>
              <w:top w:val="single" w:sz="4" w:space="0" w:color="00000A"/>
              <w:left w:val="single" w:sz="4" w:space="0" w:color="00000A"/>
              <w:bottom w:val="single" w:sz="4" w:space="0" w:color="00000A"/>
            </w:tcBorders>
            <w:shd w:val="clear" w:color="auto" w:fill="auto"/>
            <w:vAlign w:val="center"/>
          </w:tcPr>
          <w:p w14:paraId="238308EA"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2010</w:t>
            </w:r>
          </w:p>
        </w:tc>
        <w:tc>
          <w:tcPr>
            <w:tcW w:w="1134" w:type="dxa"/>
            <w:tcBorders>
              <w:top w:val="single" w:sz="4" w:space="0" w:color="00000A"/>
              <w:left w:val="single" w:sz="4" w:space="0" w:color="00000A"/>
              <w:bottom w:val="single" w:sz="4" w:space="0" w:color="00000A"/>
            </w:tcBorders>
            <w:shd w:val="clear" w:color="auto" w:fill="auto"/>
            <w:vAlign w:val="center"/>
          </w:tcPr>
          <w:p w14:paraId="74F9AB95"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2015</w:t>
            </w:r>
          </w:p>
        </w:tc>
        <w:tc>
          <w:tcPr>
            <w:tcW w:w="1135" w:type="dxa"/>
            <w:tcBorders>
              <w:top w:val="single" w:sz="4" w:space="0" w:color="00000A"/>
              <w:left w:val="single" w:sz="4" w:space="0" w:color="00000A"/>
              <w:bottom w:val="single" w:sz="4" w:space="0" w:color="00000A"/>
              <w:right w:val="single" w:sz="4" w:space="0" w:color="00000A"/>
            </w:tcBorders>
          </w:tcPr>
          <w:p w14:paraId="29386446" w14:textId="77777777" w:rsidR="00AC39BD" w:rsidRPr="00F0736F" w:rsidRDefault="00AC39BD"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w:t>
            </w:r>
          </w:p>
        </w:tc>
      </w:tr>
      <w:tr w:rsidR="00F0736F" w:rsidRPr="00F0736F" w14:paraId="2D07DEE8" w14:textId="77777777" w:rsidTr="00AC39BD">
        <w:trPr>
          <w:trHeight w:val="95"/>
        </w:trPr>
        <w:tc>
          <w:tcPr>
            <w:tcW w:w="6379" w:type="dxa"/>
            <w:tcBorders>
              <w:top w:val="single" w:sz="4" w:space="0" w:color="00000A"/>
              <w:left w:val="single" w:sz="4" w:space="0" w:color="00000A"/>
              <w:bottom w:val="single" w:sz="4" w:space="0" w:color="00000A"/>
            </w:tcBorders>
            <w:shd w:val="clear" w:color="auto" w:fill="auto"/>
            <w:vAlign w:val="bottom"/>
          </w:tcPr>
          <w:p w14:paraId="00747756" w14:textId="77777777" w:rsidR="00AC39BD" w:rsidRPr="00F0736F" w:rsidRDefault="00AC39BD" w:rsidP="00F6387D">
            <w:pPr>
              <w:jc w:val="both"/>
              <w:rPr>
                <w:color w:val="000000" w:themeColor="text1"/>
              </w:rPr>
            </w:pPr>
            <w:r w:rsidRPr="00F0736F">
              <w:rPr>
                <w:rFonts w:ascii="Times New Roman" w:hAnsi="Times New Roman" w:cs="Times New Roman"/>
                <w:color w:val="000000" w:themeColor="text1"/>
                <w:sz w:val="20"/>
                <w:szCs w:val="20"/>
              </w:rPr>
              <w:t>Площадь земель</w:t>
            </w:r>
            <w:r w:rsidR="00A6172F"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подверженных водной эрозии, тыс. га </w:t>
            </w:r>
          </w:p>
        </w:tc>
        <w:tc>
          <w:tcPr>
            <w:tcW w:w="1134" w:type="dxa"/>
            <w:tcBorders>
              <w:top w:val="single" w:sz="4" w:space="0" w:color="00000A"/>
              <w:left w:val="single" w:sz="4" w:space="0" w:color="00000A"/>
              <w:bottom w:val="single" w:sz="4" w:space="0" w:color="00000A"/>
            </w:tcBorders>
            <w:shd w:val="clear" w:color="auto" w:fill="auto"/>
            <w:vAlign w:val="bottom"/>
          </w:tcPr>
          <w:p w14:paraId="0F12BF70"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4 988,9</w:t>
            </w:r>
          </w:p>
        </w:tc>
        <w:tc>
          <w:tcPr>
            <w:tcW w:w="1134" w:type="dxa"/>
            <w:tcBorders>
              <w:top w:val="single" w:sz="4" w:space="0" w:color="00000A"/>
              <w:left w:val="single" w:sz="4" w:space="0" w:color="00000A"/>
              <w:bottom w:val="single" w:sz="4" w:space="0" w:color="00000A"/>
            </w:tcBorders>
            <w:shd w:val="clear" w:color="auto" w:fill="auto"/>
            <w:vAlign w:val="bottom"/>
          </w:tcPr>
          <w:p w14:paraId="5D46F112"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4 950,0</w:t>
            </w:r>
          </w:p>
        </w:tc>
        <w:tc>
          <w:tcPr>
            <w:tcW w:w="1135" w:type="dxa"/>
            <w:tcBorders>
              <w:top w:val="single" w:sz="4" w:space="0" w:color="00000A"/>
              <w:left w:val="single" w:sz="4" w:space="0" w:color="00000A"/>
              <w:bottom w:val="single" w:sz="4" w:space="0" w:color="00000A"/>
              <w:right w:val="single" w:sz="4" w:space="0" w:color="00000A"/>
            </w:tcBorders>
            <w:vAlign w:val="bottom"/>
          </w:tcPr>
          <w:p w14:paraId="059B2C87"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4 950,3</w:t>
            </w:r>
          </w:p>
        </w:tc>
      </w:tr>
      <w:tr w:rsidR="00F0736F" w:rsidRPr="00F0736F" w14:paraId="4DADA74B" w14:textId="77777777" w:rsidTr="00AC39BD">
        <w:trPr>
          <w:trHeight w:val="74"/>
        </w:trPr>
        <w:tc>
          <w:tcPr>
            <w:tcW w:w="6379" w:type="dxa"/>
            <w:tcBorders>
              <w:top w:val="single" w:sz="4" w:space="0" w:color="00000A"/>
              <w:left w:val="single" w:sz="4" w:space="0" w:color="00000A"/>
              <w:bottom w:val="single" w:sz="4" w:space="0" w:color="00000A"/>
            </w:tcBorders>
            <w:shd w:val="clear" w:color="auto" w:fill="auto"/>
            <w:vAlign w:val="bottom"/>
          </w:tcPr>
          <w:p w14:paraId="21FF3609" w14:textId="77777777" w:rsidR="00AC39BD" w:rsidRPr="00F0736F" w:rsidRDefault="00AC39BD" w:rsidP="00F6387D">
            <w:pPr>
              <w:jc w:val="both"/>
              <w:rPr>
                <w:color w:val="000000" w:themeColor="text1"/>
              </w:rPr>
            </w:pPr>
            <w:r w:rsidRPr="00F0736F">
              <w:rPr>
                <w:rFonts w:ascii="Times New Roman" w:hAnsi="Times New Roman" w:cs="Times New Roman"/>
                <w:color w:val="000000" w:themeColor="text1"/>
                <w:sz w:val="20"/>
                <w:szCs w:val="20"/>
              </w:rPr>
              <w:t>Доля почв</w:t>
            </w:r>
            <w:r w:rsidR="00B34CCA"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подверженных водной эрозии</w:t>
            </w:r>
            <w:r w:rsidR="00A6172F"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в общей площади сельскохозяйственных угодий</w:t>
            </w:r>
            <w:r w:rsidR="00B34CCA" w:rsidRPr="00F0736F">
              <w:rPr>
                <w:rFonts w:ascii="Times New Roman" w:hAnsi="Times New Roman" w:cs="Times New Roman"/>
                <w:color w:val="000000" w:themeColor="text1"/>
                <w:sz w:val="20"/>
                <w:szCs w:val="20"/>
              </w:rPr>
              <w:t xml:space="preserve"> (%) </w:t>
            </w:r>
          </w:p>
        </w:tc>
        <w:tc>
          <w:tcPr>
            <w:tcW w:w="1134" w:type="dxa"/>
            <w:tcBorders>
              <w:top w:val="single" w:sz="4" w:space="0" w:color="00000A"/>
              <w:left w:val="single" w:sz="4" w:space="0" w:color="00000A"/>
              <w:bottom w:val="single" w:sz="4" w:space="0" w:color="00000A"/>
            </w:tcBorders>
            <w:shd w:val="clear" w:color="auto" w:fill="auto"/>
            <w:vAlign w:val="bottom"/>
          </w:tcPr>
          <w:p w14:paraId="56C8C33F"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2,2</w:t>
            </w:r>
          </w:p>
        </w:tc>
        <w:tc>
          <w:tcPr>
            <w:tcW w:w="1134" w:type="dxa"/>
            <w:tcBorders>
              <w:top w:val="single" w:sz="4" w:space="0" w:color="00000A"/>
              <w:left w:val="single" w:sz="4" w:space="0" w:color="00000A"/>
              <w:bottom w:val="single" w:sz="4" w:space="0" w:color="00000A"/>
            </w:tcBorders>
            <w:shd w:val="clear" w:color="auto" w:fill="auto"/>
            <w:vAlign w:val="bottom"/>
          </w:tcPr>
          <w:p w14:paraId="6EF728C4"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2,2</w:t>
            </w:r>
          </w:p>
        </w:tc>
        <w:tc>
          <w:tcPr>
            <w:tcW w:w="1135" w:type="dxa"/>
            <w:tcBorders>
              <w:top w:val="single" w:sz="4" w:space="0" w:color="00000A"/>
              <w:left w:val="single" w:sz="4" w:space="0" w:color="00000A"/>
              <w:bottom w:val="single" w:sz="4" w:space="0" w:color="00000A"/>
              <w:right w:val="single" w:sz="4" w:space="0" w:color="00000A"/>
            </w:tcBorders>
          </w:tcPr>
          <w:p w14:paraId="1AE3E217" w14:textId="77777777" w:rsidR="00F6387D" w:rsidRPr="00F0736F" w:rsidRDefault="00F6387D" w:rsidP="00F6387D">
            <w:pPr>
              <w:jc w:val="center"/>
              <w:rPr>
                <w:rFonts w:ascii="Times New Roman" w:hAnsi="Times New Roman" w:cs="Times New Roman"/>
                <w:color w:val="000000" w:themeColor="text1"/>
                <w:sz w:val="20"/>
                <w:szCs w:val="20"/>
              </w:rPr>
            </w:pPr>
          </w:p>
          <w:p w14:paraId="33653BA3" w14:textId="77777777" w:rsidR="00AC39BD" w:rsidRPr="00F0736F" w:rsidRDefault="00AC39BD"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w:t>
            </w:r>
          </w:p>
        </w:tc>
      </w:tr>
      <w:tr w:rsidR="00F0736F" w:rsidRPr="00F0736F" w14:paraId="6DB24B65" w14:textId="77777777" w:rsidTr="00AC39BD">
        <w:trPr>
          <w:trHeight w:val="86"/>
        </w:trPr>
        <w:tc>
          <w:tcPr>
            <w:tcW w:w="6379" w:type="dxa"/>
            <w:tcBorders>
              <w:top w:val="single" w:sz="4" w:space="0" w:color="00000A"/>
              <w:left w:val="single" w:sz="4" w:space="0" w:color="00000A"/>
              <w:bottom w:val="single" w:sz="4" w:space="0" w:color="00000A"/>
            </w:tcBorders>
            <w:shd w:val="clear" w:color="auto" w:fill="auto"/>
            <w:vAlign w:val="bottom"/>
          </w:tcPr>
          <w:p w14:paraId="19F7C23D" w14:textId="77777777" w:rsidR="00AC39BD" w:rsidRPr="00F0736F" w:rsidRDefault="00AC39BD" w:rsidP="00F6387D">
            <w:pPr>
              <w:jc w:val="both"/>
              <w:rPr>
                <w:color w:val="000000" w:themeColor="text1"/>
              </w:rPr>
            </w:pPr>
            <w:r w:rsidRPr="00F0736F">
              <w:rPr>
                <w:rFonts w:ascii="Times New Roman" w:hAnsi="Times New Roman" w:cs="Times New Roman"/>
                <w:color w:val="000000" w:themeColor="text1"/>
                <w:sz w:val="20"/>
                <w:szCs w:val="20"/>
              </w:rPr>
              <w:t>Площадь земель</w:t>
            </w:r>
            <w:r w:rsidR="00B34CCA"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подверженных ветровой эрозии</w:t>
            </w:r>
            <w:r w:rsidR="00B34CCA"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тыс. га</w:t>
            </w:r>
            <w:r w:rsidR="00B34CCA" w:rsidRPr="00F0736F">
              <w:rPr>
                <w:rFonts w:ascii="Times New Roman" w:hAnsi="Times New Roman" w:cs="Times New Roman"/>
                <w:color w:val="000000" w:themeColor="text1"/>
                <w:sz w:val="20"/>
                <w:szCs w:val="20"/>
              </w:rPr>
              <w:t>)</w:t>
            </w:r>
          </w:p>
        </w:tc>
        <w:tc>
          <w:tcPr>
            <w:tcW w:w="1134" w:type="dxa"/>
            <w:tcBorders>
              <w:top w:val="single" w:sz="4" w:space="0" w:color="00000A"/>
              <w:left w:val="single" w:sz="4" w:space="0" w:color="00000A"/>
              <w:bottom w:val="single" w:sz="4" w:space="0" w:color="00000A"/>
            </w:tcBorders>
            <w:shd w:val="clear" w:color="auto" w:fill="auto"/>
            <w:vAlign w:val="bottom"/>
          </w:tcPr>
          <w:p w14:paraId="50E35768"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25 493,1</w:t>
            </w:r>
          </w:p>
        </w:tc>
        <w:tc>
          <w:tcPr>
            <w:tcW w:w="1134" w:type="dxa"/>
            <w:tcBorders>
              <w:top w:val="single" w:sz="4" w:space="0" w:color="00000A"/>
              <w:left w:val="single" w:sz="4" w:space="0" w:color="00000A"/>
              <w:bottom w:val="single" w:sz="4" w:space="0" w:color="00000A"/>
            </w:tcBorders>
            <w:shd w:val="clear" w:color="auto" w:fill="auto"/>
            <w:vAlign w:val="bottom"/>
          </w:tcPr>
          <w:p w14:paraId="3C9D01EE"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24 168,1</w:t>
            </w:r>
          </w:p>
        </w:tc>
        <w:tc>
          <w:tcPr>
            <w:tcW w:w="1135" w:type="dxa"/>
            <w:tcBorders>
              <w:top w:val="single" w:sz="4" w:space="0" w:color="00000A"/>
              <w:left w:val="single" w:sz="4" w:space="0" w:color="00000A"/>
              <w:bottom w:val="single" w:sz="4" w:space="0" w:color="00000A"/>
              <w:right w:val="single" w:sz="4" w:space="0" w:color="00000A"/>
            </w:tcBorders>
          </w:tcPr>
          <w:p w14:paraId="6E5FD66F" w14:textId="77777777" w:rsidR="00AC39BD" w:rsidRPr="00F0736F" w:rsidRDefault="00AC39BD"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24200,1</w:t>
            </w:r>
          </w:p>
        </w:tc>
      </w:tr>
      <w:tr w:rsidR="00F0736F" w:rsidRPr="00F0736F" w14:paraId="4846E45A" w14:textId="77777777" w:rsidTr="00AC39BD">
        <w:trPr>
          <w:trHeight w:val="122"/>
        </w:trPr>
        <w:tc>
          <w:tcPr>
            <w:tcW w:w="6379" w:type="dxa"/>
            <w:tcBorders>
              <w:top w:val="single" w:sz="4" w:space="0" w:color="00000A"/>
              <w:left w:val="single" w:sz="4" w:space="0" w:color="00000A"/>
              <w:bottom w:val="single" w:sz="4" w:space="0" w:color="00000A"/>
            </w:tcBorders>
            <w:shd w:val="clear" w:color="auto" w:fill="auto"/>
            <w:vAlign w:val="bottom"/>
          </w:tcPr>
          <w:p w14:paraId="6C035142" w14:textId="77777777" w:rsidR="00AC39BD" w:rsidRPr="00F0736F" w:rsidRDefault="00AC39BD" w:rsidP="00F6387D">
            <w:pPr>
              <w:jc w:val="both"/>
              <w:rPr>
                <w:color w:val="000000" w:themeColor="text1"/>
              </w:rPr>
            </w:pPr>
            <w:r w:rsidRPr="00F0736F">
              <w:rPr>
                <w:rFonts w:ascii="Times New Roman" w:hAnsi="Times New Roman" w:cs="Times New Roman"/>
                <w:color w:val="000000" w:themeColor="text1"/>
                <w:sz w:val="20"/>
                <w:szCs w:val="20"/>
              </w:rPr>
              <w:t>Доля почв</w:t>
            </w:r>
            <w:r w:rsidR="00B34CCA"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подверженных ветровой эрозии в общей площади сельскохозяйственных угодий</w:t>
            </w:r>
            <w:r w:rsidR="00B34CCA" w:rsidRPr="00F0736F">
              <w:rPr>
                <w:rFonts w:ascii="Times New Roman" w:hAnsi="Times New Roman" w:cs="Times New Roman"/>
                <w:color w:val="000000" w:themeColor="text1"/>
                <w:sz w:val="20"/>
                <w:szCs w:val="20"/>
              </w:rPr>
              <w:t xml:space="preserve"> (%) </w:t>
            </w:r>
          </w:p>
        </w:tc>
        <w:tc>
          <w:tcPr>
            <w:tcW w:w="1134" w:type="dxa"/>
            <w:tcBorders>
              <w:top w:val="single" w:sz="4" w:space="0" w:color="00000A"/>
              <w:left w:val="single" w:sz="4" w:space="0" w:color="00000A"/>
              <w:bottom w:val="single" w:sz="4" w:space="0" w:color="00000A"/>
            </w:tcBorders>
            <w:shd w:val="clear" w:color="auto" w:fill="auto"/>
            <w:vAlign w:val="bottom"/>
          </w:tcPr>
          <w:p w14:paraId="56513CA6"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11,5</w:t>
            </w:r>
          </w:p>
        </w:tc>
        <w:tc>
          <w:tcPr>
            <w:tcW w:w="1134" w:type="dxa"/>
            <w:tcBorders>
              <w:top w:val="single" w:sz="4" w:space="0" w:color="00000A"/>
              <w:left w:val="single" w:sz="4" w:space="0" w:color="00000A"/>
              <w:bottom w:val="single" w:sz="4" w:space="0" w:color="00000A"/>
            </w:tcBorders>
            <w:shd w:val="clear" w:color="auto" w:fill="auto"/>
            <w:vAlign w:val="bottom"/>
          </w:tcPr>
          <w:p w14:paraId="059086E6" w14:textId="77777777" w:rsidR="00AC39BD" w:rsidRPr="00F0736F" w:rsidRDefault="00AC39BD" w:rsidP="00F6387D">
            <w:pPr>
              <w:jc w:val="center"/>
              <w:rPr>
                <w:color w:val="000000" w:themeColor="text1"/>
              </w:rPr>
            </w:pPr>
            <w:r w:rsidRPr="00F0736F">
              <w:rPr>
                <w:rFonts w:ascii="Times New Roman" w:hAnsi="Times New Roman" w:cs="Times New Roman"/>
                <w:color w:val="000000" w:themeColor="text1"/>
                <w:sz w:val="20"/>
                <w:szCs w:val="20"/>
              </w:rPr>
              <w:t>10,9</w:t>
            </w:r>
          </w:p>
        </w:tc>
        <w:tc>
          <w:tcPr>
            <w:tcW w:w="1135" w:type="dxa"/>
            <w:tcBorders>
              <w:top w:val="single" w:sz="4" w:space="0" w:color="00000A"/>
              <w:left w:val="single" w:sz="4" w:space="0" w:color="00000A"/>
              <w:bottom w:val="single" w:sz="4" w:space="0" w:color="00000A"/>
              <w:right w:val="single" w:sz="4" w:space="0" w:color="00000A"/>
            </w:tcBorders>
          </w:tcPr>
          <w:p w14:paraId="1493C9D3" w14:textId="77777777" w:rsidR="00F6387D" w:rsidRPr="00F0736F" w:rsidRDefault="00F6387D" w:rsidP="00F6387D">
            <w:pPr>
              <w:jc w:val="center"/>
              <w:rPr>
                <w:rFonts w:ascii="Times New Roman" w:hAnsi="Times New Roman" w:cs="Times New Roman"/>
                <w:color w:val="000000" w:themeColor="text1"/>
                <w:sz w:val="20"/>
                <w:szCs w:val="20"/>
              </w:rPr>
            </w:pPr>
          </w:p>
          <w:p w14:paraId="04B253D6" w14:textId="77777777" w:rsidR="00AC39BD" w:rsidRPr="00F0736F" w:rsidRDefault="00AC39BD" w:rsidP="00F6387D">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11,3</w:t>
            </w:r>
          </w:p>
        </w:tc>
      </w:tr>
    </w:tbl>
    <w:p w14:paraId="62B31F98" w14:textId="77777777" w:rsidR="00F674A4" w:rsidRPr="00F0736F" w:rsidRDefault="00F674A4" w:rsidP="008727D9">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w:t>
      </w:r>
      <w:hyperlink r:id="rId10" w:history="1">
        <w:r w:rsidRPr="00F0736F">
          <w:rPr>
            <w:rStyle w:val="a6"/>
            <w:rFonts w:ascii="Times New Roman" w:eastAsia="Calibri" w:hAnsi="Times New Roman" w:cs="Times New Roman"/>
            <w:i/>
            <w:color w:val="000000" w:themeColor="text1"/>
            <w:sz w:val="20"/>
            <w:szCs w:val="20"/>
            <w:u w:val="none"/>
          </w:rPr>
          <w:t>http://stat.gov.kz</w:t>
        </w:r>
      </w:hyperlink>
      <w:r w:rsidR="00C558C5" w:rsidRPr="00F0736F">
        <w:rPr>
          <w:rStyle w:val="a6"/>
          <w:rFonts w:ascii="Times New Roman" w:eastAsia="Calibri" w:hAnsi="Times New Roman" w:cs="Times New Roman"/>
          <w:i/>
          <w:color w:val="000000" w:themeColor="text1"/>
          <w:sz w:val="20"/>
          <w:szCs w:val="20"/>
          <w:u w:val="none"/>
        </w:rPr>
        <w:t xml:space="preserve">, </w:t>
      </w:r>
      <w:r w:rsidRPr="00F0736F">
        <w:rPr>
          <w:rStyle w:val="a6"/>
          <w:rFonts w:ascii="Times New Roman" w:eastAsia="Calibri" w:hAnsi="Times New Roman" w:cs="Times New Roman"/>
          <w:i/>
          <w:color w:val="000000" w:themeColor="text1"/>
          <w:sz w:val="20"/>
          <w:szCs w:val="20"/>
          <w:u w:val="none"/>
        </w:rPr>
        <w:t xml:space="preserve">за </w:t>
      </w:r>
      <w:r w:rsidR="00543430" w:rsidRPr="00F0736F">
        <w:rPr>
          <w:rStyle w:val="a6"/>
          <w:rFonts w:ascii="Times New Roman" w:eastAsia="Calibri" w:hAnsi="Times New Roman" w:cs="Times New Roman"/>
          <w:i/>
          <w:color w:val="000000" w:themeColor="text1"/>
          <w:sz w:val="20"/>
          <w:szCs w:val="20"/>
          <w:u w:val="none"/>
        </w:rPr>
        <w:t>2019 гг</w:t>
      </w:r>
      <w:r w:rsidRPr="00F0736F">
        <w:rPr>
          <w:rStyle w:val="a6"/>
          <w:rFonts w:ascii="Times New Roman" w:eastAsia="Calibri" w:hAnsi="Times New Roman" w:cs="Times New Roman"/>
          <w:i/>
          <w:color w:val="000000" w:themeColor="text1"/>
          <w:sz w:val="20"/>
          <w:szCs w:val="20"/>
          <w:u w:val="none"/>
        </w:rPr>
        <w:t xml:space="preserve"> - МСХ РК (обследование земель проводится один раз в 5 лет)</w:t>
      </w:r>
    </w:p>
    <w:p w14:paraId="0CCFEE54" w14:textId="77777777" w:rsidR="00F674A4" w:rsidRPr="00F0736F" w:rsidRDefault="00F674A4" w:rsidP="008727D9">
      <w:pPr>
        <w:ind w:firstLine="709"/>
        <w:jc w:val="both"/>
        <w:rPr>
          <w:rFonts w:ascii="Times New Roman" w:hAnsi="Times New Roman" w:cs="Times New Roman"/>
          <w:color w:val="000000" w:themeColor="text1"/>
        </w:rPr>
      </w:pPr>
    </w:p>
    <w:p w14:paraId="1FF6B36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Особенно активно проявляется ветровая эрозия на обширных массивах песков Кызылкум, Муюнкум, Большие и Малые Барсуки, </w:t>
      </w:r>
      <w:r w:rsidR="00A6172F" w:rsidRPr="00F0736F">
        <w:rPr>
          <w:rFonts w:ascii="Times New Roman" w:hAnsi="Times New Roman" w:cs="Times New Roman"/>
          <w:color w:val="000000" w:themeColor="text1"/>
        </w:rPr>
        <w:t>Сара</w:t>
      </w:r>
      <w:r w:rsidR="00EA204D" w:rsidRPr="00F0736F">
        <w:rPr>
          <w:rFonts w:ascii="Times New Roman" w:hAnsi="Times New Roman" w:cs="Times New Roman"/>
          <w:color w:val="000000" w:themeColor="text1"/>
        </w:rPr>
        <w:t xml:space="preserve">ишикотрау, в регионах, находящихся в пустынной, полупустынной, </w:t>
      </w:r>
      <w:r w:rsidRPr="00F0736F">
        <w:rPr>
          <w:rFonts w:ascii="Times New Roman" w:hAnsi="Times New Roman" w:cs="Times New Roman"/>
          <w:color w:val="000000" w:themeColor="text1"/>
        </w:rPr>
        <w:t>а также в степной зоне на почвах легкого механического состава.</w:t>
      </w:r>
    </w:p>
    <w:p w14:paraId="564D5AAC" w14:textId="77777777" w:rsidR="00813801" w:rsidRPr="00F0736F" w:rsidRDefault="0081380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Основные площади сельскохозяйственных угодий, подверженных ветровой эрозии, находятся в Алматинской области – около 5 млн. га, Атырауской и Туркестанской – по 3,1 млн. га, Кызылординской – 2,8 млн. га, Жамбылской и Актюбинской – более чем по 2,0 млн. га. </w:t>
      </w:r>
    </w:p>
    <w:p w14:paraId="709C53AB" w14:textId="77777777" w:rsidR="00813801" w:rsidRPr="00F0736F" w:rsidRDefault="0081380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Наибольшая доля эродированных сельск</w:t>
      </w:r>
      <w:r w:rsidR="00A6172F" w:rsidRPr="00F0736F">
        <w:rPr>
          <w:rFonts w:ascii="Times New Roman" w:hAnsi="Times New Roman" w:cs="Times New Roman"/>
          <w:color w:val="000000" w:themeColor="text1"/>
        </w:rPr>
        <w:t>охозяйственных угодий (более 30</w:t>
      </w:r>
      <w:r w:rsidRPr="00F0736F">
        <w:rPr>
          <w:rFonts w:ascii="Times New Roman" w:hAnsi="Times New Roman" w:cs="Times New Roman"/>
          <w:color w:val="000000" w:themeColor="text1"/>
        </w:rPr>
        <w:t>% от их общей площади) находится в Алматинской, Атырауской и Туркестанской областях. Наименьший удельный вес эродированных з</w:t>
      </w:r>
      <w:r w:rsidR="00A6172F" w:rsidRPr="00F0736F">
        <w:rPr>
          <w:rFonts w:ascii="Times New Roman" w:hAnsi="Times New Roman" w:cs="Times New Roman"/>
          <w:color w:val="000000" w:themeColor="text1"/>
        </w:rPr>
        <w:t>емель (до 5</w:t>
      </w:r>
      <w:r w:rsidRPr="00F0736F">
        <w:rPr>
          <w:rFonts w:ascii="Times New Roman" w:hAnsi="Times New Roman" w:cs="Times New Roman"/>
          <w:color w:val="000000" w:themeColor="text1"/>
        </w:rPr>
        <w:t>%) в составе сельскохозяйственных угодий числится в Акмолинской, Карагандинской, Костанайской и Северо-Казахстанской областях.</w:t>
      </w:r>
    </w:p>
    <w:p w14:paraId="3842C97F" w14:textId="01211DF9"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Кроме проблем эрозии, отмечается устойчивая тенденция к ухудшению качества земель, за 28 лет использования почв средневзвешенное содержание гумуса в пашне понизилось на 0,52%. Максимальное снижение гумуса отмечается в Северо-Казахстанской области </w:t>
      </w:r>
      <w:r w:rsidR="006C1B9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 6,03% до 4,14%. Минимальное снижение содержания гумуса </w:t>
      </w:r>
      <w:r w:rsidR="006C1B9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 1,88% до 1,73% </w:t>
      </w:r>
      <w:r w:rsidR="00A6172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отмечается на болотных почвах Кызылординской области.</w:t>
      </w:r>
    </w:p>
    <w:p w14:paraId="7538E912" w14:textId="77777777" w:rsidR="00AC39BD"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Отрицательные признаки пастбищных земель характеризуются по их сбитости. Всего из 180,6 млн. га пастбищ, сбитых в средней и сильной степени, в республике числится 27,1 млн. га. Наибольшие площади сбитых пастбищ числятся в Атырауской (4,1 млн. га), Актюбинской (3,9 млн. га), Алматинской (3,0 млн. га), Западно-Казахстанской (2,5 млн. га), Кызылординской (2,0 млн. га), Акмолинской (1,9 млн. га) областях</w:t>
      </w:r>
      <w:r w:rsidR="00AC39BD" w:rsidRPr="00F0736F">
        <w:rPr>
          <w:rFonts w:ascii="Times New Roman" w:hAnsi="Times New Roman" w:cs="Times New Roman"/>
          <w:color w:val="000000" w:themeColor="text1"/>
        </w:rPr>
        <w:t>.</w:t>
      </w:r>
    </w:p>
    <w:p w14:paraId="235252E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предотвращения деградации земель принимаются следующие меры:</w:t>
      </w:r>
    </w:p>
    <w:p w14:paraId="28420E41" w14:textId="7E4F66B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сформирован</w:t>
      </w:r>
      <w:r w:rsidR="00A6172F"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государственная территориально-зональная сеть, которая состоит из </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168 пунктов наблюдений за изменением параметром почв;</w:t>
      </w:r>
    </w:p>
    <w:p w14:paraId="092993E8" w14:textId="61FFB57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ежегодно проводятся почвенные обследования (ежегодно обследования проводились на площади 2 млн. га, в рамках Госпрограммы АПК с 2017 года </w:t>
      </w:r>
      <w:r w:rsidR="006C1B9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7 млн. га), </w:t>
      </w:r>
    </w:p>
    <w:p w14:paraId="1B1BD8E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изготавливаются </w:t>
      </w:r>
      <w:r w:rsidRPr="00F0736F">
        <w:rPr>
          <w:rFonts w:ascii="Times New Roman" w:eastAsia="Times New Roman" w:hAnsi="Times New Roman" w:cs="Times New Roman"/>
          <w:color w:val="000000" w:themeColor="text1"/>
          <w:lang w:eastAsia="ru-RU"/>
        </w:rPr>
        <w:t>электронные почвенные карты, отображающие качественное состояние сельхозугодий и рекомендации для эффективного использования земель с открытым доступом населению;</w:t>
      </w:r>
    </w:p>
    <w:p w14:paraId="165D543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 результатам обследований вырабатываются рекомендации для акиматов по рациональному использованию земель;</w:t>
      </w:r>
    </w:p>
    <w:p w14:paraId="157569BA"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 </w:t>
      </w:r>
      <w:r w:rsidRPr="00F0736F">
        <w:rPr>
          <w:rFonts w:ascii="Times New Roman" w:eastAsia="font275" w:hAnsi="Times New Roman" w:cs="Times New Roman"/>
          <w:color w:val="000000" w:themeColor="text1"/>
          <w:lang w:eastAsia="ru-RU"/>
        </w:rPr>
        <w:t>в целях усиления и повышения эффективности контроля районные акиматы с 2018 года дополнительно наделены полномочиями контроля за использованием сельхозземель.</w:t>
      </w:r>
    </w:p>
    <w:p w14:paraId="5465B593" w14:textId="1AB1EA1C"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Закон </w:t>
      </w:r>
      <w:r w:rsidR="00596EEF" w:rsidRPr="00F0736F">
        <w:rPr>
          <w:rFonts w:ascii="Times New Roman" w:hAnsi="Times New Roman" w:cs="Times New Roman"/>
          <w:color w:val="000000" w:themeColor="text1"/>
        </w:rPr>
        <w:t xml:space="preserve">РК </w:t>
      </w:r>
      <w:r w:rsidRPr="00F0736F">
        <w:rPr>
          <w:rFonts w:ascii="Times New Roman" w:hAnsi="Times New Roman" w:cs="Times New Roman"/>
          <w:color w:val="000000" w:themeColor="text1"/>
        </w:rPr>
        <w:t>«О пастбищах» 2017</w:t>
      </w:r>
      <w:r w:rsidR="00A6172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г</w:t>
      </w:r>
      <w:r w:rsidR="00A6172F"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является принципиально новым для Казахстана. Земельный кодекс 2003 г</w:t>
      </w:r>
      <w:r w:rsidR="00A6172F"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не столь подробно регулировал вопросы управления пастбищами. Пользование пастбищами осуществляется на бесплатной основе (уплачивается только земельный налог). На уровне районов местные органы исполнительной власти разрабатывают, а местные представительные органы утверждают планы по управлению пастбищами и их использованию. Участие пастбищепользователей является важным аспектом разработки таких планов. Планы по управлению пастбищами на 2018 – 2019 гг. уже приняты практически во всех районах. Развитие и реконструкция объектов пастбищной инфраструктуры находятся в компетенции исполнительных органов областного уровня. Обводнение пастбищ является ключевой мерой для более эффективного использования отгонных пастбищ. На начало 2020 года из 180,1 млн га пастбищных угодий обводнено 106,2 млн га (59%). Для стимулирования развития пастбищных угодий введено инвестиционное субсидирование до 80% затрат по созданию инфраструктуры обводнения. В период 2014 - 2019 годы для обводнения пастбищ построено </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978 колодцев, при запланированном показателе в 3</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633 единиц</w:t>
      </w:r>
      <w:r w:rsidR="00A6172F" w:rsidRPr="00F0736F">
        <w:rPr>
          <w:rFonts w:ascii="Times New Roman" w:hAnsi="Times New Roman" w:cs="Times New Roman"/>
          <w:color w:val="000000" w:themeColor="text1"/>
        </w:rPr>
        <w:t>ы</w:t>
      </w:r>
      <w:r w:rsidRPr="00F0736F">
        <w:rPr>
          <w:rFonts w:ascii="Times New Roman" w:hAnsi="Times New Roman" w:cs="Times New Roman"/>
          <w:color w:val="000000" w:themeColor="text1"/>
        </w:rPr>
        <w:t>. За счет мер обводнения пастбищ сокращена нагрузка на пастбища близлежащих населенных пунктов на 20%.</w:t>
      </w:r>
    </w:p>
    <w:p w14:paraId="5CF39A4C" w14:textId="77777777" w:rsidR="00F674A4" w:rsidRPr="00F0736F" w:rsidRDefault="00F674A4" w:rsidP="00596EEF">
      <w:pPr>
        <w:ind w:firstLine="709"/>
        <w:jc w:val="both"/>
        <w:rPr>
          <w:color w:val="000000" w:themeColor="text1"/>
        </w:rPr>
      </w:pPr>
      <w:r w:rsidRPr="00F0736F">
        <w:rPr>
          <w:rFonts w:ascii="Times New Roman" w:hAnsi="Times New Roman" w:cs="Times New Roman"/>
          <w:color w:val="000000" w:themeColor="text1"/>
        </w:rPr>
        <w:t>В Методике проведения мероприятий по борьбе с деградацией и опустыниванием пастбищ 2017 г. (Приказ и. о. Министра сельского хозяйства №</w:t>
      </w:r>
      <w:r w:rsidR="00D112A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185 2017 г.) определены индикаторы деградации пастбищных угодий и содержатся перечни мероприятий по восстановлению деградированных пастбищ</w:t>
      </w:r>
      <w:r w:rsidR="00D112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предотвращению деградации и опустынивания.</w:t>
      </w:r>
    </w:p>
    <w:p w14:paraId="087343E8"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rPr>
        <w:t>В 2018 году завершился проект ПРООН-ГЭФ-Правительство</w:t>
      </w:r>
      <w:r w:rsidRPr="00F0736F">
        <w:rPr>
          <w:rFonts w:ascii="Times New Roman" w:eastAsia="Times New Roman" w:hAnsi="Times New Roman" w:cs="Times New Roman"/>
          <w:bCs/>
          <w:color w:val="000000" w:themeColor="text1"/>
          <w:spacing w:val="2"/>
        </w:rPr>
        <w:t xml:space="preserve"> РК «Повышение устойчивости системы особо охраняемых территорий в пустынных зонах через продвижение совместимых с биоразнообразием источников жизнеобеспечения внутри и вокруг охраняемых территорий». </w:t>
      </w:r>
      <w:r w:rsidRPr="00F0736F">
        <w:rPr>
          <w:rFonts w:ascii="Times New Roman" w:hAnsi="Times New Roman" w:cs="Times New Roman"/>
          <w:color w:val="000000" w:themeColor="text1"/>
          <w:spacing w:val="2"/>
        </w:rPr>
        <w:t>В рамках данного проекта для внедрения устойчивых практик ведения сельского хозяйства на аридных территориях реализовано 40 пилотных проектов на трех проектных территориях, демонстрирующих улучшенные сельскохозяйственные практики и альтернативные виды деятельности в сельских регионах со следующими результатами:</w:t>
      </w:r>
    </w:p>
    <w:p w14:paraId="4900DD2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rPr>
        <w:t>- н</w:t>
      </w:r>
      <w:r w:rsidRPr="00F0736F">
        <w:rPr>
          <w:rFonts w:ascii="Times New Roman" w:hAnsi="Times New Roman" w:cs="Times New Roman"/>
          <w:color w:val="000000" w:themeColor="text1"/>
        </w:rPr>
        <w:t>а пилотных участках в 3-х пустынных регионах страны создано 180 га высокопродуктивных кормовых угодий, которые демонстрируют методы, позволяющие в 2 раза повысить производительность кормов при снижении водопотребления на 60%;</w:t>
      </w:r>
    </w:p>
    <w:p w14:paraId="4130A151" w14:textId="366EEACC"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на площади более 40 тыс. га деградированных пастбищ внедрена практика сезонного пастбищеоборота, созданы 6 Советов по управлению пастбищами, на 6 отгонных участках восстановлены 8 водопойных пунктов для обеспечения водой более 3</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голов скота, установлены альтернативные источники энергии (солнечные панели и ветряные установки), на отдаленных пастбищах улучшены условия проживания 60 фермеров и их семей. Повышен уровень знаний 250 фермеров по вопросам устойчивого управления пастбищами;</w:t>
      </w:r>
    </w:p>
    <w:p w14:paraId="01A98835" w14:textId="5832578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совместно с акиматом Мангистауской области в Устюртском регионе проведены работы по обводнению 8 пастбищных участков на площади 10 тыс. га и обеспечены водой 2</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голов домашнего скота;</w:t>
      </w:r>
    </w:p>
    <w:p w14:paraId="5FDAFC52" w14:textId="1E555B9F"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rPr>
        <w:t>- в</w:t>
      </w:r>
      <w:r w:rsidRPr="00F0736F">
        <w:rPr>
          <w:rFonts w:ascii="Times New Roman" w:hAnsi="Times New Roman" w:cs="Times New Roman"/>
          <w:color w:val="000000" w:themeColor="text1"/>
        </w:rPr>
        <w:t xml:space="preserve"> Кызылординской области на площади 2 га продемонстрирована практика капельного орошения для полива риса и овощебахчевых культур. Экономия воды при поливе риса составила 23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/га, при поливе овощебахчевых культур – 2</w:t>
      </w:r>
      <w:r w:rsidR="006C1B9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500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/га;</w:t>
      </w:r>
    </w:p>
    <w:p w14:paraId="6F0EAFED"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color w:val="000000" w:themeColor="text1"/>
          <w:spacing w:val="2"/>
        </w:rPr>
        <w:t xml:space="preserve">- информация о реализованных проектах систематизирована и опубликована на открытом информационном ресурсе </w:t>
      </w:r>
      <w:hyperlink r:id="rId11" w:history="1">
        <w:r w:rsidR="00B34EE1" w:rsidRPr="00F0736F">
          <w:rPr>
            <w:rStyle w:val="a6"/>
            <w:rFonts w:ascii="Times New Roman" w:hAnsi="Times New Roman" w:cs="Times New Roman"/>
            <w:color w:val="000000" w:themeColor="text1"/>
          </w:rPr>
          <w:t>http://www.kz.undp.org/content/kazakhstan/en/home/ operations/projects/environment_and_energy.html</w:t>
        </w:r>
      </w:hyperlink>
      <w:r w:rsidRPr="00F0736F">
        <w:rPr>
          <w:rFonts w:ascii="Times New Roman" w:eastAsia="Times New Roman" w:hAnsi="Times New Roman" w:cs="Times New Roman"/>
          <w:bCs/>
          <w:color w:val="000000" w:themeColor="text1"/>
          <w:spacing w:val="2"/>
        </w:rPr>
        <w:t>.</w:t>
      </w:r>
    </w:p>
    <w:p w14:paraId="2180101C" w14:textId="77777777" w:rsidR="00F674A4" w:rsidRPr="00F0736F" w:rsidRDefault="00F674A4" w:rsidP="008727D9">
      <w:pPr>
        <w:ind w:firstLine="709"/>
        <w:jc w:val="both"/>
        <w:rPr>
          <w:rFonts w:ascii="Times New Roman" w:hAnsi="Times New Roman" w:cs="Times New Roman"/>
          <w:color w:val="000000" w:themeColor="text1"/>
        </w:rPr>
      </w:pPr>
    </w:p>
    <w:p w14:paraId="48F6C322"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области </w:t>
      </w:r>
      <w:r w:rsidRPr="00F0736F">
        <w:rPr>
          <w:rStyle w:val="12"/>
          <w:rFonts w:ascii="Times New Roman" w:eastAsia="Times New Roman" w:hAnsi="Times New Roman" w:cs="Times New Roman"/>
          <w:color w:val="000000" w:themeColor="text1"/>
          <w:lang w:eastAsia="ru-RU"/>
        </w:rPr>
        <w:t>органического сельского хозяйства</w:t>
      </w:r>
      <w:r w:rsidRPr="00F0736F">
        <w:rPr>
          <w:rFonts w:ascii="Times New Roman" w:eastAsia="Times New Roman" w:hAnsi="Times New Roman" w:cs="Times New Roman"/>
          <w:color w:val="000000" w:themeColor="text1"/>
          <w:lang w:eastAsia="ru-RU"/>
        </w:rPr>
        <w:t xml:space="preserve"> в ноябре 2015 года принят Закон РК «О производстве органической продукции». Многие эксперты полагают, что сегодня Казахстан располагает значительным потенциалом в области органического сельского хозяйства. </w:t>
      </w:r>
      <w:r w:rsidRPr="00F0736F">
        <w:rPr>
          <w:rFonts w:ascii="Times New Roman" w:eastAsia="Times New Roman" w:hAnsi="Times New Roman" w:cs="Times New Roman"/>
          <w:bCs/>
          <w:color w:val="000000" w:themeColor="text1"/>
          <w:lang w:eastAsia="ru-RU"/>
        </w:rPr>
        <w:t xml:space="preserve"> </w:t>
      </w:r>
      <w:r w:rsidR="00FC2972" w:rsidRPr="00F0736F">
        <w:rPr>
          <w:rFonts w:ascii="Times New Roman" w:eastAsia="Times New Roman" w:hAnsi="Times New Roman" w:cs="Times New Roman"/>
          <w:bCs/>
          <w:color w:val="000000" w:themeColor="text1"/>
          <w:lang w:eastAsia="ru-RU"/>
        </w:rPr>
        <w:t xml:space="preserve">  </w:t>
      </w:r>
    </w:p>
    <w:p w14:paraId="3DA8DBB3" w14:textId="758C4DF5"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ja-JP"/>
        </w:rPr>
        <w:t>На всей территории страны реализуется несколько инициатив, главным образом, местных или региональных НПО, которые направлены на поощрение производства органической сельскохозяйственной продукции, что в условиях отсутствия национальных стандартов означает производство сельскохозяйственной продукции без использования минеральных удобрений, пестицидов и ветеринарных препаратов. Наряду с этим, данные инициативы способствуют развитию местного производства продуктов питания и создают местные «эко»</w:t>
      </w:r>
      <w:r w:rsidR="006C1B98" w:rsidRPr="00F0736F">
        <w:rPr>
          <w:rFonts w:ascii="Times New Roman" w:eastAsia="MS Mincho" w:hAnsi="Times New Roman" w:cs="Times New Roman"/>
          <w:color w:val="000000" w:themeColor="text1"/>
          <w:lang w:eastAsia="ja-JP"/>
        </w:rPr>
        <w:t>-</w:t>
      </w:r>
      <w:r w:rsidRPr="00F0736F">
        <w:rPr>
          <w:rFonts w:ascii="Times New Roman" w:eastAsia="MS Mincho" w:hAnsi="Times New Roman" w:cs="Times New Roman"/>
          <w:color w:val="000000" w:themeColor="text1"/>
          <w:lang w:eastAsia="ja-JP"/>
        </w:rPr>
        <w:t xml:space="preserve">бренды, пропагандирующие здоровое питание. </w:t>
      </w:r>
      <w:r w:rsidRPr="00F0736F">
        <w:rPr>
          <w:rFonts w:ascii="Times New Roman" w:eastAsia="MS Mincho" w:hAnsi="Times New Roman" w:cs="Times New Roman"/>
          <w:bCs/>
          <w:color w:val="000000" w:themeColor="text1"/>
          <w:lang w:eastAsia="ja-JP"/>
        </w:rPr>
        <w:t xml:space="preserve">В настоящее время наиболее значимой является инициатива, возглавляемая Коалицией за </w:t>
      </w:r>
      <w:r w:rsidR="006C1B98" w:rsidRPr="00F0736F">
        <w:rPr>
          <w:rFonts w:ascii="Times New Roman" w:eastAsia="MS Mincho" w:hAnsi="Times New Roman" w:cs="Times New Roman"/>
          <w:bCs/>
          <w:color w:val="000000" w:themeColor="text1"/>
          <w:lang w:eastAsia="ja-JP"/>
        </w:rPr>
        <w:t>«</w:t>
      </w:r>
      <w:r w:rsidRPr="00F0736F">
        <w:rPr>
          <w:rFonts w:ascii="Times New Roman" w:eastAsia="MS Mincho" w:hAnsi="Times New Roman" w:cs="Times New Roman"/>
          <w:bCs/>
          <w:color w:val="000000" w:themeColor="text1"/>
          <w:lang w:eastAsia="ja-JP"/>
        </w:rPr>
        <w:t>зеленую</w:t>
      </w:r>
      <w:r w:rsidR="006C1B98" w:rsidRPr="00F0736F">
        <w:rPr>
          <w:rFonts w:ascii="Times New Roman" w:eastAsia="MS Mincho" w:hAnsi="Times New Roman" w:cs="Times New Roman"/>
          <w:bCs/>
          <w:color w:val="000000" w:themeColor="text1"/>
          <w:lang w:eastAsia="ja-JP"/>
        </w:rPr>
        <w:t>»</w:t>
      </w:r>
      <w:r w:rsidRPr="00F0736F">
        <w:rPr>
          <w:rFonts w:ascii="Times New Roman" w:eastAsia="MS Mincho" w:hAnsi="Times New Roman" w:cs="Times New Roman"/>
          <w:bCs/>
          <w:color w:val="000000" w:themeColor="text1"/>
          <w:lang w:eastAsia="ja-JP"/>
        </w:rPr>
        <w:t xml:space="preserve"> экономику и развитие «G-Global» (работающей в качестве НПО), которая внедрила марку «Green Food KZ».</w:t>
      </w:r>
    </w:p>
    <w:p w14:paraId="12012E88" w14:textId="77777777" w:rsidR="00813801" w:rsidRPr="00F0736F" w:rsidRDefault="00F674A4" w:rsidP="00655ED1">
      <w:pPr>
        <w:ind w:firstLine="709"/>
        <w:jc w:val="both"/>
        <w:rPr>
          <w:rFonts w:ascii="Calibri" w:hAnsi="Calibri"/>
          <w:color w:val="000000" w:themeColor="text1"/>
        </w:rPr>
      </w:pPr>
      <w:r w:rsidRPr="00F0736F">
        <w:rPr>
          <w:rFonts w:ascii="Times New Roman" w:eastAsia="Times New Roman" w:hAnsi="Times New Roman" w:cs="Times New Roman"/>
          <w:color w:val="000000" w:themeColor="text1"/>
          <w:lang w:eastAsia="ru-RU"/>
        </w:rPr>
        <w:t>В вопросах сертификации органической продукции ПРООН оказал значительную поддержку Правительству РК в сертификации казахстанского меда в КНР и продвижению его на внешние рынки. Программой развития ООН в Казахстане, совместно с Министерством сельского хозяйства</w:t>
      </w:r>
      <w:r w:rsidR="00D112AC"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выработан единый логотип бренда для казахстанской органической продукции «</w:t>
      </w:r>
      <w:r w:rsidRPr="00F0736F">
        <w:rPr>
          <w:rFonts w:ascii="Times New Roman" w:eastAsia="Times New Roman" w:hAnsi="Times New Roman" w:cs="Times New Roman"/>
          <w:color w:val="000000" w:themeColor="text1"/>
          <w:lang w:val="en-US" w:eastAsia="ru-RU"/>
        </w:rPr>
        <w:t>Organic</w:t>
      </w:r>
      <w:r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val="en-US" w:eastAsia="ru-RU"/>
        </w:rPr>
        <w:t>Food</w:t>
      </w:r>
      <w:r w:rsidR="00D112AC"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w:t>
      </w:r>
      <w:bookmarkStart w:id="11" w:name="pt1%252525252525252525252525252525252525"/>
    </w:p>
    <w:p w14:paraId="5262DC57" w14:textId="77777777" w:rsidR="00E17002" w:rsidRPr="00F0736F" w:rsidRDefault="00E17002"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Одним из факторов снижения плодородия почв является </w:t>
      </w:r>
      <w:r w:rsidR="00A6172F" w:rsidRPr="00F0736F">
        <w:rPr>
          <w:rFonts w:ascii="Times New Roman" w:hAnsi="Times New Roman" w:cs="Times New Roman"/>
          <w:color w:val="000000" w:themeColor="text1"/>
        </w:rPr>
        <w:t>малый обьем внесения</w:t>
      </w:r>
      <w:r w:rsidRPr="00F0736F">
        <w:rPr>
          <w:rFonts w:ascii="Times New Roman" w:hAnsi="Times New Roman" w:cs="Times New Roman"/>
          <w:color w:val="000000" w:themeColor="text1"/>
        </w:rPr>
        <w:t xml:space="preserve"> </w:t>
      </w:r>
      <w:r w:rsidRPr="00F0736F">
        <w:rPr>
          <w:rFonts w:ascii="Times New Roman" w:hAnsi="Times New Roman" w:cs="Times New Roman"/>
          <w:b/>
          <w:color w:val="000000" w:themeColor="text1"/>
        </w:rPr>
        <w:t>минеральных и органических удобрений</w:t>
      </w:r>
      <w:r w:rsidRPr="00F0736F">
        <w:rPr>
          <w:rFonts w:ascii="Times New Roman" w:hAnsi="Times New Roman" w:cs="Times New Roman"/>
          <w:color w:val="000000" w:themeColor="text1"/>
        </w:rPr>
        <w:t xml:space="preserve">. </w:t>
      </w:r>
    </w:p>
    <w:p w14:paraId="35ABD3A4" w14:textId="77777777" w:rsidR="00E17002" w:rsidRPr="00F0736F" w:rsidRDefault="00E17002" w:rsidP="008727D9">
      <w:pPr>
        <w:tabs>
          <w:tab w:val="left" w:pos="1134"/>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РГУ «Республиканский научно-методический центр агрохимической службы» МСХ РК</w:t>
      </w:r>
      <w:r w:rsidR="00A6172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1986 году на поля республики было внесено 33,2 млн</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органических удобрений.  Начиная с 2000 года, объемы применения органических удобрений существенно сократились. За последние пять лет (2015-2019 годы) в среднем вносилось порядка 770</w:t>
      </w:r>
      <w:r w:rsidRPr="00F0736F">
        <w:rPr>
          <w:rFonts w:ascii="Times New Roman" w:hAnsi="Times New Roman" w:cs="Times New Roman"/>
          <w:color w:val="000000" w:themeColor="text1"/>
          <w:sz w:val="28"/>
          <w:szCs w:val="28"/>
          <w:lang w:val="kk-KZ"/>
        </w:rPr>
        <w:t xml:space="preserve"> </w:t>
      </w:r>
      <w:r w:rsidRPr="00F0736F">
        <w:rPr>
          <w:rFonts w:ascii="Times New Roman" w:hAnsi="Times New Roman" w:cs="Times New Roman"/>
          <w:color w:val="000000" w:themeColor="text1"/>
        </w:rPr>
        <w:t xml:space="preserve">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органических удобрений.</w:t>
      </w:r>
    </w:p>
    <w:p w14:paraId="1BE312D9" w14:textId="77777777" w:rsidR="00E17002" w:rsidRPr="00F0736F" w:rsidRDefault="00E17002" w:rsidP="008727D9">
      <w:pPr>
        <w:tabs>
          <w:tab w:val="left" w:pos="1134"/>
        </w:tabs>
        <w:ind w:firstLine="709"/>
        <w:jc w:val="both"/>
        <w:rPr>
          <w:rFonts w:ascii="Times New Roman" w:eastAsia="Times New Roman" w:hAnsi="Times New Roman" w:cs="Times New Roman"/>
          <w:color w:val="000000" w:themeColor="text1"/>
          <w:lang w:eastAsia="ru-RU"/>
        </w:rPr>
      </w:pPr>
      <w:r w:rsidRPr="00F0736F">
        <w:rPr>
          <w:rFonts w:ascii="Times New Roman" w:hAnsi="Times New Roman" w:cs="Times New Roman"/>
          <w:color w:val="000000" w:themeColor="text1"/>
        </w:rPr>
        <w:t xml:space="preserve">Максимум применения минеральных удобрений отмечался в 1986 году, когда было внесено 1,0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в пересчете на действующее вещество (на 1 га было внесено 29 кг). За период 2015-2019 годы объемы внесения минеральных удобрений варьируются в пределах 86,5 – </w:t>
      </w:r>
      <w:r w:rsidRPr="00F0736F">
        <w:rPr>
          <w:rFonts w:ascii="Times New Roman" w:hAnsi="Times New Roman" w:cs="Times New Roman"/>
          <w:color w:val="000000" w:themeColor="text1"/>
          <w:lang w:val="kk-KZ"/>
        </w:rPr>
        <w:t>162,6</w:t>
      </w:r>
      <w:r w:rsidRPr="00F0736F">
        <w:rPr>
          <w:rFonts w:ascii="Times New Roman" w:hAnsi="Times New Roman" w:cs="Times New Roman"/>
          <w:color w:val="000000" w:themeColor="text1"/>
        </w:rPr>
        <w:t xml:space="preserve">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в действующем веществе, наибольший объем внесения удобрений приходится на 2017 год – </w:t>
      </w:r>
      <w:r w:rsidRPr="00F0736F">
        <w:rPr>
          <w:rFonts w:ascii="Times New Roman" w:hAnsi="Times New Roman" w:cs="Times New Roman"/>
          <w:color w:val="000000" w:themeColor="text1"/>
          <w:lang w:val="kk-KZ"/>
        </w:rPr>
        <w:t>162,6</w:t>
      </w:r>
      <w:r w:rsidRPr="00F0736F">
        <w:rPr>
          <w:rFonts w:ascii="Times New Roman" w:hAnsi="Times New Roman" w:cs="Times New Roman"/>
          <w:color w:val="000000" w:themeColor="text1"/>
        </w:rPr>
        <w:t xml:space="preserve">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(Таблица </w:t>
      </w:r>
      <w:r w:rsidRPr="00F0736F">
        <w:rPr>
          <w:rFonts w:ascii="Times New Roman" w:hAnsi="Times New Roman" w:cs="Times New Roman"/>
          <w:color w:val="000000" w:themeColor="text1"/>
          <w:lang w:val="kk-KZ"/>
        </w:rPr>
        <w:t>1.2.</w:t>
      </w:r>
      <w:r w:rsidR="00B34EE1"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w:t>
      </w:r>
      <w:r w:rsidRPr="00F0736F">
        <w:rPr>
          <w:rStyle w:val="a4"/>
          <w:rFonts w:ascii="Times New Roman" w:eastAsia="Times New Roman" w:hAnsi="Times New Roman" w:cs="Times New Roman"/>
          <w:color w:val="000000" w:themeColor="text1"/>
          <w:lang w:eastAsia="ru-RU"/>
        </w:rPr>
        <w:footnoteReference w:id="29"/>
      </w:r>
      <w:r w:rsidRPr="00F0736F">
        <w:rPr>
          <w:rFonts w:ascii="Times New Roman" w:eastAsia="Times New Roman" w:hAnsi="Times New Roman" w:cs="Times New Roman"/>
          <w:color w:val="000000" w:themeColor="text1"/>
          <w:lang w:eastAsia="ru-RU"/>
        </w:rPr>
        <w:t>.</w:t>
      </w:r>
    </w:p>
    <w:p w14:paraId="7156C142" w14:textId="317D8559" w:rsidR="00E17002" w:rsidRPr="00F0736F" w:rsidRDefault="006C1B98" w:rsidP="006C1B98">
      <w:pPr>
        <w:tabs>
          <w:tab w:val="left" w:pos="3870"/>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ab/>
      </w:r>
    </w:p>
    <w:p w14:paraId="37717602" w14:textId="16C8F9EE" w:rsidR="006C1B98" w:rsidRPr="00F0736F" w:rsidRDefault="006C1B98" w:rsidP="006C1B98">
      <w:pPr>
        <w:tabs>
          <w:tab w:val="left" w:pos="3870"/>
        </w:tabs>
        <w:ind w:firstLine="709"/>
        <w:jc w:val="both"/>
        <w:rPr>
          <w:rFonts w:ascii="Times New Roman" w:hAnsi="Times New Roman" w:cs="Times New Roman"/>
          <w:color w:val="000000" w:themeColor="text1"/>
        </w:rPr>
      </w:pPr>
    </w:p>
    <w:p w14:paraId="3728D2B6" w14:textId="77777777" w:rsidR="006C1B98" w:rsidRPr="00F0736F" w:rsidRDefault="006C1B98" w:rsidP="006C1B98">
      <w:pPr>
        <w:tabs>
          <w:tab w:val="left" w:pos="3870"/>
        </w:tabs>
        <w:ind w:firstLine="709"/>
        <w:jc w:val="both"/>
        <w:rPr>
          <w:rFonts w:ascii="Times New Roman" w:hAnsi="Times New Roman" w:cs="Times New Roman"/>
          <w:color w:val="000000" w:themeColor="text1"/>
        </w:rPr>
      </w:pPr>
    </w:p>
    <w:p w14:paraId="2840E42F" w14:textId="77777777" w:rsidR="00E17002" w:rsidRPr="00F0736F" w:rsidRDefault="00E17002" w:rsidP="008727D9">
      <w:pPr>
        <w:tabs>
          <w:tab w:val="left" w:pos="1134"/>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Таблица </w:t>
      </w:r>
      <w:r w:rsidRPr="00F0736F">
        <w:rPr>
          <w:rFonts w:ascii="Times New Roman" w:hAnsi="Times New Roman" w:cs="Times New Roman"/>
          <w:color w:val="000000" w:themeColor="text1"/>
          <w:lang w:val="kk-KZ"/>
        </w:rPr>
        <w:t>1.2.</w:t>
      </w:r>
      <w:r w:rsidR="00B34EE1"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Внесение минеральных и органических удобрений</w:t>
      </w:r>
    </w:p>
    <w:p w14:paraId="5C7EA56E" w14:textId="77777777" w:rsidR="00E17002" w:rsidRPr="00F0736F" w:rsidRDefault="00E17002" w:rsidP="008727D9">
      <w:pPr>
        <w:tabs>
          <w:tab w:val="left" w:pos="1134"/>
        </w:tabs>
        <w:ind w:firstLine="709"/>
        <w:jc w:val="both"/>
        <w:rPr>
          <w:rFonts w:ascii="Times New Roman" w:hAnsi="Times New Roman" w:cs="Times New Roman"/>
          <w:b/>
          <w:i/>
          <w:color w:val="000000" w:themeColor="text1"/>
        </w:rPr>
      </w:pPr>
    </w:p>
    <w:tbl>
      <w:tblPr>
        <w:tblpPr w:leftFromText="180" w:rightFromText="180" w:vertAnchor="text" w:horzAnchor="margin" w:tblpXSpec="center" w:tblpY="81"/>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2"/>
        <w:gridCol w:w="4649"/>
        <w:gridCol w:w="1560"/>
        <w:gridCol w:w="1115"/>
        <w:gridCol w:w="19"/>
        <w:gridCol w:w="964"/>
        <w:gridCol w:w="983"/>
      </w:tblGrid>
      <w:tr w:rsidR="00F0736F" w:rsidRPr="00F0736F" w14:paraId="2162461D" w14:textId="77777777" w:rsidTr="00BA583D">
        <w:trPr>
          <w:trHeight w:val="135"/>
        </w:trPr>
        <w:tc>
          <w:tcPr>
            <w:tcW w:w="562" w:type="dxa"/>
            <w:vMerge w:val="restart"/>
            <w:tcBorders>
              <w:top w:val="single" w:sz="4" w:space="0" w:color="auto"/>
              <w:left w:val="single" w:sz="4" w:space="0" w:color="auto"/>
              <w:right w:val="single" w:sz="4" w:space="0" w:color="auto"/>
            </w:tcBorders>
            <w:shd w:val="clear" w:color="auto" w:fill="FFFFFF"/>
            <w:noWrap/>
            <w:vAlign w:val="center"/>
          </w:tcPr>
          <w:p w14:paraId="019D5C4F" w14:textId="77777777" w:rsidR="00E17002" w:rsidRPr="00F0736F" w:rsidRDefault="00E17002" w:rsidP="008727D9">
            <w:pPr>
              <w:tabs>
                <w:tab w:val="left" w:pos="1134"/>
              </w:tabs>
              <w:ind w:firstLine="709"/>
              <w:jc w:val="both"/>
              <w:rPr>
                <w:rFonts w:ascii="Times New Roman" w:hAnsi="Times New Roman" w:cs="Times New Roman"/>
                <w:color w:val="000000" w:themeColor="text1"/>
                <w:sz w:val="20"/>
                <w:szCs w:val="20"/>
              </w:rPr>
            </w:pPr>
          </w:p>
        </w:tc>
        <w:tc>
          <w:tcPr>
            <w:tcW w:w="4649" w:type="dxa"/>
            <w:vMerge w:val="restart"/>
            <w:tcBorders>
              <w:top w:val="single" w:sz="4" w:space="0" w:color="auto"/>
              <w:left w:val="single" w:sz="4" w:space="0" w:color="auto"/>
              <w:right w:val="single" w:sz="4" w:space="0" w:color="auto"/>
            </w:tcBorders>
            <w:shd w:val="clear" w:color="auto" w:fill="FFFFFF"/>
            <w:vAlign w:val="center"/>
          </w:tcPr>
          <w:p w14:paraId="0CEAF308" w14:textId="63DFD8C3" w:rsidR="00E17002" w:rsidRPr="00F0736F" w:rsidRDefault="00E17002" w:rsidP="006C1B98">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Наименование мероприятий</w:t>
            </w:r>
          </w:p>
        </w:tc>
        <w:tc>
          <w:tcPr>
            <w:tcW w:w="1560" w:type="dxa"/>
            <w:vMerge w:val="restart"/>
            <w:tcBorders>
              <w:top w:val="single" w:sz="4" w:space="0" w:color="auto"/>
              <w:left w:val="single" w:sz="4" w:space="0" w:color="auto"/>
              <w:right w:val="single" w:sz="4" w:space="0" w:color="auto"/>
            </w:tcBorders>
            <w:shd w:val="clear" w:color="auto" w:fill="FFFFFF"/>
            <w:vAlign w:val="center"/>
          </w:tcPr>
          <w:p w14:paraId="2C7A3374" w14:textId="77777777" w:rsidR="00E17002" w:rsidRPr="00F0736F" w:rsidRDefault="00E17002"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Единица измерения</w:t>
            </w:r>
          </w:p>
        </w:tc>
        <w:tc>
          <w:tcPr>
            <w:tcW w:w="308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14BB4C" w14:textId="77777777" w:rsidR="00E17002" w:rsidRPr="00F0736F" w:rsidRDefault="00E17002" w:rsidP="006C1B98">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Годы</w:t>
            </w:r>
          </w:p>
        </w:tc>
      </w:tr>
      <w:tr w:rsidR="00F0736F" w:rsidRPr="00F0736F" w14:paraId="7623C9EC" w14:textId="77777777" w:rsidTr="00BA583D">
        <w:trPr>
          <w:trHeight w:val="135"/>
        </w:trPr>
        <w:tc>
          <w:tcPr>
            <w:tcW w:w="562" w:type="dxa"/>
            <w:vMerge/>
            <w:tcBorders>
              <w:left w:val="single" w:sz="4" w:space="0" w:color="auto"/>
              <w:bottom w:val="single" w:sz="4" w:space="0" w:color="auto"/>
              <w:right w:val="single" w:sz="4" w:space="0" w:color="auto"/>
            </w:tcBorders>
            <w:shd w:val="clear" w:color="auto" w:fill="FFFFFF"/>
            <w:noWrap/>
            <w:vAlign w:val="center"/>
          </w:tcPr>
          <w:p w14:paraId="52288D1E" w14:textId="77777777" w:rsidR="00BA583D" w:rsidRPr="00F0736F" w:rsidRDefault="00BA583D" w:rsidP="008727D9">
            <w:pPr>
              <w:tabs>
                <w:tab w:val="left" w:pos="1134"/>
              </w:tabs>
              <w:ind w:firstLine="709"/>
              <w:jc w:val="both"/>
              <w:rPr>
                <w:rFonts w:ascii="Times New Roman" w:hAnsi="Times New Roman" w:cs="Times New Roman"/>
                <w:color w:val="000000" w:themeColor="text1"/>
                <w:sz w:val="20"/>
                <w:szCs w:val="20"/>
              </w:rPr>
            </w:pPr>
          </w:p>
        </w:tc>
        <w:tc>
          <w:tcPr>
            <w:tcW w:w="4649" w:type="dxa"/>
            <w:vMerge/>
            <w:tcBorders>
              <w:left w:val="single" w:sz="4" w:space="0" w:color="auto"/>
              <w:bottom w:val="single" w:sz="4" w:space="0" w:color="auto"/>
              <w:right w:val="single" w:sz="4" w:space="0" w:color="auto"/>
            </w:tcBorders>
            <w:shd w:val="clear" w:color="auto" w:fill="FFFFFF"/>
            <w:vAlign w:val="center"/>
          </w:tcPr>
          <w:p w14:paraId="78BA95C8" w14:textId="77777777" w:rsidR="00BA583D" w:rsidRPr="00F0736F" w:rsidRDefault="00BA583D" w:rsidP="008727D9">
            <w:pPr>
              <w:tabs>
                <w:tab w:val="left" w:pos="1134"/>
              </w:tabs>
              <w:ind w:firstLine="709"/>
              <w:jc w:val="both"/>
              <w:rPr>
                <w:rFonts w:ascii="Times New Roman" w:hAnsi="Times New Roman" w:cs="Times New Roman"/>
                <w:color w:val="000000" w:themeColor="text1"/>
                <w:sz w:val="20"/>
                <w:szCs w:val="20"/>
              </w:rPr>
            </w:pPr>
          </w:p>
        </w:tc>
        <w:tc>
          <w:tcPr>
            <w:tcW w:w="1560" w:type="dxa"/>
            <w:vMerge/>
            <w:tcBorders>
              <w:left w:val="single" w:sz="4" w:space="0" w:color="auto"/>
              <w:bottom w:val="single" w:sz="4" w:space="0" w:color="auto"/>
              <w:right w:val="single" w:sz="4" w:space="0" w:color="auto"/>
            </w:tcBorders>
            <w:shd w:val="clear" w:color="auto" w:fill="FFFFFF"/>
            <w:vAlign w:val="center"/>
          </w:tcPr>
          <w:p w14:paraId="29110A5A" w14:textId="77777777" w:rsidR="00BA583D" w:rsidRPr="00F0736F" w:rsidRDefault="00BA583D" w:rsidP="00075143">
            <w:pPr>
              <w:tabs>
                <w:tab w:val="left" w:pos="1134"/>
              </w:tabs>
              <w:ind w:firstLine="709"/>
              <w:jc w:val="center"/>
              <w:rPr>
                <w:rFonts w:ascii="Times New Roman" w:hAnsi="Times New Roman" w:cs="Times New Roman"/>
                <w:color w:val="000000" w:themeColor="text1"/>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C6D95E"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2017</w:t>
            </w:r>
          </w:p>
        </w:tc>
        <w:tc>
          <w:tcPr>
            <w:tcW w:w="964" w:type="dxa"/>
            <w:tcBorders>
              <w:top w:val="single" w:sz="4" w:space="0" w:color="auto"/>
              <w:left w:val="single" w:sz="4" w:space="0" w:color="auto"/>
              <w:bottom w:val="single" w:sz="4" w:space="0" w:color="auto"/>
              <w:right w:val="single" w:sz="4" w:space="0" w:color="auto"/>
            </w:tcBorders>
            <w:shd w:val="clear" w:color="auto" w:fill="FFFFFF"/>
          </w:tcPr>
          <w:p w14:paraId="208DA73E"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2018</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7555C2EC"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w:t>
            </w:r>
          </w:p>
        </w:tc>
      </w:tr>
      <w:tr w:rsidR="00F0736F" w:rsidRPr="00F0736F" w14:paraId="4D05EED5" w14:textId="77777777" w:rsidTr="00813801">
        <w:trPr>
          <w:trHeight w:val="135"/>
        </w:trPr>
        <w:tc>
          <w:tcPr>
            <w:tcW w:w="9852" w:type="dxa"/>
            <w:gridSpan w:val="7"/>
            <w:tcBorders>
              <w:top w:val="single" w:sz="4" w:space="0" w:color="auto"/>
              <w:left w:val="single" w:sz="4" w:space="0" w:color="auto"/>
              <w:bottom w:val="single" w:sz="4" w:space="0" w:color="auto"/>
            </w:tcBorders>
            <w:shd w:val="clear" w:color="auto" w:fill="FFFFFF"/>
            <w:noWrap/>
            <w:vAlign w:val="center"/>
          </w:tcPr>
          <w:p w14:paraId="56065C0B" w14:textId="77777777" w:rsidR="00E17002" w:rsidRPr="00F0736F" w:rsidRDefault="00E17002" w:rsidP="006C1B98">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минеральных удобрений</w:t>
            </w:r>
          </w:p>
        </w:tc>
      </w:tr>
      <w:tr w:rsidR="00F0736F" w:rsidRPr="00F0736F" w14:paraId="71476C40" w14:textId="77777777" w:rsidTr="00BA583D">
        <w:trPr>
          <w:trHeight w:val="135"/>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83D3D"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14:paraId="0C424187"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Посевная площадь сельскохозяйственных культур</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D88EF7"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млн. 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1790A"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64BD5045"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21,9</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4DBD4686"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lang w:val="en-US"/>
              </w:rPr>
              <w:t>22</w:t>
            </w:r>
            <w:r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lang w:val="en-US"/>
              </w:rPr>
              <w:t>1</w:t>
            </w:r>
          </w:p>
        </w:tc>
      </w:tr>
      <w:tr w:rsidR="00F0736F" w:rsidRPr="00F0736F" w14:paraId="3AFA130F" w14:textId="77777777" w:rsidTr="00BA583D">
        <w:trPr>
          <w:trHeight w:val="224"/>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10D0D4"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83F58"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Потребление азотных удобрений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2BCC6"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r w:rsidRPr="00F0736F">
              <w:rPr>
                <w:rFonts w:ascii="Times New Roman" w:hAnsi="Times New Roman" w:cs="Times New Roman"/>
                <w:color w:val="000000" w:themeColor="text1"/>
                <w:sz w:val="20"/>
                <w:szCs w:val="20"/>
              </w:rPr>
              <w:t xml:space="preserve"> 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E105C6"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108,6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2FA72A90"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81,0</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3B18A18B"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54,5</w:t>
            </w:r>
          </w:p>
        </w:tc>
      </w:tr>
      <w:tr w:rsidR="00F0736F" w:rsidRPr="00F0736F" w14:paraId="5870E2AC" w14:textId="77777777" w:rsidTr="00BA583D">
        <w:trPr>
          <w:trHeight w:val="217"/>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B9FDD1"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B0CD2"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азотных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37C296"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кг/га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0B65B"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57D08DF0"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3,7</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6E2089A"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w:t>
            </w:r>
          </w:p>
        </w:tc>
      </w:tr>
      <w:tr w:rsidR="00F0736F" w:rsidRPr="00F0736F" w14:paraId="56162F7E" w14:textId="77777777" w:rsidTr="00BA583D">
        <w:trPr>
          <w:trHeight w:val="58"/>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B4BB85"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AD1C2"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фосфатных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9DBD70"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r w:rsidRPr="00F0736F">
              <w:rPr>
                <w:rFonts w:ascii="Times New Roman" w:hAnsi="Times New Roman" w:cs="Times New Roman"/>
                <w:color w:val="000000" w:themeColor="text1"/>
                <w:sz w:val="20"/>
                <w:szCs w:val="20"/>
              </w:rPr>
              <w:t xml:space="preserve"> P</w:t>
            </w:r>
            <w:r w:rsidRPr="00F0736F">
              <w:rPr>
                <w:rFonts w:ascii="Times New Roman" w:hAnsi="Times New Roman" w:cs="Times New Roman"/>
                <w:color w:val="000000" w:themeColor="text1"/>
                <w:sz w:val="20"/>
                <w:szCs w:val="20"/>
                <w:vertAlign w:val="subscript"/>
              </w:rPr>
              <w:t>2</w:t>
            </w:r>
            <w:r w:rsidRPr="00F0736F">
              <w:rPr>
                <w:rFonts w:ascii="Times New Roman" w:hAnsi="Times New Roman" w:cs="Times New Roman"/>
                <w:color w:val="000000" w:themeColor="text1"/>
                <w:sz w:val="20"/>
                <w:szCs w:val="20"/>
              </w:rPr>
              <w:t>O</w:t>
            </w:r>
            <w:r w:rsidRPr="00F0736F">
              <w:rPr>
                <w:rFonts w:ascii="Times New Roman" w:hAnsi="Times New Roman" w:cs="Times New Roman"/>
                <w:color w:val="000000" w:themeColor="text1"/>
                <w:sz w:val="20"/>
                <w:szCs w:val="20"/>
                <w:vertAlign w:val="subscript"/>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797A35"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50,3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7A521B4B"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38,3</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3AEDF67F"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29,4</w:t>
            </w:r>
          </w:p>
        </w:tc>
      </w:tr>
      <w:tr w:rsidR="00F0736F" w:rsidRPr="00F0736F" w14:paraId="4D08F7D5" w14:textId="77777777" w:rsidTr="00BA583D">
        <w:trPr>
          <w:trHeight w:val="138"/>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8C7F2"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B5A38"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Потребление фосфатных удобрений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0DEE1"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кг/га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430AA0"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24FB4809"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570745AE"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r>
      <w:tr w:rsidR="00F0736F" w:rsidRPr="00F0736F" w14:paraId="2CDAAE9B" w14:textId="77777777" w:rsidTr="00BA583D">
        <w:trPr>
          <w:trHeight w:val="116"/>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187520"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524929"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калийных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D592D"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r w:rsidRPr="00F0736F">
              <w:rPr>
                <w:rFonts w:ascii="Times New Roman" w:hAnsi="Times New Roman" w:cs="Times New Roman"/>
                <w:color w:val="000000" w:themeColor="text1"/>
                <w:sz w:val="20"/>
                <w:szCs w:val="20"/>
              </w:rPr>
              <w:t xml:space="preserve"> K</w:t>
            </w:r>
            <w:r w:rsidRPr="00F0736F">
              <w:rPr>
                <w:rFonts w:ascii="Times New Roman" w:hAnsi="Times New Roman" w:cs="Times New Roman"/>
                <w:color w:val="000000" w:themeColor="text1"/>
                <w:sz w:val="20"/>
                <w:szCs w:val="20"/>
                <w:vertAlign w:val="subscript"/>
              </w:rPr>
              <w:t>2</w:t>
            </w:r>
            <w:r w:rsidRPr="00F0736F">
              <w:rPr>
                <w:rFonts w:ascii="Times New Roman" w:hAnsi="Times New Roman" w:cs="Times New Roman"/>
                <w:color w:val="000000" w:themeColor="text1"/>
                <w:sz w:val="20"/>
                <w:szCs w:val="20"/>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E2DE6C"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267BE10D"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9758776"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r>
      <w:tr w:rsidR="00F0736F" w:rsidRPr="00F0736F" w14:paraId="0C1825F6" w14:textId="77777777" w:rsidTr="00BA583D">
        <w:trPr>
          <w:trHeight w:val="215"/>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694A25"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4E657A" w14:textId="77777777" w:rsidR="00BA583D" w:rsidRPr="00F0736F" w:rsidRDefault="00BA583D" w:rsidP="00596EE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калийных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7D2B6"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кг/га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7B5E58"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56DF21B8"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0,06</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491D822F"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0,08</w:t>
            </w:r>
          </w:p>
        </w:tc>
      </w:tr>
      <w:tr w:rsidR="00F0736F" w:rsidRPr="00F0736F" w14:paraId="308371A0" w14:textId="77777777" w:rsidTr="00BA583D">
        <w:trPr>
          <w:trHeight w:val="272"/>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4FC87"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87653" w14:textId="77777777" w:rsidR="00BA583D" w:rsidRPr="00F0736F" w:rsidRDefault="00BA583D" w:rsidP="00D112AC">
            <w:pPr>
              <w:tabs>
                <w:tab w:val="left" w:pos="1134"/>
              </w:tabs>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Общий объем потребления минеральных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B0193C"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C4C66C"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162,6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48FCFCD8"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p>
          <w:p w14:paraId="2C7CBB9E"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120,9</w:t>
            </w:r>
          </w:p>
          <w:p w14:paraId="48366B5F" w14:textId="77777777" w:rsidR="00BA583D" w:rsidRPr="00F0736F" w:rsidRDefault="00BA583D" w:rsidP="00075143">
            <w:pPr>
              <w:tabs>
                <w:tab w:val="left" w:pos="1134"/>
              </w:tabs>
              <w:ind w:firstLine="709"/>
              <w:jc w:val="center"/>
              <w:rPr>
                <w:rFonts w:ascii="Times New Roman" w:hAnsi="Times New Roman" w:cs="Times New Roman"/>
                <w:color w:val="000000" w:themeColor="text1"/>
                <w:sz w:val="20"/>
                <w:szCs w:val="20"/>
              </w:rPr>
            </w:pP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AC20695"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86,5</w:t>
            </w:r>
          </w:p>
        </w:tc>
      </w:tr>
      <w:tr w:rsidR="00F0736F" w:rsidRPr="00F0736F" w14:paraId="4ECA77AD" w14:textId="77777777" w:rsidTr="00BA583D">
        <w:trPr>
          <w:trHeight w:val="218"/>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AAC564"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364FE" w14:textId="77777777" w:rsidR="00BA583D" w:rsidRPr="00F0736F" w:rsidRDefault="00BA583D" w:rsidP="00D112AC">
            <w:pPr>
              <w:tabs>
                <w:tab w:val="left" w:pos="1134"/>
              </w:tabs>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потребления минеральных удобрений на единицу площади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6520C"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кг/га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64DCE"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7483C18F"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5,5</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DA57019"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3,9</w:t>
            </w:r>
          </w:p>
        </w:tc>
      </w:tr>
      <w:tr w:rsidR="00F0736F" w:rsidRPr="00F0736F" w14:paraId="70533CEF" w14:textId="77777777" w:rsidTr="00BA583D">
        <w:trPr>
          <w:trHeight w:val="18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5E06C8"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705D0" w14:textId="77777777" w:rsidR="00BA583D" w:rsidRPr="00F0736F" w:rsidRDefault="00BA583D" w:rsidP="00D112AC">
            <w:pPr>
              <w:tabs>
                <w:tab w:val="left" w:pos="1134"/>
              </w:tabs>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Площади, обработанные минеральными удобрениями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6F0A1"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млн. 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AA11D4"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587AB47A"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66A8A94"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2,7</w:t>
            </w:r>
          </w:p>
        </w:tc>
      </w:tr>
      <w:tr w:rsidR="00F0736F" w:rsidRPr="00F0736F" w14:paraId="44667515" w14:textId="77777777" w:rsidTr="00BA583D">
        <w:trPr>
          <w:trHeight w:val="23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558FB0"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763E50" w14:textId="2D2FBF95" w:rsidR="00BA583D" w:rsidRPr="00F0736F" w:rsidRDefault="00BA583D" w:rsidP="00D112AC">
            <w:pPr>
              <w:tabs>
                <w:tab w:val="left" w:pos="1134"/>
              </w:tabs>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Доля площадей</w:t>
            </w:r>
            <w:r w:rsidR="00D112AC"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обработанных минеральными удобрениями</w:t>
            </w:r>
            <w:r w:rsidR="00A6172F"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от общей посевной площади</w:t>
            </w:r>
            <w:r w:rsidR="006C1B98"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сельскохозяйственных культур</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4141B4" w14:textId="77777777" w:rsidR="00BA583D" w:rsidRPr="00F0736F" w:rsidRDefault="00BA583D" w:rsidP="00BA583D">
            <w:pPr>
              <w:tabs>
                <w:tab w:val="left" w:pos="1134"/>
              </w:tabs>
              <w:ind w:firstLine="34"/>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826A88"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14:paraId="103DE2F0"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10,5</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3137CAA9" w14:textId="77777777" w:rsidR="00BA583D" w:rsidRPr="00F0736F" w:rsidRDefault="00BA583D" w:rsidP="00075143">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12,2</w:t>
            </w:r>
          </w:p>
        </w:tc>
      </w:tr>
      <w:tr w:rsidR="00F0736F" w:rsidRPr="00F0736F" w14:paraId="75DFF324" w14:textId="77777777" w:rsidTr="00813801">
        <w:trPr>
          <w:trHeight w:val="230"/>
        </w:trPr>
        <w:tc>
          <w:tcPr>
            <w:tcW w:w="9852" w:type="dxa"/>
            <w:gridSpan w:val="7"/>
            <w:tcBorders>
              <w:top w:val="single" w:sz="4" w:space="0" w:color="auto"/>
              <w:left w:val="single" w:sz="4" w:space="0" w:color="auto"/>
              <w:bottom w:val="single" w:sz="4" w:space="0" w:color="auto"/>
              <w:right w:val="single" w:sz="4" w:space="0" w:color="auto"/>
            </w:tcBorders>
            <w:shd w:val="clear" w:color="auto" w:fill="FFFFFF"/>
            <w:noWrap/>
            <w:vAlign w:val="center"/>
          </w:tcPr>
          <w:p w14:paraId="29A68F9B" w14:textId="77777777" w:rsidR="00E17002" w:rsidRPr="00F0736F" w:rsidRDefault="00E17002" w:rsidP="006C1B98">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органических удобрений</w:t>
            </w:r>
          </w:p>
        </w:tc>
      </w:tr>
      <w:tr w:rsidR="00F0736F" w:rsidRPr="00F0736F" w14:paraId="4F9265F6" w14:textId="77777777" w:rsidTr="00BA583D">
        <w:trPr>
          <w:trHeight w:val="23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7F9102"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14:paraId="57EAC6FA"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органических удобрений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E04913" w14:textId="77777777" w:rsidR="00BA583D" w:rsidRPr="00F0736F" w:rsidRDefault="00BA583D" w:rsidP="00BA583D">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0B603918"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1 375,9</w:t>
            </w:r>
          </w:p>
        </w:tc>
        <w:tc>
          <w:tcPr>
            <w:tcW w:w="9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7B035F"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633,0</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5B3D0916"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619,5</w:t>
            </w:r>
          </w:p>
        </w:tc>
      </w:tr>
      <w:tr w:rsidR="00F0736F" w:rsidRPr="00F0736F" w14:paraId="64FC97A8" w14:textId="77777777" w:rsidTr="00BA583D">
        <w:trPr>
          <w:trHeight w:val="23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5E6775"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14:paraId="46B3CC38"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Потребление органических удобрений на единицу площади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AAE5C94" w14:textId="77777777" w:rsidR="00BA583D" w:rsidRPr="00F0736F" w:rsidRDefault="00BA583D" w:rsidP="00BA583D">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кг/га</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0E228A9C"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63,0</w:t>
            </w:r>
          </w:p>
        </w:tc>
        <w:tc>
          <w:tcPr>
            <w:tcW w:w="9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C4B6D"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28,9</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4567CBF"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28,0</w:t>
            </w:r>
          </w:p>
        </w:tc>
      </w:tr>
      <w:tr w:rsidR="00F0736F" w:rsidRPr="00F0736F" w14:paraId="17D42C40" w14:textId="77777777" w:rsidTr="00BA583D">
        <w:trPr>
          <w:trHeight w:val="23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2F3EE"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14:paraId="0E64BA85"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Площади, обработанные органическими удобрениями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954379D" w14:textId="77777777" w:rsidR="00BA583D" w:rsidRPr="00F0736F" w:rsidRDefault="00BA583D" w:rsidP="00BA583D">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млн. га</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3EE65DD3"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0,12</w:t>
            </w:r>
          </w:p>
        </w:tc>
        <w:tc>
          <w:tcPr>
            <w:tcW w:w="9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AA2EB0"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9CDD0E7"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r>
      <w:tr w:rsidR="00F0736F" w:rsidRPr="00F0736F" w14:paraId="7DD7F412" w14:textId="77777777" w:rsidTr="00BA583D">
        <w:trPr>
          <w:trHeight w:val="230"/>
        </w:trPr>
        <w:tc>
          <w:tcPr>
            <w:tcW w:w="56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2502B" w14:textId="77777777" w:rsidR="00BA583D" w:rsidRPr="00F0736F" w:rsidRDefault="00BA583D" w:rsidP="00075143">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w:t>
            </w:r>
          </w:p>
        </w:tc>
        <w:tc>
          <w:tcPr>
            <w:tcW w:w="4649" w:type="dxa"/>
            <w:tcBorders>
              <w:top w:val="single" w:sz="4" w:space="0" w:color="auto"/>
              <w:left w:val="single" w:sz="4" w:space="0" w:color="auto"/>
              <w:bottom w:val="single" w:sz="4" w:space="0" w:color="auto"/>
              <w:right w:val="single" w:sz="4" w:space="0" w:color="auto"/>
            </w:tcBorders>
            <w:shd w:val="clear" w:color="auto" w:fill="FFFFFF"/>
            <w:vAlign w:val="center"/>
          </w:tcPr>
          <w:p w14:paraId="70BA4EF2" w14:textId="1BD572C6" w:rsidR="00BA583D" w:rsidRPr="00F0736F" w:rsidRDefault="00BA583D" w:rsidP="00A6172F">
            <w:pPr>
              <w:tabs>
                <w:tab w:val="left" w:pos="1134"/>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Доля площадей, обработанных органическими удобрениями</w:t>
            </w:r>
            <w:r w:rsidR="00A6172F"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от общей посевной площади сельскохозяйственных культур</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6738523" w14:textId="77777777" w:rsidR="00BA583D" w:rsidRPr="00F0736F" w:rsidRDefault="00BA583D" w:rsidP="00BA583D">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08C766DC"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0,5</w:t>
            </w:r>
          </w:p>
        </w:tc>
        <w:tc>
          <w:tcPr>
            <w:tcW w:w="9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C1C2E9"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0,5</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85F5F4D" w14:textId="77777777" w:rsidR="00BA583D" w:rsidRPr="00F0736F" w:rsidRDefault="00BA583D" w:rsidP="00D112AC">
            <w:pPr>
              <w:tabs>
                <w:tab w:val="left" w:pos="1134"/>
              </w:tabs>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0,4</w:t>
            </w:r>
          </w:p>
        </w:tc>
      </w:tr>
    </w:tbl>
    <w:p w14:paraId="60BB5458" w14:textId="77777777" w:rsidR="00E17002" w:rsidRPr="00F0736F" w:rsidRDefault="00E17002" w:rsidP="008727D9">
      <w:pPr>
        <w:ind w:firstLine="709"/>
        <w:jc w:val="both"/>
        <w:rPr>
          <w:rFonts w:ascii="Times New Roman" w:hAnsi="Times New Roman" w:cs="Times New Roman"/>
          <w:i/>
          <w:color w:val="000000" w:themeColor="text1"/>
          <w:sz w:val="20"/>
          <w:szCs w:val="20"/>
        </w:rPr>
      </w:pPr>
      <w:r w:rsidRPr="00F0736F">
        <w:rPr>
          <w:rFonts w:ascii="Times New Roman" w:eastAsia="Calibri" w:hAnsi="Times New Roman" w:cs="Times New Roman"/>
          <w:i/>
          <w:color w:val="000000" w:themeColor="text1"/>
          <w:sz w:val="20"/>
          <w:szCs w:val="20"/>
        </w:rPr>
        <w:t xml:space="preserve">Источник: </w:t>
      </w:r>
      <w:hyperlink r:id="rId12" w:history="1">
        <w:r w:rsidRPr="00F0736F">
          <w:rPr>
            <w:rStyle w:val="a6"/>
            <w:rFonts w:ascii="Times New Roman" w:eastAsia="Calibri" w:hAnsi="Times New Roman" w:cs="Times New Roman"/>
            <w:i/>
            <w:color w:val="000000" w:themeColor="text1"/>
            <w:sz w:val="20"/>
            <w:szCs w:val="20"/>
            <w:u w:val="none"/>
          </w:rPr>
          <w:t>Министерство</w:t>
        </w:r>
      </w:hyperlink>
      <w:r w:rsidRPr="00F0736F">
        <w:rPr>
          <w:i/>
          <w:color w:val="000000" w:themeColor="text1"/>
        </w:rPr>
        <w:t xml:space="preserve"> </w:t>
      </w:r>
      <w:r w:rsidRPr="00F0736F">
        <w:rPr>
          <w:i/>
          <w:color w:val="000000" w:themeColor="text1"/>
          <w:sz w:val="20"/>
          <w:szCs w:val="20"/>
        </w:rPr>
        <w:t>сельского хозяйства РК</w:t>
      </w:r>
    </w:p>
    <w:p w14:paraId="0D9F8CE9" w14:textId="77777777" w:rsidR="00E17002" w:rsidRPr="00F0736F" w:rsidRDefault="00E17002" w:rsidP="008727D9">
      <w:pPr>
        <w:tabs>
          <w:tab w:val="left" w:pos="1134"/>
        </w:tabs>
        <w:ind w:firstLine="709"/>
        <w:jc w:val="both"/>
        <w:rPr>
          <w:rFonts w:ascii="Times New Roman" w:hAnsi="Times New Roman" w:cs="Times New Roman"/>
          <w:color w:val="000000" w:themeColor="text1"/>
        </w:rPr>
      </w:pPr>
    </w:p>
    <w:p w14:paraId="3CED916C" w14:textId="77777777" w:rsidR="00E17002" w:rsidRPr="00F0736F" w:rsidRDefault="00E17002" w:rsidP="008727D9">
      <w:pPr>
        <w:tabs>
          <w:tab w:val="left" w:pos="1134"/>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Основными причинами низкого внесения удобрений являются низкий платежеспособный спрос сельхозтоваропроизводителей, высокая стоимость удобрений, узкий ассортимент производимых в республике удобрений, отсутствие инфраструктуры по</w:t>
      </w:r>
      <w:r w:rsidR="00001384" w:rsidRPr="00F0736F">
        <w:rPr>
          <w:rFonts w:ascii="Times New Roman" w:hAnsi="Times New Roman" w:cs="Times New Roman"/>
          <w:color w:val="000000" w:themeColor="text1"/>
        </w:rPr>
        <w:t xml:space="preserve"> их</w:t>
      </w:r>
      <w:r w:rsidRPr="00F0736F">
        <w:rPr>
          <w:rFonts w:ascii="Times New Roman" w:hAnsi="Times New Roman" w:cs="Times New Roman"/>
          <w:color w:val="000000" w:themeColor="text1"/>
        </w:rPr>
        <w:t xml:space="preserve"> доставке и хранению.</w:t>
      </w:r>
    </w:p>
    <w:p w14:paraId="00F0C0B8" w14:textId="77777777" w:rsidR="00E17002" w:rsidRPr="00F0736F" w:rsidRDefault="00E17002" w:rsidP="008727D9">
      <w:pPr>
        <w:tabs>
          <w:tab w:val="left" w:pos="1134"/>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обеспечения доступности минеральных удобрений для сельхозтоваропроизводителей государством осуществляется субсидирование их приобретения.</w:t>
      </w:r>
    </w:p>
    <w:p w14:paraId="2F1DF636" w14:textId="77777777" w:rsidR="00E17002" w:rsidRPr="00F0736F" w:rsidRDefault="00E17002" w:rsidP="008727D9">
      <w:pPr>
        <w:ind w:firstLine="709"/>
        <w:jc w:val="both"/>
        <w:rPr>
          <w:rFonts w:ascii="Times New Roman" w:eastAsia="Times New Roman" w:hAnsi="Times New Roman" w:cs="Times New Roman"/>
          <w:color w:val="000000" w:themeColor="text1"/>
          <w:kern w:val="0"/>
          <w:lang w:eastAsia="ru-RU" w:bidi="ar-SA"/>
        </w:rPr>
      </w:pPr>
      <w:r w:rsidRPr="00F0736F">
        <w:rPr>
          <w:rFonts w:ascii="Times New Roman" w:hAnsi="Times New Roman" w:cs="Times New Roman"/>
          <w:color w:val="000000" w:themeColor="text1"/>
        </w:rPr>
        <w:t>По данным Министерства индустрии и инфраструктурного развития Республики Казахстан на территории республики зарегистрированы 13 отечественных производителей минеральных удобрений, и в целом ими может быть обеспечено производство порядка 40% от потребности.</w:t>
      </w:r>
    </w:p>
    <w:p w14:paraId="2B7B4545" w14:textId="77777777" w:rsidR="00F674A4" w:rsidRPr="00F0736F" w:rsidRDefault="00F674A4" w:rsidP="008727D9">
      <w:pPr>
        <w:ind w:firstLine="709"/>
        <w:jc w:val="both"/>
        <w:rPr>
          <w:color w:val="000000" w:themeColor="text1"/>
        </w:rPr>
      </w:pPr>
      <w:r w:rsidRPr="00F0736F">
        <w:rPr>
          <w:rStyle w:val="a6"/>
          <w:rFonts w:ascii="Times New Roman" w:eastAsia="Times New Roman" w:hAnsi="Times New Roman" w:cs="Times New Roman"/>
          <w:color w:val="000000" w:themeColor="text1"/>
          <w:spacing w:val="2"/>
          <w:u w:val="none"/>
        </w:rPr>
        <w:t>Для улучшения финансирования сельского хозяйства в</w:t>
      </w:r>
      <w:r w:rsidRPr="00F0736F">
        <w:rPr>
          <w:rFonts w:ascii="Times New Roman" w:hAnsi="Times New Roman" w:cs="Times New Roman"/>
          <w:color w:val="000000" w:themeColor="text1"/>
        </w:rPr>
        <w:t xml:space="preserve"> 2017 году конечная ставка по кредитам для весенне-полевых работ снижена до 6% годовых конечным заемщикам, тогда как в 2016 году она составляла 9%. Это достигнуто благодаря сокращению количества звеньев в цепочке предоставления кредита.</w:t>
      </w:r>
    </w:p>
    <w:p w14:paraId="331D2A44" w14:textId="77777777" w:rsidR="00F674A4" w:rsidRPr="00F0736F" w:rsidRDefault="00813801" w:rsidP="008727D9">
      <w:pPr>
        <w:ind w:firstLine="709"/>
        <w:jc w:val="both"/>
        <w:rPr>
          <w:color w:val="000000" w:themeColor="text1"/>
        </w:rPr>
      </w:pPr>
      <w:r w:rsidRPr="00F0736F">
        <w:rPr>
          <w:rStyle w:val="a6"/>
          <w:rFonts w:ascii="Times New Roman" w:eastAsia="Times New Roman" w:hAnsi="Times New Roman" w:cs="Times New Roman"/>
          <w:bCs/>
          <w:color w:val="000000" w:themeColor="text1"/>
          <w:spacing w:val="2"/>
          <w:u w:val="none"/>
        </w:rPr>
        <w:t>В 2017-</w:t>
      </w:r>
      <w:r w:rsidR="00F674A4" w:rsidRPr="00F0736F">
        <w:rPr>
          <w:rStyle w:val="a6"/>
          <w:rFonts w:ascii="Times New Roman" w:eastAsia="Times New Roman" w:hAnsi="Times New Roman" w:cs="Times New Roman"/>
          <w:bCs/>
          <w:color w:val="000000" w:themeColor="text1"/>
          <w:spacing w:val="2"/>
          <w:u w:val="none"/>
        </w:rPr>
        <w:t>2018 годах</w:t>
      </w:r>
      <w:r w:rsidR="00001384" w:rsidRPr="00F0736F">
        <w:rPr>
          <w:rStyle w:val="a6"/>
          <w:rFonts w:ascii="Times New Roman" w:eastAsia="Times New Roman" w:hAnsi="Times New Roman" w:cs="Times New Roman"/>
          <w:bCs/>
          <w:color w:val="000000" w:themeColor="text1"/>
          <w:spacing w:val="2"/>
          <w:u w:val="none"/>
        </w:rPr>
        <w:t>,</w:t>
      </w:r>
      <w:r w:rsidR="00F674A4" w:rsidRPr="00F0736F">
        <w:rPr>
          <w:rStyle w:val="a6"/>
          <w:rFonts w:ascii="Times New Roman" w:eastAsia="Times New Roman" w:hAnsi="Times New Roman" w:cs="Times New Roman"/>
          <w:bCs/>
          <w:color w:val="000000" w:themeColor="text1"/>
          <w:spacing w:val="2"/>
          <w:u w:val="none"/>
        </w:rPr>
        <w:t xml:space="preserve"> в соответствии с </w:t>
      </w:r>
      <w:r w:rsidR="00F674A4" w:rsidRPr="00F0736F">
        <w:rPr>
          <w:rStyle w:val="a6"/>
          <w:rFonts w:ascii="Times New Roman" w:eastAsia="Times New Roman" w:hAnsi="Times New Roman" w:cs="Times New Roman"/>
          <w:color w:val="000000" w:themeColor="text1"/>
          <w:spacing w:val="2"/>
          <w:u w:val="none"/>
        </w:rPr>
        <w:t xml:space="preserve">Планом мероприятий по реализации Государственной программы развития </w:t>
      </w:r>
      <w:r w:rsidR="00075143" w:rsidRPr="00F0736F">
        <w:rPr>
          <w:rStyle w:val="a6"/>
          <w:rFonts w:ascii="Times New Roman" w:eastAsia="Times New Roman" w:hAnsi="Times New Roman" w:cs="Times New Roman"/>
          <w:color w:val="000000" w:themeColor="text1"/>
          <w:spacing w:val="2"/>
          <w:u w:val="none"/>
        </w:rPr>
        <w:t>АПК</w:t>
      </w:r>
      <w:r w:rsidRPr="00F0736F">
        <w:rPr>
          <w:rStyle w:val="a6"/>
          <w:rFonts w:ascii="Times New Roman" w:eastAsia="Times New Roman" w:hAnsi="Times New Roman" w:cs="Times New Roman"/>
          <w:color w:val="000000" w:themeColor="text1"/>
          <w:spacing w:val="2"/>
          <w:u w:val="none"/>
        </w:rPr>
        <w:t xml:space="preserve"> Республики Казахстан на 2017-</w:t>
      </w:r>
      <w:r w:rsidR="00F674A4" w:rsidRPr="00F0736F">
        <w:rPr>
          <w:rStyle w:val="a6"/>
          <w:rFonts w:ascii="Times New Roman" w:eastAsia="Times New Roman" w:hAnsi="Times New Roman" w:cs="Times New Roman"/>
          <w:color w:val="000000" w:themeColor="text1"/>
          <w:spacing w:val="2"/>
          <w:u w:val="none"/>
        </w:rPr>
        <w:t>2021 годы</w:t>
      </w:r>
      <w:r w:rsidR="00001384" w:rsidRPr="00F0736F">
        <w:rPr>
          <w:rStyle w:val="a6"/>
          <w:rFonts w:ascii="Times New Roman" w:eastAsia="Times New Roman" w:hAnsi="Times New Roman" w:cs="Times New Roman"/>
          <w:color w:val="000000" w:themeColor="text1"/>
          <w:spacing w:val="2"/>
          <w:u w:val="none"/>
        </w:rPr>
        <w:t>,</w:t>
      </w:r>
      <w:r w:rsidR="00F674A4" w:rsidRPr="00F0736F">
        <w:rPr>
          <w:rStyle w:val="a6"/>
          <w:rFonts w:ascii="Times New Roman" w:eastAsia="Times New Roman" w:hAnsi="Times New Roman" w:cs="Times New Roman"/>
          <w:color w:val="000000" w:themeColor="text1"/>
          <w:spacing w:val="2"/>
          <w:u w:val="none"/>
        </w:rPr>
        <w:t xml:space="preserve"> действовали следующие виды</w:t>
      </w:r>
      <w:r w:rsidR="00F674A4" w:rsidRPr="00F0736F">
        <w:rPr>
          <w:rFonts w:ascii="Times New Roman" w:hAnsi="Times New Roman" w:cs="Times New Roman"/>
          <w:color w:val="000000" w:themeColor="text1"/>
        </w:rPr>
        <w:t xml:space="preserve"> государственных субсидий:</w:t>
      </w:r>
    </w:p>
    <w:p w14:paraId="00EB4BC2"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субсидирование повышения урожайности и качества продукции растениеводства; </w:t>
      </w:r>
    </w:p>
    <w:p w14:paraId="5DC61386"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субсидирование стоимости затрат на закладку и выращивание (в том числе восстановление) многолетних насаждений плодово-ягодных культур и винограда (яблони сорта «Апорт»); </w:t>
      </w:r>
    </w:p>
    <w:p w14:paraId="12E7ED2A"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стоимости минеральных удобрений (за исключением органических);</w:t>
      </w:r>
    </w:p>
    <w:p w14:paraId="668213AF"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затрат на приобретение пестицидов, биопрепаратов (биоагентов) для борьбы против вредных, особо опасных вредных организмов выше экономического порога вредности, карантинных объектов и сорной растительности, осуществляемых за счет средств физических и/или юридических лиц;</w:t>
      </w:r>
    </w:p>
    <w:p w14:paraId="273A1FF4"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стоимости затрат на экспертизу качества хлопка-волокна, хлопка-сырца;</w:t>
      </w:r>
    </w:p>
    <w:p w14:paraId="7BE8A562"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поддержки семеноводства;</w:t>
      </w:r>
    </w:p>
    <w:p w14:paraId="271DA753"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кредитование субъектов АПК на проведение весенне-полевых и уборочных работ; </w:t>
      </w:r>
    </w:p>
    <w:p w14:paraId="37A8E568"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стоимости затрат на развитие племенного животноводства и повышение продуктивности и качества продукции животноводства;</w:t>
      </w:r>
    </w:p>
    <w:p w14:paraId="6575A0D8"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xml:space="preserve">- субсидирование заготовительным организациям в сфере АПК суммы НДС, уплаченной в бюджет, в пределах исчисленного НДС; </w:t>
      </w:r>
    </w:p>
    <w:p w14:paraId="6CA8650B"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 субсидирование затрат перерабатывающих предприятий на закуп сырья для производства сухого молока, сливочного масла и сыров.</w:t>
      </w:r>
    </w:p>
    <w:p w14:paraId="13394A64" w14:textId="77777777" w:rsidR="00813801" w:rsidRPr="00F0736F" w:rsidRDefault="00813801" w:rsidP="008727D9">
      <w:pPr>
        <w:ind w:firstLine="709"/>
        <w:jc w:val="both"/>
        <w:rPr>
          <w:rFonts w:ascii="Times New Roman" w:hAnsi="Times New Roman" w:cs="Times New Roman"/>
          <w:b/>
          <w:color w:val="000000" w:themeColor="text1"/>
        </w:rPr>
      </w:pPr>
    </w:p>
    <w:p w14:paraId="17E78751"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Для повышения уровня знаний и навыков</w:t>
      </w:r>
      <w:r w:rsidRPr="00F0736F">
        <w:rPr>
          <w:rFonts w:ascii="Times New Roman" w:hAnsi="Times New Roman" w:cs="Times New Roman"/>
          <w:color w:val="000000" w:themeColor="text1"/>
        </w:rPr>
        <w:t xml:space="preserve"> фермеров по ведению агробизнеса МСХ в рамках государственного задания Национальной палатой предпринимателей «Атамекен» на безвозмездной основе проводятся обучающие научно-практические семинары в крестьянских хозяйствах и консультационные мероприятия. </w:t>
      </w:r>
    </w:p>
    <w:p w14:paraId="283EEF9D" w14:textId="4E101FF0"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центрах распространения знаний НАО </w:t>
      </w:r>
      <w:r w:rsidR="009F3A8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Национальный аграрный научно-образовательный центр</w:t>
      </w:r>
      <w:r w:rsidR="009F3A8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 на базе передовых сельхозпредприятий проведено около 1</w:t>
      </w:r>
      <w:r w:rsidR="00E718D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400 семинаров с участием свыше 25 тыс. слушателей по всем направлениям развития АПК, в том числе внедрению принципов </w:t>
      </w:r>
      <w:r w:rsidR="009F3A8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зеленого</w:t>
      </w:r>
      <w:r w:rsidR="009F3A8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сельского хозяйства. В 2019 году проведено порядка 300 семинаров, 72 коммерческих семинара и курсов, 54 Дня поля и др. мероприятия. </w:t>
      </w:r>
    </w:p>
    <w:p w14:paraId="117B34E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Тематики научно-практических семинаров формируются из потребностей субъектов АПК по результатам опроса потенциальных получателей услуг.</w:t>
      </w:r>
    </w:p>
    <w:p w14:paraId="3EAA283D" w14:textId="21464A16"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Кроме того, запущены бесплатные услуги онлайн</w:t>
      </w:r>
      <w:r w:rsidR="0000138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консультирования и онлайн</w:t>
      </w:r>
      <w:r w:rsidR="00E718D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повышения квалификации для субъектов АПК через информационно-аналитический портал fаrmers.kz.</w:t>
      </w:r>
    </w:p>
    <w:p w14:paraId="20D67238" w14:textId="77777777" w:rsidR="00F674A4" w:rsidRPr="00F0736F" w:rsidRDefault="00F674A4" w:rsidP="008727D9">
      <w:pPr>
        <w:ind w:firstLine="709"/>
        <w:jc w:val="both"/>
        <w:rPr>
          <w:rFonts w:ascii="Times New Roman" w:hAnsi="Times New Roman" w:cs="Times New Roman"/>
          <w:color w:val="000000" w:themeColor="text1"/>
        </w:rPr>
      </w:pPr>
    </w:p>
    <w:p w14:paraId="5DE8A1D0" w14:textId="7DAEF160"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Международн</w:t>
      </w:r>
      <w:r w:rsidR="00001384" w:rsidRPr="00F0736F">
        <w:rPr>
          <w:rFonts w:ascii="Times New Roman" w:hAnsi="Times New Roman" w:cs="Times New Roman"/>
          <w:b/>
          <w:bCs/>
          <w:i/>
          <w:iCs/>
          <w:color w:val="000000" w:themeColor="text1"/>
        </w:rPr>
        <w:t>ый опы</w:t>
      </w:r>
      <w:r w:rsidR="00E718D1" w:rsidRPr="00F0736F">
        <w:rPr>
          <w:rFonts w:ascii="Times New Roman" w:hAnsi="Times New Roman" w:cs="Times New Roman"/>
          <w:b/>
          <w:bCs/>
          <w:i/>
          <w:iCs/>
          <w:color w:val="000000" w:themeColor="text1"/>
        </w:rPr>
        <w:t>т</w:t>
      </w:r>
    </w:p>
    <w:p w14:paraId="40948FBD" w14:textId="21AA9A53"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Сегодня </w:t>
      </w:r>
      <w:r w:rsidRPr="00F0736F">
        <w:rPr>
          <w:rFonts w:ascii="Times New Roman" w:eastAsia="Times New Roman" w:hAnsi="Times New Roman" w:cs="Times New Roman"/>
          <w:bCs/>
          <w:color w:val="000000" w:themeColor="text1"/>
          <w:spacing w:val="2"/>
          <w:lang w:eastAsia="ru-RU"/>
        </w:rPr>
        <w:t>органическое сельское хозяйство</w:t>
      </w:r>
      <w:r w:rsidRPr="00F0736F">
        <w:rPr>
          <w:rFonts w:ascii="Times New Roman" w:eastAsia="Times New Roman" w:hAnsi="Times New Roman" w:cs="Times New Roman"/>
          <w:color w:val="000000" w:themeColor="text1"/>
          <w:spacing w:val="2"/>
          <w:lang w:eastAsia="ru-RU"/>
        </w:rPr>
        <w:t xml:space="preserve"> практикуется в 160 странах мира. В 84 стран</w:t>
      </w:r>
      <w:r w:rsidR="00001384" w:rsidRPr="00F0736F">
        <w:rPr>
          <w:rFonts w:ascii="Times New Roman" w:eastAsia="Times New Roman" w:hAnsi="Times New Roman" w:cs="Times New Roman"/>
          <w:color w:val="000000" w:themeColor="text1"/>
          <w:spacing w:val="2"/>
          <w:lang w:eastAsia="ru-RU"/>
        </w:rPr>
        <w:t xml:space="preserve">ах </w:t>
      </w:r>
      <w:r w:rsidRPr="00F0736F">
        <w:rPr>
          <w:rFonts w:ascii="Times New Roman" w:eastAsia="Times New Roman" w:hAnsi="Times New Roman" w:cs="Times New Roman"/>
          <w:color w:val="000000" w:themeColor="text1"/>
          <w:spacing w:val="2"/>
          <w:lang w:eastAsia="ru-RU"/>
        </w:rPr>
        <w:t xml:space="preserve">действуют собственные Законы об органическом земледелии, в десятках стран такие законопроекты разрабатываются. По оценкам экономистов, если </w:t>
      </w:r>
      <w:r w:rsidR="007C0106" w:rsidRPr="00F0736F">
        <w:rPr>
          <w:rFonts w:ascii="Times New Roman" w:eastAsia="Times New Roman" w:hAnsi="Times New Roman" w:cs="Times New Roman"/>
          <w:color w:val="000000" w:themeColor="text1"/>
          <w:spacing w:val="2"/>
          <w:lang w:eastAsia="ru-RU"/>
        </w:rPr>
        <w:t xml:space="preserve">в </w:t>
      </w:r>
      <w:r w:rsidRPr="00F0736F">
        <w:rPr>
          <w:rFonts w:ascii="Times New Roman" w:eastAsia="Times New Roman" w:hAnsi="Times New Roman" w:cs="Times New Roman"/>
          <w:color w:val="000000" w:themeColor="text1"/>
          <w:spacing w:val="2"/>
          <w:lang w:eastAsia="ru-RU"/>
        </w:rPr>
        <w:t>2018 год</w:t>
      </w:r>
      <w:r w:rsidR="007C0106" w:rsidRPr="00F0736F">
        <w:rPr>
          <w:rFonts w:ascii="Times New Roman" w:eastAsia="Times New Roman" w:hAnsi="Times New Roman" w:cs="Times New Roman"/>
          <w:color w:val="000000" w:themeColor="text1"/>
          <w:spacing w:val="2"/>
          <w:lang w:eastAsia="ru-RU"/>
        </w:rPr>
        <w:t>у</w:t>
      </w:r>
      <w:r w:rsidRPr="00F0736F">
        <w:rPr>
          <w:rFonts w:ascii="Times New Roman" w:eastAsia="Times New Roman" w:hAnsi="Times New Roman" w:cs="Times New Roman"/>
          <w:color w:val="000000" w:themeColor="text1"/>
          <w:spacing w:val="2"/>
          <w:lang w:eastAsia="ru-RU"/>
        </w:rPr>
        <w:t xml:space="preserve"> оборот в сфере органического сель</w:t>
      </w:r>
      <w:r w:rsidR="00C84A65" w:rsidRPr="00F0736F">
        <w:rPr>
          <w:rFonts w:ascii="Times New Roman" w:eastAsia="Times New Roman" w:hAnsi="Times New Roman" w:cs="Times New Roman"/>
          <w:color w:val="000000" w:themeColor="text1"/>
          <w:spacing w:val="2"/>
          <w:lang w:eastAsia="ru-RU"/>
        </w:rPr>
        <w:t>ского хозяйства составля</w:t>
      </w:r>
      <w:r w:rsidR="007C0106" w:rsidRPr="00F0736F">
        <w:rPr>
          <w:rFonts w:ascii="Times New Roman" w:eastAsia="Times New Roman" w:hAnsi="Times New Roman" w:cs="Times New Roman"/>
          <w:color w:val="000000" w:themeColor="text1"/>
          <w:spacing w:val="2"/>
          <w:lang w:eastAsia="ru-RU"/>
        </w:rPr>
        <w:t>л</w:t>
      </w:r>
      <w:r w:rsidR="00C84A65" w:rsidRPr="00F0736F">
        <w:rPr>
          <w:rFonts w:ascii="Times New Roman" w:eastAsia="Times New Roman" w:hAnsi="Times New Roman" w:cs="Times New Roman"/>
          <w:color w:val="000000" w:themeColor="text1"/>
          <w:spacing w:val="2"/>
          <w:lang w:eastAsia="ru-RU"/>
        </w:rPr>
        <w:t xml:space="preserve"> 85-</w:t>
      </w:r>
      <w:r w:rsidRPr="00F0736F">
        <w:rPr>
          <w:rFonts w:ascii="Times New Roman" w:eastAsia="Times New Roman" w:hAnsi="Times New Roman" w:cs="Times New Roman"/>
          <w:color w:val="000000" w:themeColor="text1"/>
          <w:spacing w:val="2"/>
          <w:lang w:eastAsia="ru-RU"/>
        </w:rPr>
        <w:t>90 м</w:t>
      </w:r>
      <w:r w:rsidR="00E718D1" w:rsidRPr="00F0736F">
        <w:rPr>
          <w:rFonts w:ascii="Times New Roman" w:eastAsia="Times New Roman" w:hAnsi="Times New Roman" w:cs="Times New Roman"/>
          <w:color w:val="000000" w:themeColor="text1"/>
          <w:spacing w:val="2"/>
          <w:lang w:eastAsia="ru-RU"/>
        </w:rPr>
        <w:t>лрд.</w:t>
      </w:r>
      <w:r w:rsidRPr="00F0736F">
        <w:rPr>
          <w:rFonts w:ascii="Times New Roman" w:eastAsia="Times New Roman" w:hAnsi="Times New Roman" w:cs="Times New Roman"/>
          <w:color w:val="000000" w:themeColor="text1"/>
          <w:spacing w:val="2"/>
          <w:lang w:eastAsia="ru-RU"/>
        </w:rPr>
        <w:t xml:space="preserve"> долларов в год, то к 2020</w:t>
      </w:r>
      <w:r w:rsidR="00C84A65" w:rsidRPr="00F0736F">
        <w:rPr>
          <w:rFonts w:ascii="Times New Roman" w:eastAsia="Times New Roman" w:hAnsi="Times New Roman" w:cs="Times New Roman"/>
          <w:color w:val="000000" w:themeColor="text1"/>
          <w:spacing w:val="2"/>
          <w:lang w:eastAsia="ru-RU"/>
        </w:rPr>
        <w:t xml:space="preserve"> году эта цифра достигнет 200-</w:t>
      </w:r>
      <w:r w:rsidRPr="00F0736F">
        <w:rPr>
          <w:rFonts w:ascii="Times New Roman" w:eastAsia="Times New Roman" w:hAnsi="Times New Roman" w:cs="Times New Roman"/>
          <w:color w:val="000000" w:themeColor="text1"/>
          <w:spacing w:val="2"/>
          <w:lang w:eastAsia="ru-RU"/>
        </w:rPr>
        <w:t xml:space="preserve">250 </w:t>
      </w:r>
      <w:r w:rsidR="00E718D1" w:rsidRPr="00F0736F">
        <w:rPr>
          <w:rFonts w:ascii="Times New Roman" w:eastAsia="Times New Roman" w:hAnsi="Times New Roman" w:cs="Times New Roman"/>
          <w:color w:val="000000" w:themeColor="text1"/>
          <w:spacing w:val="2"/>
          <w:lang w:eastAsia="ru-RU"/>
        </w:rPr>
        <w:t xml:space="preserve">млрд. </w:t>
      </w:r>
      <w:r w:rsidRPr="00F0736F">
        <w:rPr>
          <w:rFonts w:ascii="Times New Roman" w:eastAsia="Times New Roman" w:hAnsi="Times New Roman" w:cs="Times New Roman"/>
          <w:color w:val="000000" w:themeColor="text1"/>
          <w:spacing w:val="2"/>
          <w:lang w:eastAsia="ru-RU"/>
        </w:rPr>
        <w:t xml:space="preserve">долларов </w:t>
      </w:r>
      <w:r w:rsidR="00597FA5" w:rsidRPr="00F0736F">
        <w:rPr>
          <w:rFonts w:ascii="Times New Roman" w:eastAsia="Times New Roman" w:hAnsi="Times New Roman" w:cs="Times New Roman"/>
          <w:color w:val="000000" w:themeColor="text1"/>
          <w:spacing w:val="2"/>
          <w:lang w:eastAsia="ru-RU"/>
        </w:rPr>
        <w:t>США</w:t>
      </w:r>
      <w:r w:rsidR="00597FA5" w:rsidRPr="00F0736F">
        <w:rPr>
          <w:rStyle w:val="a4"/>
          <w:rFonts w:ascii="Times New Roman" w:eastAsia="Times New Roman" w:hAnsi="Times New Roman" w:cs="Times New Roman"/>
          <w:color w:val="000000" w:themeColor="text1"/>
          <w:spacing w:val="2"/>
          <w:lang w:eastAsia="ru-RU"/>
        </w:rPr>
        <w:footnoteReference w:id="30"/>
      </w:r>
    </w:p>
    <w:p w14:paraId="1E5B2412" w14:textId="7791F231" w:rsidR="00597FA5" w:rsidRPr="00F0736F" w:rsidRDefault="00F674A4" w:rsidP="008727D9">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Спрос на продовольственные товары, произведенные с учетом экологических стандартов, постоянно растет. Европейский Союз является вторым по величине внутренним рынком в мире после США, где реализуются биопродукты, а Германия – крупнейшим рынком внутри ЕС. В 2017 г</w:t>
      </w:r>
      <w:r w:rsidR="00673909" w:rsidRPr="00F0736F">
        <w:rPr>
          <w:rFonts w:ascii="Times New Roman" w:eastAsia="Times New Roman" w:hAnsi="Times New Roman" w:cs="Times New Roman"/>
          <w:color w:val="000000" w:themeColor="text1"/>
          <w:spacing w:val="2"/>
          <w:lang w:eastAsia="ru-RU"/>
        </w:rPr>
        <w:t>оду</w:t>
      </w:r>
      <w:r w:rsidRPr="00F0736F">
        <w:rPr>
          <w:rFonts w:ascii="Times New Roman" w:eastAsia="Times New Roman" w:hAnsi="Times New Roman" w:cs="Times New Roman"/>
          <w:color w:val="000000" w:themeColor="text1"/>
          <w:spacing w:val="2"/>
          <w:lang w:eastAsia="ru-RU"/>
        </w:rPr>
        <w:t xml:space="preserve"> эта отрасль германской экономики зафиксировала новый рекорд – товарооборот на сумму более 10 млрд. евро. Федеральное правительство требует расширять «зеленое» сельское хозяйство</w:t>
      </w:r>
      <w:r w:rsidR="00597FA5" w:rsidRPr="00F0736F">
        <w:rPr>
          <w:rStyle w:val="a4"/>
          <w:rFonts w:ascii="Times New Roman" w:eastAsia="Times New Roman" w:hAnsi="Times New Roman" w:cs="Times New Roman"/>
          <w:color w:val="000000" w:themeColor="text1"/>
          <w:spacing w:val="2"/>
          <w:lang w:eastAsia="ru-RU"/>
        </w:rPr>
        <w:footnoteReference w:id="31"/>
      </w:r>
    </w:p>
    <w:p w14:paraId="29839B49" w14:textId="2D8745D4"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К 2030 году 20% земель сельхозназначения в Германии должны обрабатываться с использованием экотехнологий. Эта цель является частью </w:t>
      </w:r>
      <w:hyperlink r:id="rId13" w:history="1">
        <w:r w:rsidRPr="00F0736F">
          <w:rPr>
            <w:rStyle w:val="a6"/>
            <w:rFonts w:ascii="Times New Roman" w:hAnsi="Times New Roman" w:cs="Times New Roman"/>
            <w:color w:val="000000" w:themeColor="text1"/>
            <w:u w:val="none"/>
          </w:rPr>
          <w:t>стратегии устойчивости Федеративной Республики Германия</w:t>
        </w:r>
      </w:hyperlink>
      <w:r w:rsidRPr="00F0736F">
        <w:rPr>
          <w:rFonts w:ascii="Times New Roman" w:hAnsi="Times New Roman" w:cs="Times New Roman"/>
          <w:color w:val="000000" w:themeColor="text1"/>
        </w:rPr>
        <w:t xml:space="preserve">. </w:t>
      </w:r>
      <w:hyperlink r:id="rId14" w:history="1">
        <w:r w:rsidRPr="00F0736F">
          <w:rPr>
            <w:rStyle w:val="a6"/>
            <w:rFonts w:ascii="Times New Roman" w:hAnsi="Times New Roman" w:cs="Times New Roman"/>
            <w:color w:val="000000" w:themeColor="text1"/>
            <w:u w:val="none"/>
          </w:rPr>
          <w:t>Коалиционным договором</w:t>
        </w:r>
      </w:hyperlink>
      <w:r w:rsidRPr="00F0736F">
        <w:rPr>
          <w:rFonts w:ascii="Times New Roman" w:hAnsi="Times New Roman" w:cs="Times New Roman"/>
          <w:color w:val="000000" w:themeColor="text1"/>
        </w:rPr>
        <w:t xml:space="preserve"> также предусматривается дигитализация сельского хозяйства, например, для контроля использования средств для борьбы с вредителями и болезнями растений, удобрений, а также медикаментов для скота. В настоящее время, по данным Союза экологической пищевой промышленности (BÖLW), насчитывается около 30</w:t>
      </w:r>
      <w:r w:rsidR="0015157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биоферм. Это примерно каждое десятое предприятие в Германии. Однако, чтобы достичь поставленной цели, нам необходимо поставить на «экологические рельсы» еще 30</w:t>
      </w:r>
      <w:r w:rsidR="00E718D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или 40</w:t>
      </w:r>
      <w:r w:rsidR="0015157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фермерских хозяйств. Эта стратегия начала реализовываться в 2015 году. Тогда в Германии было примерно 6% экологически обрабатываемых сельхозугодий, значительно меньше, чем в ряде стран ЕС, а в 2018 году площадь выросла до 8,2%. 760</w:t>
      </w:r>
      <w:r w:rsidR="0015157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га используются в органическом земледелии в качестве пастбищ, экологическая пахотная площадь составляет 560</w:t>
      </w:r>
      <w:r w:rsidR="0015157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гектаров. Оставшаяся площадь</w:t>
      </w:r>
      <w:r w:rsidR="00FC2FB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w:t>
      </w:r>
      <w:r w:rsidR="00FC2FB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это фруктовые и овощные культуры, а также фруктовые равнины.</w:t>
      </w:r>
    </w:p>
    <w:p w14:paraId="38E903B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основе Стратегии будущего экологичного сельского хозяйства Германии</w:t>
      </w:r>
      <w:r w:rsidRPr="00F0736F">
        <w:rPr>
          <w:rStyle w:val="a4"/>
          <w:rFonts w:ascii="Times New Roman" w:hAnsi="Times New Roman" w:cs="Times New Roman"/>
          <w:color w:val="000000" w:themeColor="text1"/>
        </w:rPr>
        <w:footnoteReference w:id="32"/>
      </w:r>
      <w:r w:rsidRPr="00F0736F">
        <w:rPr>
          <w:rFonts w:ascii="Times New Roman" w:hAnsi="Times New Roman" w:cs="Times New Roman"/>
          <w:color w:val="000000" w:themeColor="text1"/>
        </w:rPr>
        <w:t xml:space="preserve"> лежат пять направлений действий</w:t>
      </w:r>
      <w:r w:rsidR="00FC2FBD" w:rsidRPr="00F0736F">
        <w:rPr>
          <w:rFonts w:ascii="Times New Roman" w:hAnsi="Times New Roman" w:cs="Times New Roman"/>
          <w:color w:val="000000" w:themeColor="text1"/>
        </w:rPr>
        <w:t>, которые</w:t>
      </w:r>
      <w:r w:rsidRPr="00F0736F">
        <w:rPr>
          <w:rFonts w:ascii="Times New Roman" w:hAnsi="Times New Roman" w:cs="Times New Roman"/>
          <w:color w:val="000000" w:themeColor="text1"/>
        </w:rPr>
        <w:t xml:space="preserve"> являются ключевыми национальными областями для более сильного роста органического земледелия. В то же время они решают важные проблемы экоиндустрии:</w:t>
      </w:r>
    </w:p>
    <w:p w14:paraId="5E3FF57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сделать правовую основу перспективной и когерентной</w:t>
      </w:r>
      <w:r w:rsidR="00FC2FBD" w:rsidRPr="00F0736F">
        <w:rPr>
          <w:rFonts w:ascii="Times New Roman" w:hAnsi="Times New Roman" w:cs="Times New Roman"/>
          <w:color w:val="000000" w:themeColor="text1"/>
        </w:rPr>
        <w:t>;</w:t>
      </w:r>
    </w:p>
    <w:p w14:paraId="56B8D7B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облегчить доступ к органическому сельскому хозяйству</w:t>
      </w:r>
      <w:r w:rsidR="00FC2FBD" w:rsidRPr="00F0736F">
        <w:rPr>
          <w:rFonts w:ascii="Times New Roman" w:hAnsi="Times New Roman" w:cs="Times New Roman"/>
          <w:color w:val="000000" w:themeColor="text1"/>
        </w:rPr>
        <w:t>;</w:t>
      </w:r>
      <w:r w:rsidR="00FC2FBD" w:rsidRPr="00F0736F">
        <w:rPr>
          <w:rFonts w:ascii="Times New Roman" w:hAnsi="Times New Roman" w:cs="Times New Roman"/>
          <w:color w:val="000000" w:themeColor="text1"/>
        </w:rPr>
        <w:tab/>
      </w:r>
      <w:r w:rsidR="00FC2FBD" w:rsidRPr="00F0736F">
        <w:rPr>
          <w:rFonts w:ascii="Times New Roman" w:hAnsi="Times New Roman" w:cs="Times New Roman"/>
          <w:color w:val="000000" w:themeColor="text1"/>
        </w:rPr>
        <w:tab/>
      </w:r>
      <w:r w:rsidR="00FC2FBD" w:rsidRPr="00F0736F">
        <w:rPr>
          <w:rFonts w:ascii="Times New Roman" w:hAnsi="Times New Roman" w:cs="Times New Roman"/>
          <w:color w:val="000000" w:themeColor="text1"/>
        </w:rPr>
        <w:tab/>
      </w:r>
      <w:r w:rsidR="00FC2FBD" w:rsidRPr="00F0736F">
        <w:rPr>
          <w:rFonts w:ascii="Times New Roman" w:hAnsi="Times New Roman" w:cs="Times New Roman"/>
          <w:color w:val="000000" w:themeColor="text1"/>
        </w:rPr>
        <w:tab/>
      </w:r>
    </w:p>
    <w:p w14:paraId="0C380FC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в полной мере использовать потенциал спроса и продолжать </w:t>
      </w:r>
      <w:r w:rsidR="00FC2FBD" w:rsidRPr="00F0736F">
        <w:rPr>
          <w:rFonts w:ascii="Times New Roman" w:hAnsi="Times New Roman" w:cs="Times New Roman"/>
          <w:color w:val="000000" w:themeColor="text1"/>
        </w:rPr>
        <w:t xml:space="preserve">его </w:t>
      </w:r>
      <w:r w:rsidRPr="00F0736F">
        <w:rPr>
          <w:rFonts w:ascii="Times New Roman" w:hAnsi="Times New Roman" w:cs="Times New Roman"/>
          <w:color w:val="000000" w:themeColor="text1"/>
        </w:rPr>
        <w:t>наращивать</w:t>
      </w:r>
      <w:r w:rsidR="00FC2FBD" w:rsidRPr="00F0736F">
        <w:rPr>
          <w:rFonts w:ascii="Times New Roman" w:hAnsi="Times New Roman" w:cs="Times New Roman"/>
          <w:color w:val="000000" w:themeColor="text1"/>
        </w:rPr>
        <w:t>;</w:t>
      </w:r>
    </w:p>
    <w:p w14:paraId="5DC2E52A" w14:textId="3022EB92" w:rsidR="00151577"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повы</w:t>
      </w:r>
      <w:r w:rsidR="00FC2FBD" w:rsidRPr="00F0736F">
        <w:rPr>
          <w:rFonts w:ascii="Times New Roman" w:hAnsi="Times New Roman" w:cs="Times New Roman"/>
          <w:color w:val="000000" w:themeColor="text1"/>
        </w:rPr>
        <w:t>сить</w:t>
      </w:r>
      <w:r w:rsidRPr="00F0736F">
        <w:rPr>
          <w:rFonts w:ascii="Times New Roman" w:hAnsi="Times New Roman" w:cs="Times New Roman"/>
          <w:color w:val="000000" w:themeColor="text1"/>
        </w:rPr>
        <w:t xml:space="preserve"> эффективност</w:t>
      </w:r>
      <w:r w:rsidR="00FC2FBD" w:rsidRPr="00F0736F">
        <w:rPr>
          <w:rFonts w:ascii="Times New Roman" w:hAnsi="Times New Roman" w:cs="Times New Roman"/>
          <w:color w:val="000000" w:themeColor="text1"/>
        </w:rPr>
        <w:t>ь</w:t>
      </w:r>
      <w:r w:rsidRPr="00F0736F">
        <w:rPr>
          <w:rFonts w:ascii="Times New Roman" w:hAnsi="Times New Roman" w:cs="Times New Roman"/>
          <w:color w:val="000000" w:themeColor="text1"/>
        </w:rPr>
        <w:t xml:space="preserve"> экологических аграрных систем</w:t>
      </w:r>
      <w:r w:rsidR="00E718D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18DE773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уважать экологические услуги надлежащим образом.</w:t>
      </w:r>
    </w:p>
    <w:p w14:paraId="29905598" w14:textId="35AA85B6"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России, по сообщению </w:t>
      </w:r>
      <w:r w:rsidRPr="00F0736F">
        <w:rPr>
          <w:rStyle w:val="12"/>
          <w:rFonts w:ascii="Times New Roman" w:hAnsi="Times New Roman" w:cs="Times New Roman"/>
          <w:b w:val="0"/>
          <w:bCs w:val="0"/>
          <w:color w:val="000000" w:themeColor="text1"/>
        </w:rPr>
        <w:t>РИА Новости</w:t>
      </w:r>
      <w:r w:rsidRPr="00F0736F">
        <w:rPr>
          <w:rStyle w:val="12"/>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hyperlink r:id="rId15" w:anchor="_blank" w:history="1">
        <w:r w:rsidRPr="00F0736F">
          <w:rPr>
            <w:rStyle w:val="a6"/>
            <w:rFonts w:ascii="Times New Roman" w:hAnsi="Times New Roman" w:cs="Times New Roman"/>
            <w:color w:val="000000" w:themeColor="text1"/>
            <w:u w:val="none"/>
          </w:rPr>
          <w:t>Роскачество</w:t>
        </w:r>
      </w:hyperlink>
      <w:r w:rsidRPr="00F0736F">
        <w:rPr>
          <w:rFonts w:ascii="Times New Roman" w:hAnsi="Times New Roman" w:cs="Times New Roman"/>
          <w:color w:val="000000" w:themeColor="text1"/>
        </w:rPr>
        <w:t xml:space="preserve"> совместно с научными и отраслевыми объединениями разработало национальные стандарты экологически чистой сельскохозяйственной продукции, говорится в сообщении организации. Первые шесть из них в декабре 2019 года утвердили в </w:t>
      </w:r>
      <w:hyperlink r:id="rId16" w:history="1">
        <w:r w:rsidRPr="00F0736F">
          <w:rPr>
            <w:rStyle w:val="a6"/>
            <w:rFonts w:ascii="Times New Roman" w:hAnsi="Times New Roman" w:cs="Times New Roman"/>
            <w:color w:val="000000" w:themeColor="text1"/>
            <w:u w:val="none"/>
          </w:rPr>
          <w:t>Росстандарте</w:t>
        </w:r>
      </w:hyperlink>
      <w:r w:rsidRPr="00F0736F">
        <w:rPr>
          <w:rFonts w:ascii="Times New Roman" w:hAnsi="Times New Roman" w:cs="Times New Roman"/>
          <w:color w:val="000000" w:themeColor="text1"/>
        </w:rPr>
        <w:t>. Стандарты описывают общие требования, термины и определения сельхозпродукции и сырья с улучшенными экологическими характеристиками, а также оценки соответствия. Кроме того, оговариваются производство, транспортировка, хранение и требования к минеральным удобрениям</w:t>
      </w:r>
      <w:r w:rsidR="00E718D1" w:rsidRPr="00F0736F">
        <w:rPr>
          <w:rStyle w:val="a4"/>
          <w:rFonts w:ascii="Times New Roman" w:hAnsi="Times New Roman" w:cs="Times New Roman"/>
          <w:color w:val="000000" w:themeColor="text1"/>
        </w:rPr>
        <w:footnoteReference w:id="33"/>
      </w:r>
      <w:r w:rsidRPr="00F0736F">
        <w:rPr>
          <w:rFonts w:ascii="Times New Roman" w:hAnsi="Times New Roman" w:cs="Times New Roman"/>
          <w:color w:val="000000" w:themeColor="text1"/>
        </w:rPr>
        <w:t>.</w:t>
      </w:r>
    </w:p>
    <w:p w14:paraId="21306F2E"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Российские ученые считают, что Россия может стать лидером в органическом сельском хозяйстве по целому ряду причин. В российских регионах относительно «чистые» почвы, невысокий уровень загрязнения токсикантами. Пестицидов применяется в 3-4 раза меньше, чем в Европе. 42% пашни последние десятилетия без минеральных удобрений — план на 2020 год 3,5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из необходимых 23 млн т. </w:t>
      </w:r>
      <w:r w:rsidRPr="00F0736F">
        <w:rPr>
          <w:rStyle w:val="af1"/>
          <w:rFonts w:ascii="Times New Roman" w:hAnsi="Times New Roman" w:cs="Times New Roman"/>
          <w:b w:val="0"/>
          <w:bCs w:val="0"/>
          <w:color w:val="000000" w:themeColor="text1"/>
        </w:rPr>
        <w:t>Исследование РГАУ МСХА им. К.А. Тимирязева показало:</w:t>
      </w:r>
    </w:p>
    <w:p w14:paraId="5A25EBB6"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1. </w:t>
      </w:r>
      <w:r w:rsidR="00FC2FBD" w:rsidRPr="00F0736F">
        <w:rPr>
          <w:rFonts w:ascii="Times New Roman" w:hAnsi="Times New Roman" w:cs="Times New Roman"/>
          <w:color w:val="000000" w:themeColor="text1"/>
        </w:rPr>
        <w:t>н</w:t>
      </w:r>
      <w:r w:rsidRPr="00F0736F">
        <w:rPr>
          <w:rFonts w:ascii="Times New Roman" w:hAnsi="Times New Roman" w:cs="Times New Roman"/>
          <w:color w:val="000000" w:themeColor="text1"/>
        </w:rPr>
        <w:t xml:space="preserve">а органическом поле на </w:t>
      </w:r>
      <w:r w:rsidRPr="00F0736F">
        <w:rPr>
          <w:rStyle w:val="af1"/>
          <w:rFonts w:ascii="Times New Roman" w:hAnsi="Times New Roman" w:cs="Times New Roman"/>
          <w:b w:val="0"/>
          <w:bCs w:val="0"/>
          <w:color w:val="000000" w:themeColor="text1"/>
        </w:rPr>
        <w:t>15</w:t>
      </w:r>
      <w:r w:rsidR="007C0106" w:rsidRPr="00F0736F">
        <w:rPr>
          <w:rStyle w:val="af1"/>
          <w:rFonts w:ascii="Times New Roman" w:hAnsi="Times New Roman" w:cs="Times New Roman"/>
          <w:b w:val="0"/>
          <w:bCs w:val="0"/>
          <w:color w:val="000000" w:themeColor="text1"/>
        </w:rPr>
        <w:t>-</w:t>
      </w:r>
      <w:r w:rsidRPr="00F0736F">
        <w:rPr>
          <w:rStyle w:val="af1"/>
          <w:rFonts w:ascii="Times New Roman" w:hAnsi="Times New Roman" w:cs="Times New Roman"/>
          <w:b w:val="0"/>
          <w:bCs w:val="0"/>
          <w:color w:val="000000" w:themeColor="text1"/>
        </w:rPr>
        <w:t>20%</w:t>
      </w:r>
      <w:r w:rsidRPr="00F0736F">
        <w:rPr>
          <w:rFonts w:ascii="Times New Roman" w:hAnsi="Times New Roman" w:cs="Times New Roman"/>
          <w:color w:val="000000" w:themeColor="text1"/>
        </w:rPr>
        <w:t xml:space="preserve"> меньше мелких (пылевидных частиц), т.е. почва способна лучше удерживать влагу, в ней более комфортные условия для корней растений и микроорганизмов, меньше смыв плодородного слоя почвы вследствие ветров, дождей, талых вод, чем на поле с традиционной системой земледелия</w:t>
      </w:r>
      <w:r w:rsidR="00FC2FBD" w:rsidRPr="00F0736F">
        <w:rPr>
          <w:rFonts w:ascii="Times New Roman" w:hAnsi="Times New Roman" w:cs="Times New Roman"/>
          <w:color w:val="000000" w:themeColor="text1"/>
        </w:rPr>
        <w:t>;</w:t>
      </w:r>
    </w:p>
    <w:p w14:paraId="7BD08133"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2. </w:t>
      </w:r>
      <w:r w:rsidR="00FC2FBD" w:rsidRPr="00F0736F">
        <w:rPr>
          <w:rFonts w:ascii="Times New Roman" w:hAnsi="Times New Roman" w:cs="Times New Roman"/>
          <w:color w:val="000000" w:themeColor="text1"/>
        </w:rPr>
        <w:t>н</w:t>
      </w:r>
      <w:r w:rsidRPr="00F0736F">
        <w:rPr>
          <w:rFonts w:ascii="Times New Roman" w:hAnsi="Times New Roman" w:cs="Times New Roman"/>
          <w:color w:val="000000" w:themeColor="text1"/>
        </w:rPr>
        <w:t xml:space="preserve">а органическом поле в </w:t>
      </w:r>
      <w:r w:rsidRPr="00F0736F">
        <w:rPr>
          <w:rStyle w:val="af1"/>
          <w:rFonts w:ascii="Times New Roman" w:hAnsi="Times New Roman" w:cs="Times New Roman"/>
          <w:b w:val="0"/>
          <w:bCs w:val="0"/>
          <w:color w:val="000000" w:themeColor="text1"/>
        </w:rPr>
        <w:t>1,5</w:t>
      </w:r>
      <w:r w:rsidR="007C0106" w:rsidRPr="00F0736F">
        <w:rPr>
          <w:rStyle w:val="af1"/>
          <w:rFonts w:ascii="Times New Roman" w:hAnsi="Times New Roman" w:cs="Times New Roman"/>
          <w:b w:val="0"/>
          <w:bCs w:val="0"/>
          <w:color w:val="000000" w:themeColor="text1"/>
        </w:rPr>
        <w:t>-</w:t>
      </w:r>
      <w:r w:rsidRPr="00F0736F">
        <w:rPr>
          <w:rStyle w:val="af1"/>
          <w:rFonts w:ascii="Times New Roman" w:hAnsi="Times New Roman" w:cs="Times New Roman"/>
          <w:b w:val="0"/>
          <w:bCs w:val="0"/>
          <w:color w:val="000000" w:themeColor="text1"/>
        </w:rPr>
        <w:t>2</w:t>
      </w:r>
      <w:r w:rsidRPr="00F0736F">
        <w:rPr>
          <w:rFonts w:ascii="Times New Roman" w:hAnsi="Times New Roman" w:cs="Times New Roman"/>
          <w:color w:val="000000" w:themeColor="text1"/>
        </w:rPr>
        <w:t xml:space="preserve"> раза меньше пустой породы из подстилающих горизонтов</w:t>
      </w:r>
      <w:r w:rsidR="00FC2FBD" w:rsidRPr="00F0736F">
        <w:rPr>
          <w:rFonts w:ascii="Times New Roman" w:hAnsi="Times New Roman" w:cs="Times New Roman"/>
          <w:color w:val="000000" w:themeColor="text1"/>
        </w:rPr>
        <w:t>, т.е.</w:t>
      </w:r>
      <w:r w:rsidRPr="00F0736F">
        <w:rPr>
          <w:rFonts w:ascii="Times New Roman" w:hAnsi="Times New Roman" w:cs="Times New Roman"/>
          <w:color w:val="000000" w:themeColor="text1"/>
        </w:rPr>
        <w:t xml:space="preserve"> интенсивное земледелие выносит на поверхность больше подстилающей породы с низким плодородием</w:t>
      </w:r>
      <w:r w:rsidR="00FC2FBD" w:rsidRPr="00F0736F">
        <w:rPr>
          <w:rFonts w:ascii="Times New Roman" w:hAnsi="Times New Roman" w:cs="Times New Roman"/>
          <w:color w:val="000000" w:themeColor="text1"/>
        </w:rPr>
        <w:t>;</w:t>
      </w:r>
    </w:p>
    <w:p w14:paraId="08F98ACD" w14:textId="77777777" w:rsidR="00F674A4" w:rsidRPr="00F0736F" w:rsidRDefault="00F674A4" w:rsidP="008727D9">
      <w:pPr>
        <w:pStyle w:val="afc"/>
        <w:ind w:firstLine="709"/>
        <w:jc w:val="both"/>
        <w:rPr>
          <w:color w:val="000000" w:themeColor="text1"/>
        </w:rPr>
      </w:pPr>
      <w:r w:rsidRPr="00F0736F">
        <w:rPr>
          <w:rFonts w:ascii="Times New Roman" w:hAnsi="Times New Roman" w:cs="Times New Roman"/>
          <w:color w:val="000000" w:themeColor="text1"/>
        </w:rPr>
        <w:t xml:space="preserve">3. </w:t>
      </w:r>
      <w:r w:rsidR="00FC2FBD" w:rsidRPr="00F0736F">
        <w:rPr>
          <w:rFonts w:ascii="Times New Roman" w:hAnsi="Times New Roman" w:cs="Times New Roman"/>
          <w:color w:val="000000" w:themeColor="text1"/>
        </w:rPr>
        <w:t>н</w:t>
      </w:r>
      <w:r w:rsidRPr="00F0736F">
        <w:rPr>
          <w:rFonts w:ascii="Times New Roman" w:hAnsi="Times New Roman" w:cs="Times New Roman"/>
          <w:color w:val="000000" w:themeColor="text1"/>
        </w:rPr>
        <w:t>а органическом поле больше фракций частиц, которые обеспечивают плодородие почвы, они являются основой почвенно-поглощающего комплекса.</w:t>
      </w:r>
    </w:p>
    <w:p w14:paraId="684E84F4" w14:textId="18241329" w:rsidR="00F674A4" w:rsidRPr="00F0736F" w:rsidRDefault="00F674A4" w:rsidP="008727D9">
      <w:pPr>
        <w:pStyle w:val="afc"/>
        <w:ind w:firstLine="709"/>
        <w:jc w:val="both"/>
        <w:rPr>
          <w:color w:val="000000" w:themeColor="text1"/>
        </w:rPr>
      </w:pPr>
      <w:r w:rsidRPr="00F0736F">
        <w:rPr>
          <w:rStyle w:val="a5"/>
          <w:rFonts w:ascii="Times New Roman" w:hAnsi="Times New Roman" w:cs="Times New Roman"/>
          <w:i w:val="0"/>
          <w:iCs w:val="0"/>
          <w:color w:val="000000" w:themeColor="text1"/>
        </w:rPr>
        <w:t xml:space="preserve">Что касается качества пшеницы, то при выращивании с использованием органической системы земледелия, снижается число падения, что свидетельствует о снижении количества крахмала и снижении активности фермента гликозид-гидролазы. При этом значительно увеличивается содержание сырого протеина с </w:t>
      </w:r>
      <w:r w:rsidRPr="00F0736F">
        <w:rPr>
          <w:rStyle w:val="af1"/>
          <w:rFonts w:ascii="Times New Roman" w:hAnsi="Times New Roman" w:cs="Times New Roman"/>
          <w:b w:val="0"/>
          <w:bCs w:val="0"/>
          <w:color w:val="000000" w:themeColor="text1"/>
        </w:rPr>
        <w:t>9,79% до 15,7%</w:t>
      </w:r>
      <w:r w:rsidRPr="00F0736F">
        <w:rPr>
          <w:rStyle w:val="a5"/>
          <w:rFonts w:ascii="Times New Roman" w:hAnsi="Times New Roman" w:cs="Times New Roman"/>
          <w:i w:val="0"/>
          <w:iCs w:val="0"/>
          <w:color w:val="000000" w:themeColor="text1"/>
        </w:rPr>
        <w:t xml:space="preserve"> и особых клейковинных белков c </w:t>
      </w:r>
      <w:r w:rsidRPr="00F0736F">
        <w:rPr>
          <w:rStyle w:val="af1"/>
          <w:rFonts w:ascii="Times New Roman" w:hAnsi="Times New Roman" w:cs="Times New Roman"/>
          <w:b w:val="0"/>
          <w:bCs w:val="0"/>
          <w:color w:val="000000" w:themeColor="text1"/>
        </w:rPr>
        <w:t>10,6%</w:t>
      </w:r>
      <w:r w:rsidRPr="00F0736F">
        <w:rPr>
          <w:rStyle w:val="a5"/>
          <w:rFonts w:ascii="Times New Roman" w:hAnsi="Times New Roman" w:cs="Times New Roman"/>
          <w:i w:val="0"/>
          <w:iCs w:val="0"/>
          <w:color w:val="000000" w:themeColor="text1"/>
        </w:rPr>
        <w:t xml:space="preserve"> при традиционном земледелии и до </w:t>
      </w:r>
      <w:r w:rsidRPr="00F0736F">
        <w:rPr>
          <w:rStyle w:val="af1"/>
          <w:rFonts w:ascii="Times New Roman" w:hAnsi="Times New Roman" w:cs="Times New Roman"/>
          <w:b w:val="0"/>
          <w:bCs w:val="0"/>
          <w:color w:val="000000" w:themeColor="text1"/>
        </w:rPr>
        <w:t>25,1%</w:t>
      </w:r>
      <w:r w:rsidRPr="00F0736F">
        <w:rPr>
          <w:rStyle w:val="a5"/>
          <w:rFonts w:ascii="Times New Roman" w:hAnsi="Times New Roman" w:cs="Times New Roman"/>
          <w:i w:val="0"/>
          <w:iCs w:val="0"/>
          <w:color w:val="000000" w:themeColor="text1"/>
        </w:rPr>
        <w:t xml:space="preserve"> при органическом земледелии. Это обуславливает улучшение хлебопекарных характеристик получаемой продукции и улучшение качества хлеба, выпекаемого из пшеничной муки</w:t>
      </w:r>
      <w:r w:rsidR="007520AD" w:rsidRPr="00F0736F">
        <w:rPr>
          <w:rStyle w:val="a4"/>
          <w:rFonts w:ascii="Times New Roman" w:hAnsi="Times New Roman" w:cs="Times New Roman"/>
          <w:color w:val="000000" w:themeColor="text1"/>
        </w:rPr>
        <w:footnoteReference w:id="34"/>
      </w:r>
      <w:r w:rsidRPr="00F0736F">
        <w:rPr>
          <w:rStyle w:val="a5"/>
          <w:rFonts w:ascii="Times New Roman" w:hAnsi="Times New Roman" w:cs="Times New Roman"/>
          <w:i w:val="0"/>
          <w:iCs w:val="0"/>
          <w:color w:val="000000" w:themeColor="text1"/>
        </w:rPr>
        <w:t>.</w:t>
      </w:r>
    </w:p>
    <w:p w14:paraId="274F8478" w14:textId="77777777" w:rsidR="00BA583D" w:rsidRPr="00F0736F" w:rsidRDefault="00BA583D" w:rsidP="00BA583D">
      <w:pPr>
        <w:ind w:firstLine="567"/>
        <w:jc w:val="both"/>
        <w:rPr>
          <w:color w:val="000000" w:themeColor="text1"/>
        </w:rPr>
      </w:pPr>
      <w:r w:rsidRPr="00F0736F">
        <w:rPr>
          <w:rFonts w:ascii="Times New Roman" w:eastAsia="Times New Roman" w:hAnsi="Times New Roman" w:cs="Times New Roman"/>
          <w:color w:val="000000" w:themeColor="text1"/>
          <w:spacing w:val="2"/>
          <w:lang w:eastAsia="ru-RU"/>
        </w:rPr>
        <w:t>По мнению многих международных экспертов</w:t>
      </w:r>
      <w:r w:rsidR="0015157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w:t>
      </w:r>
      <w:r w:rsidRPr="00F0736F">
        <w:rPr>
          <w:rFonts w:ascii="Times New Roman" w:eastAsia="MS Mincho" w:hAnsi="Times New Roman" w:cs="Times New Roman"/>
          <w:color w:val="000000" w:themeColor="text1"/>
          <w:spacing w:val="2"/>
          <w:lang w:eastAsia="ja-JP"/>
        </w:rPr>
        <w:t xml:space="preserve">в стране сложились идеальные условия для развития органического сельского хозяйства и производства органической продукции благодаря крайне низкому уровню использования удобрений и пестицидов на территории Казахстана, однако до сих пор этот потенциал был использован лишь в незначительной степени. Правительство РК признало органическое сельское хозяйство одним из наиболее перспективных подсекторов сельского хозяйства. </w:t>
      </w:r>
      <w:r w:rsidRPr="00F0736F">
        <w:rPr>
          <w:rFonts w:ascii="Times New Roman" w:eastAsia="MS Mincho" w:hAnsi="Times New Roman" w:cs="Times New Roman"/>
          <w:i/>
          <w:iCs/>
          <w:color w:val="000000" w:themeColor="text1"/>
          <w:spacing w:val="2"/>
          <w:lang w:eastAsia="ja-JP"/>
        </w:rPr>
        <w:t>Вместе с тем, разработка законодательства в области производства органической продукции до сих пор не завершена, и подзаконные акты, касающиеся национальных стандартов производства, сертификации и маркировки, находятся в стадии разработки и согласования с Правительством</w:t>
      </w:r>
      <w:r w:rsidRPr="00F0736F">
        <w:rPr>
          <w:rStyle w:val="a4"/>
          <w:rFonts w:ascii="Times New Roman" w:eastAsia="MS Mincho" w:hAnsi="Times New Roman" w:cs="Times New Roman"/>
          <w:color w:val="000000" w:themeColor="text1"/>
          <w:spacing w:val="2"/>
          <w:lang w:eastAsia="ja-JP"/>
        </w:rPr>
        <w:footnoteReference w:id="35"/>
      </w:r>
      <w:r w:rsidRPr="00F0736F">
        <w:rPr>
          <w:rFonts w:ascii="Times New Roman" w:eastAsia="MS Mincho" w:hAnsi="Times New Roman" w:cs="Times New Roman"/>
          <w:color w:val="000000" w:themeColor="text1"/>
          <w:spacing w:val="2"/>
          <w:lang w:eastAsia="ja-JP"/>
        </w:rPr>
        <w:t>.</w:t>
      </w:r>
    </w:p>
    <w:p w14:paraId="3099C4C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Мировым сообществом уделяется большое внимание ограничению использования пестицидов в сельском хозяйстве. Особенно незаконной торговле этими опасными веществами. Этой теме посвящается специальный доклад Программы ООН по окружающей среде (ЮНЕП) «Незаконная торговля химическими веществами». В данном докладе отмечается, что пестициды широко используются в сельском хозяйстве и бытовыми потребителями, и их воздействие на здоровье, безопасность пищевых продуктов и окружающую среду затрагивает практически всех. Имеющиеся данные свидетельствуют о том, что конечные потребители незаконных пестицидов не знают о рисках для здоровья, связанных с воздействием этих химических веществ. Общий масштаб незаконной торговли химическими веществами остается неизвестным, но по некоторым данным составляет около 1,3 млрд</w:t>
      </w:r>
      <w:r w:rsidR="00151577"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евро. Так</w:t>
      </w:r>
      <w:r w:rsidR="00DB7E5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незаконная торговля пестицидами в Индии составляет около 25% стоимости пестицидов, используемых в стране</w:t>
      </w:r>
      <w:r w:rsidRPr="00F0736F">
        <w:rPr>
          <w:rStyle w:val="a4"/>
          <w:rFonts w:ascii="Times New Roman" w:hAnsi="Times New Roman" w:cs="Times New Roman"/>
          <w:color w:val="000000" w:themeColor="text1"/>
        </w:rPr>
        <w:footnoteReference w:id="36"/>
      </w:r>
      <w:r w:rsidRPr="00F0736F">
        <w:rPr>
          <w:rFonts w:ascii="Times New Roman" w:hAnsi="Times New Roman" w:cs="Times New Roman"/>
          <w:color w:val="000000" w:themeColor="text1"/>
        </w:rPr>
        <w:t>.</w:t>
      </w:r>
    </w:p>
    <w:p w14:paraId="161F4104"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Создание национальных механизмов отчетности, аналогичных требованиям к ежегодной отчетности</w:t>
      </w:r>
      <w:r w:rsidR="00151577"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соответствии с Базельской Конвенцией об образовании опасных отходов, могло бы способствовать разработке базовых данных, необходимых аналитикам для оценки серьезности незаконной торговли в рамках национальных юрисдикций. Национальное законодательство может предусматривать меры по обеспечению того, чтобы использованные контейнеры с пестицидами не возвращались на рынок в рамках новой цепочки поставок. Этот подход может также способствовать разработке нормы, согласно которой изъятые незаконные пестициды рассматриваются как отходы, подлежащие удалению экологически обоснованным образом.</w:t>
      </w:r>
    </w:p>
    <w:p w14:paraId="480E02C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Опираясь на достижения Международного года семейных фермерских хозяйств 2014, </w:t>
      </w:r>
      <w:r w:rsidRPr="00F0736F">
        <w:rPr>
          <w:rFonts w:ascii="Times New Roman" w:hAnsi="Times New Roman" w:cs="Times New Roman"/>
          <w:bCs/>
          <w:color w:val="000000" w:themeColor="text1"/>
        </w:rPr>
        <w:t>Организация Объединенных Наций объявила 2019 – 2028 годы Десятилетием семейных фермерских хозяйств.</w:t>
      </w:r>
      <w:r w:rsidRPr="00F0736F">
        <w:rPr>
          <w:rFonts w:ascii="Times New Roman" w:hAnsi="Times New Roman" w:cs="Times New Roman"/>
          <w:color w:val="000000" w:themeColor="text1"/>
        </w:rPr>
        <w:t xml:space="preserve"> Поддержка мелких производителей и семейных фермерских хозяйств является одним из четырех региональных приоритетов ФАО в Европе и Центральной Азии, для достижения которых ФАО стремится совершенствовать разработку политики, повысить устойчивость сельскохозяйственного производства и расширить источники средств к существованию в сельских районах, одновременно сокращая сельскую бедность. </w:t>
      </w:r>
    </w:p>
    <w:p w14:paraId="5C8E763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ФАО способствует обеспечению комплексного развития общин, основанного на широком участии и инклюзивном подходе с индивидуальной поддержкой мелких фермерских хозяйств посредством предоставления схем грантов или мер поддержки, основанных на конкретных потребностях и приоритетах каждой общины</w:t>
      </w:r>
      <w:r w:rsidRPr="00F0736F">
        <w:rPr>
          <w:rStyle w:val="a4"/>
          <w:rFonts w:ascii="Times New Roman" w:hAnsi="Times New Roman" w:cs="Times New Roman"/>
          <w:color w:val="000000" w:themeColor="text1"/>
        </w:rPr>
        <w:footnoteReference w:id="37"/>
      </w:r>
      <w:r w:rsidRPr="00F0736F">
        <w:rPr>
          <w:rFonts w:ascii="Times New Roman" w:hAnsi="Times New Roman" w:cs="Times New Roman"/>
          <w:color w:val="000000" w:themeColor="text1"/>
        </w:rPr>
        <w:t>.</w:t>
      </w:r>
    </w:p>
    <w:p w14:paraId="60594271" w14:textId="5C374FCC"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Мелкие производители и сельская беднота в развивающихся странах особенно уязвимы к последствиям изменения климата. В результате изменения климата и его влияния на доходы мелких фермеров численность живущих в крайней нищете к 2030 году может возрасти на 122 млн</w:t>
      </w:r>
      <w:r w:rsidR="00B24BF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человек.</w:t>
      </w:r>
    </w:p>
    <w:p w14:paraId="5B56C09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всему миру распространились интенсивные монокультурные системы, снижающие устойчивость агроэкологических систем и источников средств к существованию</w:t>
      </w:r>
      <w:r w:rsidR="00DB7E55" w:rsidRPr="00F0736F">
        <w:rPr>
          <w:rFonts w:ascii="Times New Roman" w:hAnsi="Times New Roman" w:cs="Times New Roman"/>
          <w:color w:val="000000" w:themeColor="text1"/>
        </w:rPr>
        <w:t>, п</w:t>
      </w:r>
      <w:r w:rsidRPr="00F0736F">
        <w:rPr>
          <w:rFonts w:ascii="Times New Roman" w:hAnsi="Times New Roman" w:cs="Times New Roman"/>
          <w:color w:val="000000" w:themeColor="text1"/>
        </w:rPr>
        <w:t xml:space="preserve">оэтому одной из важных мер в области по адаптации является сохранение генетических ресурсов сельскохозяйственных культур и дикорастущих растений. </w:t>
      </w:r>
    </w:p>
    <w:p w14:paraId="1C6B1348" w14:textId="10342C08"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Деградация почв становится источником выбросов углекислого газа. Увеличение содержания почвенного углерода не только стабилизирует почвы, укрепляя их буферные и накопительные функции в отношении питательных веществ и почвенных вод, но и сокращая содержание углекислого газа в атмосфере. Этот потенциал огромен: к 2030 году мо</w:t>
      </w:r>
      <w:r w:rsidR="00151577" w:rsidRPr="00F0736F">
        <w:rPr>
          <w:rFonts w:ascii="Times New Roman" w:hAnsi="Times New Roman" w:cs="Times New Roman"/>
          <w:color w:val="000000" w:themeColor="text1"/>
        </w:rPr>
        <w:t>жет быть восстановлено до 200 м</w:t>
      </w:r>
      <w:r w:rsidRPr="00F0736F">
        <w:rPr>
          <w:rFonts w:ascii="Times New Roman" w:hAnsi="Times New Roman" w:cs="Times New Roman"/>
          <w:color w:val="000000" w:themeColor="text1"/>
        </w:rPr>
        <w:t>л</w:t>
      </w:r>
      <w:r w:rsidR="00151577" w:rsidRPr="00F0736F">
        <w:rPr>
          <w:rFonts w:ascii="Times New Roman" w:hAnsi="Times New Roman" w:cs="Times New Roman"/>
          <w:color w:val="000000" w:themeColor="text1"/>
        </w:rPr>
        <w:t>н.</w:t>
      </w:r>
      <w:r w:rsidRPr="00F0736F">
        <w:rPr>
          <w:rFonts w:ascii="Times New Roman" w:hAnsi="Times New Roman" w:cs="Times New Roman"/>
          <w:color w:val="000000" w:themeColor="text1"/>
        </w:rPr>
        <w:t xml:space="preserve"> г</w:t>
      </w:r>
      <w:r w:rsidR="00151577"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земель</w:t>
      </w:r>
      <w:r w:rsidRPr="00F0736F">
        <w:rPr>
          <w:rStyle w:val="a4"/>
          <w:rFonts w:ascii="Times New Roman" w:hAnsi="Times New Roman" w:cs="Times New Roman"/>
          <w:color w:val="000000" w:themeColor="text1"/>
        </w:rPr>
        <w:footnoteReference w:id="38"/>
      </w:r>
      <w:r w:rsidRPr="00F0736F">
        <w:rPr>
          <w:rFonts w:ascii="Times New Roman" w:hAnsi="Times New Roman" w:cs="Times New Roman"/>
          <w:color w:val="000000" w:themeColor="text1"/>
        </w:rPr>
        <w:t>.</w:t>
      </w:r>
    </w:p>
    <w:p w14:paraId="52CF73C4" w14:textId="379A056E" w:rsidR="00BA583D" w:rsidRPr="00F0736F" w:rsidRDefault="00BA583D" w:rsidP="00BA583D">
      <w:pPr>
        <w:ind w:firstLine="567"/>
        <w:jc w:val="both"/>
        <w:rPr>
          <w:rFonts w:ascii="Times New Roman" w:eastAsia="MS Mincho" w:hAnsi="Times New Roman" w:cs="Times New Roman"/>
          <w:color w:val="000000" w:themeColor="text1"/>
          <w:lang w:eastAsia="ja-JP"/>
        </w:rPr>
      </w:pPr>
      <w:r w:rsidRPr="00F0736F">
        <w:rPr>
          <w:rFonts w:ascii="Times New Roman" w:eastAsia="MS Mincho" w:hAnsi="Times New Roman" w:cs="Times New Roman"/>
          <w:color w:val="000000" w:themeColor="text1"/>
          <w:lang w:eastAsia="ja-JP"/>
        </w:rPr>
        <w:t>Также деградация почв является одним из наиболее значимых сдерживающих факторов в сельском хозяйстве Казахстана, который оказывает неблагоприятное влияние преимущественно на производство сельскохозяйственных культур, приводя к их низкой урожайности, но также и на животноводство ввиду сокращения кормовой базы. В настоящее время (если не принимать во внимание существующие субсидии на удобрения и новый инструмент планов по управлению пастбищами) отсутствует систематический подход, в рамках которого осуществлялась бы координационная или управленческая деятельность государственных органов, нацеленная на содействие мерам по сохранению и восстановлению плодородия почв. Отсутствуют гарантии стабильного предоставления поддерживаемых Правительством услуг по распространению знаний среди фермеров</w:t>
      </w:r>
      <w:r w:rsidRPr="00F0736F">
        <w:rPr>
          <w:rStyle w:val="a4"/>
          <w:rFonts w:ascii="Times New Roman" w:eastAsia="MS Mincho" w:hAnsi="Times New Roman" w:cs="Times New Roman"/>
          <w:color w:val="000000" w:themeColor="text1"/>
          <w:lang w:eastAsia="ja-JP"/>
        </w:rPr>
        <w:footnoteReference w:id="39"/>
      </w:r>
      <w:r w:rsidRPr="00F0736F">
        <w:rPr>
          <w:rFonts w:ascii="Times New Roman" w:eastAsia="MS Mincho" w:hAnsi="Times New Roman" w:cs="Times New Roman"/>
          <w:color w:val="000000" w:themeColor="text1"/>
          <w:lang w:eastAsia="ja-JP"/>
        </w:rPr>
        <w:t xml:space="preserve">. </w:t>
      </w:r>
    </w:p>
    <w:p w14:paraId="7B991265" w14:textId="77777777" w:rsidR="00BA583D" w:rsidRPr="00F0736F" w:rsidRDefault="00BA583D" w:rsidP="00BA583D">
      <w:pPr>
        <w:ind w:firstLine="567"/>
        <w:jc w:val="both"/>
        <w:rPr>
          <w:color w:val="000000" w:themeColor="text1"/>
        </w:rPr>
      </w:pPr>
      <w:r w:rsidRPr="00F0736F">
        <w:rPr>
          <w:rFonts w:ascii="Times New Roman" w:eastAsia="MS Mincho" w:hAnsi="Times New Roman" w:cs="Times New Roman"/>
          <w:color w:val="000000" w:themeColor="text1"/>
          <w:spacing w:val="2"/>
        </w:rPr>
        <w:t xml:space="preserve">Необходимо </w:t>
      </w:r>
      <w:r w:rsidRPr="00F0736F">
        <w:rPr>
          <w:rFonts w:ascii="Times New Roman" w:eastAsia="MS Mincho" w:hAnsi="Times New Roman" w:cs="Times New Roman"/>
          <w:color w:val="000000" w:themeColor="text1"/>
          <w:spacing w:val="2"/>
          <w:lang w:val="kk-KZ"/>
        </w:rPr>
        <w:t xml:space="preserve">внедрение более эффективных методов ведения сельского хозяйства, минимизирующих обработку почвы, обеспечивающих консервацию органического вещества и влаги в почве, предотвращающих эрозию почв под действием ветра и воды, например, за счет использования оборудования, обеспечивающего нулевую обработку почвы, и чередования культур; </w:t>
      </w:r>
      <w:r w:rsidRPr="00F0736F">
        <w:rPr>
          <w:rFonts w:ascii="Times New Roman" w:eastAsia="MS Mincho" w:hAnsi="Times New Roman" w:cs="Times New Roman"/>
          <w:color w:val="000000" w:themeColor="text1"/>
          <w:spacing w:val="2"/>
        </w:rPr>
        <w:t>и</w:t>
      </w:r>
      <w:r w:rsidRPr="00F0736F">
        <w:rPr>
          <w:rFonts w:ascii="Times New Roman" w:eastAsia="MS Mincho" w:hAnsi="Times New Roman" w:cs="Times New Roman"/>
          <w:color w:val="000000" w:themeColor="text1"/>
          <w:spacing w:val="2"/>
          <w:lang w:val="kk-KZ"/>
        </w:rPr>
        <w:t>сключение парового поля и использование диверсификации культур повысит эффективность почвозащитного земледелия. Разнообразие культур и корневых систем, флоры и фауны контролирует эрозию почв, увеличивает биологическую активность и секвестрацию почвенного</w:t>
      </w:r>
      <w:r w:rsidRPr="00F0736F">
        <w:rPr>
          <w:rFonts w:ascii="Times New Roman" w:eastAsia="MS Mincho" w:hAnsi="Times New Roman" w:cs="Times New Roman"/>
          <w:color w:val="000000" w:themeColor="text1"/>
          <w:spacing w:val="2"/>
        </w:rPr>
        <w:t xml:space="preserve"> </w:t>
      </w:r>
      <w:r w:rsidRPr="00F0736F">
        <w:rPr>
          <w:rFonts w:ascii="Times New Roman" w:eastAsia="MS Mincho" w:hAnsi="Times New Roman" w:cs="Times New Roman"/>
          <w:color w:val="000000" w:themeColor="text1"/>
          <w:spacing w:val="2"/>
          <w:lang w:val="kk-KZ"/>
        </w:rPr>
        <w:t>углерода.</w:t>
      </w:r>
      <w:r w:rsidRPr="00F0736F">
        <w:rPr>
          <w:rFonts w:ascii="Times New Roman" w:eastAsia="MS Mincho" w:hAnsi="Times New Roman" w:cs="Times New Roman"/>
          <w:color w:val="000000" w:themeColor="text1"/>
          <w:spacing w:val="2"/>
        </w:rPr>
        <w:t xml:space="preserve"> </w:t>
      </w:r>
    </w:p>
    <w:p w14:paraId="3A63B7FC" w14:textId="77777777" w:rsidR="00F674A4" w:rsidRPr="00F0736F" w:rsidRDefault="00F674A4" w:rsidP="008727D9">
      <w:pPr>
        <w:ind w:firstLine="709"/>
        <w:jc w:val="both"/>
        <w:rPr>
          <w:rFonts w:ascii="Times New Roman" w:hAnsi="Times New Roman" w:cs="Times New Roman"/>
          <w:b/>
          <w:bCs/>
          <w:i/>
          <w:iCs/>
          <w:color w:val="000000" w:themeColor="text1"/>
        </w:rPr>
      </w:pPr>
    </w:p>
    <w:p w14:paraId="1E960BCD" w14:textId="77777777" w:rsidR="005F0305" w:rsidRPr="00F0736F" w:rsidRDefault="00F674A4" w:rsidP="008727D9">
      <w:pPr>
        <w:ind w:firstLine="709"/>
        <w:jc w:val="both"/>
        <w:rPr>
          <w:rFonts w:ascii="Times New Roman" w:hAnsi="Times New Roman" w:cs="Times New Roman"/>
          <w:b/>
          <w:bCs/>
          <w:i/>
          <w:iCs/>
          <w:color w:val="000000" w:themeColor="text1"/>
        </w:rPr>
      </w:pPr>
      <w:r w:rsidRPr="00F0736F">
        <w:rPr>
          <w:rFonts w:ascii="Times New Roman" w:hAnsi="Times New Roman" w:cs="Times New Roman"/>
          <w:b/>
          <w:bCs/>
          <w:i/>
          <w:iCs/>
          <w:color w:val="000000" w:themeColor="text1"/>
        </w:rPr>
        <w:t>Проблемы достижения ЦУР</w:t>
      </w:r>
    </w:p>
    <w:p w14:paraId="7D4F755C" w14:textId="1AF2B41A"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ja-JP"/>
        </w:rPr>
        <w:t>Вопрос</w:t>
      </w:r>
      <w:r w:rsidR="005F0305" w:rsidRPr="00F0736F">
        <w:rPr>
          <w:rFonts w:ascii="Times New Roman" w:eastAsia="MS Mincho" w:hAnsi="Times New Roman" w:cs="Times New Roman"/>
          <w:color w:val="000000" w:themeColor="text1"/>
          <w:lang w:eastAsia="ja-JP"/>
        </w:rPr>
        <w:t>ы</w:t>
      </w:r>
      <w:r w:rsidRPr="00F0736F">
        <w:rPr>
          <w:rFonts w:ascii="Times New Roman" w:eastAsia="MS Mincho" w:hAnsi="Times New Roman" w:cs="Times New Roman"/>
          <w:color w:val="000000" w:themeColor="text1"/>
          <w:lang w:eastAsia="ja-JP"/>
        </w:rPr>
        <w:t xml:space="preserve"> сельского хозяйства прямо касаются з</w:t>
      </w:r>
      <w:r w:rsidRPr="00F0736F">
        <w:rPr>
          <w:rFonts w:ascii="Times New Roman" w:hAnsi="Times New Roman" w:cs="Times New Roman"/>
          <w:color w:val="000000" w:themeColor="text1"/>
          <w:lang w:eastAsia="ja-JP"/>
        </w:rPr>
        <w:t>адачи ЦУР 2.3, 2.4, 2.5, 2.a и 5.a Повестки дня в области устойчивого развития на период до 2030 г</w:t>
      </w:r>
      <w:r w:rsidR="00E45E66" w:rsidRPr="00F0736F">
        <w:rPr>
          <w:rFonts w:ascii="Times New Roman" w:hAnsi="Times New Roman" w:cs="Times New Roman"/>
          <w:color w:val="000000" w:themeColor="text1"/>
          <w:lang w:eastAsia="ja-JP"/>
        </w:rPr>
        <w:t>ода</w:t>
      </w:r>
      <w:r w:rsidRPr="00F0736F">
        <w:rPr>
          <w:rFonts w:ascii="Times New Roman" w:hAnsi="Times New Roman" w:cs="Times New Roman"/>
          <w:color w:val="000000" w:themeColor="text1"/>
          <w:lang w:eastAsia="ja-JP"/>
        </w:rPr>
        <w:t xml:space="preserve"> (таблица 1.2.5). </w:t>
      </w:r>
    </w:p>
    <w:p w14:paraId="6C564BF8" w14:textId="6BF3FAAC"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Параметры, определенные в Государственной программе развития агропромышленного комплекса на 2017 – 2021 гг., предполагают значительный рост как производительности, так и доходов фермерских и крестьянских хозяйств к 2021 г</w:t>
      </w:r>
      <w:r w:rsidR="00E45E6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что соответствует Цели 2 и задаче 2.3. Для отслеживания данных задач Казахстан имеет статистический показатель, аналогичный показателю 2.3.1</w:t>
      </w:r>
      <w:r w:rsidR="00DB7E55" w:rsidRPr="00F0736F">
        <w:rPr>
          <w:rFonts w:ascii="Times New Roman" w:hAnsi="Times New Roman" w:cs="Times New Roman"/>
          <w:color w:val="000000" w:themeColor="text1"/>
        </w:rPr>
        <w:t xml:space="preserve">, но </w:t>
      </w:r>
      <w:r w:rsidRPr="00F0736F">
        <w:rPr>
          <w:rFonts w:ascii="Times New Roman" w:hAnsi="Times New Roman" w:cs="Times New Roman"/>
          <w:color w:val="000000" w:themeColor="text1"/>
        </w:rPr>
        <w:t xml:space="preserve">показатель 2.3.2 не отслеживается. </w:t>
      </w:r>
    </w:p>
    <w:p w14:paraId="45AD6B8B" w14:textId="77777777"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ja-JP"/>
        </w:rPr>
        <w:t>Решение задачи 2.4 отслеживается частично с помощью показателя «Доля площади сельскохозяйственных угодий, на которых применяются продуктивные и неистощительные методы ведения сельского хозяйства». Однако термин «продуктивные и неистощительные методы ведения сельского хозяйства» четко не определен, в Казахстане отмечается переход к более устойчивым методам ведения сельского хозяйства, чем традиционные технологии и методы. Кроме того, производство органической сельскохозяйственной продукции является одним из приоритетных видов деятельности в области устойчивого ведения сельского хозяйства, и в ближайшие годы предполагается его рост</w:t>
      </w:r>
      <w:r w:rsidRPr="00F0736F">
        <w:rPr>
          <w:rStyle w:val="a4"/>
          <w:rFonts w:ascii="Times New Roman" w:eastAsia="MS Mincho" w:hAnsi="Times New Roman" w:cs="Times New Roman"/>
          <w:color w:val="000000" w:themeColor="text1"/>
          <w:lang w:eastAsia="ja-JP"/>
        </w:rPr>
        <w:footnoteReference w:id="40"/>
      </w:r>
      <w:r w:rsidRPr="00F0736F">
        <w:rPr>
          <w:rFonts w:ascii="Times New Roman" w:eastAsia="MS Mincho" w:hAnsi="Times New Roman" w:cs="Times New Roman"/>
          <w:color w:val="000000" w:themeColor="text1"/>
          <w:lang w:eastAsia="ja-JP"/>
        </w:rPr>
        <w:t>. Расчеты совокупной доли сельскохозяйственных площадей, обрабатываемых с применением сберегающих методов (беспахотная обработка и минимальная обработка почвы), и органического производства показывают, что в настоящее время приблизительно на 12,3 млн. га (или 48%) обрабатываемых пахотных земель применяются те или иные продуктивные и неистощительные технологии ведения сельского хозяйства.</w:t>
      </w:r>
    </w:p>
    <w:p w14:paraId="2903967A" w14:textId="1CC55A44"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Государственной программе развития агропромышленного комплекса на период 2017 – 2021 гг. не учитываются ожидаемые последствия изменения климата (за исключением ситуации с водными ресурсами, поступающими из-за пределов страны) и не определены меры по смягчению этих последствий. Реализация Задачи 2.4 Повестки дня в области устойчивого развития на период до 2030 г</w:t>
      </w:r>
      <w:r w:rsidR="00597FA5" w:rsidRPr="00F0736F">
        <w:rPr>
          <w:rFonts w:ascii="Times New Roman" w:hAnsi="Times New Roman" w:cs="Times New Roman"/>
          <w:color w:val="000000" w:themeColor="text1"/>
        </w:rPr>
        <w:t>од</w:t>
      </w:r>
      <w:r w:rsidR="00E45E66"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требует включения задач и мер в области изменения климата в соответствующие национальные стратегические документы для сельскохозяйственного сектора и обеспечения их реализации посредством четкого распределения обязанностей между ведомствами.</w:t>
      </w:r>
    </w:p>
    <w:p w14:paraId="09B09E2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Статистических показателей по задаче 2.5 в Казахстане не имеется. Данная работа осуществляется только на уровне научных исследований. Подробная информация о таких работах имеется в 6-м Национальном докладе по сохранению биоразнообразия.</w:t>
      </w:r>
    </w:p>
    <w:p w14:paraId="57AF7A0F" w14:textId="50FD2099"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Достижение целевой задачи 2.a отслеживается по отчетам Государственной программы развития агропромышленного комплекса на период 2017 – 2021 гг. </w:t>
      </w:r>
      <w:r w:rsidR="00227A1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Усиление акцента на инновациях в целях обеспечения устойчивого роста производительности имеет важное значение для достижения Казахстаном ЦУР, связанных с сельским хозяйством, и является одним из принципов политики, пропагандируемых Декларацией ОЭСР 2016 г</w:t>
      </w:r>
      <w:r w:rsidR="00597FA5"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о совершенствовании политики для создания продуктивной, устойчивой и жизнестойкой глобальной продовольственной системы.</w:t>
      </w:r>
    </w:p>
    <w:p w14:paraId="01EA6705" w14:textId="09B80161"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ja-JP"/>
        </w:rPr>
        <w:t xml:space="preserve">Косвенно сельское хозяйство затрагивает </w:t>
      </w:r>
      <w:r w:rsidRPr="00F0736F">
        <w:rPr>
          <w:rFonts w:ascii="Times New Roman" w:eastAsia="MS Mincho" w:hAnsi="Times New Roman" w:cs="Times New Roman"/>
          <w:color w:val="000000" w:themeColor="text1"/>
          <w:lang w:eastAsia="en-GB"/>
        </w:rPr>
        <w:t xml:space="preserve">Цель 5 и </w:t>
      </w:r>
      <w:r w:rsidRPr="00F0736F">
        <w:rPr>
          <w:rFonts w:ascii="Times New Roman" w:eastAsia="MS Mincho" w:hAnsi="Times New Roman" w:cs="Times New Roman"/>
          <w:color w:val="000000" w:themeColor="text1"/>
          <w:lang w:eastAsia="ja-JP"/>
        </w:rPr>
        <w:t>Задач</w:t>
      </w:r>
      <w:r w:rsidR="00597FA5" w:rsidRPr="00F0736F">
        <w:rPr>
          <w:rFonts w:ascii="Times New Roman" w:eastAsia="MS Mincho" w:hAnsi="Times New Roman" w:cs="Times New Roman"/>
          <w:color w:val="000000" w:themeColor="text1"/>
          <w:lang w:eastAsia="ja-JP"/>
        </w:rPr>
        <w:t>у</w:t>
      </w:r>
      <w:r w:rsidRPr="00F0736F">
        <w:rPr>
          <w:rFonts w:ascii="Times New Roman" w:eastAsia="MS Mincho" w:hAnsi="Times New Roman" w:cs="Times New Roman"/>
          <w:color w:val="000000" w:themeColor="text1"/>
          <w:lang w:eastAsia="ja-JP"/>
        </w:rPr>
        <w:t xml:space="preserve"> </w:t>
      </w:r>
      <w:r w:rsidRPr="00F0736F">
        <w:rPr>
          <w:rFonts w:ascii="Times New Roman" w:eastAsia="MS Mincho" w:hAnsi="Times New Roman" w:cs="Times New Roman"/>
          <w:color w:val="000000" w:themeColor="text1"/>
          <w:lang w:eastAsia="en-GB"/>
        </w:rPr>
        <w:t xml:space="preserve">5.a. </w:t>
      </w:r>
      <w:r w:rsidRPr="00F0736F">
        <w:rPr>
          <w:rFonts w:ascii="Times New Roman" w:eastAsia="MS Mincho" w:hAnsi="Times New Roman" w:cs="Times New Roman"/>
          <w:color w:val="000000" w:themeColor="text1"/>
          <w:spacing w:val="2"/>
          <w:lang w:eastAsia="ja-JP"/>
        </w:rPr>
        <w:t>В настоящее время наличие женщин-руководителей в сельскохозяйственном секторе Казахстана статистически отслеживается как для сельскохозяйственных предприятий, так и для крестьянских и фермерских хозяйств. В частности, доля женщин среди всех работников сельского хозяйства остается достаточно стабильной и составляет 44</w:t>
      </w:r>
      <w:r w:rsidR="00E45E66" w:rsidRPr="00F0736F">
        <w:rPr>
          <w:rFonts w:ascii="Times New Roman" w:eastAsia="MS Mincho" w:hAnsi="Times New Roman" w:cs="Times New Roman"/>
          <w:color w:val="000000" w:themeColor="text1"/>
          <w:spacing w:val="2"/>
          <w:lang w:eastAsia="ja-JP"/>
        </w:rPr>
        <w:t>-</w:t>
      </w:r>
      <w:r w:rsidRPr="00F0736F">
        <w:rPr>
          <w:rFonts w:ascii="Times New Roman" w:eastAsia="MS Mincho" w:hAnsi="Times New Roman" w:cs="Times New Roman"/>
          <w:color w:val="000000" w:themeColor="text1"/>
          <w:spacing w:val="2"/>
          <w:lang w:eastAsia="ja-JP"/>
        </w:rPr>
        <w:t xml:space="preserve">46%, тогда как в период 2008 – 2016 гг. женщины составляли лишь 13% руководителей сельскохозяйственных предприятий и 20% руководителей мелких фермерских хозяйств. </w:t>
      </w:r>
    </w:p>
    <w:p w14:paraId="187EEEEE" w14:textId="77777777" w:rsidR="00F674A4" w:rsidRPr="00F0736F" w:rsidRDefault="00F674A4" w:rsidP="008727D9">
      <w:pPr>
        <w:ind w:firstLine="709"/>
        <w:jc w:val="both"/>
        <w:rPr>
          <w:rFonts w:ascii="Times New Roman" w:hAnsi="Times New Roman" w:cs="Times New Roman"/>
          <w:color w:val="000000" w:themeColor="text1"/>
        </w:rPr>
      </w:pPr>
    </w:p>
    <w:p w14:paraId="58A0D83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1.2.5. Проблемы достижения ЦУР, связанны</w:t>
      </w:r>
      <w:r w:rsidR="00597FA5"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 xml:space="preserve"> с вопросами сельского хозяйства</w:t>
      </w:r>
    </w:p>
    <w:p w14:paraId="2D935F7E"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2895"/>
        <w:gridCol w:w="2775"/>
        <w:gridCol w:w="1815"/>
        <w:gridCol w:w="1470"/>
        <w:gridCol w:w="1225"/>
      </w:tblGrid>
      <w:tr w:rsidR="00F0736F" w:rsidRPr="00F0736F" w14:paraId="78E89020" w14:textId="77777777">
        <w:tc>
          <w:tcPr>
            <w:tcW w:w="2895" w:type="dxa"/>
            <w:tcBorders>
              <w:top w:val="single" w:sz="4" w:space="0" w:color="000000"/>
              <w:left w:val="single" w:sz="4" w:space="0" w:color="000000"/>
              <w:bottom w:val="single" w:sz="4" w:space="0" w:color="000000"/>
            </w:tcBorders>
            <w:shd w:val="clear" w:color="auto" w:fill="auto"/>
          </w:tcPr>
          <w:p w14:paraId="09C33061" w14:textId="77777777" w:rsidR="00F674A4" w:rsidRPr="00F0736F" w:rsidRDefault="00F674A4" w:rsidP="00E45E66">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775" w:type="dxa"/>
            <w:tcBorders>
              <w:top w:val="single" w:sz="4" w:space="0" w:color="000000"/>
              <w:left w:val="single" w:sz="4" w:space="0" w:color="000000"/>
              <w:bottom w:val="single" w:sz="4" w:space="0" w:color="000000"/>
            </w:tcBorders>
            <w:shd w:val="clear" w:color="auto" w:fill="auto"/>
          </w:tcPr>
          <w:p w14:paraId="2023B748" w14:textId="77777777" w:rsidR="00F674A4" w:rsidRPr="00F0736F" w:rsidRDefault="00F674A4" w:rsidP="00DD3E17">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815" w:type="dxa"/>
            <w:tcBorders>
              <w:top w:val="single" w:sz="4" w:space="0" w:color="000000"/>
              <w:left w:val="single" w:sz="4" w:space="0" w:color="000000"/>
              <w:bottom w:val="single" w:sz="4" w:space="0" w:color="000000"/>
            </w:tcBorders>
            <w:shd w:val="clear" w:color="auto" w:fill="auto"/>
          </w:tcPr>
          <w:p w14:paraId="153B07EC" w14:textId="77777777" w:rsidR="00F674A4" w:rsidRPr="00F0736F" w:rsidRDefault="00F674A4" w:rsidP="00DD3E17">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470" w:type="dxa"/>
            <w:tcBorders>
              <w:top w:val="single" w:sz="4" w:space="0" w:color="000000"/>
              <w:left w:val="single" w:sz="4" w:space="0" w:color="000000"/>
              <w:bottom w:val="single" w:sz="4" w:space="0" w:color="000000"/>
            </w:tcBorders>
            <w:shd w:val="clear" w:color="auto" w:fill="auto"/>
          </w:tcPr>
          <w:p w14:paraId="14AB9625" w14:textId="77777777" w:rsidR="00F674A4" w:rsidRPr="00F0736F" w:rsidRDefault="00F674A4" w:rsidP="00DD3E17">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5ABBFC4" w14:textId="77777777" w:rsidR="00F674A4" w:rsidRPr="00F0736F" w:rsidRDefault="00F674A4" w:rsidP="00DD3E17">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25246BF9" w14:textId="77777777">
        <w:tc>
          <w:tcPr>
            <w:tcW w:w="10180" w:type="dxa"/>
            <w:gridSpan w:val="5"/>
            <w:tcBorders>
              <w:top w:val="single" w:sz="4" w:space="0" w:color="000000"/>
              <w:left w:val="single" w:sz="4" w:space="0" w:color="000000"/>
              <w:bottom w:val="single" w:sz="4" w:space="0" w:color="000000"/>
              <w:right w:val="single" w:sz="4" w:space="0" w:color="000000"/>
            </w:tcBorders>
            <w:shd w:val="clear" w:color="auto" w:fill="auto"/>
          </w:tcPr>
          <w:p w14:paraId="1F6ED18E" w14:textId="77777777" w:rsidR="00E45E66" w:rsidRPr="00F0736F" w:rsidRDefault="00F674A4" w:rsidP="00E45E66">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ЦУР 2. Ликвидация голода, обеспечение продовольственной безопасности, улучшение питания и </w:t>
            </w:r>
          </w:p>
          <w:p w14:paraId="0CEE183C" w14:textId="7BD7C35D" w:rsidR="00F674A4" w:rsidRPr="00F0736F" w:rsidRDefault="00F674A4" w:rsidP="00E45E66">
            <w:pPr>
              <w:jc w:val="center"/>
              <w:rPr>
                <w:color w:val="000000" w:themeColor="text1"/>
              </w:rPr>
            </w:pPr>
            <w:r w:rsidRPr="00F0736F">
              <w:rPr>
                <w:rFonts w:ascii="Times New Roman" w:hAnsi="Times New Roman" w:cs="Times New Roman"/>
                <w:color w:val="000000" w:themeColor="text1"/>
                <w:sz w:val="20"/>
                <w:szCs w:val="20"/>
              </w:rPr>
              <w:t>содействие устойчивому развитию сельского хозяйства.</w:t>
            </w:r>
          </w:p>
        </w:tc>
      </w:tr>
      <w:tr w:rsidR="00F0736F" w:rsidRPr="00F0736F" w14:paraId="51A945CE" w14:textId="77777777">
        <w:tc>
          <w:tcPr>
            <w:tcW w:w="2895" w:type="dxa"/>
            <w:tcBorders>
              <w:top w:val="single" w:sz="4" w:space="0" w:color="000000"/>
              <w:left w:val="single" w:sz="4" w:space="0" w:color="000000"/>
              <w:bottom w:val="single" w:sz="4" w:space="0" w:color="000000"/>
            </w:tcBorders>
            <w:shd w:val="clear" w:color="auto" w:fill="auto"/>
          </w:tcPr>
          <w:p w14:paraId="014EEF73"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Задача 2.3. До 2030 года производительность сельского хозяйства и производительность мелких производителей продуктов питания, особенно женщин, коренных народов, фермеров, животноводов и рыбаков, включая землю, сельскохозяйственные ресурсы, промышленные ресурсы и факторы сельскохозяйственного производства, образования, финансовых услуг, удвоение количества гарантированного и равного доступа к добавленной стоимости и возможностям трудоустройства в нефинансовых секторах</w:t>
            </w:r>
          </w:p>
        </w:tc>
        <w:tc>
          <w:tcPr>
            <w:tcW w:w="2775" w:type="dxa"/>
            <w:tcBorders>
              <w:top w:val="single" w:sz="4" w:space="0" w:color="000000"/>
              <w:left w:val="single" w:sz="4" w:space="0" w:color="000000"/>
              <w:bottom w:val="single" w:sz="4" w:space="0" w:color="000000"/>
            </w:tcBorders>
            <w:shd w:val="clear" w:color="auto" w:fill="auto"/>
          </w:tcPr>
          <w:p w14:paraId="4C44C6E6" w14:textId="77777777" w:rsidR="00F674A4" w:rsidRPr="00F0736F" w:rsidRDefault="00F674A4" w:rsidP="00E45E66">
            <w:pPr>
              <w:tabs>
                <w:tab w:val="left" w:pos="425"/>
                <w:tab w:val="left" w:pos="567"/>
              </w:tabs>
              <w:jc w:val="both"/>
              <w:rPr>
                <w:color w:val="000000" w:themeColor="text1"/>
              </w:rPr>
            </w:pPr>
            <w:r w:rsidRPr="00F0736F">
              <w:rPr>
                <w:rFonts w:ascii="Times New Roman" w:hAnsi="Times New Roman" w:cs="Times New Roman"/>
                <w:color w:val="000000" w:themeColor="text1"/>
                <w:sz w:val="20"/>
                <w:szCs w:val="20"/>
              </w:rPr>
              <w:t>2.3.1 Классификация продукции по объему производства, сельское хозяйство/животноводство/лесное хозяйство</w:t>
            </w:r>
          </w:p>
          <w:p w14:paraId="058F4146"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63C7BF98" w14:textId="77777777" w:rsidR="00F674A4" w:rsidRPr="00F0736F" w:rsidRDefault="00F674A4" w:rsidP="00E45E66">
            <w:pPr>
              <w:jc w:val="both"/>
              <w:rPr>
                <w:color w:val="000000" w:themeColor="text1"/>
              </w:rPr>
            </w:pPr>
            <w:r w:rsidRPr="00F0736F">
              <w:rPr>
                <w:rFonts w:ascii="Times New Roman" w:hAnsi="Times New Roman" w:cs="Times New Roman"/>
                <w:color w:val="000000" w:themeColor="text1"/>
                <w:sz w:val="20"/>
                <w:szCs w:val="20"/>
              </w:rPr>
              <w:t>2.3.2 Классификация по среднему доходу, на душу населения и коренным народам мелких продуктов питания</w:t>
            </w:r>
          </w:p>
        </w:tc>
        <w:tc>
          <w:tcPr>
            <w:tcW w:w="1815" w:type="dxa"/>
            <w:tcBorders>
              <w:top w:val="single" w:sz="4" w:space="0" w:color="000000"/>
              <w:left w:val="single" w:sz="4" w:space="0" w:color="000000"/>
              <w:bottom w:val="single" w:sz="4" w:space="0" w:color="000000"/>
            </w:tcBorders>
            <w:shd w:val="clear" w:color="auto" w:fill="auto"/>
          </w:tcPr>
          <w:p w14:paraId="010E07A9"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Производительность труда в сельском хозяйстве</w:t>
            </w:r>
          </w:p>
        </w:tc>
        <w:tc>
          <w:tcPr>
            <w:tcW w:w="1470" w:type="dxa"/>
            <w:tcBorders>
              <w:top w:val="single" w:sz="4" w:space="0" w:color="000000"/>
              <w:left w:val="single" w:sz="4" w:space="0" w:color="000000"/>
              <w:bottom w:val="single" w:sz="4" w:space="0" w:color="000000"/>
            </w:tcBorders>
            <w:shd w:val="clear" w:color="auto" w:fill="auto"/>
          </w:tcPr>
          <w:p w14:paraId="12487EEB"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239AA69"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Средний доход мелких производителей продовольственной продукции в разбивке по полу и статусу принадлежности к коренным народам.</w:t>
            </w:r>
          </w:p>
          <w:p w14:paraId="794B1D20" w14:textId="77777777" w:rsidR="00F674A4" w:rsidRPr="00F0736F" w:rsidRDefault="00F674A4" w:rsidP="008727D9">
            <w:pPr>
              <w:ind w:firstLine="709"/>
              <w:jc w:val="both"/>
              <w:rPr>
                <w:rFonts w:ascii="Times New Roman" w:hAnsi="Times New Roman" w:cs="Times New Roman"/>
                <w:color w:val="000000" w:themeColor="text1"/>
                <w:sz w:val="20"/>
                <w:szCs w:val="20"/>
              </w:rPr>
            </w:pPr>
          </w:p>
        </w:tc>
      </w:tr>
      <w:tr w:rsidR="00F0736F" w:rsidRPr="00F0736F" w14:paraId="27623925" w14:textId="77777777">
        <w:tc>
          <w:tcPr>
            <w:tcW w:w="2895" w:type="dxa"/>
            <w:tcBorders>
              <w:top w:val="single" w:sz="4" w:space="0" w:color="000000"/>
              <w:left w:val="single" w:sz="4" w:space="0" w:color="000000"/>
              <w:bottom w:val="single" w:sz="4" w:space="0" w:color="000000"/>
            </w:tcBorders>
            <w:shd w:val="clear" w:color="auto" w:fill="auto"/>
          </w:tcPr>
          <w:p w14:paraId="65E7DBA8"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Задача 2.4. Укрепление адаптационного потенциала для адаптации к изменению климата, погодным явлениям, засухе, наводнениям и другим стихийным бедствиям, что будет способствовать созданию устойчивых систем производства продовольствия к 2030 году и будет способствовать жизнеспособности и производительности и увеличению объемов производства; Внедрение методов ведения сельского хозяйства, которые будут постепенно улучшать почву и качество почвы</w:t>
            </w:r>
          </w:p>
        </w:tc>
        <w:tc>
          <w:tcPr>
            <w:tcW w:w="2775" w:type="dxa"/>
            <w:tcBorders>
              <w:top w:val="single" w:sz="4" w:space="0" w:color="000000"/>
              <w:left w:val="single" w:sz="4" w:space="0" w:color="000000"/>
              <w:bottom w:val="single" w:sz="4" w:space="0" w:color="000000"/>
            </w:tcBorders>
            <w:shd w:val="clear" w:color="auto" w:fill="auto"/>
          </w:tcPr>
          <w:p w14:paraId="0AE2A47C"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2.4.1 Доля площади сельскохозяйственных угодий, используемых эффективными и неисчерпаемыми методами ведения сельского хозяйства</w:t>
            </w:r>
          </w:p>
        </w:tc>
        <w:tc>
          <w:tcPr>
            <w:tcW w:w="1815" w:type="dxa"/>
            <w:tcBorders>
              <w:top w:val="single" w:sz="4" w:space="0" w:color="000000"/>
              <w:left w:val="single" w:sz="4" w:space="0" w:color="000000"/>
              <w:bottom w:val="single" w:sz="4" w:space="0" w:color="000000"/>
            </w:tcBorders>
            <w:shd w:val="clear" w:color="auto" w:fill="auto"/>
          </w:tcPr>
          <w:p w14:paraId="33CCE477" w14:textId="77777777" w:rsidR="00F674A4" w:rsidRPr="00F0736F" w:rsidRDefault="00F674A4" w:rsidP="00DD3E17">
            <w:pPr>
              <w:jc w:val="both"/>
              <w:rPr>
                <w:color w:val="000000" w:themeColor="text1"/>
              </w:rPr>
            </w:pPr>
            <w:r w:rsidRPr="00F0736F">
              <w:rPr>
                <w:rFonts w:ascii="Times New Roman" w:eastAsia="MS Mincho" w:hAnsi="Times New Roman" w:cs="Times New Roman"/>
                <w:color w:val="000000" w:themeColor="text1"/>
                <w:sz w:val="20"/>
                <w:szCs w:val="20"/>
                <w:lang w:eastAsia="ja-JP"/>
              </w:rPr>
              <w:t>Доля площади сельскохозяйственных угодий, на которых применяются продуктивные и неистощительные методы ведения сельского хозяйства</w:t>
            </w:r>
            <w:r w:rsidRPr="00F0736F">
              <w:rPr>
                <w:rFonts w:ascii="Times New Roman" w:eastAsia="Calibri" w:hAnsi="Times New Roman" w:cs="Times New Roman"/>
                <w:color w:val="000000" w:themeColor="text1"/>
                <w:sz w:val="20"/>
                <w:szCs w:val="20"/>
              </w:rPr>
              <w:t xml:space="preserve"> </w:t>
            </w:r>
          </w:p>
          <w:p w14:paraId="566584A4"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0F9E788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Площадь орошаемых земель с применением водосберегающих технологий (капельное орошение и дождевание)</w:t>
            </w:r>
          </w:p>
        </w:tc>
        <w:tc>
          <w:tcPr>
            <w:tcW w:w="1470" w:type="dxa"/>
            <w:tcBorders>
              <w:top w:val="single" w:sz="4" w:space="0" w:color="000000"/>
              <w:left w:val="single" w:sz="4" w:space="0" w:color="000000"/>
              <w:bottom w:val="single" w:sz="4" w:space="0" w:color="000000"/>
            </w:tcBorders>
            <w:shd w:val="clear" w:color="auto" w:fill="auto"/>
          </w:tcPr>
          <w:p w14:paraId="4D816FB6"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Не предусмотрены адаптационные мероприятия к изменению климата</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9A76F35"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Разработать Стратегию по адаптации к изменению климата с соответствующими показателями.</w:t>
            </w:r>
          </w:p>
        </w:tc>
      </w:tr>
      <w:tr w:rsidR="00F0736F" w:rsidRPr="00F0736F" w14:paraId="46488459" w14:textId="77777777">
        <w:tc>
          <w:tcPr>
            <w:tcW w:w="2895" w:type="dxa"/>
            <w:tcBorders>
              <w:top w:val="single" w:sz="4" w:space="0" w:color="000000"/>
              <w:left w:val="single" w:sz="4" w:space="0" w:color="000000"/>
              <w:bottom w:val="single" w:sz="4" w:space="0" w:color="000000"/>
            </w:tcBorders>
            <w:shd w:val="clear" w:color="auto" w:fill="auto"/>
          </w:tcPr>
          <w:p w14:paraId="7E3701B3"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2.5 к 2020 году поддерживать генетическое разнообразие семян и семян, а также сельскохозяйственных и домашних животных и, соответственно, их диких видов, обеспечивая им надлежащий уход на национальном, региональном и международном уровнях различных семян и растений, вместе со справедливой и равноправной основой для расширения доступа к генетическим ресурсам и связанным с ними традиционным знаниям и эффективности их согласованного на международном уровне использования и облегчая их совместное использование</w:t>
            </w:r>
          </w:p>
        </w:tc>
        <w:tc>
          <w:tcPr>
            <w:tcW w:w="2775" w:type="dxa"/>
            <w:tcBorders>
              <w:top w:val="single" w:sz="4" w:space="0" w:color="000000"/>
              <w:left w:val="single" w:sz="4" w:space="0" w:color="000000"/>
              <w:bottom w:val="single" w:sz="4" w:space="0" w:color="000000"/>
            </w:tcBorders>
            <w:shd w:val="clear" w:color="auto" w:fill="auto"/>
          </w:tcPr>
          <w:p w14:paraId="1F493840"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2.5.1 Количество генетических ресурсов растительного и зоологического происхождения для производства продовольствия и сельскохозяйственной продукции, хранящихся в специальных среднесрочных или долгосрочных хранилищах</w:t>
            </w:r>
          </w:p>
          <w:p w14:paraId="56FFAB6B"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295FFC3E" w14:textId="33C25244"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2.5.2 Процент видов животных, относящихся к следующим категориям: находящиеся под угрозой исчезновения; уровень риска потери неизвестен</w:t>
            </w:r>
          </w:p>
        </w:tc>
        <w:tc>
          <w:tcPr>
            <w:tcW w:w="1815" w:type="dxa"/>
            <w:tcBorders>
              <w:top w:val="single" w:sz="4" w:space="0" w:color="000000"/>
              <w:left w:val="single" w:sz="4" w:space="0" w:color="000000"/>
              <w:bottom w:val="single" w:sz="4" w:space="0" w:color="000000"/>
            </w:tcBorders>
            <w:shd w:val="clear" w:color="auto" w:fill="auto"/>
          </w:tcPr>
          <w:p w14:paraId="625C9E3A"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Не имеется</w:t>
            </w:r>
          </w:p>
        </w:tc>
        <w:tc>
          <w:tcPr>
            <w:tcW w:w="1470" w:type="dxa"/>
            <w:tcBorders>
              <w:top w:val="single" w:sz="4" w:space="0" w:color="000000"/>
              <w:left w:val="single" w:sz="4" w:space="0" w:color="000000"/>
              <w:bottom w:val="single" w:sz="4" w:space="0" w:color="000000"/>
            </w:tcBorders>
            <w:shd w:val="clear" w:color="auto" w:fill="auto"/>
          </w:tcPr>
          <w:p w14:paraId="162F10C2"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Данная работа осуществляется только на уровне научных исследований.</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6A2955B"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Необходимы соответствующие показатели</w:t>
            </w:r>
          </w:p>
        </w:tc>
      </w:tr>
      <w:tr w:rsidR="00F0736F" w:rsidRPr="00F0736F" w14:paraId="7B93A4CE" w14:textId="77777777">
        <w:tc>
          <w:tcPr>
            <w:tcW w:w="2895" w:type="dxa"/>
            <w:tcBorders>
              <w:top w:val="single" w:sz="4" w:space="0" w:color="000000"/>
              <w:left w:val="single" w:sz="4" w:space="0" w:color="000000"/>
              <w:bottom w:val="single" w:sz="4" w:space="0" w:color="000000"/>
            </w:tcBorders>
            <w:shd w:val="clear" w:color="auto" w:fill="auto"/>
          </w:tcPr>
          <w:p w14:paraId="670A1E53"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Задача 2.a. Увеличить инвестирование, в том числе посредством активизации международного сотрудничества, в сельскую инфраструктуру, сельскохозяйственные исследования и агропропаганду, развитие технологий и создание генетических банков растений и животных в целях укрепления потенциала развивающихся стран, особенно наименее развитых стран, в области сельскохозяйственного производства</w:t>
            </w:r>
          </w:p>
        </w:tc>
        <w:tc>
          <w:tcPr>
            <w:tcW w:w="2775" w:type="dxa"/>
            <w:tcBorders>
              <w:top w:val="single" w:sz="4" w:space="0" w:color="000000"/>
              <w:left w:val="single" w:sz="4" w:space="0" w:color="000000"/>
              <w:bottom w:val="single" w:sz="4" w:space="0" w:color="000000"/>
            </w:tcBorders>
            <w:shd w:val="clear" w:color="auto" w:fill="auto"/>
          </w:tcPr>
          <w:p w14:paraId="0A3A47BF"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2.a.1 Индекс ориентированности на сельское хозяйство, определяемый по структуре государственных расходов</w:t>
            </w:r>
          </w:p>
          <w:p w14:paraId="78DF2BF2"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24A5E0A5"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2.a.2 Совокупный приток официальных средств (официальная помощь в целях развития плюс прочие потоки официальных средств) в сельское хозяйство</w:t>
            </w:r>
          </w:p>
        </w:tc>
        <w:tc>
          <w:tcPr>
            <w:tcW w:w="1815" w:type="dxa"/>
            <w:tcBorders>
              <w:top w:val="single" w:sz="4" w:space="0" w:color="000000"/>
              <w:left w:val="single" w:sz="4" w:space="0" w:color="000000"/>
              <w:bottom w:val="single" w:sz="4" w:space="0" w:color="000000"/>
            </w:tcBorders>
            <w:shd w:val="clear" w:color="auto" w:fill="auto"/>
          </w:tcPr>
          <w:p w14:paraId="0AA7EBFE"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Доля расходов на сельское хозяйство в бюджете РК</w:t>
            </w:r>
          </w:p>
          <w:p w14:paraId="67151EC7"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304A9847"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38C0A96B" w14:textId="77777777" w:rsidR="00F674A4" w:rsidRPr="00F0736F" w:rsidRDefault="00F674A4" w:rsidP="008727D9">
            <w:pPr>
              <w:ind w:firstLine="709"/>
              <w:jc w:val="both"/>
              <w:rPr>
                <w:rFonts w:ascii="Times New Roman" w:hAnsi="Times New Roman" w:cs="Times New Roman"/>
                <w:color w:val="000000" w:themeColor="text1"/>
                <w:sz w:val="20"/>
                <w:szCs w:val="20"/>
              </w:rPr>
            </w:pPr>
          </w:p>
          <w:p w14:paraId="52304E9A"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Определяется раздельно по притоку средств и донорству Казахстана</w:t>
            </w:r>
          </w:p>
        </w:tc>
        <w:tc>
          <w:tcPr>
            <w:tcW w:w="1470" w:type="dxa"/>
            <w:tcBorders>
              <w:top w:val="single" w:sz="4" w:space="0" w:color="000000"/>
              <w:left w:val="single" w:sz="4" w:space="0" w:color="000000"/>
              <w:bottom w:val="single" w:sz="4" w:space="0" w:color="000000"/>
            </w:tcBorders>
            <w:shd w:val="clear" w:color="auto" w:fill="auto"/>
          </w:tcPr>
          <w:p w14:paraId="224456E5"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Показатель имеет тенденцию к сокращению</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2C646B7"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0736F" w:rsidRPr="00F0736F" w14:paraId="612C0BF6" w14:textId="77777777">
        <w:tc>
          <w:tcPr>
            <w:tcW w:w="10180" w:type="dxa"/>
            <w:gridSpan w:val="5"/>
            <w:tcBorders>
              <w:top w:val="single" w:sz="4" w:space="0" w:color="000000"/>
              <w:left w:val="single" w:sz="4" w:space="0" w:color="000000"/>
              <w:bottom w:val="single" w:sz="4" w:space="0" w:color="000000"/>
              <w:right w:val="single" w:sz="4" w:space="0" w:color="000000"/>
            </w:tcBorders>
            <w:shd w:val="clear" w:color="auto" w:fill="auto"/>
          </w:tcPr>
          <w:p w14:paraId="6A267A3B" w14:textId="77777777" w:rsidR="00F674A4" w:rsidRPr="00F0736F" w:rsidRDefault="00F674A4" w:rsidP="00E45E66">
            <w:pPr>
              <w:jc w:val="center"/>
              <w:rPr>
                <w:color w:val="000000" w:themeColor="text1"/>
              </w:rPr>
            </w:pPr>
            <w:r w:rsidRPr="00F0736F">
              <w:rPr>
                <w:rFonts w:ascii="Times New Roman" w:hAnsi="Times New Roman" w:cs="Times New Roman"/>
                <w:color w:val="000000" w:themeColor="text1"/>
                <w:sz w:val="20"/>
                <w:szCs w:val="20"/>
              </w:rPr>
              <w:t>Цель 5. Обеспечение гендерного равенства и расширение прав и возможностей всех женщин и девочек</w:t>
            </w:r>
          </w:p>
        </w:tc>
      </w:tr>
      <w:tr w:rsidR="00F674A4" w:rsidRPr="00F0736F" w14:paraId="1D5046E8" w14:textId="77777777">
        <w:tc>
          <w:tcPr>
            <w:tcW w:w="2895" w:type="dxa"/>
            <w:tcBorders>
              <w:top w:val="single" w:sz="4" w:space="0" w:color="000000"/>
              <w:left w:val="single" w:sz="4" w:space="0" w:color="000000"/>
              <w:bottom w:val="single" w:sz="4" w:space="0" w:color="000000"/>
            </w:tcBorders>
            <w:shd w:val="clear" w:color="auto" w:fill="auto"/>
          </w:tcPr>
          <w:p w14:paraId="71D3D719" w14:textId="77777777" w:rsidR="00F674A4" w:rsidRPr="00F0736F" w:rsidRDefault="00F674A4" w:rsidP="003106D7">
            <w:pPr>
              <w:jc w:val="both"/>
              <w:rPr>
                <w:color w:val="000000" w:themeColor="text1"/>
              </w:rPr>
            </w:pPr>
            <w:r w:rsidRPr="00F0736F">
              <w:rPr>
                <w:rFonts w:ascii="Times New Roman" w:hAnsi="Times New Roman" w:cs="Times New Roman"/>
                <w:color w:val="000000" w:themeColor="text1"/>
                <w:sz w:val="20"/>
                <w:szCs w:val="20"/>
              </w:rPr>
              <w:t>Задача 5.a. Провести реформы в целях предоставления женщинам равных прав на экономические ресурсы, а также доступа к владению и распоряжению землей и другими формами собственности, финансовым услугам, наследуемому имуществу и природным ресурсам в соответствии с национальными законами</w:t>
            </w:r>
          </w:p>
        </w:tc>
        <w:tc>
          <w:tcPr>
            <w:tcW w:w="2775" w:type="dxa"/>
            <w:tcBorders>
              <w:top w:val="single" w:sz="4" w:space="0" w:color="000000"/>
              <w:left w:val="single" w:sz="4" w:space="0" w:color="000000"/>
              <w:bottom w:val="single" w:sz="4" w:space="0" w:color="000000"/>
            </w:tcBorders>
            <w:shd w:val="clear" w:color="auto" w:fill="auto"/>
          </w:tcPr>
          <w:p w14:paraId="66EFC826" w14:textId="77777777" w:rsidR="003106D7" w:rsidRPr="00F0736F" w:rsidRDefault="00F674A4" w:rsidP="003106D7">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5.a.1 a) Доля людей, владеющих сельскохозяйственной землей или имеющих гарантированное право пользования ею, в общей численности населения, занимающегося сельским хозяйством, в разбивке по полу;  </w:t>
            </w:r>
          </w:p>
          <w:p w14:paraId="17DE5391" w14:textId="77777777" w:rsidR="00F674A4" w:rsidRPr="00F0736F" w:rsidRDefault="00F674A4" w:rsidP="003106D7">
            <w:pPr>
              <w:jc w:val="both"/>
              <w:rPr>
                <w:color w:val="000000" w:themeColor="text1"/>
              </w:rPr>
            </w:pPr>
            <w:r w:rsidRPr="00F0736F">
              <w:rPr>
                <w:rFonts w:ascii="Times New Roman" w:hAnsi="Times New Roman" w:cs="Times New Roman"/>
                <w:color w:val="000000" w:themeColor="text1"/>
                <w:sz w:val="20"/>
                <w:szCs w:val="20"/>
              </w:rPr>
              <w:t>b) доля женщин, владеющих сельскохозяйственной землей или являющихся носителями права владения ею, в разбивке по формам землевладения</w:t>
            </w:r>
          </w:p>
          <w:p w14:paraId="47389B85" w14:textId="77777777" w:rsidR="00F674A4" w:rsidRPr="00F0736F" w:rsidRDefault="00F674A4" w:rsidP="003106D7">
            <w:pPr>
              <w:jc w:val="both"/>
              <w:rPr>
                <w:color w:val="000000" w:themeColor="text1"/>
              </w:rPr>
            </w:pPr>
            <w:r w:rsidRPr="00F0736F">
              <w:rPr>
                <w:rFonts w:ascii="Times New Roman" w:hAnsi="Times New Roman" w:cs="Times New Roman"/>
                <w:color w:val="000000" w:themeColor="text1"/>
                <w:sz w:val="20"/>
                <w:szCs w:val="20"/>
              </w:rPr>
              <w:t>5.a.2 Доля стран, в которых правовая база (в том числе обычное право) гарантирует женщинам равные права на владение и/или распоряжение землей</w:t>
            </w:r>
          </w:p>
        </w:tc>
        <w:tc>
          <w:tcPr>
            <w:tcW w:w="1815" w:type="dxa"/>
            <w:tcBorders>
              <w:top w:val="single" w:sz="4" w:space="0" w:color="000000"/>
              <w:left w:val="single" w:sz="4" w:space="0" w:color="000000"/>
              <w:bottom w:val="single" w:sz="4" w:space="0" w:color="000000"/>
            </w:tcBorders>
            <w:shd w:val="clear" w:color="auto" w:fill="auto"/>
          </w:tcPr>
          <w:p w14:paraId="61B31FD8" w14:textId="77777777" w:rsidR="00F674A4" w:rsidRPr="00F0736F" w:rsidRDefault="00F674A4" w:rsidP="003106D7">
            <w:pPr>
              <w:jc w:val="both"/>
              <w:rPr>
                <w:color w:val="000000" w:themeColor="text1"/>
              </w:rPr>
            </w:pPr>
            <w:r w:rsidRPr="00F0736F">
              <w:rPr>
                <w:rFonts w:ascii="Times New Roman" w:hAnsi="Times New Roman" w:cs="Times New Roman"/>
                <w:color w:val="000000" w:themeColor="text1"/>
                <w:sz w:val="20"/>
                <w:szCs w:val="20"/>
              </w:rPr>
              <w:t>Доля женщин, которым предоставлены земли сельскохозяйственного назначения в разбивке по формам собственности</w:t>
            </w:r>
            <w:r w:rsidR="003106D7" w:rsidRPr="00F0736F">
              <w:rPr>
                <w:rFonts w:ascii="Times New Roman" w:hAnsi="Times New Roman" w:cs="Times New Roman"/>
                <w:color w:val="000000" w:themeColor="text1"/>
                <w:sz w:val="20"/>
                <w:szCs w:val="20"/>
              </w:rPr>
              <w:t>,</w:t>
            </w:r>
            <w:r w:rsidR="003106D7" w:rsidRPr="00F0736F">
              <w:rPr>
                <w:color w:val="000000" w:themeColor="text1"/>
              </w:rPr>
              <w:t xml:space="preserve"> </w:t>
            </w:r>
            <w:r w:rsidRPr="00F0736F">
              <w:rPr>
                <w:rFonts w:ascii="Times New Roman" w:hAnsi="Times New Roman" w:cs="Times New Roman"/>
                <w:color w:val="000000" w:themeColor="text1"/>
                <w:sz w:val="20"/>
                <w:szCs w:val="20"/>
              </w:rPr>
              <w:t>действующее земельное законодательство при предоставлении земельного участка не разделяет субъектов по половому признаку, и не ограничивает права  женщин</w:t>
            </w:r>
          </w:p>
        </w:tc>
        <w:tc>
          <w:tcPr>
            <w:tcW w:w="1470" w:type="dxa"/>
            <w:tcBorders>
              <w:top w:val="single" w:sz="4" w:space="0" w:color="000000"/>
              <w:left w:val="single" w:sz="4" w:space="0" w:color="000000"/>
              <w:bottom w:val="single" w:sz="4" w:space="0" w:color="000000"/>
            </w:tcBorders>
            <w:shd w:val="clear" w:color="auto" w:fill="auto"/>
          </w:tcPr>
          <w:p w14:paraId="2FD99C34" w14:textId="77777777" w:rsidR="00F674A4" w:rsidRPr="00F0736F" w:rsidRDefault="00F674A4" w:rsidP="003106D7">
            <w:pPr>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A4A3E99" w14:textId="77777777" w:rsidR="00F674A4" w:rsidRPr="00F0736F" w:rsidRDefault="00F674A4" w:rsidP="00DD3E17">
            <w:pPr>
              <w:jc w:val="both"/>
              <w:rPr>
                <w:color w:val="000000" w:themeColor="text1"/>
              </w:rPr>
            </w:pPr>
            <w:r w:rsidRPr="00F0736F">
              <w:rPr>
                <w:rFonts w:ascii="Times New Roman" w:hAnsi="Times New Roman" w:cs="Times New Roman"/>
                <w:color w:val="000000" w:themeColor="text1"/>
                <w:sz w:val="20"/>
                <w:szCs w:val="20"/>
              </w:rPr>
              <w:t xml:space="preserve">Нет </w:t>
            </w:r>
          </w:p>
        </w:tc>
      </w:tr>
    </w:tbl>
    <w:p w14:paraId="2BBCE529" w14:textId="77777777" w:rsidR="00F674A4" w:rsidRPr="00F0736F" w:rsidRDefault="00F674A4" w:rsidP="008727D9">
      <w:pPr>
        <w:ind w:firstLine="709"/>
        <w:jc w:val="both"/>
        <w:rPr>
          <w:rFonts w:ascii="Times New Roman" w:hAnsi="Times New Roman" w:cs="Times New Roman"/>
          <w:color w:val="000000" w:themeColor="text1"/>
        </w:rPr>
      </w:pPr>
    </w:p>
    <w:p w14:paraId="08B01630"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664FDD11" w14:textId="77777777" w:rsidR="00F674A4" w:rsidRPr="00F0736F" w:rsidRDefault="00227A16"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w:t>
      </w:r>
    </w:p>
    <w:p w14:paraId="20E0C6C5" w14:textId="05C088EB" w:rsidR="00F674A4" w:rsidRPr="00F0736F" w:rsidRDefault="00F674A4" w:rsidP="008727D9">
      <w:pPr>
        <w:ind w:firstLine="709"/>
        <w:jc w:val="both"/>
        <w:rPr>
          <w:color w:val="000000" w:themeColor="text1"/>
        </w:rPr>
      </w:pPr>
      <w:r w:rsidRPr="00F0736F">
        <w:rPr>
          <w:rStyle w:val="12"/>
          <w:rFonts w:ascii="Times New Roman" w:hAnsi="Times New Roman" w:cs="Times New Roman"/>
          <w:b w:val="0"/>
          <w:bCs w:val="0"/>
          <w:color w:val="000000" w:themeColor="text1"/>
        </w:rPr>
        <w:t>В соответствии с</w:t>
      </w:r>
      <w:r w:rsidR="00C84A65" w:rsidRPr="00F0736F">
        <w:rPr>
          <w:rStyle w:val="12"/>
          <w:rFonts w:ascii="Times New Roman" w:hAnsi="Times New Roman" w:cs="Times New Roman"/>
          <w:b w:val="0"/>
          <w:bCs w:val="0"/>
          <w:color w:val="000000" w:themeColor="text1"/>
        </w:rPr>
        <w:t xml:space="preserve">о </w:t>
      </w:r>
      <w:r w:rsidRPr="00F0736F">
        <w:rPr>
          <w:rStyle w:val="12"/>
          <w:rFonts w:ascii="Times New Roman" w:hAnsi="Times New Roman" w:cs="Times New Roman"/>
          <w:b w:val="0"/>
          <w:bCs w:val="0"/>
          <w:color w:val="000000" w:themeColor="text1"/>
        </w:rPr>
        <w:t>Стратегическим планом до 2025 года</w:t>
      </w:r>
      <w:r w:rsidR="0035100D" w:rsidRPr="00F0736F">
        <w:rPr>
          <w:rStyle w:val="12"/>
          <w:rFonts w:ascii="Times New Roman" w:hAnsi="Times New Roman" w:cs="Times New Roman"/>
          <w:b w:val="0"/>
          <w:bCs w:val="0"/>
          <w:color w:val="000000" w:themeColor="text1"/>
        </w:rPr>
        <w:t>,</w:t>
      </w:r>
      <w:r w:rsidRPr="00F0736F">
        <w:rPr>
          <w:rStyle w:val="12"/>
          <w:rFonts w:ascii="Times New Roman" w:hAnsi="Times New Roman" w:cs="Times New Roman"/>
          <w:b w:val="0"/>
          <w:bCs w:val="0"/>
          <w:color w:val="000000" w:themeColor="text1"/>
        </w:rPr>
        <w:t xml:space="preserve"> политика в АПК будет ориентирована на повышение производительности сельского хозяйства, углубление переработки сельхозпродукции, обеспечение продовольственной безопасности страны и рост экспортоориентированной экологически чистой продукции. За 5 лет планируется увеличить производительность труда и объем экспорта переработанной продукции в 2,5 раза по сравнению с 2017 годом.</w:t>
      </w:r>
    </w:p>
    <w:p w14:paraId="6A363520" w14:textId="77777777" w:rsidR="00F674A4" w:rsidRPr="00F0736F" w:rsidRDefault="00F674A4" w:rsidP="008727D9">
      <w:pPr>
        <w:ind w:firstLine="709"/>
        <w:jc w:val="both"/>
        <w:rPr>
          <w:color w:val="000000" w:themeColor="text1"/>
        </w:rPr>
      </w:pPr>
      <w:r w:rsidRPr="00F0736F">
        <w:rPr>
          <w:rStyle w:val="12"/>
          <w:rFonts w:ascii="Times New Roman" w:hAnsi="Times New Roman" w:cs="Times New Roman"/>
          <w:b w:val="0"/>
          <w:bCs w:val="0"/>
          <w:color w:val="000000" w:themeColor="text1"/>
        </w:rPr>
        <w:t>Будет оказана всесторонняя поддержка всем видам сельскохозяйственных кооперативов, в частности, производственным, заготовительным и перерабатывающим. Для внедрения современных технологий будет создана сеть модельных ферм с привлечением международных специалистов и обучением местных сельхозтоваропроизводителей. Массовое применение найдут геоинформационные системы для эффективного управления водными и земельными ресурсами и по борьбе с опустыниванием. В целях эффективного трансферта технологий и развития аграрной науки будет активизировано взаимодействие отечественных сельскохозяйственных НИИ и вузов с международным научным сообществом, основными задачами станут развитие племенного генофонда, повышение репродуктивности в растениеводстве, развитие точного земледелия, а также повышение ресурсоэффективности. Для обеспечения отрасли квалифицированными специалистами, распространения передовых знаний и лучшей практики в АПК будут пересмотрена роль аграрных университетов и обновлены программы обучения в них.</w:t>
      </w:r>
      <w:bookmarkStart w:id="12" w:name="z876"/>
      <w:bookmarkEnd w:id="12"/>
      <w:r w:rsidRPr="00F0736F">
        <w:rPr>
          <w:rStyle w:val="12"/>
          <w:rFonts w:ascii="Times New Roman" w:hAnsi="Times New Roman" w:cs="Times New Roman"/>
          <w:b w:val="0"/>
          <w:bCs w:val="0"/>
          <w:color w:val="000000" w:themeColor="text1"/>
        </w:rPr>
        <w:t xml:space="preserve"> Перспективным направлением развития экспортного потенциала сельскохозяйственного производства станет производство органической продукции, в том числе ее экспорт в развитые страны. Будет внедрена собственная система сертификации производства органической продукции, получат развитие специализированные лаборатории по определению качества продукции. </w:t>
      </w:r>
    </w:p>
    <w:p w14:paraId="3CA10A5B" w14:textId="703E40BE" w:rsidR="00F674A4" w:rsidRPr="00F0736F" w:rsidRDefault="00F674A4" w:rsidP="008727D9">
      <w:pPr>
        <w:ind w:firstLine="709"/>
        <w:jc w:val="both"/>
        <w:rPr>
          <w:color w:val="000000" w:themeColor="text1"/>
        </w:rPr>
      </w:pPr>
      <w:r w:rsidRPr="00F0736F">
        <w:rPr>
          <w:rStyle w:val="12"/>
          <w:rFonts w:ascii="Times New Roman" w:hAnsi="Times New Roman" w:cs="Times New Roman"/>
          <w:b w:val="0"/>
          <w:bCs w:val="0"/>
          <w:color w:val="000000" w:themeColor="text1"/>
        </w:rPr>
        <w:t xml:space="preserve">В соответствии с поручением </w:t>
      </w:r>
      <w:r w:rsidR="00247196" w:rsidRPr="00F0736F">
        <w:rPr>
          <w:rStyle w:val="12"/>
          <w:rFonts w:ascii="Times New Roman" w:hAnsi="Times New Roman" w:cs="Times New Roman"/>
          <w:b w:val="0"/>
          <w:bCs w:val="0"/>
          <w:color w:val="000000" w:themeColor="text1"/>
        </w:rPr>
        <w:t xml:space="preserve">Первого </w:t>
      </w:r>
      <w:r w:rsidRPr="00F0736F">
        <w:rPr>
          <w:rStyle w:val="12"/>
          <w:rFonts w:ascii="Times New Roman" w:hAnsi="Times New Roman" w:cs="Times New Roman"/>
          <w:b w:val="0"/>
          <w:bCs w:val="0"/>
          <w:color w:val="000000" w:themeColor="text1"/>
        </w:rPr>
        <w:t xml:space="preserve">Президента Республики Казахстан </w:t>
      </w:r>
      <w:r w:rsidR="008B530B" w:rsidRPr="00F0736F">
        <w:rPr>
          <w:rStyle w:val="12"/>
          <w:rFonts w:ascii="Times New Roman" w:hAnsi="Times New Roman" w:cs="Times New Roman"/>
          <w:b w:val="0"/>
          <w:bCs w:val="0"/>
          <w:color w:val="000000" w:themeColor="text1"/>
        </w:rPr>
        <w:t>-</w:t>
      </w:r>
      <w:r w:rsidRPr="00F0736F">
        <w:rPr>
          <w:rStyle w:val="12"/>
          <w:rFonts w:ascii="Times New Roman" w:hAnsi="Times New Roman" w:cs="Times New Roman"/>
          <w:b w:val="0"/>
          <w:bCs w:val="0"/>
          <w:color w:val="000000" w:themeColor="text1"/>
        </w:rPr>
        <w:t xml:space="preserve"> </w:t>
      </w:r>
      <w:r w:rsidR="00247196" w:rsidRPr="00F0736F">
        <w:rPr>
          <w:rStyle w:val="12"/>
          <w:rFonts w:ascii="Times New Roman" w:hAnsi="Times New Roman" w:cs="Times New Roman"/>
          <w:b w:val="0"/>
          <w:bCs w:val="0"/>
          <w:color w:val="000000" w:themeColor="text1"/>
        </w:rPr>
        <w:t>Елбасы</w:t>
      </w:r>
      <w:r w:rsidRPr="00F0736F">
        <w:rPr>
          <w:rStyle w:val="12"/>
          <w:rFonts w:ascii="Times New Roman" w:hAnsi="Times New Roman" w:cs="Times New Roman"/>
          <w:b w:val="0"/>
          <w:bCs w:val="0"/>
          <w:color w:val="000000" w:themeColor="text1"/>
        </w:rPr>
        <w:t xml:space="preserve"> Назарбаева Н.А. увеличение в течение 5 лет (2017 - 2022 гг.) производительности труда в АПК и экспорта переработанной сельхозпродукции как минимум в 2,5 раза в большей степени будет обеспечено за счет цифровизации АПК.</w:t>
      </w:r>
    </w:p>
    <w:p w14:paraId="091716F5" w14:textId="118F4EBD" w:rsidR="00F674A4" w:rsidRPr="00F0736F" w:rsidRDefault="00F674A4" w:rsidP="008727D9">
      <w:pPr>
        <w:ind w:firstLine="709"/>
        <w:jc w:val="both"/>
        <w:rPr>
          <w:rFonts w:ascii="Calibri" w:hAnsi="Calibri"/>
          <w:color w:val="000000" w:themeColor="text1"/>
        </w:rPr>
      </w:pPr>
      <w:r w:rsidRPr="00F0736F">
        <w:rPr>
          <w:rStyle w:val="12"/>
          <w:rFonts w:ascii="Times New Roman" w:eastAsia="Times New Roman" w:hAnsi="Times New Roman" w:cs="Times New Roman"/>
          <w:b w:val="0"/>
          <w:bCs w:val="0"/>
          <w:color w:val="000000" w:themeColor="text1"/>
          <w:spacing w:val="2"/>
          <w:lang w:eastAsia="ru-RU"/>
        </w:rPr>
        <w:t>В рамках цифровизации АПК будут созданы не менее 20 цифровых ферм и</w:t>
      </w:r>
      <w:r w:rsidR="00597FA5" w:rsidRPr="00F0736F">
        <w:rPr>
          <w:rStyle w:val="12"/>
          <w:rFonts w:ascii="Times New Roman" w:eastAsia="Times New Roman" w:hAnsi="Times New Roman" w:cs="Times New Roman"/>
          <w:b w:val="0"/>
          <w:bCs w:val="0"/>
          <w:color w:val="000000" w:themeColor="text1"/>
          <w:spacing w:val="2"/>
          <w:lang w:eastAsia="ru-RU"/>
        </w:rPr>
        <w:t xml:space="preserve"> 4</w:t>
      </w:r>
      <w:r w:rsidR="008B530B" w:rsidRPr="00F0736F">
        <w:rPr>
          <w:rStyle w:val="12"/>
          <w:rFonts w:ascii="Times New Roman" w:eastAsia="Times New Roman" w:hAnsi="Times New Roman" w:cs="Times New Roman"/>
          <w:b w:val="0"/>
          <w:bCs w:val="0"/>
          <w:color w:val="000000" w:themeColor="text1"/>
          <w:spacing w:val="2"/>
          <w:lang w:eastAsia="ru-RU"/>
        </w:rPr>
        <w:t xml:space="preserve"> </w:t>
      </w:r>
      <w:r w:rsidR="00597FA5" w:rsidRPr="00F0736F">
        <w:rPr>
          <w:rStyle w:val="12"/>
          <w:rFonts w:ascii="Times New Roman" w:eastAsia="Times New Roman" w:hAnsi="Times New Roman" w:cs="Times New Roman"/>
          <w:b w:val="0"/>
          <w:bCs w:val="0"/>
          <w:color w:val="000000" w:themeColor="text1"/>
          <w:spacing w:val="2"/>
          <w:lang w:eastAsia="ru-RU"/>
        </w:rPr>
        <w:t>000 продвинутых ферм по всей р</w:t>
      </w:r>
      <w:r w:rsidRPr="00F0736F">
        <w:rPr>
          <w:rStyle w:val="12"/>
          <w:rFonts w:ascii="Times New Roman" w:eastAsia="Times New Roman" w:hAnsi="Times New Roman" w:cs="Times New Roman"/>
          <w:b w:val="0"/>
          <w:bCs w:val="0"/>
          <w:color w:val="000000" w:themeColor="text1"/>
          <w:spacing w:val="2"/>
          <w:lang w:eastAsia="ru-RU"/>
        </w:rPr>
        <w:t>еспублике и обеспечена 100%-ная автоматизация процессов и госуслуг. Цифровизация будет ориентирована на фермера и упрощение его деятельности от начала до сбыта. В соответствии с Госпрограммой АПК</w:t>
      </w:r>
      <w:r w:rsidR="00597FA5" w:rsidRPr="00F0736F">
        <w:rPr>
          <w:rStyle w:val="12"/>
          <w:rFonts w:ascii="Times New Roman" w:eastAsia="Times New Roman" w:hAnsi="Times New Roman" w:cs="Times New Roman"/>
          <w:b w:val="0"/>
          <w:bCs w:val="0"/>
          <w:color w:val="000000" w:themeColor="text1"/>
          <w:spacing w:val="2"/>
          <w:lang w:eastAsia="ru-RU"/>
        </w:rPr>
        <w:t>,</w:t>
      </w:r>
      <w:r w:rsidRPr="00F0736F">
        <w:rPr>
          <w:rStyle w:val="12"/>
          <w:rFonts w:ascii="Times New Roman" w:eastAsia="Times New Roman" w:hAnsi="Times New Roman" w:cs="Times New Roman"/>
          <w:b w:val="0"/>
          <w:bCs w:val="0"/>
          <w:color w:val="000000" w:themeColor="text1"/>
          <w:spacing w:val="2"/>
          <w:lang w:eastAsia="ru-RU"/>
        </w:rPr>
        <w:t xml:space="preserve"> за счет мероприятий планируется прирост ВВП свыше 3 трлн</w:t>
      </w:r>
      <w:r w:rsidR="00597FA5" w:rsidRPr="00F0736F">
        <w:rPr>
          <w:rStyle w:val="12"/>
          <w:rFonts w:ascii="Times New Roman" w:eastAsia="Times New Roman" w:hAnsi="Times New Roman" w:cs="Times New Roman"/>
          <w:b w:val="0"/>
          <w:bCs w:val="0"/>
          <w:color w:val="000000" w:themeColor="text1"/>
          <w:spacing w:val="2"/>
          <w:lang w:eastAsia="ru-RU"/>
        </w:rPr>
        <w:t>.</w:t>
      </w:r>
      <w:r w:rsidRPr="00F0736F">
        <w:rPr>
          <w:rStyle w:val="12"/>
          <w:rFonts w:ascii="Times New Roman" w:eastAsia="Times New Roman" w:hAnsi="Times New Roman" w:cs="Times New Roman"/>
          <w:b w:val="0"/>
          <w:bCs w:val="0"/>
          <w:color w:val="000000" w:themeColor="text1"/>
          <w:spacing w:val="2"/>
          <w:lang w:eastAsia="ru-RU"/>
        </w:rPr>
        <w:t xml:space="preserve"> тенге, в котором эффект от цифровизации АПК составит 30%</w:t>
      </w:r>
      <w:r w:rsidR="00597FA5" w:rsidRPr="00F0736F">
        <w:rPr>
          <w:rStyle w:val="12"/>
          <w:rFonts w:ascii="Times New Roman" w:eastAsia="Times New Roman" w:hAnsi="Times New Roman" w:cs="Times New Roman"/>
          <w:b w:val="0"/>
          <w:bCs w:val="0"/>
          <w:color w:val="000000" w:themeColor="text1"/>
          <w:spacing w:val="2"/>
          <w:lang w:eastAsia="ru-RU"/>
        </w:rPr>
        <w:t>,</w:t>
      </w:r>
      <w:r w:rsidRPr="00F0736F">
        <w:rPr>
          <w:rStyle w:val="12"/>
          <w:rFonts w:ascii="Times New Roman" w:eastAsia="Times New Roman" w:hAnsi="Times New Roman" w:cs="Times New Roman"/>
          <w:b w:val="0"/>
          <w:bCs w:val="0"/>
          <w:color w:val="000000" w:themeColor="text1"/>
          <w:spacing w:val="2"/>
          <w:lang w:eastAsia="ru-RU"/>
        </w:rPr>
        <w:t xml:space="preserve"> или около 1 трлн. тенге.</w:t>
      </w:r>
      <w:r w:rsidRPr="00F0736F">
        <w:rPr>
          <w:rFonts w:ascii="Times New Roman" w:eastAsia="Times New Roman" w:hAnsi="Times New Roman" w:cs="Times New Roman"/>
          <w:color w:val="000000" w:themeColor="text1"/>
          <w:spacing w:val="2"/>
          <w:lang w:eastAsia="ru-RU"/>
        </w:rPr>
        <w:t xml:space="preserve"> </w:t>
      </w:r>
    </w:p>
    <w:p w14:paraId="55D87CE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rPr>
        <w:t>Выступая на расширенном заседании Правительства РК 15 июля 2019 года, Президент РК Токаев К.К. отметил, что проведенная Министерством сельского хозяйства инвентаризация сельхозземель выявила 16,5 млн. га неиспользуемых площадей, и это только часть проблемы. «Поручаю Правительству провести аудит всех сельхозземель и оцифровку информационной системы земельного кадастра. Земля – это главный фактор производства. Без эффективност</w:t>
      </w:r>
      <w:r w:rsidR="004F76DB" w:rsidRPr="00F0736F">
        <w:rPr>
          <w:rFonts w:ascii="Times New Roman" w:hAnsi="Times New Roman" w:cs="Times New Roman"/>
          <w:color w:val="000000" w:themeColor="text1"/>
          <w:spacing w:val="2"/>
        </w:rPr>
        <w:t>и и прозрачности в этом вопросе</w:t>
      </w:r>
      <w:r w:rsidRPr="00F0736F">
        <w:rPr>
          <w:rFonts w:ascii="Times New Roman" w:hAnsi="Times New Roman" w:cs="Times New Roman"/>
          <w:color w:val="000000" w:themeColor="text1"/>
          <w:spacing w:val="2"/>
        </w:rPr>
        <w:t xml:space="preserve"> нам село не развить. Мы понимаем, что это сложная работа. Здесь необходимо слаженное взаимодействие министерств сельского хозяйства и цифрового развития. Важно завершить эту работу до конца следующего года. Следует и нормативно, и на практике усилить контроль за эффективным использованием сельхозземель</w:t>
      </w:r>
      <w:r w:rsidR="00247196" w:rsidRPr="00F0736F">
        <w:rPr>
          <w:rFonts w:ascii="Times New Roman" w:hAnsi="Times New Roman" w:cs="Times New Roman"/>
          <w:color w:val="000000" w:themeColor="text1"/>
          <w:spacing w:val="2"/>
        </w:rPr>
        <w:t>, вести мониторинг рационального землепользования</w:t>
      </w:r>
      <w:r w:rsidRPr="00F0736F">
        <w:rPr>
          <w:rStyle w:val="a4"/>
          <w:rFonts w:ascii="Times New Roman" w:hAnsi="Times New Roman" w:cs="Times New Roman"/>
          <w:color w:val="000000" w:themeColor="text1"/>
          <w:spacing w:val="2"/>
        </w:rPr>
        <w:footnoteReference w:id="41"/>
      </w:r>
      <w:r w:rsidRPr="00F0736F">
        <w:rPr>
          <w:rFonts w:ascii="Times New Roman" w:hAnsi="Times New Roman" w:cs="Times New Roman"/>
          <w:color w:val="000000" w:themeColor="text1"/>
          <w:spacing w:val="2"/>
        </w:rPr>
        <w:t>.</w:t>
      </w:r>
    </w:p>
    <w:p w14:paraId="6D3DC50C" w14:textId="77777777" w:rsidR="00F674A4" w:rsidRPr="00F0736F" w:rsidRDefault="00212BE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spacing w:val="2"/>
        </w:rPr>
        <w:t xml:space="preserve"> </w:t>
      </w:r>
    </w:p>
    <w:p w14:paraId="75BD5099" w14:textId="77777777" w:rsidR="00F674A4" w:rsidRPr="00F0736F" w:rsidRDefault="00F674A4" w:rsidP="008727D9">
      <w:pPr>
        <w:ind w:firstLine="709"/>
        <w:jc w:val="both"/>
        <w:rPr>
          <w:rFonts w:ascii="Times New Roman" w:hAnsi="Times New Roman" w:cs="Times New Roman"/>
          <w:color w:val="000000" w:themeColor="text1"/>
          <w:highlight w:val="yellow"/>
        </w:rPr>
      </w:pPr>
    </w:p>
    <w:p w14:paraId="7AC9E581"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13" w:name="_Toc57818724"/>
      <w:r w:rsidRPr="007272FB">
        <w:rPr>
          <w:rFonts w:ascii="Times New Roman" w:eastAsia="Times New Roman" w:hAnsi="Times New Roman" w:cs="Times New Roman"/>
          <w:color w:val="000000" w:themeColor="text1"/>
          <w:sz w:val="24"/>
          <w:szCs w:val="24"/>
        </w:rPr>
        <w:t>1.3. Энергосбережение и повышение энергоэффективности</w:t>
      </w:r>
      <w:bookmarkEnd w:id="13"/>
    </w:p>
    <w:p w14:paraId="2E7683AB" w14:textId="77777777" w:rsidR="00F674A4" w:rsidRPr="00F0736F" w:rsidRDefault="00F674A4" w:rsidP="008727D9">
      <w:pPr>
        <w:ind w:firstLine="709"/>
        <w:jc w:val="both"/>
        <w:rPr>
          <w:rFonts w:ascii="Times New Roman" w:hAnsi="Times New Roman" w:cs="Times New Roman"/>
          <w:color w:val="000000" w:themeColor="text1"/>
        </w:rPr>
      </w:pPr>
    </w:p>
    <w:p w14:paraId="13A61010" w14:textId="26F2A2E3"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64C30097" w14:textId="77777777" w:rsidR="008A570C" w:rsidRPr="00F0736F" w:rsidRDefault="008A570C" w:rsidP="008727D9">
      <w:pPr>
        <w:tabs>
          <w:tab w:val="left" w:pos="709"/>
          <w:tab w:val="left" w:pos="851"/>
          <w:tab w:val="left" w:pos="993"/>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своих посланиях народу Казахстана от 29 января 2010 года «Новое десятилетие – новый экономический подъем – новые возможности Казахстана» и от 17 января 2014 года «Казахстанский путь-2050: Единая цель, единые интересы, единое будущее» </w:t>
      </w:r>
      <w:r w:rsidR="00247196" w:rsidRPr="00F0736F">
        <w:rPr>
          <w:rStyle w:val="12"/>
          <w:rFonts w:ascii="Times New Roman" w:hAnsi="Times New Roman" w:cs="Times New Roman"/>
          <w:b w:val="0"/>
          <w:bCs w:val="0"/>
          <w:color w:val="000000" w:themeColor="text1"/>
        </w:rPr>
        <w:t>Первый Президент Республи</w:t>
      </w:r>
      <w:r w:rsidR="004F76DB" w:rsidRPr="00F0736F">
        <w:rPr>
          <w:rStyle w:val="12"/>
          <w:rFonts w:ascii="Times New Roman" w:hAnsi="Times New Roman" w:cs="Times New Roman"/>
          <w:b w:val="0"/>
          <w:bCs w:val="0"/>
          <w:color w:val="000000" w:themeColor="text1"/>
        </w:rPr>
        <w:t>ки Казахстан – Елбасы Назарбаев</w:t>
      </w:r>
      <w:r w:rsidR="00247196" w:rsidRPr="00F0736F">
        <w:rPr>
          <w:rStyle w:val="12"/>
          <w:rFonts w:ascii="Times New Roman" w:hAnsi="Times New Roman" w:cs="Times New Roman"/>
          <w:b w:val="0"/>
          <w:bCs w:val="0"/>
          <w:color w:val="000000" w:themeColor="text1"/>
        </w:rPr>
        <w:t xml:space="preserve"> Н.А. </w:t>
      </w:r>
      <w:r w:rsidRPr="00F0736F">
        <w:rPr>
          <w:rFonts w:ascii="Times New Roman" w:hAnsi="Times New Roman" w:cs="Times New Roman"/>
          <w:color w:val="000000" w:themeColor="text1"/>
        </w:rPr>
        <w:t xml:space="preserve">поставил цель по снижению энергоемкости </w:t>
      </w:r>
      <w:r w:rsidR="003106D7"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алового внутреннего продукта страны </w:t>
      </w:r>
      <w:r w:rsidR="004F76DB" w:rsidRPr="00F0736F">
        <w:rPr>
          <w:rFonts w:ascii="Times New Roman" w:hAnsi="Times New Roman" w:cs="Times New Roman"/>
          <w:color w:val="000000" w:themeColor="text1"/>
        </w:rPr>
        <w:t xml:space="preserve">в области энергосбережения и повышения энергоэффективности </w:t>
      </w:r>
      <w:r w:rsidRPr="00F0736F">
        <w:rPr>
          <w:rFonts w:ascii="Times New Roman" w:hAnsi="Times New Roman" w:cs="Times New Roman"/>
          <w:color w:val="000000" w:themeColor="text1"/>
        </w:rPr>
        <w:t>не менее чем на 25% к 2025 году и не менее</w:t>
      </w:r>
      <w:r w:rsidR="004F76D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чем в 2 раза к 2050 году.</w:t>
      </w:r>
    </w:p>
    <w:p w14:paraId="27FA8556" w14:textId="77777777" w:rsidR="008A570C" w:rsidRPr="00F0736F" w:rsidRDefault="008A570C" w:rsidP="008727D9">
      <w:pPr>
        <w:tabs>
          <w:tab w:val="left" w:pos="709"/>
          <w:tab w:val="left" w:pos="851"/>
          <w:tab w:val="left" w:pos="993"/>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Концепции по переходу Республики Казахстан к «зеленой» экономике особое значение уделяется снижению энергоемкости ВВП на 25% к 2025 году в сравнении с 2008 годом.</w:t>
      </w:r>
    </w:p>
    <w:p w14:paraId="50D9FDF9" w14:textId="7D52F2E1" w:rsidR="00BD15F9" w:rsidRPr="00F0736F" w:rsidRDefault="008A570C" w:rsidP="00BD15F9">
      <w:pPr>
        <w:tabs>
          <w:tab w:val="left" w:pos="709"/>
          <w:tab w:val="left" w:pos="851"/>
          <w:tab w:val="left" w:pos="993"/>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года энергоемкость ВВП страны снижена на 27,3% от уровня 2008 года </w:t>
      </w:r>
      <w:r w:rsidRPr="00F0736F">
        <w:rPr>
          <w:rFonts w:ascii="Times New Roman" w:eastAsia="Times New Roman" w:hAnsi="Times New Roman" w:cs="Times New Roman"/>
          <w:color w:val="000000" w:themeColor="text1"/>
          <w:lang w:eastAsia="ru-RU"/>
        </w:rPr>
        <w:t xml:space="preserve">(1,36 </w:t>
      </w:r>
      <w:r w:rsidR="004F76DB" w:rsidRPr="00F0736F">
        <w:rPr>
          <w:rFonts w:ascii="Times New Roman" w:eastAsia="Times New Roman" w:hAnsi="Times New Roman" w:cs="Times New Roman"/>
          <w:color w:val="000000" w:themeColor="text1"/>
          <w:lang w:eastAsia="ru-RU"/>
        </w:rPr>
        <w:t>в</w:t>
      </w:r>
      <w:r w:rsidR="00BD15F9" w:rsidRPr="00F0736F">
        <w:rPr>
          <w:rFonts w:ascii="Times New Roman" w:eastAsia="Times New Roman" w:hAnsi="Times New Roman" w:cs="Times New Roman"/>
          <w:color w:val="000000" w:themeColor="text1"/>
          <w:lang w:val="kk-KZ" w:eastAsia="ru-RU"/>
        </w:rPr>
        <w:t xml:space="preserve"> </w:t>
      </w:r>
      <w:r w:rsidR="00BD15F9" w:rsidRPr="00F0736F">
        <w:rPr>
          <w:rFonts w:ascii="Times New Roman" w:eastAsia="Times New Roman" w:hAnsi="Times New Roman" w:cs="Times New Roman"/>
          <w:color w:val="000000" w:themeColor="text1"/>
          <w:lang w:eastAsia="ru-RU"/>
        </w:rPr>
        <w:t xml:space="preserve">ценах 2000 года, по итогам 2017 года энергоемкость ВВП страны снижена на 18% от уровня 2008 года (1,53 </w:t>
      </w:r>
      <w:r w:rsidR="00AC18E0" w:rsidRPr="00F0736F">
        <w:rPr>
          <w:rFonts w:ascii="Times New Roman" w:eastAsia="Times New Roman" w:hAnsi="Times New Roman" w:cs="Times New Roman"/>
          <w:color w:val="000000" w:themeColor="text1"/>
          <w:lang w:eastAsia="ru-RU"/>
        </w:rPr>
        <w:t>т.</w:t>
      </w:r>
      <w:r w:rsidR="00BD15F9" w:rsidRPr="00F0736F">
        <w:rPr>
          <w:rFonts w:ascii="Times New Roman" w:eastAsia="Times New Roman" w:hAnsi="Times New Roman" w:cs="Times New Roman"/>
          <w:color w:val="000000" w:themeColor="text1"/>
          <w:lang w:eastAsia="ru-RU"/>
        </w:rPr>
        <w:t xml:space="preserve"> нефтяного эквивалента (тнэ) на 1000 долл</w:t>
      </w:r>
      <w:r w:rsidR="004F76DB" w:rsidRPr="00F0736F">
        <w:rPr>
          <w:rFonts w:ascii="Times New Roman" w:eastAsia="Times New Roman" w:hAnsi="Times New Roman" w:cs="Times New Roman"/>
          <w:color w:val="000000" w:themeColor="text1"/>
          <w:lang w:eastAsia="ru-RU"/>
        </w:rPr>
        <w:t xml:space="preserve">. </w:t>
      </w:r>
      <w:r w:rsidR="00BD15F9" w:rsidRPr="00F0736F">
        <w:rPr>
          <w:rFonts w:ascii="Times New Roman" w:eastAsia="Times New Roman" w:hAnsi="Times New Roman" w:cs="Times New Roman"/>
          <w:color w:val="000000" w:themeColor="text1"/>
          <w:lang w:eastAsia="ru-RU"/>
        </w:rPr>
        <w:t xml:space="preserve">США), а по итогам 2018 года – на 27,3% (0,40 </w:t>
      </w:r>
      <w:r w:rsidR="00AC18E0" w:rsidRPr="00F0736F">
        <w:rPr>
          <w:rFonts w:ascii="Times New Roman" w:eastAsia="Times New Roman" w:hAnsi="Times New Roman" w:cs="Times New Roman"/>
          <w:color w:val="000000" w:themeColor="text1"/>
          <w:lang w:eastAsia="ru-RU"/>
        </w:rPr>
        <w:t>т.</w:t>
      </w:r>
      <w:r w:rsidR="00BD15F9" w:rsidRPr="00F0736F">
        <w:rPr>
          <w:rFonts w:ascii="Times New Roman" w:eastAsia="Times New Roman" w:hAnsi="Times New Roman" w:cs="Times New Roman"/>
          <w:color w:val="000000" w:themeColor="text1"/>
          <w:lang w:eastAsia="ru-RU"/>
        </w:rPr>
        <w:t xml:space="preserve"> нефтяного эквивалента на 1000$ в ценах 2010 года против 0,51 тнэ на 1</w:t>
      </w:r>
      <w:r w:rsidR="005E5BBA" w:rsidRPr="00F0736F">
        <w:rPr>
          <w:rFonts w:ascii="Times New Roman" w:eastAsia="Times New Roman" w:hAnsi="Times New Roman" w:cs="Times New Roman"/>
          <w:color w:val="000000" w:themeColor="text1"/>
          <w:lang w:eastAsia="ru-RU"/>
        </w:rPr>
        <w:t xml:space="preserve"> </w:t>
      </w:r>
      <w:r w:rsidR="00BD15F9" w:rsidRPr="00F0736F">
        <w:rPr>
          <w:rFonts w:ascii="Times New Roman" w:eastAsia="Times New Roman" w:hAnsi="Times New Roman" w:cs="Times New Roman"/>
          <w:color w:val="000000" w:themeColor="text1"/>
          <w:lang w:eastAsia="ru-RU"/>
        </w:rPr>
        <w:t>000$ в ценах 2010 года) (таблицы 1.3.1, 1.3.2., рис. 1.3.).</w:t>
      </w:r>
      <w:r w:rsidR="00BD15F9" w:rsidRPr="00F0736F">
        <w:rPr>
          <w:rFonts w:ascii="Times New Roman" w:hAnsi="Times New Roman" w:cs="Times New Roman"/>
          <w:color w:val="000000" w:themeColor="text1"/>
        </w:rPr>
        <w:t xml:space="preserve"> Итоги 2019 года будут опубликованы в декабре 2020 года.</w:t>
      </w:r>
    </w:p>
    <w:p w14:paraId="55F1091B" w14:textId="77777777" w:rsidR="00BD15F9" w:rsidRPr="00F0736F" w:rsidRDefault="00BD15F9" w:rsidP="00BD15F9">
      <w:pPr>
        <w:ind w:firstLine="709"/>
        <w:jc w:val="both"/>
        <w:rPr>
          <w:rFonts w:ascii="Times New Roman" w:hAnsi="Times New Roman" w:cs="Times New Roman"/>
          <w:color w:val="000000" w:themeColor="text1"/>
        </w:rPr>
      </w:pPr>
    </w:p>
    <w:p w14:paraId="1AF72DDF" w14:textId="77777777" w:rsidR="00BD15F9" w:rsidRPr="00F0736F" w:rsidRDefault="00BD15F9" w:rsidP="00BD15F9">
      <w:pPr>
        <w:ind w:firstLine="709"/>
        <w:jc w:val="both"/>
        <w:rPr>
          <w:color w:val="000000" w:themeColor="text1"/>
        </w:rPr>
      </w:pPr>
      <w:r w:rsidRPr="00F0736F">
        <w:rPr>
          <w:rFonts w:ascii="Times New Roman" w:hAnsi="Times New Roman" w:cs="Times New Roman"/>
          <w:color w:val="000000" w:themeColor="text1"/>
        </w:rPr>
        <w:t>Таблица 1.3.1. Выполнение показателей Концепции</w:t>
      </w:r>
    </w:p>
    <w:p w14:paraId="17A78E6B" w14:textId="77777777" w:rsidR="00BD15F9" w:rsidRPr="00F0736F" w:rsidRDefault="00BD15F9" w:rsidP="00BD15F9">
      <w:pPr>
        <w:ind w:firstLine="709"/>
        <w:jc w:val="both"/>
        <w:rPr>
          <w:rFonts w:ascii="Times New Roman" w:hAnsi="Times New Roman" w:cs="Times New Roman"/>
          <w:color w:val="000000" w:themeColor="text1"/>
        </w:rPr>
      </w:pPr>
    </w:p>
    <w:tbl>
      <w:tblPr>
        <w:tblW w:w="0" w:type="auto"/>
        <w:jc w:val="center"/>
        <w:tblLayout w:type="fixed"/>
        <w:tblCellMar>
          <w:left w:w="103" w:type="dxa"/>
        </w:tblCellMar>
        <w:tblLook w:val="0000" w:firstRow="0" w:lastRow="0" w:firstColumn="0" w:lastColumn="0" w:noHBand="0" w:noVBand="0"/>
      </w:tblPr>
      <w:tblGrid>
        <w:gridCol w:w="3045"/>
        <w:gridCol w:w="2175"/>
        <w:gridCol w:w="1590"/>
        <w:gridCol w:w="1412"/>
        <w:gridCol w:w="1718"/>
      </w:tblGrid>
      <w:tr w:rsidR="00F0736F" w:rsidRPr="00F0736F" w14:paraId="3791A65F" w14:textId="77777777" w:rsidTr="003106D7">
        <w:trPr>
          <w:trHeight w:val="377"/>
          <w:jc w:val="center"/>
        </w:trPr>
        <w:tc>
          <w:tcPr>
            <w:tcW w:w="3045" w:type="dxa"/>
            <w:tcBorders>
              <w:top w:val="single" w:sz="4" w:space="0" w:color="000000"/>
              <w:left w:val="single" w:sz="4" w:space="0" w:color="000000"/>
              <w:bottom w:val="single" w:sz="4" w:space="0" w:color="000000"/>
            </w:tcBorders>
            <w:shd w:val="clear" w:color="auto" w:fill="auto"/>
            <w:vAlign w:val="center"/>
          </w:tcPr>
          <w:p w14:paraId="120F6083" w14:textId="7A8DE8D0" w:rsidR="00BD15F9" w:rsidRPr="00F0736F" w:rsidRDefault="00BD15F9" w:rsidP="005E5BBA">
            <w:pPr>
              <w:jc w:val="center"/>
              <w:rPr>
                <w:color w:val="000000" w:themeColor="text1"/>
                <w:sz w:val="20"/>
                <w:szCs w:val="20"/>
              </w:rPr>
            </w:pPr>
            <w:r w:rsidRPr="00F0736F">
              <w:rPr>
                <w:rFonts w:ascii="Times New Roman" w:hAnsi="Times New Roman" w:cs="Times New Roman"/>
                <w:color w:val="000000" w:themeColor="text1"/>
                <w:sz w:val="20"/>
                <w:szCs w:val="20"/>
              </w:rPr>
              <w:t>Наименование</w:t>
            </w:r>
            <w:r w:rsidR="005E5BBA"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индикатора</w:t>
            </w:r>
          </w:p>
        </w:tc>
        <w:tc>
          <w:tcPr>
            <w:tcW w:w="2175" w:type="dxa"/>
            <w:tcBorders>
              <w:top w:val="single" w:sz="4" w:space="0" w:color="000000"/>
              <w:left w:val="single" w:sz="4" w:space="0" w:color="000000"/>
              <w:bottom w:val="single" w:sz="4" w:space="0" w:color="000000"/>
            </w:tcBorders>
            <w:shd w:val="clear" w:color="auto" w:fill="auto"/>
          </w:tcPr>
          <w:p w14:paraId="72F6398F" w14:textId="77777777" w:rsidR="00BD15F9" w:rsidRPr="00F0736F" w:rsidRDefault="00BD15F9" w:rsidP="005E5BBA">
            <w:pPr>
              <w:jc w:val="center"/>
              <w:rPr>
                <w:color w:val="000000" w:themeColor="text1"/>
                <w:sz w:val="20"/>
                <w:szCs w:val="20"/>
              </w:rPr>
            </w:pPr>
            <w:r w:rsidRPr="00F0736F">
              <w:rPr>
                <w:rFonts w:ascii="Times New Roman" w:hAnsi="Times New Roman" w:cs="Times New Roman"/>
                <w:color w:val="000000" w:themeColor="text1"/>
                <w:sz w:val="20"/>
                <w:szCs w:val="20"/>
              </w:rPr>
              <w:t>Целевой индикатор</w:t>
            </w:r>
          </w:p>
        </w:tc>
        <w:tc>
          <w:tcPr>
            <w:tcW w:w="1590" w:type="dxa"/>
            <w:tcBorders>
              <w:top w:val="single" w:sz="4" w:space="0" w:color="000000"/>
              <w:left w:val="single" w:sz="4" w:space="0" w:color="000000"/>
              <w:bottom w:val="single" w:sz="4" w:space="0" w:color="000000"/>
            </w:tcBorders>
            <w:shd w:val="clear" w:color="auto" w:fill="auto"/>
            <w:vAlign w:val="center"/>
          </w:tcPr>
          <w:p w14:paraId="6B0B1716" w14:textId="77777777" w:rsidR="00BD15F9" w:rsidRPr="00F0736F" w:rsidRDefault="00BD15F9" w:rsidP="003106D7">
            <w:pPr>
              <w:jc w:val="center"/>
              <w:rPr>
                <w:color w:val="000000" w:themeColor="text1"/>
                <w:sz w:val="20"/>
                <w:szCs w:val="20"/>
              </w:rPr>
            </w:pPr>
            <w:r w:rsidRPr="00F0736F">
              <w:rPr>
                <w:rFonts w:ascii="Times New Roman" w:hAnsi="Times New Roman" w:cs="Times New Roman"/>
                <w:color w:val="000000" w:themeColor="text1"/>
                <w:sz w:val="20"/>
                <w:szCs w:val="20"/>
              </w:rPr>
              <w:t>2017</w:t>
            </w:r>
          </w:p>
        </w:tc>
        <w:tc>
          <w:tcPr>
            <w:tcW w:w="1412" w:type="dxa"/>
            <w:tcBorders>
              <w:top w:val="single" w:sz="4" w:space="0" w:color="000000"/>
              <w:left w:val="single" w:sz="4" w:space="0" w:color="000000"/>
              <w:bottom w:val="single" w:sz="4" w:space="0" w:color="000000"/>
            </w:tcBorders>
            <w:shd w:val="clear" w:color="auto" w:fill="auto"/>
            <w:vAlign w:val="center"/>
          </w:tcPr>
          <w:p w14:paraId="238195D0" w14:textId="77777777" w:rsidR="00BD15F9" w:rsidRPr="00F0736F" w:rsidRDefault="00BD15F9" w:rsidP="003106D7">
            <w:pPr>
              <w:jc w:val="center"/>
              <w:rPr>
                <w:color w:val="000000" w:themeColor="text1"/>
                <w:sz w:val="20"/>
                <w:szCs w:val="20"/>
              </w:rPr>
            </w:pPr>
            <w:r w:rsidRPr="00F0736F">
              <w:rPr>
                <w:rFonts w:ascii="Times New Roman" w:hAnsi="Times New Roman" w:cs="Times New Roman"/>
                <w:color w:val="000000" w:themeColor="text1"/>
                <w:sz w:val="20"/>
                <w:szCs w:val="20"/>
              </w:rPr>
              <w:t>2018</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18EA" w14:textId="77777777" w:rsidR="00BD15F9" w:rsidRPr="00F0736F" w:rsidRDefault="00BD15F9" w:rsidP="003106D7">
            <w:pPr>
              <w:jc w:val="center"/>
              <w:rPr>
                <w:color w:val="000000" w:themeColor="text1"/>
                <w:sz w:val="20"/>
                <w:szCs w:val="20"/>
              </w:rPr>
            </w:pPr>
            <w:r w:rsidRPr="00F0736F">
              <w:rPr>
                <w:rFonts w:ascii="Times New Roman" w:hAnsi="Times New Roman" w:cs="Times New Roman"/>
                <w:color w:val="000000" w:themeColor="text1"/>
                <w:sz w:val="20"/>
                <w:szCs w:val="20"/>
              </w:rPr>
              <w:t>2019</w:t>
            </w:r>
          </w:p>
        </w:tc>
      </w:tr>
      <w:tr w:rsidR="00F0736F" w:rsidRPr="00F0736F" w14:paraId="4C1BAACE" w14:textId="77777777" w:rsidTr="003106D7">
        <w:trPr>
          <w:trHeight w:val="1124"/>
          <w:jc w:val="center"/>
        </w:trPr>
        <w:tc>
          <w:tcPr>
            <w:tcW w:w="3045" w:type="dxa"/>
            <w:tcBorders>
              <w:left w:val="single" w:sz="4" w:space="0" w:color="000000"/>
              <w:bottom w:val="single" w:sz="4" w:space="0" w:color="000000"/>
            </w:tcBorders>
            <w:shd w:val="clear" w:color="auto" w:fill="auto"/>
            <w:vAlign w:val="center"/>
          </w:tcPr>
          <w:p w14:paraId="69A84A6C" w14:textId="77777777" w:rsidR="00BD15F9" w:rsidRPr="00F0736F" w:rsidRDefault="00BD15F9" w:rsidP="00B14A39">
            <w:pPr>
              <w:jc w:val="both"/>
              <w:rPr>
                <w:color w:val="000000" w:themeColor="text1"/>
                <w:sz w:val="20"/>
                <w:szCs w:val="20"/>
              </w:rPr>
            </w:pPr>
            <w:r w:rsidRPr="00F0736F">
              <w:rPr>
                <w:rFonts w:ascii="Times New Roman" w:hAnsi="Times New Roman" w:cs="Times New Roman"/>
                <w:color w:val="000000" w:themeColor="text1"/>
                <w:sz w:val="20"/>
                <w:szCs w:val="20"/>
              </w:rPr>
              <w:t xml:space="preserve">Снижение энергоемкости ВВП от уровня 2008 года (1,87 </w:t>
            </w:r>
            <w:bookmarkStart w:id="14" w:name="__DdeLink__47513_2134875547"/>
            <w:r w:rsidRPr="00F0736F">
              <w:rPr>
                <w:rFonts w:ascii="Times New Roman" w:hAnsi="Times New Roman" w:cs="Times New Roman"/>
                <w:color w:val="000000" w:themeColor="text1"/>
                <w:sz w:val="20"/>
                <w:szCs w:val="20"/>
              </w:rPr>
              <w:t>тнэ на тыс. долларов США</w:t>
            </w:r>
            <w:bookmarkEnd w:id="14"/>
            <w:r w:rsidRPr="00F0736F">
              <w:rPr>
                <w:rFonts w:ascii="Times New Roman" w:hAnsi="Times New Roman" w:cs="Times New Roman"/>
                <w:color w:val="000000" w:themeColor="text1"/>
                <w:sz w:val="20"/>
                <w:szCs w:val="20"/>
              </w:rPr>
              <w:t>)</w:t>
            </w:r>
          </w:p>
        </w:tc>
        <w:tc>
          <w:tcPr>
            <w:tcW w:w="2175" w:type="dxa"/>
            <w:tcBorders>
              <w:left w:val="single" w:sz="4" w:space="0" w:color="000000"/>
              <w:bottom w:val="single" w:sz="4" w:space="0" w:color="000000"/>
            </w:tcBorders>
            <w:shd w:val="clear" w:color="auto" w:fill="auto"/>
          </w:tcPr>
          <w:p w14:paraId="783C0F1C" w14:textId="77777777" w:rsidR="00BD15F9" w:rsidRPr="00F0736F" w:rsidRDefault="00BD15F9" w:rsidP="00B14A39">
            <w:pPr>
              <w:snapToGrid w:val="0"/>
              <w:ind w:firstLine="709"/>
              <w:jc w:val="center"/>
              <w:rPr>
                <w:rFonts w:ascii="Times New Roman" w:hAnsi="Times New Roman" w:cs="Times New Roman"/>
                <w:color w:val="000000" w:themeColor="text1"/>
                <w:sz w:val="20"/>
                <w:szCs w:val="20"/>
              </w:rPr>
            </w:pPr>
          </w:p>
          <w:p w14:paraId="331CAB5F"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25% к 2020 г.</w:t>
            </w:r>
          </w:p>
          <w:p w14:paraId="6DE71B46"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10% к 2015 г</w:t>
            </w:r>
          </w:p>
        </w:tc>
        <w:tc>
          <w:tcPr>
            <w:tcW w:w="1590" w:type="dxa"/>
            <w:tcBorders>
              <w:left w:val="single" w:sz="4" w:space="0" w:color="000000"/>
              <w:bottom w:val="single" w:sz="4" w:space="0" w:color="000000"/>
            </w:tcBorders>
            <w:shd w:val="clear" w:color="auto" w:fill="auto"/>
            <w:vAlign w:val="center"/>
          </w:tcPr>
          <w:p w14:paraId="560E3C5F"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18.2%</w:t>
            </w:r>
          </w:p>
          <w:p w14:paraId="7B2EF0BC"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(1,53 тнэ на тыс. долл. США)</w:t>
            </w:r>
          </w:p>
        </w:tc>
        <w:tc>
          <w:tcPr>
            <w:tcW w:w="1412" w:type="dxa"/>
            <w:tcBorders>
              <w:left w:val="single" w:sz="4" w:space="0" w:color="000000"/>
              <w:bottom w:val="single" w:sz="4" w:space="0" w:color="000000"/>
            </w:tcBorders>
            <w:shd w:val="clear" w:color="auto" w:fill="auto"/>
            <w:vAlign w:val="center"/>
          </w:tcPr>
          <w:p w14:paraId="52D64F89"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27.3%</w:t>
            </w:r>
          </w:p>
          <w:p w14:paraId="02B622B3" w14:textId="77777777" w:rsidR="00BD15F9" w:rsidRPr="00F0736F" w:rsidRDefault="00BD15F9" w:rsidP="00B14A39">
            <w:pPr>
              <w:jc w:val="center"/>
              <w:rPr>
                <w:color w:val="000000" w:themeColor="text1"/>
                <w:sz w:val="20"/>
                <w:szCs w:val="20"/>
              </w:rPr>
            </w:pPr>
            <w:r w:rsidRPr="00F0736F">
              <w:rPr>
                <w:rFonts w:ascii="Times New Roman" w:hAnsi="Times New Roman" w:cs="Times New Roman"/>
                <w:color w:val="000000" w:themeColor="text1"/>
                <w:sz w:val="20"/>
                <w:szCs w:val="20"/>
              </w:rPr>
              <w:t>(1,36 тнэ на тыс. долл. США)</w:t>
            </w:r>
          </w:p>
        </w:tc>
        <w:tc>
          <w:tcPr>
            <w:tcW w:w="1718" w:type="dxa"/>
            <w:tcBorders>
              <w:left w:val="single" w:sz="4" w:space="0" w:color="000000"/>
              <w:bottom w:val="single" w:sz="4" w:space="0" w:color="000000"/>
              <w:right w:val="single" w:sz="4" w:space="0" w:color="000000"/>
            </w:tcBorders>
            <w:shd w:val="clear" w:color="auto" w:fill="auto"/>
            <w:vAlign w:val="center"/>
          </w:tcPr>
          <w:p w14:paraId="205DDE08" w14:textId="77777777" w:rsidR="00BD15F9" w:rsidRPr="00F0736F" w:rsidRDefault="00BD15F9" w:rsidP="00B14A39">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bCs/>
                <w:color w:val="000000" w:themeColor="text1"/>
                <w:sz w:val="20"/>
                <w:szCs w:val="20"/>
              </w:rPr>
              <w:t xml:space="preserve">(данные будут сформированы </w:t>
            </w:r>
            <w:r w:rsidRPr="00F0736F">
              <w:rPr>
                <w:rFonts w:ascii="Times New Roman" w:hAnsi="Times New Roman" w:cs="Times New Roman"/>
                <w:color w:val="000000" w:themeColor="text1"/>
                <w:sz w:val="20"/>
                <w:szCs w:val="20"/>
              </w:rPr>
              <w:t>в декабре</w:t>
            </w:r>
            <w:r w:rsidRPr="00F0736F">
              <w:rPr>
                <w:rFonts w:ascii="Times New Roman" w:hAnsi="Times New Roman" w:cs="Times New Roman"/>
                <w:bCs/>
                <w:color w:val="000000" w:themeColor="text1"/>
                <w:sz w:val="20"/>
                <w:szCs w:val="20"/>
              </w:rPr>
              <w:t xml:space="preserve"> 20</w:t>
            </w:r>
            <w:r w:rsidRPr="00F0736F">
              <w:rPr>
                <w:rFonts w:ascii="Times New Roman" w:hAnsi="Times New Roman" w:cs="Times New Roman"/>
                <w:bCs/>
                <w:color w:val="000000" w:themeColor="text1"/>
                <w:sz w:val="20"/>
                <w:szCs w:val="20"/>
                <w:lang w:val="kk-KZ"/>
              </w:rPr>
              <w:t>20</w:t>
            </w:r>
            <w:r w:rsidRPr="00F0736F">
              <w:rPr>
                <w:rFonts w:ascii="Times New Roman" w:hAnsi="Times New Roman" w:cs="Times New Roman"/>
                <w:bCs/>
                <w:color w:val="000000" w:themeColor="text1"/>
                <w:sz w:val="20"/>
                <w:szCs w:val="20"/>
              </w:rPr>
              <w:t xml:space="preserve"> г.)</w:t>
            </w:r>
          </w:p>
        </w:tc>
      </w:tr>
    </w:tbl>
    <w:p w14:paraId="5C747FC5" w14:textId="77777777" w:rsidR="00BD15F9" w:rsidRPr="00F0736F" w:rsidRDefault="00BD15F9" w:rsidP="00BD15F9">
      <w:pPr>
        <w:ind w:firstLine="709"/>
        <w:jc w:val="both"/>
        <w:rPr>
          <w:rFonts w:ascii="Times New Roman" w:hAnsi="Times New Roman" w:cs="Times New Roman"/>
          <w:i/>
          <w:iCs/>
          <w:color w:val="000000" w:themeColor="text1"/>
        </w:rPr>
      </w:pPr>
      <w:r w:rsidRPr="00F0736F">
        <w:rPr>
          <w:rFonts w:ascii="Times New Roman" w:eastAsia="Calibri" w:hAnsi="Times New Roman" w:cs="Times New Roman"/>
          <w:i/>
          <w:iCs/>
          <w:color w:val="000000" w:themeColor="text1"/>
          <w:sz w:val="20"/>
        </w:rPr>
        <w:t xml:space="preserve">Источник: </w:t>
      </w:r>
      <w:hyperlink r:id="rId17" w:history="1">
        <w:r w:rsidRPr="00F0736F">
          <w:rPr>
            <w:rStyle w:val="a6"/>
            <w:rFonts w:ascii="Times New Roman" w:eastAsia="Calibri" w:hAnsi="Times New Roman" w:cs="Times New Roman"/>
            <w:i/>
            <w:iCs/>
            <w:color w:val="000000" w:themeColor="text1"/>
            <w:sz w:val="20"/>
            <w:u w:val="none"/>
          </w:rPr>
          <w:t>http://stat.gov.kz</w:t>
        </w:r>
      </w:hyperlink>
    </w:p>
    <w:p w14:paraId="7C5687B9" w14:textId="77777777" w:rsidR="003106D7" w:rsidRPr="00F0736F" w:rsidRDefault="003106D7" w:rsidP="008727D9">
      <w:pPr>
        <w:tabs>
          <w:tab w:val="left" w:pos="709"/>
          <w:tab w:val="left" w:pos="851"/>
          <w:tab w:val="left" w:pos="993"/>
        </w:tabs>
        <w:ind w:firstLine="709"/>
        <w:jc w:val="both"/>
        <w:rPr>
          <w:rFonts w:ascii="Times New Roman" w:hAnsi="Times New Roman" w:cs="Times New Roman"/>
          <w:b/>
          <w:i/>
          <w:color w:val="000000" w:themeColor="text1"/>
          <w:sz w:val="22"/>
          <w:szCs w:val="22"/>
        </w:rPr>
      </w:pPr>
    </w:p>
    <w:p w14:paraId="1EA1B846" w14:textId="77777777" w:rsidR="008A570C" w:rsidRPr="00F0736F" w:rsidRDefault="008A570C" w:rsidP="005E5BBA">
      <w:pPr>
        <w:tabs>
          <w:tab w:val="left" w:pos="709"/>
          <w:tab w:val="left" w:pos="851"/>
          <w:tab w:val="left" w:pos="993"/>
        </w:tabs>
        <w:ind w:firstLine="709"/>
        <w:jc w:val="both"/>
        <w:rPr>
          <w:rFonts w:ascii="Times New Roman" w:hAnsi="Times New Roman" w:cs="Times New Roman"/>
          <w:i/>
          <w:strike/>
          <w:color w:val="000000" w:themeColor="text1"/>
          <w:sz w:val="22"/>
          <w:szCs w:val="22"/>
        </w:rPr>
      </w:pPr>
      <w:r w:rsidRPr="00F0736F">
        <w:rPr>
          <w:rFonts w:ascii="Times New Roman" w:hAnsi="Times New Roman" w:cs="Times New Roman"/>
          <w:b/>
          <w:i/>
          <w:color w:val="000000" w:themeColor="text1"/>
          <w:sz w:val="22"/>
          <w:szCs w:val="22"/>
        </w:rPr>
        <w:t>Справочно:</w:t>
      </w:r>
      <w:r w:rsidRPr="00F0736F">
        <w:rPr>
          <w:rFonts w:ascii="Times New Roman" w:hAnsi="Times New Roman" w:cs="Times New Roman"/>
          <w:i/>
          <w:color w:val="000000" w:themeColor="text1"/>
          <w:sz w:val="22"/>
          <w:szCs w:val="22"/>
        </w:rPr>
        <w:t xml:space="preserve"> Показатель энергоемкости ВВП публикуется Комитетом по статистике МНЭ РК в </w:t>
      </w:r>
      <w:r w:rsidR="00FC6278" w:rsidRPr="00F0736F">
        <w:rPr>
          <w:rFonts w:ascii="Times New Roman" w:hAnsi="Times New Roman" w:cs="Times New Roman"/>
          <w:i/>
          <w:color w:val="000000" w:themeColor="text1"/>
          <w:sz w:val="22"/>
          <w:szCs w:val="22"/>
        </w:rPr>
        <w:t>разделе Официальная статистика</w:t>
      </w:r>
      <w:r w:rsidR="00EA4C23" w:rsidRPr="00F0736F">
        <w:rPr>
          <w:rFonts w:ascii="Times New Roman" w:hAnsi="Times New Roman" w:cs="Times New Roman"/>
          <w:i/>
          <w:color w:val="000000" w:themeColor="text1"/>
          <w:sz w:val="22"/>
          <w:szCs w:val="22"/>
        </w:rPr>
        <w:t xml:space="preserve"> </w:t>
      </w:r>
      <w:r w:rsidR="00FC6278" w:rsidRPr="00F0736F">
        <w:rPr>
          <w:rFonts w:ascii="Times New Roman" w:hAnsi="Times New Roman" w:cs="Times New Roman"/>
          <w:i/>
          <w:color w:val="000000" w:themeColor="text1"/>
          <w:sz w:val="22"/>
          <w:szCs w:val="22"/>
        </w:rPr>
        <w:t>-</w:t>
      </w:r>
      <w:r w:rsidR="00EA4C23" w:rsidRPr="00F0736F">
        <w:rPr>
          <w:rFonts w:ascii="Times New Roman" w:hAnsi="Times New Roman" w:cs="Times New Roman"/>
          <w:i/>
          <w:color w:val="000000" w:themeColor="text1"/>
          <w:sz w:val="22"/>
          <w:szCs w:val="22"/>
        </w:rPr>
        <w:t xml:space="preserve"> </w:t>
      </w:r>
      <w:r w:rsidR="00FC6278" w:rsidRPr="00F0736F">
        <w:rPr>
          <w:rFonts w:ascii="Times New Roman" w:hAnsi="Times New Roman" w:cs="Times New Roman"/>
          <w:i/>
          <w:color w:val="000000" w:themeColor="text1"/>
          <w:sz w:val="22"/>
          <w:szCs w:val="22"/>
        </w:rPr>
        <w:t>Статистика энергетики и товарных рынков – Динамические таблицы - Энергоемкость ВВП в Республике Казахстан.</w:t>
      </w:r>
    </w:p>
    <w:p w14:paraId="3D2716D8" w14:textId="1B2D9EEA" w:rsidR="008A570C" w:rsidRPr="00F0736F" w:rsidRDefault="008A570C" w:rsidP="005E5BBA">
      <w:pPr>
        <w:tabs>
          <w:tab w:val="left" w:pos="709"/>
          <w:tab w:val="left" w:pos="851"/>
          <w:tab w:val="left" w:pos="993"/>
        </w:tabs>
        <w:ind w:firstLine="709"/>
        <w:jc w:val="both"/>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Согласно обзору Международного энергетического агентства</w:t>
      </w:r>
      <w:r w:rsidR="004F76DB" w:rsidRPr="00F0736F">
        <w:rPr>
          <w:rFonts w:ascii="Times New Roman" w:hAnsi="Times New Roman" w:cs="Times New Roman"/>
          <w:i/>
          <w:color w:val="000000" w:themeColor="text1"/>
          <w:sz w:val="22"/>
          <w:szCs w:val="22"/>
        </w:rPr>
        <w:t>,</w:t>
      </w:r>
      <w:r w:rsidRPr="00F0736F">
        <w:rPr>
          <w:rFonts w:ascii="Times New Roman" w:hAnsi="Times New Roman" w:cs="Times New Roman"/>
          <w:i/>
          <w:color w:val="000000" w:themeColor="text1"/>
          <w:sz w:val="22"/>
          <w:szCs w:val="22"/>
        </w:rPr>
        <w:t xml:space="preserve"> из 143 стран Казахстан занимает 119</w:t>
      </w:r>
      <w:r w:rsidR="005E5BBA" w:rsidRPr="00F0736F">
        <w:rPr>
          <w:rFonts w:ascii="Times New Roman" w:hAnsi="Times New Roman" w:cs="Times New Roman"/>
          <w:i/>
          <w:color w:val="000000" w:themeColor="text1"/>
          <w:sz w:val="22"/>
          <w:szCs w:val="22"/>
        </w:rPr>
        <w:t>-е</w:t>
      </w:r>
      <w:r w:rsidRPr="00F0736F">
        <w:rPr>
          <w:rFonts w:ascii="Times New Roman" w:hAnsi="Times New Roman" w:cs="Times New Roman"/>
          <w:i/>
          <w:color w:val="000000" w:themeColor="text1"/>
          <w:sz w:val="22"/>
          <w:szCs w:val="22"/>
        </w:rPr>
        <w:t xml:space="preserve"> место.</w:t>
      </w:r>
    </w:p>
    <w:p w14:paraId="1FA425E7" w14:textId="7D7AA2FF" w:rsidR="008A570C" w:rsidRPr="00F0736F" w:rsidRDefault="008A570C" w:rsidP="005E5BBA">
      <w:pPr>
        <w:tabs>
          <w:tab w:val="left" w:pos="709"/>
          <w:tab w:val="left" w:pos="851"/>
          <w:tab w:val="left" w:pos="993"/>
        </w:tabs>
        <w:ind w:firstLine="709"/>
        <w:jc w:val="both"/>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При этом, энергоемкость ВВП Казахстана в сравнении со среднемировым показателем выше в 2 раза, со странами ОЭСР</w:t>
      </w:r>
      <w:r w:rsidR="005E5BBA" w:rsidRPr="00F0736F">
        <w:rPr>
          <w:rFonts w:ascii="Times New Roman" w:hAnsi="Times New Roman" w:cs="Times New Roman"/>
          <w:i/>
          <w:color w:val="000000" w:themeColor="text1"/>
          <w:sz w:val="22"/>
          <w:szCs w:val="22"/>
        </w:rPr>
        <w:t xml:space="preserve"> </w:t>
      </w:r>
      <w:r w:rsidR="004F76DB" w:rsidRPr="00F0736F">
        <w:rPr>
          <w:rFonts w:ascii="Times New Roman" w:hAnsi="Times New Roman" w:cs="Times New Roman"/>
          <w:i/>
          <w:color w:val="000000" w:themeColor="text1"/>
          <w:sz w:val="22"/>
          <w:szCs w:val="22"/>
        </w:rPr>
        <w:t>-</w:t>
      </w:r>
      <w:r w:rsidRPr="00F0736F">
        <w:rPr>
          <w:rFonts w:ascii="Times New Roman" w:hAnsi="Times New Roman" w:cs="Times New Roman"/>
          <w:i/>
          <w:color w:val="000000" w:themeColor="text1"/>
          <w:sz w:val="22"/>
          <w:szCs w:val="22"/>
        </w:rPr>
        <w:t xml:space="preserve"> в 4 раза, среди стран СНГ мы занимаем 5</w:t>
      </w:r>
      <w:r w:rsidR="004F76DB" w:rsidRPr="00F0736F">
        <w:rPr>
          <w:rFonts w:ascii="Times New Roman" w:hAnsi="Times New Roman" w:cs="Times New Roman"/>
          <w:i/>
          <w:color w:val="000000" w:themeColor="text1"/>
          <w:sz w:val="22"/>
          <w:szCs w:val="22"/>
        </w:rPr>
        <w:t xml:space="preserve">-е </w:t>
      </w:r>
      <w:r w:rsidRPr="00F0736F">
        <w:rPr>
          <w:rFonts w:ascii="Times New Roman" w:hAnsi="Times New Roman" w:cs="Times New Roman"/>
          <w:i/>
          <w:color w:val="000000" w:themeColor="text1"/>
          <w:sz w:val="22"/>
          <w:szCs w:val="22"/>
        </w:rPr>
        <w:t>место.</w:t>
      </w:r>
    </w:p>
    <w:p w14:paraId="774EC2B1" w14:textId="77777777" w:rsidR="00F674A4" w:rsidRPr="00F0736F" w:rsidRDefault="00F674A4" w:rsidP="005E5BBA">
      <w:pPr>
        <w:ind w:firstLine="709"/>
        <w:jc w:val="both"/>
        <w:rPr>
          <w:color w:val="000000" w:themeColor="text1"/>
          <w:sz w:val="22"/>
          <w:szCs w:val="22"/>
        </w:rPr>
      </w:pPr>
    </w:p>
    <w:p w14:paraId="238FEDD9" w14:textId="77777777" w:rsidR="00F674A4" w:rsidRPr="00F0736F" w:rsidRDefault="00F674A4" w:rsidP="008727D9">
      <w:pPr>
        <w:ind w:firstLine="709"/>
        <w:jc w:val="both"/>
        <w:rPr>
          <w:rFonts w:ascii="Times New Roman" w:hAnsi="Times New Roman" w:cs="Times New Roman"/>
          <w:color w:val="000000" w:themeColor="text1"/>
        </w:rPr>
      </w:pPr>
    </w:p>
    <w:p w14:paraId="63A466E3" w14:textId="494DAF13" w:rsidR="00F674A4" w:rsidRPr="00F0736F" w:rsidRDefault="001747BE" w:rsidP="005E5BBA">
      <w:pPr>
        <w:jc w:val="center"/>
        <w:rPr>
          <w:rFonts w:ascii="Times New Roman" w:hAnsi="Times New Roman" w:cs="Times New Roman"/>
          <w:color w:val="000000" w:themeColor="text1"/>
        </w:rPr>
      </w:pPr>
      <w:r w:rsidRPr="00F0736F">
        <w:rPr>
          <w:noProof/>
          <w:color w:val="000000" w:themeColor="text1"/>
        </w:rPr>
        <w:drawing>
          <wp:inline distT="0" distB="0" distL="0" distR="0" wp14:anchorId="68C5E14B" wp14:editId="2AACFC09">
            <wp:extent cx="4505325" cy="26098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15" t="-23" r="-15" b="-23"/>
                    <a:stretch>
                      <a:fillRect/>
                    </a:stretch>
                  </pic:blipFill>
                  <pic:spPr bwMode="auto">
                    <a:xfrm>
                      <a:off x="0" y="0"/>
                      <a:ext cx="4505325" cy="2609850"/>
                    </a:xfrm>
                    <a:prstGeom prst="rect">
                      <a:avLst/>
                    </a:prstGeom>
                    <a:solidFill>
                      <a:srgbClr val="FFFFFF"/>
                    </a:solidFill>
                    <a:ln>
                      <a:noFill/>
                    </a:ln>
                  </pic:spPr>
                </pic:pic>
              </a:graphicData>
            </a:graphic>
          </wp:inline>
        </w:drawing>
      </w:r>
    </w:p>
    <w:p w14:paraId="350BF02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 1.3.1. Энергоемкость ВВП Казахстана в сравнении с другими странами, 2016 год, тнэ/тыс. долл</w:t>
      </w:r>
      <w:r w:rsidR="00B46E7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США в ценах 2010 года.</w:t>
      </w:r>
    </w:p>
    <w:p w14:paraId="2607D76A" w14:textId="77777777" w:rsidR="00F674A4" w:rsidRPr="00F0736F" w:rsidRDefault="00F674A4" w:rsidP="008727D9">
      <w:pPr>
        <w:ind w:firstLine="709"/>
        <w:jc w:val="both"/>
        <w:rPr>
          <w:i/>
          <w:color w:val="000000" w:themeColor="text1"/>
        </w:rPr>
      </w:pPr>
      <w:r w:rsidRPr="00F0736F">
        <w:rPr>
          <w:rFonts w:ascii="Times New Roman" w:hAnsi="Times New Roman" w:cs="Times New Roman"/>
          <w:i/>
          <w:color w:val="000000" w:themeColor="text1"/>
          <w:sz w:val="22"/>
          <w:szCs w:val="22"/>
        </w:rPr>
        <w:t xml:space="preserve">Источник: </w:t>
      </w:r>
      <w:r w:rsidRPr="00F0736F">
        <w:rPr>
          <w:rFonts w:ascii="Times New Roman" w:hAnsi="Times New Roman" w:cs="Times New Roman"/>
          <w:i/>
          <w:color w:val="000000" w:themeColor="text1"/>
          <w:sz w:val="22"/>
          <w:szCs w:val="22"/>
          <w:lang w:val="en-US"/>
        </w:rPr>
        <w:t>IEA</w:t>
      </w:r>
      <w:r w:rsidRPr="00F0736F">
        <w:rPr>
          <w:rFonts w:ascii="Times New Roman" w:hAnsi="Times New Roman" w:cs="Times New Roman"/>
          <w:i/>
          <w:color w:val="000000" w:themeColor="text1"/>
          <w:sz w:val="22"/>
          <w:szCs w:val="22"/>
        </w:rPr>
        <w:t xml:space="preserve"> </w:t>
      </w:r>
      <w:r w:rsidRPr="00F0736F">
        <w:rPr>
          <w:rFonts w:ascii="Times New Roman" w:hAnsi="Times New Roman" w:cs="Times New Roman"/>
          <w:i/>
          <w:color w:val="000000" w:themeColor="text1"/>
          <w:sz w:val="22"/>
          <w:szCs w:val="22"/>
          <w:lang w:val="en-US"/>
        </w:rPr>
        <w:t>Energy</w:t>
      </w:r>
      <w:r w:rsidRPr="00F0736F">
        <w:rPr>
          <w:rFonts w:ascii="Times New Roman" w:hAnsi="Times New Roman" w:cs="Times New Roman"/>
          <w:i/>
          <w:color w:val="000000" w:themeColor="text1"/>
          <w:sz w:val="22"/>
          <w:szCs w:val="22"/>
        </w:rPr>
        <w:t xml:space="preserve"> </w:t>
      </w:r>
      <w:r w:rsidRPr="00F0736F">
        <w:rPr>
          <w:rFonts w:ascii="Times New Roman" w:hAnsi="Times New Roman" w:cs="Times New Roman"/>
          <w:i/>
          <w:color w:val="000000" w:themeColor="text1"/>
          <w:sz w:val="22"/>
          <w:szCs w:val="22"/>
          <w:lang w:val="en-US"/>
        </w:rPr>
        <w:t>Outlook</w:t>
      </w:r>
      <w:r w:rsidRPr="00F0736F">
        <w:rPr>
          <w:rFonts w:ascii="Times New Roman" w:hAnsi="Times New Roman" w:cs="Times New Roman"/>
          <w:i/>
          <w:color w:val="000000" w:themeColor="text1"/>
          <w:sz w:val="22"/>
          <w:szCs w:val="22"/>
        </w:rPr>
        <w:t xml:space="preserve"> 2018</w:t>
      </w:r>
    </w:p>
    <w:p w14:paraId="15DFC48B" w14:textId="0A3139CF" w:rsidR="00BD15F9" w:rsidRPr="00F0736F" w:rsidRDefault="00BD15F9" w:rsidP="00BD15F9">
      <w:pPr>
        <w:ind w:firstLine="709"/>
        <w:jc w:val="both"/>
        <w:rPr>
          <w:rFonts w:ascii="Times New Roman" w:hAnsi="Times New Roman" w:cs="Times New Roman"/>
          <w:color w:val="000000" w:themeColor="text1"/>
        </w:rPr>
      </w:pPr>
    </w:p>
    <w:p w14:paraId="1D83679C" w14:textId="77777777" w:rsidR="005E5BBA" w:rsidRPr="00F0736F" w:rsidRDefault="005E5BBA" w:rsidP="00BD15F9">
      <w:pPr>
        <w:ind w:firstLine="709"/>
        <w:jc w:val="both"/>
        <w:rPr>
          <w:rFonts w:ascii="Times New Roman" w:hAnsi="Times New Roman" w:cs="Times New Roman"/>
          <w:color w:val="000000" w:themeColor="text1"/>
        </w:rPr>
      </w:pPr>
    </w:p>
    <w:p w14:paraId="4483C377" w14:textId="77777777" w:rsidR="00BD15F9" w:rsidRPr="00F0736F" w:rsidRDefault="00BD15F9" w:rsidP="00BD15F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Таблица 1.3.2. Основные показатели энергетики</w:t>
      </w:r>
    </w:p>
    <w:p w14:paraId="0DEE8433" w14:textId="77777777" w:rsidR="00BD15F9" w:rsidRPr="00F0736F" w:rsidRDefault="00BD15F9" w:rsidP="00BD15F9">
      <w:pPr>
        <w:ind w:firstLine="709"/>
        <w:jc w:val="both"/>
        <w:rPr>
          <w:rFonts w:ascii="Times New Roman" w:hAnsi="Times New Roman" w:cs="Times New Roman"/>
          <w:color w:val="000000" w:themeColor="text1"/>
        </w:rPr>
      </w:pPr>
    </w:p>
    <w:tbl>
      <w:tblPr>
        <w:tblW w:w="0" w:type="auto"/>
        <w:tblInd w:w="238" w:type="dxa"/>
        <w:tblLayout w:type="fixed"/>
        <w:tblLook w:val="0000" w:firstRow="0" w:lastRow="0" w:firstColumn="0" w:lastColumn="0" w:noHBand="0" w:noVBand="0"/>
      </w:tblPr>
      <w:tblGrid>
        <w:gridCol w:w="6391"/>
        <w:gridCol w:w="1665"/>
        <w:gridCol w:w="1350"/>
      </w:tblGrid>
      <w:tr w:rsidR="00F0736F" w:rsidRPr="00F0736F" w14:paraId="4D8BF93E" w14:textId="77777777" w:rsidTr="00B14A39">
        <w:trPr>
          <w:cantSplit/>
          <w:trHeight w:val="225"/>
        </w:trPr>
        <w:tc>
          <w:tcPr>
            <w:tcW w:w="6391" w:type="dxa"/>
            <w:tcBorders>
              <w:top w:val="single" w:sz="4" w:space="0" w:color="000000"/>
              <w:left w:val="single" w:sz="4" w:space="0" w:color="000000"/>
              <w:bottom w:val="single" w:sz="4" w:space="0" w:color="000000"/>
            </w:tcBorders>
            <w:shd w:val="clear" w:color="auto" w:fill="auto"/>
          </w:tcPr>
          <w:p w14:paraId="12525572" w14:textId="77777777" w:rsidR="00BD15F9" w:rsidRPr="00F0736F" w:rsidRDefault="00BD15F9" w:rsidP="00EA4C23">
            <w:pPr>
              <w:snapToGrid w:val="0"/>
              <w:jc w:val="center"/>
              <w:rPr>
                <w:rFonts w:ascii="Times New Roman" w:hAnsi="Times New Roman" w:cs="Times New Roman"/>
                <w:b/>
                <w:bCs/>
                <w:color w:val="000000" w:themeColor="text1"/>
                <w:sz w:val="20"/>
                <w:szCs w:val="20"/>
              </w:rPr>
            </w:pPr>
            <w:r w:rsidRPr="00F0736F">
              <w:rPr>
                <w:rFonts w:ascii="Times New Roman" w:hAnsi="Times New Roman" w:cs="Times New Roman"/>
                <w:b/>
                <w:bCs/>
                <w:color w:val="000000" w:themeColor="text1"/>
                <w:sz w:val="20"/>
                <w:szCs w:val="20"/>
              </w:rPr>
              <w:t>Показатели энергетики</w:t>
            </w:r>
          </w:p>
        </w:tc>
        <w:tc>
          <w:tcPr>
            <w:tcW w:w="1665" w:type="dxa"/>
            <w:tcBorders>
              <w:top w:val="single" w:sz="4" w:space="0" w:color="000000"/>
              <w:left w:val="single" w:sz="4" w:space="0" w:color="000000"/>
              <w:bottom w:val="single" w:sz="4" w:space="0" w:color="000000"/>
              <w:right w:val="single" w:sz="4" w:space="0" w:color="auto"/>
            </w:tcBorders>
            <w:shd w:val="clear" w:color="auto" w:fill="auto"/>
            <w:vAlign w:val="center"/>
          </w:tcPr>
          <w:p w14:paraId="7BA4C3BD" w14:textId="77777777" w:rsidR="00BD15F9" w:rsidRPr="00F0736F" w:rsidRDefault="00BD15F9" w:rsidP="00EA4C23">
            <w:pPr>
              <w:jc w:val="center"/>
              <w:rPr>
                <w:b/>
                <w:bCs/>
                <w:color w:val="000000" w:themeColor="text1"/>
                <w:sz w:val="20"/>
                <w:szCs w:val="20"/>
              </w:rPr>
            </w:pPr>
            <w:r w:rsidRPr="00F0736F">
              <w:rPr>
                <w:rFonts w:ascii="Times New Roman" w:hAnsi="Times New Roman" w:cs="Times New Roman"/>
                <w:b/>
                <w:bCs/>
                <w:color w:val="000000" w:themeColor="text1"/>
                <w:sz w:val="20"/>
                <w:szCs w:val="20"/>
              </w:rPr>
              <w:t>2017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F614E1" w14:textId="77777777" w:rsidR="00BD15F9" w:rsidRPr="00F0736F" w:rsidRDefault="00BD15F9" w:rsidP="00EA4C23">
            <w:pPr>
              <w:jc w:val="center"/>
              <w:rPr>
                <w:b/>
                <w:bCs/>
                <w:color w:val="000000" w:themeColor="text1"/>
                <w:sz w:val="20"/>
                <w:szCs w:val="20"/>
              </w:rPr>
            </w:pPr>
            <w:r w:rsidRPr="00F0736F">
              <w:rPr>
                <w:rFonts w:ascii="Times New Roman" w:hAnsi="Times New Roman" w:cs="Times New Roman"/>
                <w:b/>
                <w:bCs/>
                <w:color w:val="000000" w:themeColor="text1"/>
                <w:sz w:val="20"/>
                <w:szCs w:val="20"/>
              </w:rPr>
              <w:t>2018</w:t>
            </w:r>
          </w:p>
        </w:tc>
      </w:tr>
      <w:tr w:rsidR="00F0736F" w:rsidRPr="00F0736F" w14:paraId="6548FC5E" w14:textId="77777777" w:rsidTr="00B14A39">
        <w:trPr>
          <w:cantSplit/>
          <w:trHeight w:val="143"/>
        </w:trPr>
        <w:tc>
          <w:tcPr>
            <w:tcW w:w="6391" w:type="dxa"/>
            <w:tcBorders>
              <w:left w:val="single" w:sz="4" w:space="0" w:color="000000"/>
              <w:bottom w:val="single" w:sz="4" w:space="0" w:color="000000"/>
            </w:tcBorders>
            <w:shd w:val="clear" w:color="auto" w:fill="auto"/>
            <w:vAlign w:val="bottom"/>
          </w:tcPr>
          <w:p w14:paraId="0DE5A2F5" w14:textId="77777777" w:rsidR="00BD15F9" w:rsidRPr="00F0736F" w:rsidRDefault="00BD15F9" w:rsidP="00B46E75">
            <w:pPr>
              <w:jc w:val="both"/>
              <w:rPr>
                <w:color w:val="000000" w:themeColor="text1"/>
                <w:sz w:val="20"/>
                <w:szCs w:val="20"/>
              </w:rPr>
            </w:pPr>
            <w:r w:rsidRPr="00F0736F">
              <w:rPr>
                <w:rFonts w:ascii="Times New Roman" w:hAnsi="Times New Roman" w:cs="Times New Roman"/>
                <w:color w:val="000000" w:themeColor="text1"/>
                <w:sz w:val="20"/>
                <w:szCs w:val="20"/>
                <w:lang w:val="kk-KZ" w:eastAsia="ru-RU"/>
              </w:rPr>
              <w:t>Энергоемкость ВВП,</w:t>
            </w:r>
            <w:r w:rsidRPr="00F0736F">
              <w:rPr>
                <w:rFonts w:ascii="Times New Roman" w:hAnsi="Times New Roman" w:cs="Times New Roman"/>
                <w:color w:val="000000" w:themeColor="text1"/>
                <w:sz w:val="20"/>
                <w:szCs w:val="20"/>
                <w:lang w:eastAsia="ru-RU"/>
              </w:rPr>
              <w:t xml:space="preserve"> </w:t>
            </w:r>
            <w:r w:rsidRPr="00F0736F">
              <w:rPr>
                <w:rFonts w:ascii="Times New Roman" w:hAnsi="Times New Roman" w:cs="Times New Roman"/>
                <w:color w:val="000000" w:themeColor="text1"/>
                <w:sz w:val="20"/>
                <w:szCs w:val="20"/>
                <w:lang w:val="kk-KZ" w:eastAsia="ru-RU"/>
              </w:rPr>
              <w:t>тнэ на тыс. долл</w:t>
            </w:r>
            <w:r w:rsidR="00B46E75" w:rsidRPr="00F0736F">
              <w:rPr>
                <w:rFonts w:ascii="Times New Roman" w:hAnsi="Times New Roman" w:cs="Times New Roman"/>
                <w:color w:val="000000" w:themeColor="text1"/>
                <w:sz w:val="20"/>
                <w:szCs w:val="20"/>
                <w:lang w:val="kk-KZ" w:eastAsia="ru-RU"/>
              </w:rPr>
              <w:t>.</w:t>
            </w:r>
            <w:r w:rsidRPr="00F0736F">
              <w:rPr>
                <w:rFonts w:ascii="Times New Roman" w:hAnsi="Times New Roman" w:cs="Times New Roman"/>
                <w:color w:val="000000" w:themeColor="text1"/>
                <w:sz w:val="20"/>
                <w:szCs w:val="20"/>
                <w:lang w:val="kk-KZ" w:eastAsia="ru-RU"/>
              </w:rPr>
              <w:t xml:space="preserve"> США в ценах 2000 г. </w:t>
            </w:r>
          </w:p>
        </w:tc>
        <w:tc>
          <w:tcPr>
            <w:tcW w:w="1665" w:type="dxa"/>
            <w:tcBorders>
              <w:left w:val="single" w:sz="4" w:space="0" w:color="000000"/>
              <w:bottom w:val="single" w:sz="4" w:space="0" w:color="000000"/>
              <w:right w:val="single" w:sz="4" w:space="0" w:color="auto"/>
            </w:tcBorders>
            <w:shd w:val="clear" w:color="auto" w:fill="auto"/>
            <w:vAlign w:val="bottom"/>
          </w:tcPr>
          <w:p w14:paraId="3DA945E7"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1,53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1EB91E7" w14:textId="77777777" w:rsidR="00BD15F9" w:rsidRPr="00F0736F" w:rsidRDefault="00BD15F9" w:rsidP="00EA4C23">
            <w:pPr>
              <w:ind w:firstLine="29"/>
              <w:jc w:val="center"/>
              <w:rPr>
                <w:strike/>
                <w:color w:val="000000" w:themeColor="text1"/>
                <w:sz w:val="20"/>
                <w:szCs w:val="20"/>
              </w:rPr>
            </w:pPr>
            <w:r w:rsidRPr="00F0736F">
              <w:rPr>
                <w:rFonts w:ascii="Times New Roman" w:hAnsi="Times New Roman" w:cs="Times New Roman"/>
                <w:color w:val="000000" w:themeColor="text1"/>
                <w:sz w:val="20"/>
                <w:szCs w:val="20"/>
              </w:rPr>
              <w:t>1,36</w:t>
            </w:r>
          </w:p>
        </w:tc>
      </w:tr>
      <w:tr w:rsidR="00F0736F" w:rsidRPr="00F0736F" w14:paraId="736FEB30" w14:textId="77777777" w:rsidTr="00B14A39">
        <w:trPr>
          <w:cantSplit/>
          <w:trHeight w:val="140"/>
        </w:trPr>
        <w:tc>
          <w:tcPr>
            <w:tcW w:w="6391" w:type="dxa"/>
            <w:tcBorders>
              <w:left w:val="single" w:sz="4" w:space="0" w:color="000000"/>
              <w:bottom w:val="single" w:sz="4" w:space="0" w:color="000000"/>
            </w:tcBorders>
            <w:shd w:val="clear" w:color="auto" w:fill="auto"/>
            <w:vAlign w:val="bottom"/>
          </w:tcPr>
          <w:p w14:paraId="3C069DDB" w14:textId="77777777" w:rsidR="00BD15F9" w:rsidRPr="00F0736F" w:rsidRDefault="00BD15F9" w:rsidP="00B46E75">
            <w:pPr>
              <w:jc w:val="both"/>
              <w:rPr>
                <w:color w:val="000000" w:themeColor="text1"/>
                <w:sz w:val="20"/>
                <w:szCs w:val="20"/>
              </w:rPr>
            </w:pPr>
            <w:r w:rsidRPr="00F0736F">
              <w:rPr>
                <w:rFonts w:ascii="Times New Roman" w:hAnsi="Times New Roman" w:cs="Times New Roman"/>
                <w:color w:val="000000" w:themeColor="text1"/>
                <w:sz w:val="20"/>
                <w:szCs w:val="20"/>
                <w:lang w:val="kk-KZ" w:eastAsia="ru-RU"/>
              </w:rPr>
              <w:t>Энергоемкость ВВП,</w:t>
            </w:r>
            <w:r w:rsidRPr="00F0736F">
              <w:rPr>
                <w:rFonts w:ascii="Times New Roman" w:hAnsi="Times New Roman" w:cs="Times New Roman"/>
                <w:color w:val="000000" w:themeColor="text1"/>
                <w:sz w:val="20"/>
                <w:szCs w:val="20"/>
                <w:lang w:eastAsia="ru-RU"/>
              </w:rPr>
              <w:t xml:space="preserve"> </w:t>
            </w:r>
            <w:r w:rsidRPr="00F0736F">
              <w:rPr>
                <w:rFonts w:ascii="Times New Roman" w:hAnsi="Times New Roman" w:cs="Times New Roman"/>
                <w:color w:val="000000" w:themeColor="text1"/>
                <w:sz w:val="20"/>
                <w:szCs w:val="20"/>
                <w:lang w:val="kk-KZ" w:eastAsia="ru-RU"/>
              </w:rPr>
              <w:t>тнэ на тыс. долл</w:t>
            </w:r>
            <w:r w:rsidR="00B46E75" w:rsidRPr="00F0736F">
              <w:rPr>
                <w:rFonts w:ascii="Times New Roman" w:hAnsi="Times New Roman" w:cs="Times New Roman"/>
                <w:color w:val="000000" w:themeColor="text1"/>
                <w:sz w:val="20"/>
                <w:szCs w:val="20"/>
                <w:lang w:val="kk-KZ" w:eastAsia="ru-RU"/>
              </w:rPr>
              <w:t>.</w:t>
            </w:r>
            <w:r w:rsidRPr="00F0736F">
              <w:rPr>
                <w:rFonts w:ascii="Times New Roman" w:hAnsi="Times New Roman" w:cs="Times New Roman"/>
                <w:color w:val="000000" w:themeColor="text1"/>
                <w:sz w:val="20"/>
                <w:szCs w:val="20"/>
                <w:lang w:val="kk-KZ" w:eastAsia="ru-RU"/>
              </w:rPr>
              <w:t xml:space="preserve"> США в ценах 2010 г.</w:t>
            </w:r>
          </w:p>
        </w:tc>
        <w:tc>
          <w:tcPr>
            <w:tcW w:w="1665" w:type="dxa"/>
            <w:tcBorders>
              <w:left w:val="single" w:sz="4" w:space="0" w:color="000000"/>
              <w:bottom w:val="single" w:sz="4" w:space="0" w:color="000000"/>
              <w:right w:val="single" w:sz="4" w:space="0" w:color="auto"/>
            </w:tcBorders>
            <w:shd w:val="clear" w:color="auto" w:fill="auto"/>
            <w:vAlign w:val="bottom"/>
          </w:tcPr>
          <w:p w14:paraId="64E2B020"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0,42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78BA619"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0,37</w:t>
            </w:r>
          </w:p>
        </w:tc>
      </w:tr>
      <w:tr w:rsidR="00F0736F" w:rsidRPr="00F0736F" w14:paraId="402F274B" w14:textId="77777777" w:rsidTr="00B14A39">
        <w:trPr>
          <w:cantSplit/>
          <w:trHeight w:val="140"/>
        </w:trPr>
        <w:tc>
          <w:tcPr>
            <w:tcW w:w="6391" w:type="dxa"/>
            <w:tcBorders>
              <w:left w:val="single" w:sz="4" w:space="0" w:color="000000"/>
              <w:bottom w:val="single" w:sz="4" w:space="0" w:color="000000"/>
            </w:tcBorders>
            <w:shd w:val="clear" w:color="auto" w:fill="auto"/>
            <w:vAlign w:val="bottom"/>
          </w:tcPr>
          <w:p w14:paraId="279E9609" w14:textId="77777777" w:rsidR="00BD15F9" w:rsidRPr="00F0736F" w:rsidRDefault="00BD15F9" w:rsidP="00EA4C23">
            <w:pPr>
              <w:jc w:val="both"/>
              <w:rPr>
                <w:color w:val="000000" w:themeColor="text1"/>
                <w:sz w:val="20"/>
                <w:szCs w:val="20"/>
              </w:rPr>
            </w:pPr>
            <w:r w:rsidRPr="00F0736F">
              <w:rPr>
                <w:rFonts w:ascii="Times New Roman" w:hAnsi="Times New Roman" w:cs="Times New Roman"/>
                <w:color w:val="000000" w:themeColor="text1"/>
                <w:sz w:val="20"/>
                <w:szCs w:val="20"/>
              </w:rPr>
              <w:t>Общее первичное потребление топлива и энергии, тыс.тнэ</w:t>
            </w:r>
          </w:p>
        </w:tc>
        <w:tc>
          <w:tcPr>
            <w:tcW w:w="1665" w:type="dxa"/>
            <w:tcBorders>
              <w:left w:val="single" w:sz="4" w:space="0" w:color="000000"/>
              <w:bottom w:val="single" w:sz="4" w:space="0" w:color="000000"/>
              <w:right w:val="single" w:sz="4" w:space="0" w:color="auto"/>
            </w:tcBorders>
            <w:shd w:val="clear" w:color="auto" w:fill="auto"/>
            <w:vAlign w:val="bottom"/>
          </w:tcPr>
          <w:p w14:paraId="09EEAC04"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82 311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449D9A4"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75 755</w:t>
            </w:r>
          </w:p>
        </w:tc>
      </w:tr>
      <w:tr w:rsidR="00F0736F" w:rsidRPr="00F0736F" w14:paraId="3614E959" w14:textId="77777777" w:rsidTr="00B14A39">
        <w:trPr>
          <w:cantSplit/>
          <w:trHeight w:val="136"/>
        </w:trPr>
        <w:tc>
          <w:tcPr>
            <w:tcW w:w="6391" w:type="dxa"/>
            <w:tcBorders>
              <w:left w:val="single" w:sz="4" w:space="0" w:color="000000"/>
              <w:bottom w:val="single" w:sz="4" w:space="0" w:color="000000"/>
            </w:tcBorders>
            <w:shd w:val="clear" w:color="auto" w:fill="auto"/>
            <w:vAlign w:val="bottom"/>
          </w:tcPr>
          <w:p w14:paraId="6C03435B" w14:textId="77777777" w:rsidR="00BD15F9" w:rsidRPr="00F0736F" w:rsidRDefault="00BD15F9" w:rsidP="00EA4C23">
            <w:pPr>
              <w:jc w:val="both"/>
              <w:rPr>
                <w:color w:val="000000" w:themeColor="text1"/>
                <w:sz w:val="20"/>
                <w:szCs w:val="20"/>
              </w:rPr>
            </w:pPr>
            <w:r w:rsidRPr="00F0736F">
              <w:rPr>
                <w:rFonts w:ascii="Times New Roman" w:hAnsi="Times New Roman" w:cs="Times New Roman"/>
                <w:color w:val="000000" w:themeColor="text1"/>
                <w:sz w:val="20"/>
                <w:szCs w:val="20"/>
              </w:rPr>
              <w:t>Общее конечное потребление топлива и энергии, тыс.тнэ</w:t>
            </w:r>
          </w:p>
        </w:tc>
        <w:tc>
          <w:tcPr>
            <w:tcW w:w="1665" w:type="dxa"/>
            <w:tcBorders>
              <w:left w:val="single" w:sz="4" w:space="0" w:color="000000"/>
              <w:bottom w:val="single" w:sz="4" w:space="0" w:color="000000"/>
              <w:right w:val="single" w:sz="4" w:space="0" w:color="auto"/>
            </w:tcBorders>
            <w:shd w:val="clear" w:color="auto" w:fill="auto"/>
            <w:vAlign w:val="bottom"/>
          </w:tcPr>
          <w:p w14:paraId="543BF577"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46 659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B44B65E" w14:textId="77777777" w:rsidR="00BD15F9" w:rsidRPr="00F0736F" w:rsidRDefault="00BD15F9" w:rsidP="00EA4C23">
            <w:pPr>
              <w:ind w:firstLine="29"/>
              <w:jc w:val="center"/>
              <w:rPr>
                <w:color w:val="000000" w:themeColor="text1"/>
                <w:sz w:val="20"/>
                <w:szCs w:val="20"/>
              </w:rPr>
            </w:pPr>
            <w:r w:rsidRPr="00F0736F">
              <w:rPr>
                <w:rFonts w:ascii="Times New Roman" w:hAnsi="Times New Roman" w:cs="Times New Roman"/>
                <w:color w:val="000000" w:themeColor="text1"/>
                <w:sz w:val="20"/>
                <w:szCs w:val="20"/>
              </w:rPr>
              <w:t>41 916</w:t>
            </w:r>
          </w:p>
        </w:tc>
      </w:tr>
    </w:tbl>
    <w:p w14:paraId="5B48D3D2" w14:textId="77777777" w:rsidR="00BD15F9" w:rsidRPr="00F0736F" w:rsidRDefault="00BD15F9" w:rsidP="00BD15F9">
      <w:pPr>
        <w:ind w:firstLine="709"/>
        <w:jc w:val="both"/>
        <w:rPr>
          <w:i/>
          <w:color w:val="000000" w:themeColor="text1"/>
        </w:rPr>
      </w:pPr>
      <w:r w:rsidRPr="00F0736F">
        <w:rPr>
          <w:rFonts w:ascii="Times New Roman" w:eastAsia="Calibri" w:hAnsi="Times New Roman" w:cs="Times New Roman"/>
          <w:i/>
          <w:color w:val="000000" w:themeColor="text1"/>
          <w:sz w:val="20"/>
        </w:rPr>
        <w:t xml:space="preserve">Источник: </w:t>
      </w:r>
      <w:hyperlink r:id="rId19" w:history="1">
        <w:r w:rsidRPr="00F0736F">
          <w:rPr>
            <w:rStyle w:val="a6"/>
            <w:rFonts w:ascii="Times New Roman" w:eastAsia="Calibri" w:hAnsi="Times New Roman" w:cs="Times New Roman"/>
            <w:i/>
            <w:color w:val="000000" w:themeColor="text1"/>
            <w:sz w:val="20"/>
            <w:u w:val="none"/>
          </w:rPr>
          <w:t>http://stat.gov.kz</w:t>
        </w:r>
      </w:hyperlink>
    </w:p>
    <w:p w14:paraId="13F30CFD" w14:textId="77777777" w:rsidR="00F674A4" w:rsidRPr="00F0736F" w:rsidRDefault="00F674A4" w:rsidP="008727D9">
      <w:pPr>
        <w:ind w:firstLine="709"/>
        <w:jc w:val="both"/>
        <w:rPr>
          <w:rFonts w:ascii="Times New Roman" w:hAnsi="Times New Roman" w:cs="Times New Roman"/>
          <w:color w:val="000000" w:themeColor="text1"/>
        </w:rPr>
      </w:pPr>
    </w:p>
    <w:p w14:paraId="6E45F663" w14:textId="77777777" w:rsidR="00F674A4" w:rsidRPr="00F0736F" w:rsidRDefault="00FC6278" w:rsidP="00BD15F9">
      <w:pPr>
        <w:ind w:firstLine="709"/>
        <w:jc w:val="both"/>
        <w:rPr>
          <w:color w:val="000000" w:themeColor="text1"/>
        </w:rPr>
      </w:pPr>
      <w:r w:rsidRPr="00F0736F">
        <w:rPr>
          <w:rFonts w:ascii="Times New Roman" w:hAnsi="Times New Roman" w:cs="Times New Roman"/>
          <w:color w:val="000000" w:themeColor="text1"/>
        </w:rPr>
        <w:t>По статистическим данным</w:t>
      </w:r>
      <w:r w:rsidR="00B46E7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общие топливно-энергетические ресурсы составляли в 2017 году 401 578,0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условного топлива (т.у.т.), в 2018 году — 421 644,2 </w:t>
      </w:r>
      <w:r w:rsidR="00C752D3" w:rsidRPr="00F0736F">
        <w:rPr>
          <w:rFonts w:ascii="Times New Roman" w:hAnsi="Times New Roman" w:cs="Times New Roman"/>
          <w:color w:val="000000" w:themeColor="text1"/>
        </w:rPr>
        <w:t xml:space="preserve">тыс. т.у.т., в 2019 году – </w:t>
      </w:r>
      <w:r w:rsidRPr="00F0736F">
        <w:rPr>
          <w:rFonts w:ascii="Times New Roman" w:hAnsi="Times New Roman" w:cs="Times New Roman"/>
          <w:color w:val="000000" w:themeColor="text1"/>
        </w:rPr>
        <w:t>363 139,2 тыс. т.у.т. Топливно-энергетические ресурсы (ТЭР) республики в 2019 уменьшились по сравнению с 2018 годом на 13,9% в основном за счет снижения экспорта топливно-энергетических ресурсов.</w:t>
      </w:r>
    </w:p>
    <w:p w14:paraId="0D0A21D0" w14:textId="77777777" w:rsidR="00F674A4" w:rsidRPr="00F0736F" w:rsidRDefault="00F674A4" w:rsidP="00BD15F9">
      <w:pPr>
        <w:ind w:firstLine="709"/>
        <w:jc w:val="both"/>
        <w:rPr>
          <w:color w:val="000000" w:themeColor="text1"/>
        </w:rPr>
      </w:pPr>
      <w:r w:rsidRPr="00F0736F">
        <w:rPr>
          <w:rFonts w:ascii="Times New Roman" w:hAnsi="Times New Roman" w:cs="Times New Roman"/>
          <w:color w:val="000000" w:themeColor="text1"/>
        </w:rPr>
        <w:t>Ключевыми энергопотребляющими секторами (более 98% всего потребления) являются: энергоснабжение, жилищно-коммунальное хозяйство (здания), промышленность и транспорт.</w:t>
      </w:r>
    </w:p>
    <w:p w14:paraId="58BFE720" w14:textId="77777777" w:rsidR="00F674A4" w:rsidRPr="00F0736F" w:rsidRDefault="00391416" w:rsidP="008727D9">
      <w:pPr>
        <w:ind w:firstLine="709"/>
        <w:jc w:val="both"/>
        <w:rPr>
          <w:color w:val="000000" w:themeColor="text1"/>
        </w:rPr>
      </w:pPr>
      <w:r w:rsidRPr="00F0736F">
        <w:rPr>
          <w:rFonts w:ascii="Times New Roman" w:eastAsia="font275" w:hAnsi="Times New Roman" w:cs="Times New Roman"/>
          <w:color w:val="000000" w:themeColor="text1"/>
          <w:lang w:val="kk-KZ" w:eastAsia="en-US"/>
        </w:rPr>
        <w:t xml:space="preserve">Промышленность лидирует среди секторов экономики Казахстана по потреблению первичных энергоресурсов; на ее долю </w:t>
      </w:r>
      <w:r w:rsidRPr="00F0736F">
        <w:rPr>
          <w:rFonts w:ascii="Times New Roman" w:eastAsia="font275" w:hAnsi="Times New Roman" w:cs="Times New Roman"/>
          <w:color w:val="000000" w:themeColor="text1"/>
          <w:lang w:eastAsia="en-US"/>
        </w:rPr>
        <w:t>приходится</w:t>
      </w:r>
      <w:r w:rsidRPr="00F0736F">
        <w:rPr>
          <w:rFonts w:ascii="Times New Roman" w:eastAsia="font275" w:hAnsi="Times New Roman" w:cs="Times New Roman"/>
          <w:color w:val="000000" w:themeColor="text1"/>
          <w:lang w:val="kk-KZ" w:eastAsia="en-US"/>
        </w:rPr>
        <w:t xml:space="preserve"> 50,5% от общего объема потребления энергии. </w:t>
      </w:r>
      <w:r w:rsidR="00F674A4" w:rsidRPr="00F0736F">
        <w:rPr>
          <w:rFonts w:ascii="Times New Roman" w:eastAsia="font275" w:hAnsi="Times New Roman" w:cs="Times New Roman"/>
          <w:color w:val="000000" w:themeColor="text1"/>
          <w:szCs w:val="22"/>
          <w:lang w:val="kk-KZ" w:eastAsia="en-US"/>
        </w:rPr>
        <w:t xml:space="preserve">Использование энергии в промышленности выросло в 2008 </w:t>
      </w:r>
      <w:r w:rsidR="00F674A4" w:rsidRPr="00F0736F">
        <w:rPr>
          <w:rFonts w:ascii="Times New Roman" w:eastAsia="SimSun" w:hAnsi="Times New Roman" w:cs="Times New Roman"/>
          <w:color w:val="000000" w:themeColor="text1"/>
          <w:szCs w:val="22"/>
          <w:lang w:val="kk-KZ" w:eastAsia="en-US"/>
        </w:rPr>
        <w:t xml:space="preserve">– </w:t>
      </w:r>
      <w:r w:rsidR="00F674A4" w:rsidRPr="00F0736F">
        <w:rPr>
          <w:rFonts w:ascii="Times New Roman" w:eastAsia="font275" w:hAnsi="Times New Roman" w:cs="Times New Roman"/>
          <w:color w:val="000000" w:themeColor="text1"/>
          <w:szCs w:val="22"/>
          <w:lang w:val="kk-KZ" w:eastAsia="en-US"/>
        </w:rPr>
        <w:t xml:space="preserve">2016 гг. на 19,3%, с 16,8 млн. </w:t>
      </w:r>
      <w:r w:rsidR="00AC18E0" w:rsidRPr="00F0736F">
        <w:rPr>
          <w:rFonts w:ascii="Times New Roman" w:eastAsia="font275" w:hAnsi="Times New Roman" w:cs="Times New Roman"/>
          <w:color w:val="000000" w:themeColor="text1"/>
          <w:szCs w:val="22"/>
          <w:lang w:val="kk-KZ" w:eastAsia="en-US"/>
        </w:rPr>
        <w:t>т.</w:t>
      </w:r>
      <w:r w:rsidR="00F674A4" w:rsidRPr="00F0736F">
        <w:rPr>
          <w:rFonts w:ascii="Times New Roman" w:eastAsia="font275" w:hAnsi="Times New Roman" w:cs="Times New Roman"/>
          <w:color w:val="000000" w:themeColor="text1"/>
          <w:szCs w:val="22"/>
          <w:lang w:val="kk-KZ" w:eastAsia="en-US"/>
        </w:rPr>
        <w:t xml:space="preserve"> до 20,8 млн. </w:t>
      </w:r>
      <w:r w:rsidR="00AC18E0" w:rsidRPr="00F0736F">
        <w:rPr>
          <w:rFonts w:ascii="Times New Roman" w:eastAsia="font275" w:hAnsi="Times New Roman" w:cs="Times New Roman"/>
          <w:color w:val="000000" w:themeColor="text1"/>
          <w:szCs w:val="22"/>
          <w:lang w:eastAsia="en-US"/>
        </w:rPr>
        <w:t>т.</w:t>
      </w:r>
      <w:r w:rsidR="00F674A4" w:rsidRPr="00F0736F">
        <w:rPr>
          <w:rFonts w:ascii="Times New Roman" w:eastAsia="font275" w:hAnsi="Times New Roman" w:cs="Times New Roman"/>
          <w:color w:val="000000" w:themeColor="text1"/>
          <w:szCs w:val="22"/>
          <w:lang w:val="kk-KZ" w:eastAsia="en-US"/>
        </w:rPr>
        <w:t>.</w:t>
      </w:r>
    </w:p>
    <w:p w14:paraId="5512AA2A"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szCs w:val="22"/>
          <w:lang w:val="kk-KZ" w:eastAsia="en-US"/>
        </w:rPr>
        <w:t>Тр</w:t>
      </w:r>
      <w:r w:rsidR="000A7807" w:rsidRPr="00F0736F">
        <w:rPr>
          <w:rFonts w:ascii="Times New Roman" w:eastAsia="SimSun" w:hAnsi="Times New Roman" w:cs="Times New Roman"/>
          <w:color w:val="000000" w:themeColor="text1"/>
          <w:szCs w:val="22"/>
          <w:lang w:val="kk-KZ" w:eastAsia="en-US"/>
        </w:rPr>
        <w:t>анспортный сектор потребляет 12-</w:t>
      </w:r>
      <w:r w:rsidRPr="00F0736F">
        <w:rPr>
          <w:rFonts w:ascii="Times New Roman" w:eastAsia="SimSun" w:hAnsi="Times New Roman" w:cs="Times New Roman"/>
          <w:color w:val="000000" w:themeColor="text1"/>
          <w:szCs w:val="22"/>
          <w:lang w:val="kk-KZ" w:eastAsia="en-US"/>
        </w:rPr>
        <w:t xml:space="preserve">14% </w:t>
      </w:r>
      <w:r w:rsidRPr="00F0736F">
        <w:rPr>
          <w:rFonts w:ascii="Times New Roman" w:eastAsia="SimSun" w:hAnsi="Times New Roman" w:cs="Times New Roman"/>
          <w:color w:val="000000" w:themeColor="text1"/>
          <w:szCs w:val="22"/>
          <w:lang w:eastAsia="en-US"/>
        </w:rPr>
        <w:t>общего объема энергии</w:t>
      </w:r>
      <w:r w:rsidRPr="00F0736F">
        <w:rPr>
          <w:rFonts w:ascii="Times New Roman" w:eastAsia="SimSun" w:hAnsi="Times New Roman" w:cs="Times New Roman"/>
          <w:color w:val="000000" w:themeColor="text1"/>
          <w:szCs w:val="22"/>
          <w:lang w:val="kk-KZ" w:eastAsia="en-US"/>
        </w:rPr>
        <w:t>. Хотя в Казахстане есть транспортные средства, работающие на электричестве и природном газе, основным используемым видом топлива является бензин. Низкое качество моторного топлива и устаревание парка автотранспортных средств обусловливают низкие показатели энергоэффективности в транспортном секторе.</w:t>
      </w:r>
    </w:p>
    <w:p w14:paraId="4816EA8B" w14:textId="71D7A35D" w:rsidR="00F674A4" w:rsidRPr="00F0736F" w:rsidRDefault="00F674A4" w:rsidP="008727D9">
      <w:pPr>
        <w:ind w:firstLine="709"/>
        <w:jc w:val="both"/>
        <w:rPr>
          <w:color w:val="000000" w:themeColor="text1"/>
        </w:rPr>
      </w:pPr>
      <w:r w:rsidRPr="00F0736F">
        <w:rPr>
          <w:rStyle w:val="a4"/>
          <w:rFonts w:ascii="Times New Roman" w:eastAsia="SimSun" w:hAnsi="Times New Roman" w:cs="Times New Roman"/>
          <w:color w:val="000000" w:themeColor="text1"/>
          <w:szCs w:val="22"/>
          <w:vertAlign w:val="baseline"/>
          <w:lang w:val="kk-KZ" w:eastAsia="en-US"/>
        </w:rPr>
        <w:t>Жилой сектор является третьим крупнейшим потребителем тепло- и электроэнергии в стране после сектора энергетики и производственного сектора. В рамках ранее реализованных проектов ПРООН-ГЭФ проводился выборочный энергетический аудит зданий различных годов постройки, который показал, что потребление энергии в жилищном секторе Казахстана составляет порядка 270 кВт*ч /м</w:t>
      </w:r>
      <w:r w:rsidRPr="00F0736F">
        <w:rPr>
          <w:rStyle w:val="a4"/>
          <w:rFonts w:ascii="Times New Roman" w:eastAsia="SimSun" w:hAnsi="Times New Roman" w:cs="Times New Roman"/>
          <w:color w:val="000000" w:themeColor="text1"/>
          <w:szCs w:val="22"/>
          <w:lang w:val="kk-KZ" w:eastAsia="en-US"/>
        </w:rPr>
        <w:t>2</w:t>
      </w:r>
      <w:r w:rsidR="00EA4C23" w:rsidRPr="00F0736F">
        <w:rPr>
          <w:rFonts w:ascii="Times New Roman" w:eastAsia="SimSun" w:hAnsi="Times New Roman" w:cs="Times New Roman"/>
          <w:color w:val="000000" w:themeColor="text1"/>
          <w:szCs w:val="22"/>
          <w:lang w:val="kk-KZ" w:eastAsia="en-US"/>
        </w:rPr>
        <w:t>, которое</w:t>
      </w:r>
      <w:r w:rsidRPr="00F0736F">
        <w:rPr>
          <w:rStyle w:val="a4"/>
          <w:rFonts w:ascii="Times New Roman" w:eastAsia="SimSun" w:hAnsi="Times New Roman" w:cs="Times New Roman"/>
          <w:color w:val="000000" w:themeColor="text1"/>
          <w:szCs w:val="22"/>
          <w:vertAlign w:val="baseline"/>
          <w:lang w:val="kk-KZ" w:eastAsia="en-US"/>
        </w:rPr>
        <w:t xml:space="preserve"> превышает уровень потребления в Европе (100</w:t>
      </w:r>
      <w:r w:rsidR="00B46E75" w:rsidRPr="00F0736F">
        <w:rPr>
          <w:rStyle w:val="a4"/>
          <w:rFonts w:ascii="Times New Roman" w:eastAsia="SimSun" w:hAnsi="Times New Roman" w:cs="Times New Roman"/>
          <w:iCs/>
          <w:color w:val="000000" w:themeColor="text1"/>
          <w:szCs w:val="22"/>
          <w:vertAlign w:val="baseline"/>
          <w:lang w:val="kk-KZ" w:eastAsia="en-US"/>
        </w:rPr>
        <w:t>-</w:t>
      </w:r>
      <w:r w:rsidRPr="00F0736F">
        <w:rPr>
          <w:rStyle w:val="a4"/>
          <w:rFonts w:ascii="Times New Roman" w:eastAsia="SimSun" w:hAnsi="Times New Roman" w:cs="Times New Roman"/>
          <w:color w:val="000000" w:themeColor="text1"/>
          <w:szCs w:val="22"/>
          <w:vertAlign w:val="baseline"/>
          <w:lang w:val="kk-KZ" w:eastAsia="en-US"/>
        </w:rPr>
        <w:t>120 кВт*ч/м²), а также в Российской Федерации (210 кВт*ч/м²). Основными причинами являются: холодный климат, высокий уровень потерь тепла вследствие недостаточной теплоизоляции, отсу</w:t>
      </w:r>
      <w:r w:rsidR="00B46E75" w:rsidRPr="00F0736F">
        <w:rPr>
          <w:rFonts w:ascii="Times New Roman" w:eastAsia="SimSun" w:hAnsi="Times New Roman" w:cs="Times New Roman"/>
          <w:color w:val="000000" w:themeColor="text1"/>
          <w:szCs w:val="22"/>
          <w:lang w:val="kk-KZ" w:eastAsia="en-US"/>
        </w:rPr>
        <w:t>т</w:t>
      </w:r>
      <w:r w:rsidRPr="00F0736F">
        <w:rPr>
          <w:rStyle w:val="a4"/>
          <w:rFonts w:ascii="Times New Roman" w:eastAsia="SimSun" w:hAnsi="Times New Roman" w:cs="Times New Roman"/>
          <w:color w:val="000000" w:themeColor="text1"/>
          <w:szCs w:val="22"/>
          <w:vertAlign w:val="baseline"/>
          <w:lang w:val="kk-KZ" w:eastAsia="en-US"/>
        </w:rPr>
        <w:t>ствие регуляции теплопотребления в зависимости от фактической погоды, износ внутренних систем теплопотребл</w:t>
      </w:r>
      <w:r w:rsidR="00EA4C23" w:rsidRPr="00F0736F">
        <w:rPr>
          <w:rFonts w:ascii="Times New Roman" w:eastAsia="SimSun" w:hAnsi="Times New Roman" w:cs="Times New Roman"/>
          <w:color w:val="000000" w:themeColor="text1"/>
          <w:szCs w:val="22"/>
          <w:lang w:val="kk-KZ" w:eastAsia="en-US"/>
        </w:rPr>
        <w:t>е</w:t>
      </w:r>
      <w:r w:rsidRPr="00F0736F">
        <w:rPr>
          <w:rStyle w:val="a4"/>
          <w:rFonts w:ascii="Times New Roman" w:eastAsia="SimSun" w:hAnsi="Times New Roman" w:cs="Times New Roman"/>
          <w:color w:val="000000" w:themeColor="text1"/>
          <w:szCs w:val="22"/>
          <w:vertAlign w:val="baseline"/>
          <w:lang w:val="kk-KZ" w:eastAsia="en-US"/>
        </w:rPr>
        <w:t>ния зданий, ненадлежащий контроль за тепловыми узлами и др. Около 75% зданий в Казахстане были построены между 1950 и 1990 гг.</w:t>
      </w:r>
      <w:bookmarkStart w:id="15" w:name="_GoBack4"/>
      <w:bookmarkEnd w:id="15"/>
      <w:r w:rsidRPr="00F0736F">
        <w:rPr>
          <w:rStyle w:val="a4"/>
          <w:rFonts w:ascii="Times New Roman" w:eastAsia="SimSun" w:hAnsi="Times New Roman" w:cs="Times New Roman"/>
          <w:color w:val="000000" w:themeColor="text1"/>
          <w:szCs w:val="22"/>
          <w:vertAlign w:val="baseline"/>
          <w:lang w:val="kk-KZ" w:eastAsia="en-US"/>
        </w:rPr>
        <w:t xml:space="preserve"> и не соответствуют современным стандартам энергоэффективности</w:t>
      </w:r>
      <w:r w:rsidRPr="00F0736F">
        <w:rPr>
          <w:rStyle w:val="a4"/>
          <w:rFonts w:ascii="Times New Roman" w:eastAsia="SimSun" w:hAnsi="Times New Roman" w:cs="Times New Roman"/>
          <w:color w:val="000000" w:themeColor="text1"/>
          <w:szCs w:val="22"/>
          <w:lang w:val="kk-KZ" w:eastAsia="en-US"/>
        </w:rPr>
        <w:footnoteReference w:id="42"/>
      </w:r>
      <w:r w:rsidRPr="00F0736F">
        <w:rPr>
          <w:rFonts w:ascii="Times New Roman" w:eastAsia="SimSun" w:hAnsi="Times New Roman" w:cs="Times New Roman"/>
          <w:color w:val="000000" w:themeColor="text1"/>
          <w:szCs w:val="22"/>
          <w:lang w:val="kk-KZ" w:eastAsia="en-US"/>
        </w:rPr>
        <w:t>.</w:t>
      </w:r>
    </w:p>
    <w:p w14:paraId="3230B5CE" w14:textId="240201C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Наиболее энергоемкими регионами являются промышленно развитые Павлодарская и Восточно-Казахстанская области, наименее </w:t>
      </w:r>
      <w:r w:rsidR="0098448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сельскохозяйственные Костанайская, Алматинская, Жамбылская и Акмолинская области, а также города Алматы и Нур-Султан (таблица 1.3.3.).</w:t>
      </w:r>
    </w:p>
    <w:p w14:paraId="11BB7B7A" w14:textId="77777777" w:rsidR="00F674A4" w:rsidRPr="00F0736F" w:rsidRDefault="00F674A4" w:rsidP="008727D9">
      <w:pPr>
        <w:ind w:firstLine="709"/>
        <w:jc w:val="both"/>
        <w:rPr>
          <w:rFonts w:ascii="Times New Roman" w:hAnsi="Times New Roman" w:cs="Times New Roman"/>
          <w:color w:val="000000" w:themeColor="text1"/>
        </w:rPr>
      </w:pPr>
    </w:p>
    <w:p w14:paraId="607CB06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Таблица 1.3.3. Энергоемкость ВРП в Республике Казахстан </w:t>
      </w:r>
    </w:p>
    <w:p w14:paraId="2A88BC15" w14:textId="77777777" w:rsidR="00EA4C23" w:rsidRPr="00F0736F" w:rsidRDefault="00EA4C23" w:rsidP="00EA4C23">
      <w:pPr>
        <w:jc w:val="both"/>
        <w:rPr>
          <w:color w:val="000000" w:themeColor="text1"/>
        </w:rPr>
      </w:pPr>
    </w:p>
    <w:p w14:paraId="5AA448D8" w14:textId="77777777" w:rsidR="00F674A4" w:rsidRPr="00F0736F" w:rsidRDefault="00F674A4" w:rsidP="00EA4C23">
      <w:pPr>
        <w:jc w:val="right"/>
        <w:rPr>
          <w:color w:val="000000" w:themeColor="text1"/>
        </w:rPr>
      </w:pPr>
      <w:r w:rsidRPr="00F0736F">
        <w:rPr>
          <w:rStyle w:val="16"/>
          <w:rFonts w:ascii="Times New Roman" w:hAnsi="Times New Roman"/>
          <w:color w:val="000000" w:themeColor="text1"/>
          <w:sz w:val="20"/>
          <w:szCs w:val="20"/>
          <w:lang w:val="kk-KZ"/>
        </w:rPr>
        <w:t>тнэ на тыс.</w:t>
      </w:r>
      <w:r w:rsidRPr="00F0736F">
        <w:rPr>
          <w:rFonts w:ascii="Times New Roman" w:hAnsi="Times New Roman" w:cs="Times New Roman"/>
          <w:color w:val="000000" w:themeColor="text1"/>
          <w:sz w:val="20"/>
          <w:szCs w:val="20"/>
          <w:lang w:val="kk-KZ"/>
        </w:rPr>
        <w:t xml:space="preserve"> долларов </w:t>
      </w:r>
      <w:r w:rsidRPr="00F0736F">
        <w:rPr>
          <w:rStyle w:val="16"/>
          <w:rFonts w:ascii="Times New Roman" w:hAnsi="Times New Roman"/>
          <w:color w:val="000000" w:themeColor="text1"/>
          <w:sz w:val="20"/>
          <w:szCs w:val="20"/>
          <w:lang w:val="kk-KZ"/>
        </w:rPr>
        <w:t>США в ценах 2000г.</w:t>
      </w:r>
    </w:p>
    <w:tbl>
      <w:tblPr>
        <w:tblW w:w="0" w:type="auto"/>
        <w:tblInd w:w="137" w:type="dxa"/>
        <w:tblLayout w:type="fixed"/>
        <w:tblLook w:val="0000" w:firstRow="0" w:lastRow="0" w:firstColumn="0" w:lastColumn="0" w:noHBand="0" w:noVBand="0"/>
      </w:tblPr>
      <w:tblGrid>
        <w:gridCol w:w="3969"/>
        <w:gridCol w:w="2100"/>
        <w:gridCol w:w="1905"/>
        <w:gridCol w:w="1665"/>
      </w:tblGrid>
      <w:tr w:rsidR="00F0736F" w:rsidRPr="00F0736F" w14:paraId="2903A128" w14:textId="77777777" w:rsidTr="0098448B">
        <w:trPr>
          <w:trHeight w:val="309"/>
        </w:trPr>
        <w:tc>
          <w:tcPr>
            <w:tcW w:w="3969" w:type="dxa"/>
            <w:tcBorders>
              <w:top w:val="single" w:sz="4" w:space="0" w:color="000000"/>
              <w:left w:val="single" w:sz="4" w:space="0" w:color="000000"/>
              <w:bottom w:val="single" w:sz="4" w:space="0" w:color="000000"/>
            </w:tcBorders>
            <w:shd w:val="clear" w:color="auto" w:fill="auto"/>
            <w:vAlign w:val="center"/>
          </w:tcPr>
          <w:p w14:paraId="6B8B70CA"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2100" w:type="dxa"/>
            <w:tcBorders>
              <w:top w:val="single" w:sz="4" w:space="0" w:color="000000"/>
              <w:left w:val="single" w:sz="4" w:space="0" w:color="000000"/>
              <w:bottom w:val="single" w:sz="4" w:space="0" w:color="000000"/>
            </w:tcBorders>
            <w:shd w:val="clear" w:color="auto" w:fill="auto"/>
            <w:vAlign w:val="center"/>
          </w:tcPr>
          <w:p w14:paraId="5F72EBE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2017</w:t>
            </w:r>
          </w:p>
        </w:tc>
        <w:tc>
          <w:tcPr>
            <w:tcW w:w="1905" w:type="dxa"/>
            <w:tcBorders>
              <w:top w:val="single" w:sz="4" w:space="0" w:color="000000"/>
              <w:left w:val="single" w:sz="4" w:space="0" w:color="000000"/>
              <w:bottom w:val="single" w:sz="4" w:space="0" w:color="000000"/>
            </w:tcBorders>
            <w:shd w:val="clear" w:color="auto" w:fill="auto"/>
            <w:vAlign w:val="center"/>
          </w:tcPr>
          <w:p w14:paraId="56D17DF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z w:val="20"/>
                <w:szCs w:val="20"/>
              </w:rPr>
              <w:t>2018</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817E" w14:textId="77777777" w:rsidR="00F674A4" w:rsidRPr="00F0736F" w:rsidRDefault="00F674A4" w:rsidP="003D7851">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w:t>
            </w:r>
            <w:r w:rsidR="009245B5" w:rsidRPr="00F0736F">
              <w:rPr>
                <w:rFonts w:ascii="Times New Roman" w:hAnsi="Times New Roman" w:cs="Times New Roman"/>
                <w:color w:val="000000" w:themeColor="text1"/>
                <w:sz w:val="20"/>
                <w:szCs w:val="20"/>
              </w:rPr>
              <w:t>*</w:t>
            </w:r>
          </w:p>
        </w:tc>
      </w:tr>
      <w:tr w:rsidR="00F0736F" w:rsidRPr="00F0736F" w14:paraId="4F0355B0" w14:textId="77777777" w:rsidTr="0098448B">
        <w:trPr>
          <w:trHeight w:val="23"/>
        </w:trPr>
        <w:tc>
          <w:tcPr>
            <w:tcW w:w="3969" w:type="dxa"/>
            <w:tcBorders>
              <w:left w:val="single" w:sz="4" w:space="0" w:color="000000"/>
              <w:bottom w:val="single" w:sz="4" w:space="0" w:color="000000"/>
            </w:tcBorders>
            <w:shd w:val="clear" w:color="auto" w:fill="auto"/>
            <w:vAlign w:val="bottom"/>
          </w:tcPr>
          <w:p w14:paraId="0B4A41F8"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Республика Казахстан</w:t>
            </w:r>
          </w:p>
        </w:tc>
        <w:tc>
          <w:tcPr>
            <w:tcW w:w="2100" w:type="dxa"/>
            <w:tcBorders>
              <w:left w:val="single" w:sz="4" w:space="0" w:color="000000"/>
              <w:bottom w:val="single" w:sz="4" w:space="0" w:color="000000"/>
            </w:tcBorders>
            <w:shd w:val="clear" w:color="auto" w:fill="auto"/>
            <w:vAlign w:val="bottom"/>
          </w:tcPr>
          <w:p w14:paraId="3AD170AE"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1,53</w:t>
            </w:r>
          </w:p>
        </w:tc>
        <w:tc>
          <w:tcPr>
            <w:tcW w:w="1905" w:type="dxa"/>
            <w:tcBorders>
              <w:left w:val="single" w:sz="4" w:space="0" w:color="000000"/>
              <w:bottom w:val="single" w:sz="4" w:space="0" w:color="000000"/>
            </w:tcBorders>
            <w:shd w:val="clear" w:color="auto" w:fill="auto"/>
            <w:vAlign w:val="bottom"/>
          </w:tcPr>
          <w:p w14:paraId="0FDC95C9"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1,36</w:t>
            </w:r>
          </w:p>
        </w:tc>
        <w:tc>
          <w:tcPr>
            <w:tcW w:w="1665" w:type="dxa"/>
            <w:tcBorders>
              <w:left w:val="single" w:sz="4" w:space="0" w:color="000000"/>
              <w:bottom w:val="single" w:sz="4" w:space="0" w:color="000000"/>
              <w:right w:val="single" w:sz="4" w:space="0" w:color="000000"/>
            </w:tcBorders>
            <w:shd w:val="clear" w:color="auto" w:fill="auto"/>
            <w:vAlign w:val="bottom"/>
          </w:tcPr>
          <w:p w14:paraId="1C6AF9F1"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660F8CEE" w14:textId="77777777" w:rsidTr="0098448B">
        <w:trPr>
          <w:trHeight w:val="23"/>
        </w:trPr>
        <w:tc>
          <w:tcPr>
            <w:tcW w:w="3969" w:type="dxa"/>
            <w:tcBorders>
              <w:left w:val="single" w:sz="4" w:space="0" w:color="000000"/>
              <w:bottom w:val="single" w:sz="4" w:space="0" w:color="000000"/>
            </w:tcBorders>
            <w:shd w:val="clear" w:color="auto" w:fill="auto"/>
            <w:vAlign w:val="bottom"/>
          </w:tcPr>
          <w:p w14:paraId="4DFB112F"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Акмолинская</w:t>
            </w:r>
          </w:p>
        </w:tc>
        <w:tc>
          <w:tcPr>
            <w:tcW w:w="2100" w:type="dxa"/>
            <w:tcBorders>
              <w:left w:val="single" w:sz="4" w:space="0" w:color="000000"/>
              <w:bottom w:val="single" w:sz="4" w:space="0" w:color="000000"/>
            </w:tcBorders>
            <w:shd w:val="clear" w:color="auto" w:fill="auto"/>
            <w:vAlign w:val="bottom"/>
          </w:tcPr>
          <w:p w14:paraId="33CF268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0,43</w:t>
            </w:r>
          </w:p>
        </w:tc>
        <w:tc>
          <w:tcPr>
            <w:tcW w:w="1905" w:type="dxa"/>
            <w:tcBorders>
              <w:left w:val="single" w:sz="4" w:space="0" w:color="000000"/>
              <w:bottom w:val="single" w:sz="4" w:space="0" w:color="000000"/>
            </w:tcBorders>
            <w:shd w:val="clear" w:color="auto" w:fill="auto"/>
            <w:vAlign w:val="bottom"/>
          </w:tcPr>
          <w:p w14:paraId="2D058C1E"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0,30</w:t>
            </w:r>
          </w:p>
        </w:tc>
        <w:tc>
          <w:tcPr>
            <w:tcW w:w="1665" w:type="dxa"/>
            <w:tcBorders>
              <w:left w:val="single" w:sz="4" w:space="0" w:color="000000"/>
              <w:bottom w:val="single" w:sz="4" w:space="0" w:color="000000"/>
              <w:right w:val="single" w:sz="4" w:space="0" w:color="000000"/>
            </w:tcBorders>
            <w:shd w:val="clear" w:color="auto" w:fill="auto"/>
            <w:vAlign w:val="bottom"/>
          </w:tcPr>
          <w:p w14:paraId="48DD1F88"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64CDBCE1" w14:textId="77777777" w:rsidTr="0098448B">
        <w:trPr>
          <w:trHeight w:val="23"/>
        </w:trPr>
        <w:tc>
          <w:tcPr>
            <w:tcW w:w="3969" w:type="dxa"/>
            <w:tcBorders>
              <w:left w:val="single" w:sz="4" w:space="0" w:color="000000"/>
              <w:bottom w:val="single" w:sz="4" w:space="0" w:color="000000"/>
            </w:tcBorders>
            <w:shd w:val="clear" w:color="auto" w:fill="auto"/>
            <w:vAlign w:val="bottom"/>
          </w:tcPr>
          <w:p w14:paraId="7D9E6F35"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Актюбинская</w:t>
            </w:r>
          </w:p>
        </w:tc>
        <w:tc>
          <w:tcPr>
            <w:tcW w:w="2100" w:type="dxa"/>
            <w:tcBorders>
              <w:left w:val="single" w:sz="4" w:space="0" w:color="000000"/>
              <w:bottom w:val="single" w:sz="4" w:space="0" w:color="000000"/>
            </w:tcBorders>
            <w:shd w:val="clear" w:color="auto" w:fill="auto"/>
            <w:vAlign w:val="bottom"/>
          </w:tcPr>
          <w:p w14:paraId="421D41E9"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3,69</w:t>
            </w:r>
          </w:p>
        </w:tc>
        <w:tc>
          <w:tcPr>
            <w:tcW w:w="1905" w:type="dxa"/>
            <w:tcBorders>
              <w:left w:val="single" w:sz="4" w:space="0" w:color="000000"/>
              <w:bottom w:val="single" w:sz="4" w:space="0" w:color="000000"/>
            </w:tcBorders>
            <w:shd w:val="clear" w:color="auto" w:fill="auto"/>
            <w:vAlign w:val="bottom"/>
          </w:tcPr>
          <w:p w14:paraId="777652A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2,98</w:t>
            </w:r>
          </w:p>
        </w:tc>
        <w:tc>
          <w:tcPr>
            <w:tcW w:w="1665" w:type="dxa"/>
            <w:tcBorders>
              <w:left w:val="single" w:sz="4" w:space="0" w:color="000000"/>
              <w:bottom w:val="single" w:sz="4" w:space="0" w:color="000000"/>
              <w:right w:val="single" w:sz="4" w:space="0" w:color="000000"/>
            </w:tcBorders>
            <w:shd w:val="clear" w:color="auto" w:fill="auto"/>
            <w:vAlign w:val="bottom"/>
          </w:tcPr>
          <w:p w14:paraId="114D7D54"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3A9BB1CE" w14:textId="77777777" w:rsidTr="0098448B">
        <w:trPr>
          <w:trHeight w:val="23"/>
        </w:trPr>
        <w:tc>
          <w:tcPr>
            <w:tcW w:w="3969" w:type="dxa"/>
            <w:tcBorders>
              <w:left w:val="single" w:sz="4" w:space="0" w:color="000000"/>
              <w:bottom w:val="single" w:sz="4" w:space="0" w:color="000000"/>
            </w:tcBorders>
            <w:shd w:val="clear" w:color="auto" w:fill="auto"/>
            <w:vAlign w:val="bottom"/>
          </w:tcPr>
          <w:p w14:paraId="43D3FAE0"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Алматинская</w:t>
            </w:r>
          </w:p>
        </w:tc>
        <w:tc>
          <w:tcPr>
            <w:tcW w:w="2100" w:type="dxa"/>
            <w:tcBorders>
              <w:left w:val="single" w:sz="4" w:space="0" w:color="000000"/>
              <w:bottom w:val="single" w:sz="4" w:space="0" w:color="000000"/>
            </w:tcBorders>
            <w:shd w:val="clear" w:color="auto" w:fill="auto"/>
            <w:vAlign w:val="bottom"/>
          </w:tcPr>
          <w:p w14:paraId="364C35DF"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0,15</w:t>
            </w:r>
          </w:p>
        </w:tc>
        <w:tc>
          <w:tcPr>
            <w:tcW w:w="1905" w:type="dxa"/>
            <w:tcBorders>
              <w:left w:val="single" w:sz="4" w:space="0" w:color="000000"/>
              <w:bottom w:val="single" w:sz="4" w:space="0" w:color="000000"/>
            </w:tcBorders>
            <w:shd w:val="clear" w:color="auto" w:fill="auto"/>
            <w:vAlign w:val="bottom"/>
          </w:tcPr>
          <w:p w14:paraId="24BB8554"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0,08</w:t>
            </w:r>
          </w:p>
        </w:tc>
        <w:tc>
          <w:tcPr>
            <w:tcW w:w="1665" w:type="dxa"/>
            <w:tcBorders>
              <w:left w:val="single" w:sz="4" w:space="0" w:color="000000"/>
              <w:bottom w:val="single" w:sz="4" w:space="0" w:color="000000"/>
              <w:right w:val="single" w:sz="4" w:space="0" w:color="000000"/>
            </w:tcBorders>
            <w:shd w:val="clear" w:color="auto" w:fill="auto"/>
            <w:vAlign w:val="bottom"/>
          </w:tcPr>
          <w:p w14:paraId="48F6AEC6"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08A52C34" w14:textId="77777777" w:rsidTr="0098448B">
        <w:trPr>
          <w:trHeight w:val="23"/>
        </w:trPr>
        <w:tc>
          <w:tcPr>
            <w:tcW w:w="3969" w:type="dxa"/>
            <w:tcBorders>
              <w:left w:val="single" w:sz="4" w:space="0" w:color="000000"/>
              <w:bottom w:val="single" w:sz="4" w:space="0" w:color="000000"/>
            </w:tcBorders>
            <w:shd w:val="clear" w:color="auto" w:fill="auto"/>
            <w:vAlign w:val="bottom"/>
          </w:tcPr>
          <w:p w14:paraId="0200F771"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Атырауская</w:t>
            </w:r>
          </w:p>
        </w:tc>
        <w:tc>
          <w:tcPr>
            <w:tcW w:w="2100" w:type="dxa"/>
            <w:tcBorders>
              <w:left w:val="single" w:sz="4" w:space="0" w:color="000000"/>
              <w:bottom w:val="single" w:sz="4" w:space="0" w:color="000000"/>
            </w:tcBorders>
            <w:shd w:val="clear" w:color="auto" w:fill="auto"/>
            <w:vAlign w:val="bottom"/>
          </w:tcPr>
          <w:p w14:paraId="7A216817"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1,40</w:t>
            </w:r>
          </w:p>
        </w:tc>
        <w:tc>
          <w:tcPr>
            <w:tcW w:w="1905" w:type="dxa"/>
            <w:tcBorders>
              <w:left w:val="single" w:sz="4" w:space="0" w:color="000000"/>
              <w:bottom w:val="single" w:sz="4" w:space="0" w:color="000000"/>
            </w:tcBorders>
            <w:shd w:val="clear" w:color="auto" w:fill="auto"/>
            <w:vAlign w:val="bottom"/>
          </w:tcPr>
          <w:p w14:paraId="6EA3237B"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1,13</w:t>
            </w:r>
          </w:p>
        </w:tc>
        <w:tc>
          <w:tcPr>
            <w:tcW w:w="1665" w:type="dxa"/>
            <w:tcBorders>
              <w:left w:val="single" w:sz="4" w:space="0" w:color="000000"/>
              <w:bottom w:val="single" w:sz="4" w:space="0" w:color="000000"/>
              <w:right w:val="single" w:sz="4" w:space="0" w:color="000000"/>
            </w:tcBorders>
            <w:shd w:val="clear" w:color="auto" w:fill="auto"/>
            <w:vAlign w:val="bottom"/>
          </w:tcPr>
          <w:p w14:paraId="03951076"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0E52C226" w14:textId="77777777" w:rsidTr="0098448B">
        <w:trPr>
          <w:trHeight w:val="23"/>
        </w:trPr>
        <w:tc>
          <w:tcPr>
            <w:tcW w:w="3969" w:type="dxa"/>
            <w:tcBorders>
              <w:left w:val="single" w:sz="4" w:space="0" w:color="000000"/>
              <w:bottom w:val="single" w:sz="4" w:space="0" w:color="000000"/>
            </w:tcBorders>
            <w:shd w:val="clear" w:color="auto" w:fill="auto"/>
            <w:vAlign w:val="bottom"/>
          </w:tcPr>
          <w:p w14:paraId="439D763F"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Восточно-Казахстанская</w:t>
            </w:r>
          </w:p>
        </w:tc>
        <w:tc>
          <w:tcPr>
            <w:tcW w:w="2100" w:type="dxa"/>
            <w:tcBorders>
              <w:left w:val="single" w:sz="4" w:space="0" w:color="000000"/>
              <w:bottom w:val="single" w:sz="4" w:space="0" w:color="000000"/>
            </w:tcBorders>
            <w:shd w:val="clear" w:color="auto" w:fill="auto"/>
            <w:vAlign w:val="bottom"/>
          </w:tcPr>
          <w:p w14:paraId="0ACE20F0"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0,83</w:t>
            </w:r>
          </w:p>
        </w:tc>
        <w:tc>
          <w:tcPr>
            <w:tcW w:w="1905" w:type="dxa"/>
            <w:tcBorders>
              <w:left w:val="single" w:sz="4" w:space="0" w:color="000000"/>
              <w:bottom w:val="single" w:sz="4" w:space="0" w:color="000000"/>
            </w:tcBorders>
            <w:shd w:val="clear" w:color="auto" w:fill="auto"/>
            <w:vAlign w:val="bottom"/>
          </w:tcPr>
          <w:p w14:paraId="20D246B2"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0,79</w:t>
            </w:r>
          </w:p>
        </w:tc>
        <w:tc>
          <w:tcPr>
            <w:tcW w:w="1665" w:type="dxa"/>
            <w:tcBorders>
              <w:left w:val="single" w:sz="4" w:space="0" w:color="000000"/>
              <w:bottom w:val="single" w:sz="4" w:space="0" w:color="000000"/>
              <w:right w:val="single" w:sz="4" w:space="0" w:color="000000"/>
            </w:tcBorders>
            <w:shd w:val="clear" w:color="auto" w:fill="auto"/>
            <w:vAlign w:val="bottom"/>
          </w:tcPr>
          <w:p w14:paraId="3DEED449"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74FBF66C" w14:textId="77777777" w:rsidTr="0098448B">
        <w:trPr>
          <w:trHeight w:val="23"/>
        </w:trPr>
        <w:tc>
          <w:tcPr>
            <w:tcW w:w="3969" w:type="dxa"/>
            <w:tcBorders>
              <w:left w:val="single" w:sz="4" w:space="0" w:color="000000"/>
              <w:bottom w:val="single" w:sz="4" w:space="0" w:color="000000"/>
            </w:tcBorders>
            <w:shd w:val="clear" w:color="auto" w:fill="auto"/>
            <w:vAlign w:val="bottom"/>
          </w:tcPr>
          <w:p w14:paraId="17EEE62D"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Жамбылская</w:t>
            </w:r>
          </w:p>
        </w:tc>
        <w:tc>
          <w:tcPr>
            <w:tcW w:w="2100" w:type="dxa"/>
            <w:tcBorders>
              <w:left w:val="single" w:sz="4" w:space="0" w:color="000000"/>
              <w:bottom w:val="single" w:sz="4" w:space="0" w:color="000000"/>
            </w:tcBorders>
            <w:shd w:val="clear" w:color="auto" w:fill="auto"/>
            <w:vAlign w:val="bottom"/>
          </w:tcPr>
          <w:p w14:paraId="430112EE"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0,22</w:t>
            </w:r>
          </w:p>
        </w:tc>
        <w:tc>
          <w:tcPr>
            <w:tcW w:w="1905" w:type="dxa"/>
            <w:tcBorders>
              <w:left w:val="single" w:sz="4" w:space="0" w:color="000000"/>
              <w:bottom w:val="single" w:sz="4" w:space="0" w:color="000000"/>
            </w:tcBorders>
            <w:shd w:val="clear" w:color="auto" w:fill="auto"/>
            <w:vAlign w:val="bottom"/>
          </w:tcPr>
          <w:p w14:paraId="1B401259"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0,39</w:t>
            </w:r>
          </w:p>
        </w:tc>
        <w:tc>
          <w:tcPr>
            <w:tcW w:w="1665" w:type="dxa"/>
            <w:tcBorders>
              <w:left w:val="single" w:sz="4" w:space="0" w:color="000000"/>
              <w:bottom w:val="single" w:sz="4" w:space="0" w:color="000000"/>
              <w:right w:val="single" w:sz="4" w:space="0" w:color="000000"/>
            </w:tcBorders>
            <w:shd w:val="clear" w:color="auto" w:fill="auto"/>
            <w:vAlign w:val="bottom"/>
          </w:tcPr>
          <w:p w14:paraId="040CAAAA"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33BB7320" w14:textId="77777777" w:rsidTr="0098448B">
        <w:trPr>
          <w:trHeight w:val="23"/>
        </w:trPr>
        <w:tc>
          <w:tcPr>
            <w:tcW w:w="3969" w:type="dxa"/>
            <w:tcBorders>
              <w:left w:val="single" w:sz="4" w:space="0" w:color="000000"/>
              <w:bottom w:val="single" w:sz="4" w:space="0" w:color="000000"/>
            </w:tcBorders>
            <w:shd w:val="clear" w:color="auto" w:fill="auto"/>
            <w:vAlign w:val="bottom"/>
          </w:tcPr>
          <w:p w14:paraId="0129960F"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Западно-Казахстанская </w:t>
            </w:r>
          </w:p>
        </w:tc>
        <w:tc>
          <w:tcPr>
            <w:tcW w:w="2100" w:type="dxa"/>
            <w:tcBorders>
              <w:left w:val="single" w:sz="4" w:space="0" w:color="000000"/>
              <w:bottom w:val="single" w:sz="4" w:space="0" w:color="000000"/>
            </w:tcBorders>
            <w:shd w:val="clear" w:color="auto" w:fill="auto"/>
            <w:vAlign w:val="bottom"/>
          </w:tcPr>
          <w:p w14:paraId="336E64A3"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5,54</w:t>
            </w:r>
          </w:p>
        </w:tc>
        <w:tc>
          <w:tcPr>
            <w:tcW w:w="1905" w:type="dxa"/>
            <w:tcBorders>
              <w:left w:val="single" w:sz="4" w:space="0" w:color="000000"/>
              <w:bottom w:val="single" w:sz="4" w:space="0" w:color="000000"/>
            </w:tcBorders>
            <w:shd w:val="clear" w:color="auto" w:fill="auto"/>
            <w:vAlign w:val="bottom"/>
          </w:tcPr>
          <w:p w14:paraId="2D179AFB"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6,32</w:t>
            </w:r>
          </w:p>
        </w:tc>
        <w:tc>
          <w:tcPr>
            <w:tcW w:w="1665" w:type="dxa"/>
            <w:tcBorders>
              <w:left w:val="single" w:sz="4" w:space="0" w:color="000000"/>
              <w:bottom w:val="single" w:sz="4" w:space="0" w:color="000000"/>
              <w:right w:val="single" w:sz="4" w:space="0" w:color="000000"/>
            </w:tcBorders>
            <w:shd w:val="clear" w:color="auto" w:fill="auto"/>
            <w:vAlign w:val="bottom"/>
          </w:tcPr>
          <w:p w14:paraId="7DA16563"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1FEB2E07" w14:textId="77777777" w:rsidTr="0098448B">
        <w:trPr>
          <w:trHeight w:val="23"/>
        </w:trPr>
        <w:tc>
          <w:tcPr>
            <w:tcW w:w="3969" w:type="dxa"/>
            <w:tcBorders>
              <w:left w:val="single" w:sz="4" w:space="0" w:color="000000"/>
              <w:bottom w:val="single" w:sz="4" w:space="0" w:color="000000"/>
            </w:tcBorders>
            <w:shd w:val="clear" w:color="auto" w:fill="auto"/>
            <w:vAlign w:val="bottom"/>
          </w:tcPr>
          <w:p w14:paraId="393C60ED"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Карагандинская </w:t>
            </w:r>
          </w:p>
        </w:tc>
        <w:tc>
          <w:tcPr>
            <w:tcW w:w="2100" w:type="dxa"/>
            <w:tcBorders>
              <w:left w:val="single" w:sz="4" w:space="0" w:color="000000"/>
              <w:bottom w:val="single" w:sz="4" w:space="0" w:color="000000"/>
            </w:tcBorders>
            <w:shd w:val="clear" w:color="auto" w:fill="auto"/>
            <w:vAlign w:val="bottom"/>
          </w:tcPr>
          <w:p w14:paraId="5C5F36D1"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2,84</w:t>
            </w:r>
          </w:p>
        </w:tc>
        <w:tc>
          <w:tcPr>
            <w:tcW w:w="1905" w:type="dxa"/>
            <w:tcBorders>
              <w:left w:val="single" w:sz="4" w:space="0" w:color="000000"/>
              <w:bottom w:val="single" w:sz="4" w:space="0" w:color="000000"/>
            </w:tcBorders>
            <w:shd w:val="clear" w:color="auto" w:fill="auto"/>
            <w:vAlign w:val="bottom"/>
          </w:tcPr>
          <w:p w14:paraId="4BC6DE2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2,40</w:t>
            </w:r>
          </w:p>
        </w:tc>
        <w:tc>
          <w:tcPr>
            <w:tcW w:w="1665" w:type="dxa"/>
            <w:tcBorders>
              <w:left w:val="single" w:sz="4" w:space="0" w:color="000000"/>
              <w:bottom w:val="single" w:sz="4" w:space="0" w:color="000000"/>
              <w:right w:val="single" w:sz="4" w:space="0" w:color="000000"/>
            </w:tcBorders>
            <w:shd w:val="clear" w:color="auto" w:fill="auto"/>
            <w:vAlign w:val="bottom"/>
          </w:tcPr>
          <w:p w14:paraId="274512B3"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702FB14F" w14:textId="77777777" w:rsidTr="0098448B">
        <w:trPr>
          <w:trHeight w:val="23"/>
        </w:trPr>
        <w:tc>
          <w:tcPr>
            <w:tcW w:w="3969" w:type="dxa"/>
            <w:tcBorders>
              <w:left w:val="single" w:sz="4" w:space="0" w:color="000000"/>
              <w:bottom w:val="single" w:sz="4" w:space="0" w:color="000000"/>
            </w:tcBorders>
            <w:shd w:val="clear" w:color="auto" w:fill="auto"/>
            <w:vAlign w:val="bottom"/>
          </w:tcPr>
          <w:p w14:paraId="1C518395"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Костанайская </w:t>
            </w:r>
          </w:p>
        </w:tc>
        <w:tc>
          <w:tcPr>
            <w:tcW w:w="2100" w:type="dxa"/>
            <w:tcBorders>
              <w:left w:val="single" w:sz="4" w:space="0" w:color="000000"/>
              <w:bottom w:val="single" w:sz="4" w:space="0" w:color="000000"/>
            </w:tcBorders>
            <w:shd w:val="clear" w:color="auto" w:fill="auto"/>
            <w:vAlign w:val="bottom"/>
          </w:tcPr>
          <w:p w14:paraId="7E31B814"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0,01</w:t>
            </w:r>
          </w:p>
        </w:tc>
        <w:tc>
          <w:tcPr>
            <w:tcW w:w="1905" w:type="dxa"/>
            <w:tcBorders>
              <w:left w:val="single" w:sz="4" w:space="0" w:color="000000"/>
              <w:bottom w:val="single" w:sz="4" w:space="0" w:color="000000"/>
            </w:tcBorders>
            <w:shd w:val="clear" w:color="auto" w:fill="auto"/>
            <w:vAlign w:val="bottom"/>
          </w:tcPr>
          <w:p w14:paraId="546FC602"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0,02</w:t>
            </w:r>
          </w:p>
        </w:tc>
        <w:tc>
          <w:tcPr>
            <w:tcW w:w="1665" w:type="dxa"/>
            <w:tcBorders>
              <w:left w:val="single" w:sz="4" w:space="0" w:color="000000"/>
              <w:bottom w:val="single" w:sz="4" w:space="0" w:color="000000"/>
              <w:right w:val="single" w:sz="4" w:space="0" w:color="000000"/>
            </w:tcBorders>
            <w:shd w:val="clear" w:color="auto" w:fill="auto"/>
            <w:vAlign w:val="bottom"/>
          </w:tcPr>
          <w:p w14:paraId="5F0C268C"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55159970" w14:textId="77777777" w:rsidTr="0098448B">
        <w:trPr>
          <w:trHeight w:val="23"/>
        </w:trPr>
        <w:tc>
          <w:tcPr>
            <w:tcW w:w="3969" w:type="dxa"/>
            <w:tcBorders>
              <w:left w:val="single" w:sz="4" w:space="0" w:color="000000"/>
              <w:bottom w:val="single" w:sz="4" w:space="0" w:color="000000"/>
            </w:tcBorders>
            <w:shd w:val="clear" w:color="auto" w:fill="auto"/>
            <w:vAlign w:val="bottom"/>
          </w:tcPr>
          <w:p w14:paraId="70B2057A"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Кызылординская </w:t>
            </w:r>
          </w:p>
        </w:tc>
        <w:tc>
          <w:tcPr>
            <w:tcW w:w="2100" w:type="dxa"/>
            <w:tcBorders>
              <w:left w:val="single" w:sz="4" w:space="0" w:color="000000"/>
              <w:bottom w:val="single" w:sz="4" w:space="0" w:color="000000"/>
            </w:tcBorders>
            <w:shd w:val="clear" w:color="auto" w:fill="auto"/>
            <w:vAlign w:val="bottom"/>
          </w:tcPr>
          <w:p w14:paraId="78891B2B"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5,96</w:t>
            </w:r>
          </w:p>
        </w:tc>
        <w:tc>
          <w:tcPr>
            <w:tcW w:w="1905" w:type="dxa"/>
            <w:tcBorders>
              <w:left w:val="single" w:sz="4" w:space="0" w:color="000000"/>
              <w:bottom w:val="single" w:sz="4" w:space="0" w:color="000000"/>
            </w:tcBorders>
            <w:shd w:val="clear" w:color="auto" w:fill="auto"/>
            <w:vAlign w:val="bottom"/>
          </w:tcPr>
          <w:p w14:paraId="3EE4389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5,42</w:t>
            </w:r>
          </w:p>
        </w:tc>
        <w:tc>
          <w:tcPr>
            <w:tcW w:w="1665" w:type="dxa"/>
            <w:tcBorders>
              <w:left w:val="single" w:sz="4" w:space="0" w:color="000000"/>
              <w:bottom w:val="single" w:sz="4" w:space="0" w:color="000000"/>
              <w:right w:val="single" w:sz="4" w:space="0" w:color="000000"/>
            </w:tcBorders>
            <w:shd w:val="clear" w:color="auto" w:fill="auto"/>
            <w:vAlign w:val="bottom"/>
          </w:tcPr>
          <w:p w14:paraId="545B7EA0"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61830E53" w14:textId="77777777" w:rsidTr="0098448B">
        <w:trPr>
          <w:trHeight w:val="23"/>
        </w:trPr>
        <w:tc>
          <w:tcPr>
            <w:tcW w:w="3969" w:type="dxa"/>
            <w:tcBorders>
              <w:left w:val="single" w:sz="4" w:space="0" w:color="000000"/>
              <w:bottom w:val="single" w:sz="4" w:space="0" w:color="000000"/>
            </w:tcBorders>
            <w:shd w:val="clear" w:color="auto" w:fill="auto"/>
            <w:vAlign w:val="bottom"/>
          </w:tcPr>
          <w:p w14:paraId="38AC4B4F" w14:textId="77777777" w:rsidR="003D7851" w:rsidRPr="00F0736F" w:rsidRDefault="003D7851" w:rsidP="003D7851">
            <w:pPr>
              <w:ind w:firstLine="1"/>
              <w:jc w:val="both"/>
              <w:rPr>
                <w:color w:val="000000" w:themeColor="text1"/>
              </w:rPr>
            </w:pPr>
            <w:r w:rsidRPr="00F0736F">
              <w:rPr>
                <w:rFonts w:ascii="Times New Roman" w:hAnsi="Times New Roman" w:cs="Times New Roman"/>
                <w:color w:val="000000" w:themeColor="text1"/>
                <w:sz w:val="20"/>
                <w:szCs w:val="20"/>
              </w:rPr>
              <w:t>Мангистауская</w:t>
            </w:r>
          </w:p>
        </w:tc>
        <w:tc>
          <w:tcPr>
            <w:tcW w:w="2100" w:type="dxa"/>
            <w:tcBorders>
              <w:left w:val="single" w:sz="4" w:space="0" w:color="000000"/>
              <w:bottom w:val="single" w:sz="4" w:space="0" w:color="000000"/>
            </w:tcBorders>
            <w:shd w:val="clear" w:color="auto" w:fill="auto"/>
            <w:vAlign w:val="bottom"/>
          </w:tcPr>
          <w:p w14:paraId="44D1E593"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4,61</w:t>
            </w:r>
          </w:p>
        </w:tc>
        <w:tc>
          <w:tcPr>
            <w:tcW w:w="1905" w:type="dxa"/>
            <w:tcBorders>
              <w:left w:val="single" w:sz="4" w:space="0" w:color="000000"/>
              <w:bottom w:val="single" w:sz="4" w:space="0" w:color="000000"/>
            </w:tcBorders>
            <w:shd w:val="clear" w:color="auto" w:fill="auto"/>
            <w:vAlign w:val="bottom"/>
          </w:tcPr>
          <w:p w14:paraId="43610401"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4,75</w:t>
            </w:r>
          </w:p>
        </w:tc>
        <w:tc>
          <w:tcPr>
            <w:tcW w:w="1665" w:type="dxa"/>
            <w:tcBorders>
              <w:left w:val="single" w:sz="4" w:space="0" w:color="000000"/>
              <w:bottom w:val="single" w:sz="4" w:space="0" w:color="000000"/>
              <w:right w:val="single" w:sz="4" w:space="0" w:color="000000"/>
            </w:tcBorders>
            <w:shd w:val="clear" w:color="auto" w:fill="auto"/>
            <w:vAlign w:val="bottom"/>
          </w:tcPr>
          <w:p w14:paraId="7BE37EC4" w14:textId="77777777" w:rsidR="003D7851" w:rsidRPr="00F0736F" w:rsidRDefault="003D7851" w:rsidP="003D7851">
            <w:pPr>
              <w:ind w:firstLine="1"/>
              <w:jc w:val="both"/>
              <w:rPr>
                <w:color w:val="000000" w:themeColor="text1"/>
              </w:rPr>
            </w:pPr>
          </w:p>
        </w:tc>
      </w:tr>
      <w:tr w:rsidR="00F0736F" w:rsidRPr="00F0736F" w14:paraId="10160220" w14:textId="77777777" w:rsidTr="0098448B">
        <w:trPr>
          <w:trHeight w:val="23"/>
        </w:trPr>
        <w:tc>
          <w:tcPr>
            <w:tcW w:w="3969" w:type="dxa"/>
            <w:tcBorders>
              <w:left w:val="single" w:sz="4" w:space="0" w:color="000000"/>
              <w:bottom w:val="single" w:sz="4" w:space="0" w:color="000000"/>
            </w:tcBorders>
            <w:shd w:val="clear" w:color="auto" w:fill="auto"/>
            <w:vAlign w:val="bottom"/>
          </w:tcPr>
          <w:p w14:paraId="7BC9805B"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Павлодарская</w:t>
            </w:r>
          </w:p>
        </w:tc>
        <w:tc>
          <w:tcPr>
            <w:tcW w:w="2100" w:type="dxa"/>
            <w:tcBorders>
              <w:left w:val="single" w:sz="4" w:space="0" w:color="000000"/>
              <w:bottom w:val="single" w:sz="4" w:space="0" w:color="000000"/>
            </w:tcBorders>
            <w:shd w:val="clear" w:color="auto" w:fill="auto"/>
            <w:vAlign w:val="bottom"/>
          </w:tcPr>
          <w:p w14:paraId="7C4E2D13"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6,10</w:t>
            </w:r>
          </w:p>
        </w:tc>
        <w:tc>
          <w:tcPr>
            <w:tcW w:w="1905" w:type="dxa"/>
            <w:tcBorders>
              <w:left w:val="single" w:sz="4" w:space="0" w:color="000000"/>
              <w:bottom w:val="single" w:sz="4" w:space="0" w:color="000000"/>
            </w:tcBorders>
            <w:shd w:val="clear" w:color="auto" w:fill="auto"/>
            <w:vAlign w:val="bottom"/>
          </w:tcPr>
          <w:p w14:paraId="5E242238"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7,12</w:t>
            </w:r>
          </w:p>
        </w:tc>
        <w:tc>
          <w:tcPr>
            <w:tcW w:w="1665" w:type="dxa"/>
            <w:tcBorders>
              <w:left w:val="single" w:sz="4" w:space="0" w:color="000000"/>
              <w:bottom w:val="single" w:sz="4" w:space="0" w:color="000000"/>
              <w:right w:val="single" w:sz="4" w:space="0" w:color="000000"/>
            </w:tcBorders>
            <w:shd w:val="clear" w:color="auto" w:fill="auto"/>
            <w:vAlign w:val="bottom"/>
          </w:tcPr>
          <w:p w14:paraId="2B41A2F9"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70FB0AF2" w14:textId="77777777" w:rsidTr="0098448B">
        <w:trPr>
          <w:trHeight w:val="23"/>
        </w:trPr>
        <w:tc>
          <w:tcPr>
            <w:tcW w:w="3969" w:type="dxa"/>
            <w:tcBorders>
              <w:left w:val="single" w:sz="4" w:space="0" w:color="000000"/>
              <w:bottom w:val="single" w:sz="4" w:space="0" w:color="000000"/>
            </w:tcBorders>
            <w:shd w:val="clear" w:color="auto" w:fill="auto"/>
            <w:vAlign w:val="bottom"/>
          </w:tcPr>
          <w:p w14:paraId="375C4D08"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Северо-Казахстанская</w:t>
            </w:r>
          </w:p>
        </w:tc>
        <w:tc>
          <w:tcPr>
            <w:tcW w:w="2100" w:type="dxa"/>
            <w:tcBorders>
              <w:left w:val="single" w:sz="4" w:space="0" w:color="000000"/>
              <w:bottom w:val="single" w:sz="4" w:space="0" w:color="000000"/>
            </w:tcBorders>
            <w:shd w:val="clear" w:color="auto" w:fill="auto"/>
            <w:vAlign w:val="bottom"/>
          </w:tcPr>
          <w:p w14:paraId="6B0409B7"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0,30</w:t>
            </w:r>
          </w:p>
        </w:tc>
        <w:tc>
          <w:tcPr>
            <w:tcW w:w="1905" w:type="dxa"/>
            <w:tcBorders>
              <w:left w:val="single" w:sz="4" w:space="0" w:color="000000"/>
              <w:bottom w:val="single" w:sz="4" w:space="0" w:color="000000"/>
            </w:tcBorders>
            <w:shd w:val="clear" w:color="auto" w:fill="auto"/>
            <w:vAlign w:val="bottom"/>
          </w:tcPr>
          <w:p w14:paraId="14F59B3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0,06</w:t>
            </w:r>
          </w:p>
        </w:tc>
        <w:tc>
          <w:tcPr>
            <w:tcW w:w="1665" w:type="dxa"/>
            <w:tcBorders>
              <w:left w:val="single" w:sz="4" w:space="0" w:color="000000"/>
              <w:bottom w:val="single" w:sz="4" w:space="0" w:color="000000"/>
              <w:right w:val="single" w:sz="4" w:space="0" w:color="000000"/>
            </w:tcBorders>
            <w:shd w:val="clear" w:color="auto" w:fill="auto"/>
            <w:vAlign w:val="bottom"/>
          </w:tcPr>
          <w:p w14:paraId="2D4FFF1F"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4A6F2D30" w14:textId="77777777" w:rsidTr="0098448B">
        <w:trPr>
          <w:trHeight w:val="23"/>
        </w:trPr>
        <w:tc>
          <w:tcPr>
            <w:tcW w:w="3969" w:type="dxa"/>
            <w:tcBorders>
              <w:left w:val="single" w:sz="4" w:space="0" w:color="000000"/>
              <w:bottom w:val="single" w:sz="4" w:space="0" w:color="000000"/>
            </w:tcBorders>
            <w:shd w:val="clear" w:color="auto" w:fill="auto"/>
            <w:vAlign w:val="bottom"/>
          </w:tcPr>
          <w:p w14:paraId="69DFD914"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Южно-Казахстанская</w:t>
            </w:r>
          </w:p>
        </w:tc>
        <w:tc>
          <w:tcPr>
            <w:tcW w:w="2100" w:type="dxa"/>
            <w:tcBorders>
              <w:left w:val="single" w:sz="4" w:space="0" w:color="000000"/>
              <w:bottom w:val="single" w:sz="4" w:space="0" w:color="000000"/>
            </w:tcBorders>
            <w:shd w:val="clear" w:color="auto" w:fill="auto"/>
            <w:vAlign w:val="bottom"/>
          </w:tcPr>
          <w:p w14:paraId="4B97B526"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0,68</w:t>
            </w:r>
          </w:p>
        </w:tc>
        <w:tc>
          <w:tcPr>
            <w:tcW w:w="1905" w:type="dxa"/>
            <w:tcBorders>
              <w:left w:val="single" w:sz="4" w:space="0" w:color="000000"/>
              <w:bottom w:val="single" w:sz="4" w:space="0" w:color="000000"/>
            </w:tcBorders>
            <w:shd w:val="clear" w:color="auto" w:fill="auto"/>
            <w:vAlign w:val="bottom"/>
          </w:tcPr>
          <w:p w14:paraId="160D4754"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0,33</w:t>
            </w:r>
          </w:p>
        </w:tc>
        <w:tc>
          <w:tcPr>
            <w:tcW w:w="1665" w:type="dxa"/>
            <w:tcBorders>
              <w:left w:val="single" w:sz="4" w:space="0" w:color="000000"/>
              <w:bottom w:val="single" w:sz="4" w:space="0" w:color="000000"/>
              <w:right w:val="single" w:sz="4" w:space="0" w:color="000000"/>
            </w:tcBorders>
            <w:shd w:val="clear" w:color="auto" w:fill="auto"/>
            <w:vAlign w:val="bottom"/>
          </w:tcPr>
          <w:p w14:paraId="167610CC"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31D56C8D" w14:textId="77777777" w:rsidTr="0098448B">
        <w:trPr>
          <w:trHeight w:val="23"/>
        </w:trPr>
        <w:tc>
          <w:tcPr>
            <w:tcW w:w="3969" w:type="dxa"/>
            <w:tcBorders>
              <w:left w:val="single" w:sz="4" w:space="0" w:color="000000"/>
              <w:bottom w:val="single" w:sz="4" w:space="0" w:color="000000"/>
            </w:tcBorders>
            <w:shd w:val="clear" w:color="auto" w:fill="auto"/>
            <w:vAlign w:val="bottom"/>
          </w:tcPr>
          <w:p w14:paraId="2625646E"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г. Алматы </w:t>
            </w:r>
          </w:p>
        </w:tc>
        <w:tc>
          <w:tcPr>
            <w:tcW w:w="2100" w:type="dxa"/>
            <w:tcBorders>
              <w:left w:val="single" w:sz="4" w:space="0" w:color="000000"/>
              <w:bottom w:val="single" w:sz="4" w:space="0" w:color="000000"/>
            </w:tcBorders>
            <w:shd w:val="clear" w:color="auto" w:fill="auto"/>
            <w:vAlign w:val="bottom"/>
          </w:tcPr>
          <w:p w14:paraId="038A8936"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0,12</w:t>
            </w:r>
          </w:p>
        </w:tc>
        <w:tc>
          <w:tcPr>
            <w:tcW w:w="1905" w:type="dxa"/>
            <w:tcBorders>
              <w:left w:val="single" w:sz="4" w:space="0" w:color="000000"/>
              <w:bottom w:val="single" w:sz="4" w:space="0" w:color="000000"/>
            </w:tcBorders>
            <w:shd w:val="clear" w:color="auto" w:fill="auto"/>
            <w:vAlign w:val="bottom"/>
          </w:tcPr>
          <w:p w14:paraId="74BE8766"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0,09</w:t>
            </w:r>
          </w:p>
        </w:tc>
        <w:tc>
          <w:tcPr>
            <w:tcW w:w="1665" w:type="dxa"/>
            <w:tcBorders>
              <w:left w:val="single" w:sz="4" w:space="0" w:color="000000"/>
              <w:bottom w:val="single" w:sz="4" w:space="0" w:color="000000"/>
              <w:right w:val="single" w:sz="4" w:space="0" w:color="000000"/>
            </w:tcBorders>
            <w:shd w:val="clear" w:color="auto" w:fill="auto"/>
            <w:vAlign w:val="bottom"/>
          </w:tcPr>
          <w:p w14:paraId="4C5D4964"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2DBB921C" w14:textId="77777777" w:rsidTr="0098448B">
        <w:trPr>
          <w:trHeight w:val="23"/>
        </w:trPr>
        <w:tc>
          <w:tcPr>
            <w:tcW w:w="3969" w:type="dxa"/>
            <w:tcBorders>
              <w:left w:val="single" w:sz="4" w:space="0" w:color="000000"/>
              <w:bottom w:val="single" w:sz="4" w:space="0" w:color="000000"/>
            </w:tcBorders>
            <w:shd w:val="clear" w:color="auto" w:fill="auto"/>
            <w:vAlign w:val="bottom"/>
          </w:tcPr>
          <w:p w14:paraId="63B2344A" w14:textId="77777777" w:rsidR="003D7851" w:rsidRPr="00F0736F" w:rsidRDefault="003D7851" w:rsidP="003D7851">
            <w:pPr>
              <w:ind w:firstLine="1"/>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Нур-Султан</w:t>
            </w:r>
          </w:p>
        </w:tc>
        <w:tc>
          <w:tcPr>
            <w:tcW w:w="2100" w:type="dxa"/>
            <w:tcBorders>
              <w:left w:val="single" w:sz="4" w:space="0" w:color="000000"/>
              <w:bottom w:val="single" w:sz="4" w:space="0" w:color="000000"/>
            </w:tcBorders>
            <w:shd w:val="clear" w:color="auto" w:fill="auto"/>
            <w:vAlign w:val="bottom"/>
          </w:tcPr>
          <w:p w14:paraId="468CD745"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0,10</w:t>
            </w:r>
          </w:p>
        </w:tc>
        <w:tc>
          <w:tcPr>
            <w:tcW w:w="1905" w:type="dxa"/>
            <w:tcBorders>
              <w:left w:val="single" w:sz="4" w:space="0" w:color="000000"/>
              <w:bottom w:val="single" w:sz="4" w:space="0" w:color="000000"/>
            </w:tcBorders>
            <w:shd w:val="clear" w:color="auto" w:fill="auto"/>
            <w:vAlign w:val="bottom"/>
          </w:tcPr>
          <w:p w14:paraId="242B4A7C" w14:textId="77777777" w:rsidR="003D7851" w:rsidRPr="00F0736F" w:rsidRDefault="003D7851" w:rsidP="003D7851">
            <w:pPr>
              <w:ind w:firstLine="709"/>
              <w:jc w:val="both"/>
              <w:rPr>
                <w:color w:val="000000" w:themeColor="text1"/>
              </w:rPr>
            </w:pPr>
            <w:r w:rsidRPr="00F0736F">
              <w:rPr>
                <w:rFonts w:ascii="Times New Roman" w:hAnsi="Times New Roman" w:cs="Times New Roman"/>
                <w:color w:val="000000" w:themeColor="text1"/>
                <w:sz w:val="20"/>
                <w:szCs w:val="20"/>
              </w:rPr>
              <w:t>0,07</w:t>
            </w:r>
          </w:p>
        </w:tc>
        <w:tc>
          <w:tcPr>
            <w:tcW w:w="1665" w:type="dxa"/>
            <w:tcBorders>
              <w:left w:val="single" w:sz="4" w:space="0" w:color="000000"/>
              <w:bottom w:val="single" w:sz="4" w:space="0" w:color="000000"/>
              <w:right w:val="single" w:sz="4" w:space="0" w:color="000000"/>
            </w:tcBorders>
            <w:shd w:val="clear" w:color="auto" w:fill="auto"/>
            <w:vAlign w:val="bottom"/>
          </w:tcPr>
          <w:p w14:paraId="2BD53769" w14:textId="77777777" w:rsidR="003D7851" w:rsidRPr="00F0736F" w:rsidRDefault="003D7851" w:rsidP="003D7851">
            <w:pPr>
              <w:ind w:firstLine="1"/>
              <w:jc w:val="both"/>
              <w:rPr>
                <w:rFonts w:ascii="Times New Roman" w:hAnsi="Times New Roman" w:cs="Times New Roman"/>
                <w:color w:val="000000" w:themeColor="text1"/>
                <w:sz w:val="20"/>
                <w:szCs w:val="20"/>
              </w:rPr>
            </w:pPr>
          </w:p>
        </w:tc>
      </w:tr>
      <w:tr w:rsidR="00F0736F" w:rsidRPr="00F0736F" w14:paraId="37C029E6" w14:textId="77777777" w:rsidTr="0098448B">
        <w:trPr>
          <w:trHeight w:val="23"/>
        </w:trPr>
        <w:tc>
          <w:tcPr>
            <w:tcW w:w="3969" w:type="dxa"/>
            <w:tcBorders>
              <w:left w:val="single" w:sz="4" w:space="0" w:color="000000"/>
              <w:bottom w:val="single" w:sz="4" w:space="0" w:color="000000"/>
            </w:tcBorders>
            <w:shd w:val="clear" w:color="auto" w:fill="auto"/>
            <w:vAlign w:val="bottom"/>
          </w:tcPr>
          <w:p w14:paraId="0FE10348" w14:textId="77777777" w:rsidR="00EA4C23" w:rsidRPr="00F0736F" w:rsidRDefault="00EA4C23" w:rsidP="00EA4C23">
            <w:pPr>
              <w:ind w:firstLine="709"/>
              <w:jc w:val="both"/>
              <w:rPr>
                <w:rFonts w:ascii="Times New Roman" w:hAnsi="Times New Roman" w:cs="Times New Roman"/>
                <w:color w:val="000000" w:themeColor="text1"/>
                <w:sz w:val="20"/>
                <w:szCs w:val="20"/>
              </w:rPr>
            </w:pPr>
          </w:p>
        </w:tc>
        <w:tc>
          <w:tcPr>
            <w:tcW w:w="2100" w:type="dxa"/>
            <w:tcBorders>
              <w:left w:val="single" w:sz="4" w:space="0" w:color="000000"/>
              <w:bottom w:val="single" w:sz="4" w:space="0" w:color="000000"/>
            </w:tcBorders>
            <w:shd w:val="clear" w:color="auto" w:fill="auto"/>
            <w:vAlign w:val="bottom"/>
          </w:tcPr>
          <w:p w14:paraId="4647A318" w14:textId="77777777" w:rsidR="00EA4C23" w:rsidRPr="00F0736F" w:rsidRDefault="00EA4C23" w:rsidP="00EA4C23">
            <w:pPr>
              <w:ind w:firstLine="709"/>
              <w:jc w:val="both"/>
              <w:rPr>
                <w:rFonts w:ascii="Times New Roman" w:hAnsi="Times New Roman" w:cs="Times New Roman"/>
                <w:color w:val="000000" w:themeColor="text1"/>
                <w:sz w:val="20"/>
                <w:szCs w:val="20"/>
              </w:rPr>
            </w:pPr>
          </w:p>
        </w:tc>
        <w:tc>
          <w:tcPr>
            <w:tcW w:w="1905" w:type="dxa"/>
            <w:tcBorders>
              <w:left w:val="single" w:sz="4" w:space="0" w:color="000000"/>
              <w:bottom w:val="single" w:sz="4" w:space="0" w:color="000000"/>
            </w:tcBorders>
            <w:shd w:val="clear" w:color="auto" w:fill="auto"/>
            <w:vAlign w:val="bottom"/>
          </w:tcPr>
          <w:p w14:paraId="4548A390" w14:textId="77777777" w:rsidR="00EA4C23" w:rsidRPr="00F0736F" w:rsidRDefault="00EA4C23" w:rsidP="00EA4C23">
            <w:pPr>
              <w:ind w:firstLine="709"/>
              <w:jc w:val="both"/>
              <w:rPr>
                <w:rFonts w:ascii="Times New Roman" w:hAnsi="Times New Roman" w:cs="Times New Roman"/>
                <w:color w:val="000000" w:themeColor="text1"/>
                <w:sz w:val="20"/>
                <w:szCs w:val="20"/>
              </w:rPr>
            </w:pPr>
          </w:p>
        </w:tc>
        <w:tc>
          <w:tcPr>
            <w:tcW w:w="1665" w:type="dxa"/>
            <w:tcBorders>
              <w:left w:val="single" w:sz="4" w:space="0" w:color="000000"/>
              <w:bottom w:val="single" w:sz="4" w:space="0" w:color="000000"/>
              <w:right w:val="single" w:sz="4" w:space="0" w:color="000000"/>
            </w:tcBorders>
            <w:shd w:val="clear" w:color="auto" w:fill="auto"/>
            <w:vAlign w:val="bottom"/>
          </w:tcPr>
          <w:p w14:paraId="0EB7AEF8" w14:textId="77777777" w:rsidR="00EA4C23" w:rsidRPr="00F0736F" w:rsidRDefault="00EA4C23" w:rsidP="00EA4C23">
            <w:pPr>
              <w:pStyle w:val="aff6"/>
              <w:ind w:firstLine="1"/>
              <w:jc w:val="both"/>
              <w:rPr>
                <w:color w:val="000000" w:themeColor="text1"/>
              </w:rPr>
            </w:pPr>
          </w:p>
        </w:tc>
      </w:tr>
    </w:tbl>
    <w:p w14:paraId="6214332C"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sz w:val="20"/>
        </w:rPr>
        <w:t xml:space="preserve">Источник: </w:t>
      </w:r>
      <w:hyperlink r:id="rId20" w:history="1">
        <w:r w:rsidRPr="00F0736F">
          <w:rPr>
            <w:rStyle w:val="a6"/>
            <w:rFonts w:ascii="Times New Roman" w:eastAsia="Calibri" w:hAnsi="Times New Roman" w:cs="Times New Roman"/>
            <w:color w:val="000000" w:themeColor="text1"/>
            <w:sz w:val="20"/>
            <w:u w:val="none"/>
          </w:rPr>
          <w:t>http://stat.gov.kz</w:t>
        </w:r>
      </w:hyperlink>
    </w:p>
    <w:p w14:paraId="3BFBF7ED" w14:textId="77777777" w:rsidR="009245B5" w:rsidRPr="00F0736F" w:rsidRDefault="009245B5" w:rsidP="008727D9">
      <w:pPr>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*Данные будут сформированы в декабре 2020 года</w:t>
      </w:r>
    </w:p>
    <w:p w14:paraId="4C6309E0" w14:textId="77777777" w:rsidR="00F674A4" w:rsidRPr="00F0736F" w:rsidRDefault="00F674A4" w:rsidP="008727D9">
      <w:pPr>
        <w:ind w:firstLine="709"/>
        <w:jc w:val="both"/>
        <w:rPr>
          <w:rFonts w:ascii="Times New Roman" w:hAnsi="Times New Roman" w:cs="Times New Roman"/>
          <w:color w:val="000000" w:themeColor="text1"/>
        </w:rPr>
      </w:pPr>
    </w:p>
    <w:p w14:paraId="0E7EBAD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Электроэнергетика Казахстана преимущественно угольная</w:t>
      </w:r>
      <w:r w:rsidR="00B46E75" w:rsidRPr="00F0736F">
        <w:rPr>
          <w:rFonts w:ascii="Times New Roman" w:hAnsi="Times New Roman" w:cs="Times New Roman"/>
          <w:color w:val="000000" w:themeColor="text1"/>
        </w:rPr>
        <w:t>. Т</w:t>
      </w:r>
      <w:r w:rsidRPr="00F0736F">
        <w:rPr>
          <w:rFonts w:ascii="Times New Roman" w:hAnsi="Times New Roman" w:cs="Times New Roman"/>
          <w:color w:val="000000" w:themeColor="text1"/>
        </w:rPr>
        <w:t>ак</w:t>
      </w:r>
      <w:r w:rsidR="00B46E7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около 70% электроэнергии вырабатывается на угольных электростанциях. При этом доля ТЭЦ в структуре выработки электроэнергии составляет 45%, а в производстве тепла тепловой энергии Казахстана на долю ТЭЦ приходится более 62%. </w:t>
      </w:r>
    </w:p>
    <w:p w14:paraId="2ED32D4A" w14:textId="29F0E978"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 xml:space="preserve">Удельный расход топлива на угольных ТЭЦ на производство электроэнергии всегда выше, чем на конденсационных электростанциях. При этом энергоэффективность зависит от величины электрической нагрузки и от соблюдения параметров </w:t>
      </w:r>
      <w:r w:rsidRPr="00F0736F">
        <w:rPr>
          <w:rFonts w:ascii="Times New Roman" w:hAnsi="Times New Roman" w:cs="Times New Roman"/>
          <w:color w:val="000000" w:themeColor="text1"/>
        </w:rPr>
        <w:t xml:space="preserve">термодинамического цикла, которые во многом определяются техническим состоянием оборудования. </w:t>
      </w:r>
      <w:r w:rsidRPr="00F0736F">
        <w:rPr>
          <w:rFonts w:ascii="Times New Roman" w:eastAsia="Calibri" w:hAnsi="Times New Roman" w:cs="Times New Roman"/>
          <w:color w:val="000000" w:themeColor="text1"/>
          <w:spacing w:val="2"/>
        </w:rPr>
        <w:t xml:space="preserve">В части угольных ТЭЦ, энергоэффективность их </w:t>
      </w:r>
      <w:r w:rsidRPr="00F0736F">
        <w:rPr>
          <w:rFonts w:ascii="Times New Roman" w:hAnsi="Times New Roman" w:cs="Times New Roman"/>
          <w:color w:val="000000" w:themeColor="text1"/>
          <w:spacing w:val="2"/>
        </w:rPr>
        <w:t>в большей степени определяется тепловыми нагрузками, и в меньшей степени техническими состоянием оборудования. В результате снижения крупных п</w:t>
      </w:r>
      <w:r w:rsidRPr="00F0736F">
        <w:rPr>
          <w:rFonts w:ascii="Times New Roman" w:eastAsia="Calibri" w:hAnsi="Times New Roman" w:cs="Times New Roman"/>
          <w:color w:val="000000" w:themeColor="text1"/>
          <w:spacing w:val="2"/>
        </w:rPr>
        <w:t xml:space="preserve">отребителей тепла (с 90-х годов) произошедшее снижение тепловых нагрузок </w:t>
      </w:r>
      <w:r w:rsidRPr="00F0736F">
        <w:rPr>
          <w:rFonts w:ascii="Times New Roman" w:hAnsi="Times New Roman" w:cs="Times New Roman"/>
          <w:color w:val="000000" w:themeColor="text1"/>
          <w:spacing w:val="2"/>
        </w:rPr>
        <w:t>часто приводит к необходимости работы ТЭЦ в</w:t>
      </w:r>
      <w:r w:rsidRPr="00F0736F">
        <w:rPr>
          <w:rFonts w:ascii="Times New Roman" w:eastAsia="Calibri" w:hAnsi="Times New Roman" w:cs="Times New Roman"/>
          <w:color w:val="000000" w:themeColor="text1"/>
          <w:spacing w:val="2"/>
        </w:rPr>
        <w:t xml:space="preserve"> неэкономич</w:t>
      </w:r>
      <w:r w:rsidRPr="00F0736F">
        <w:rPr>
          <w:rFonts w:ascii="Times New Roman" w:hAnsi="Times New Roman" w:cs="Times New Roman"/>
          <w:color w:val="000000" w:themeColor="text1"/>
          <w:spacing w:val="2"/>
        </w:rPr>
        <w:t>н</w:t>
      </w:r>
      <w:r w:rsidR="00B46E75" w:rsidRPr="00F0736F">
        <w:rPr>
          <w:rFonts w:ascii="Times New Roman" w:hAnsi="Times New Roman" w:cs="Times New Roman"/>
          <w:color w:val="000000" w:themeColor="text1"/>
          <w:spacing w:val="2"/>
        </w:rPr>
        <w:t>ом</w:t>
      </w:r>
      <w:r w:rsidRPr="00F0736F">
        <w:rPr>
          <w:rFonts w:ascii="Times New Roman" w:hAnsi="Times New Roman" w:cs="Times New Roman"/>
          <w:color w:val="000000" w:themeColor="text1"/>
          <w:spacing w:val="2"/>
        </w:rPr>
        <w:t xml:space="preserve"> режим</w:t>
      </w:r>
      <w:r w:rsidR="00B46E75" w:rsidRPr="00F0736F">
        <w:rPr>
          <w:rFonts w:ascii="Times New Roman" w:hAnsi="Times New Roman" w:cs="Times New Roman"/>
          <w:color w:val="000000" w:themeColor="text1"/>
          <w:spacing w:val="2"/>
        </w:rPr>
        <w:t>е</w:t>
      </w:r>
      <w:r w:rsidRPr="00F0736F">
        <w:rPr>
          <w:rFonts w:ascii="Times New Roman" w:hAnsi="Times New Roman" w:cs="Times New Roman"/>
          <w:color w:val="000000" w:themeColor="text1"/>
          <w:spacing w:val="2"/>
        </w:rPr>
        <w:t xml:space="preserve">. </w:t>
      </w:r>
      <w:r w:rsidRPr="00F0736F">
        <w:rPr>
          <w:rFonts w:ascii="Times New Roman" w:hAnsi="Times New Roman" w:cs="Times New Roman"/>
          <w:color w:val="000000" w:themeColor="text1"/>
        </w:rPr>
        <w:t xml:space="preserve">Данные по </w:t>
      </w:r>
      <w:r w:rsidRPr="00F0736F">
        <w:rPr>
          <w:rFonts w:ascii="Times New Roman" w:hAnsi="Times New Roman" w:cs="Times New Roman"/>
          <w:color w:val="000000" w:themeColor="text1"/>
          <w:sz w:val="22"/>
          <w:szCs w:val="22"/>
        </w:rPr>
        <w:t>модернизаци</w:t>
      </w:r>
      <w:r w:rsidRPr="00F0736F">
        <w:rPr>
          <w:rFonts w:ascii="Times New Roman" w:hAnsi="Times New Roman" w:cs="Times New Roman"/>
          <w:color w:val="000000" w:themeColor="text1"/>
        </w:rPr>
        <w:t>и</w:t>
      </w:r>
      <w:r w:rsidRPr="00F0736F">
        <w:rPr>
          <w:rFonts w:ascii="Times New Roman" w:hAnsi="Times New Roman" w:cs="Times New Roman"/>
          <w:color w:val="000000" w:themeColor="text1"/>
          <w:sz w:val="22"/>
          <w:szCs w:val="22"/>
        </w:rPr>
        <w:t xml:space="preserve"> </w:t>
      </w:r>
      <w:r w:rsidRPr="00F0736F">
        <w:rPr>
          <w:rFonts w:ascii="Times New Roman" w:hAnsi="Times New Roman" w:cs="Times New Roman"/>
          <w:color w:val="000000" w:themeColor="text1"/>
        </w:rPr>
        <w:t>электростанций приведены нас рисунке 1.3.3.</w:t>
      </w:r>
      <w:r w:rsidRPr="00F0736F">
        <w:rPr>
          <w:rFonts w:ascii="Times New Roman" w:hAnsi="Times New Roman" w:cs="Times New Roman"/>
          <w:color w:val="000000" w:themeColor="text1"/>
          <w:sz w:val="22"/>
          <w:szCs w:val="22"/>
        </w:rPr>
        <w:t xml:space="preserve">, </w:t>
      </w:r>
      <w:r w:rsidRPr="00F0736F">
        <w:rPr>
          <w:rFonts w:ascii="Times New Roman" w:hAnsi="Times New Roman" w:cs="Times New Roman"/>
          <w:color w:val="000000" w:themeColor="text1"/>
        </w:rPr>
        <w:t>из которого видно, что доля оборудования с износом более 75% существенно снизилась за 5 лет.</w:t>
      </w:r>
    </w:p>
    <w:p w14:paraId="767D3F8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Повышение энергоэффективности ТЭЦ относится не только к вопросам модернизации, но и к планированию развития городской инфраструктуры теплоснабжения для увеличения загрузки ТЭЦ.</w:t>
      </w:r>
    </w:p>
    <w:p w14:paraId="3DFB2178" w14:textId="77777777" w:rsidR="00F674A4" w:rsidRPr="00F0736F" w:rsidRDefault="00F674A4" w:rsidP="008727D9">
      <w:pPr>
        <w:ind w:firstLine="709"/>
        <w:jc w:val="both"/>
        <w:rPr>
          <w:rFonts w:ascii="Times New Roman" w:hAnsi="Times New Roman" w:cs="Times New Roman"/>
          <w:color w:val="000000" w:themeColor="text1"/>
        </w:rPr>
      </w:pPr>
    </w:p>
    <w:p w14:paraId="663FC325" w14:textId="1D44B35D" w:rsidR="00F674A4" w:rsidRPr="00F0736F" w:rsidRDefault="001747BE" w:rsidP="0098448B">
      <w:pPr>
        <w:jc w:val="center"/>
        <w:rPr>
          <w:rFonts w:ascii="Times New Roman" w:hAnsi="Times New Roman" w:cs="Times New Roman"/>
          <w:color w:val="000000" w:themeColor="text1"/>
        </w:rPr>
      </w:pPr>
      <w:r w:rsidRPr="00F0736F">
        <w:rPr>
          <w:noProof/>
          <w:color w:val="000000" w:themeColor="text1"/>
        </w:rPr>
        <w:drawing>
          <wp:inline distT="0" distB="0" distL="0" distR="0" wp14:anchorId="0A60E2C6" wp14:editId="18E8279F">
            <wp:extent cx="3714750" cy="216217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7" t="-29" r="-17" b="-29"/>
                    <a:stretch>
                      <a:fillRect/>
                    </a:stretch>
                  </pic:blipFill>
                  <pic:spPr bwMode="auto">
                    <a:xfrm>
                      <a:off x="0" y="0"/>
                      <a:ext cx="3714750" cy="2162175"/>
                    </a:xfrm>
                    <a:prstGeom prst="rect">
                      <a:avLst/>
                    </a:prstGeom>
                    <a:solidFill>
                      <a:srgbClr val="FFFFFF"/>
                    </a:solidFill>
                    <a:ln>
                      <a:noFill/>
                    </a:ln>
                  </pic:spPr>
                </pic:pic>
              </a:graphicData>
            </a:graphic>
          </wp:inline>
        </w:drawing>
      </w:r>
    </w:p>
    <w:p w14:paraId="0209CE83" w14:textId="77777777" w:rsidR="0098448B" w:rsidRPr="00F0736F" w:rsidRDefault="0098448B" w:rsidP="008727D9">
      <w:pPr>
        <w:ind w:firstLine="709"/>
        <w:jc w:val="both"/>
        <w:rPr>
          <w:rFonts w:ascii="Times New Roman" w:hAnsi="Times New Roman" w:cs="Times New Roman"/>
          <w:color w:val="000000" w:themeColor="text1"/>
        </w:rPr>
      </w:pPr>
    </w:p>
    <w:p w14:paraId="372E5861" w14:textId="401BB55F"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 1.3.</w:t>
      </w:r>
      <w:r w:rsidR="0098448B" w:rsidRPr="00F0736F">
        <w:rPr>
          <w:rFonts w:ascii="Times New Roman" w:hAnsi="Times New Roman" w:cs="Times New Roman"/>
          <w:color w:val="000000" w:themeColor="text1"/>
        </w:rPr>
        <w:t>2</w:t>
      </w:r>
      <w:r w:rsidRPr="00F0736F">
        <w:rPr>
          <w:rFonts w:ascii="Times New Roman" w:hAnsi="Times New Roman" w:cs="Times New Roman"/>
          <w:color w:val="000000" w:themeColor="text1"/>
        </w:rPr>
        <w:t>. Износ турбинного оборудования</w:t>
      </w:r>
    </w:p>
    <w:p w14:paraId="08015756" w14:textId="77777777" w:rsidR="00F674A4" w:rsidRPr="00F0736F" w:rsidRDefault="00F674A4" w:rsidP="008727D9">
      <w:pPr>
        <w:ind w:firstLine="709"/>
        <w:jc w:val="both"/>
        <w:rPr>
          <w:i/>
          <w:color w:val="000000" w:themeColor="text1"/>
        </w:rPr>
      </w:pPr>
      <w:r w:rsidRPr="00F0736F">
        <w:rPr>
          <w:rFonts w:ascii="Times New Roman" w:hAnsi="Times New Roman" w:cs="Times New Roman"/>
          <w:i/>
          <w:color w:val="000000" w:themeColor="text1"/>
        </w:rPr>
        <w:t xml:space="preserve">Источник: Национальный энергетический доклад </w:t>
      </w:r>
      <w:r w:rsidRPr="00F0736F">
        <w:rPr>
          <w:rFonts w:ascii="Times New Roman" w:hAnsi="Times New Roman" w:cs="Times New Roman"/>
          <w:i/>
          <w:color w:val="000000" w:themeColor="text1"/>
          <w:lang w:val="en-US"/>
        </w:rPr>
        <w:t>Kazenergy</w:t>
      </w:r>
      <w:r w:rsidRPr="00F0736F">
        <w:rPr>
          <w:rFonts w:ascii="Times New Roman" w:hAnsi="Times New Roman" w:cs="Times New Roman"/>
          <w:i/>
          <w:color w:val="000000" w:themeColor="text1"/>
        </w:rPr>
        <w:t xml:space="preserve"> 2019 г.</w:t>
      </w:r>
    </w:p>
    <w:p w14:paraId="36802668" w14:textId="77777777" w:rsidR="00F674A4" w:rsidRPr="00F0736F" w:rsidRDefault="00F674A4" w:rsidP="008727D9">
      <w:pPr>
        <w:ind w:firstLine="709"/>
        <w:jc w:val="both"/>
        <w:rPr>
          <w:rFonts w:ascii="Times New Roman" w:hAnsi="Times New Roman" w:cs="Times New Roman"/>
          <w:color w:val="000000" w:themeColor="text1"/>
        </w:rPr>
      </w:pPr>
    </w:p>
    <w:p w14:paraId="6D4E250B" w14:textId="4D3D4571" w:rsidR="00F674A4" w:rsidRPr="00F0736F" w:rsidRDefault="00F674A4" w:rsidP="008727D9">
      <w:pPr>
        <w:tabs>
          <w:tab w:val="left" w:pos="5313"/>
        </w:tabs>
        <w:ind w:firstLine="709"/>
        <w:jc w:val="both"/>
        <w:rPr>
          <w:color w:val="000000" w:themeColor="text1"/>
        </w:rPr>
      </w:pPr>
      <w:r w:rsidRPr="00F0736F">
        <w:rPr>
          <w:rFonts w:ascii="Times New Roman" w:eastAsia="Consolas" w:hAnsi="Times New Roman" w:cs="Times New Roman"/>
          <w:color w:val="000000" w:themeColor="text1"/>
        </w:rPr>
        <w:t>По информации МОН РК, во всех общеобразовательных школах областей, городов Нур-Султана, Алматы и Шымкента проводится работа по замене осветительных приборов на светодиодные лампы. В соответствии с современными требованиями</w:t>
      </w:r>
      <w:r w:rsidR="0098448B"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 xml:space="preserve"> при строительстве новых школ в проектно-сметной документации электроосвещение проектируется с учетом установки энергосберегающих светодиодных светильников и ламп.</w:t>
      </w:r>
    </w:p>
    <w:p w14:paraId="69EFF8DA" w14:textId="77777777" w:rsidR="00691A12" w:rsidRPr="00F0736F" w:rsidRDefault="00691A12" w:rsidP="008727D9">
      <w:pPr>
        <w:ind w:firstLine="709"/>
        <w:jc w:val="both"/>
        <w:rPr>
          <w:rFonts w:ascii="Times New Roman" w:hAnsi="Times New Roman" w:cs="Times New Roman"/>
          <w:b/>
          <w:color w:val="000000" w:themeColor="text1"/>
        </w:rPr>
      </w:pPr>
    </w:p>
    <w:p w14:paraId="362AA5BA" w14:textId="77777777" w:rsidR="00A14DD4" w:rsidRPr="00F0736F" w:rsidRDefault="00A14DD4" w:rsidP="008727D9">
      <w:pPr>
        <w:ind w:firstLine="709"/>
        <w:jc w:val="both"/>
        <w:rPr>
          <w:color w:val="000000" w:themeColor="text1"/>
        </w:rPr>
      </w:pPr>
      <w:r w:rsidRPr="00F0736F">
        <w:rPr>
          <w:rFonts w:ascii="Times New Roman" w:hAnsi="Times New Roman" w:cs="Times New Roman"/>
          <w:b/>
          <w:color w:val="000000" w:themeColor="text1"/>
        </w:rPr>
        <w:t>Для повышения энергоэффективности общественного транспорта</w:t>
      </w:r>
      <w:r w:rsidRPr="00F0736F">
        <w:rPr>
          <w:rFonts w:ascii="Times New Roman" w:hAnsi="Times New Roman" w:cs="Times New Roman"/>
          <w:color w:val="000000" w:themeColor="text1"/>
        </w:rPr>
        <w:t xml:space="preserve"> (отде</w:t>
      </w:r>
      <w:r w:rsidR="00367C63" w:rsidRPr="00F0736F">
        <w:rPr>
          <w:rFonts w:ascii="Times New Roman" w:hAnsi="Times New Roman" w:cs="Times New Roman"/>
          <w:color w:val="000000" w:themeColor="text1"/>
        </w:rPr>
        <w:t xml:space="preserve">льные линии, </w:t>
      </w:r>
      <w:r w:rsidR="00367C63" w:rsidRPr="00F0736F">
        <w:rPr>
          <w:rFonts w:ascii="Times New Roman" w:hAnsi="Times New Roman" w:cs="Times New Roman"/>
          <w:color w:val="000000" w:themeColor="text1"/>
          <w:sz w:val="23"/>
          <w:szCs w:val="23"/>
          <w:shd w:val="clear" w:color="auto" w:fill="FFFFFF"/>
        </w:rPr>
        <w:t>«</w:t>
      </w:r>
      <w:r w:rsidR="00367C63" w:rsidRPr="00F0736F">
        <w:rPr>
          <w:rFonts w:ascii="Times New Roman" w:hAnsi="Times New Roman" w:cs="Times New Roman"/>
          <w:color w:val="000000" w:themeColor="text1"/>
        </w:rPr>
        <w:t>у</w:t>
      </w:r>
      <w:r w:rsidRPr="00F0736F">
        <w:rPr>
          <w:rFonts w:ascii="Times New Roman" w:hAnsi="Times New Roman" w:cs="Times New Roman"/>
          <w:color w:val="000000" w:themeColor="text1"/>
        </w:rPr>
        <w:t>мные</w:t>
      </w:r>
      <w:r w:rsidR="00367C63"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rPr>
        <w:t xml:space="preserve"> остановки, электронная оплата) в городах Нур-Султан и Алматы внедрены отдельные полосы для движения общественного транспорта, система спутникового мониторинга работы городских и пригородных маршрутов, установлены </w:t>
      </w:r>
      <w:r w:rsidR="00367C63"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rPr>
        <w:t>умные</w:t>
      </w:r>
      <w:r w:rsidR="00367C63"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rPr>
        <w:t xml:space="preserve"> остановки, а также электронные системы оплаты за проезд с дифференцированным тарифом, которая позволила в г. Алматы за один месяц вывести из тени более 800 млн. тенге.</w:t>
      </w:r>
    </w:p>
    <w:p w14:paraId="1D24A4F1" w14:textId="3D9187EE" w:rsidR="00EE09EE" w:rsidRPr="00F0736F" w:rsidRDefault="00EE09EE" w:rsidP="00EE09EE">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16 регионах страны функционируе</w:t>
      </w:r>
      <w:r w:rsidR="0098448B"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система спутниковой диспетчеризации общественного транспорта. В течение 2020-2021 годов планируется запуск в эксплуатацию данной системы. С </w:t>
      </w:r>
      <w:r w:rsidR="00367C63" w:rsidRPr="00F0736F">
        <w:rPr>
          <w:rFonts w:ascii="Times New Roman" w:hAnsi="Times New Roman" w:cs="Times New Roman"/>
          <w:color w:val="000000" w:themeColor="text1"/>
        </w:rPr>
        <w:t xml:space="preserve">её </w:t>
      </w:r>
      <w:r w:rsidRPr="00F0736F">
        <w:rPr>
          <w:rFonts w:ascii="Times New Roman" w:hAnsi="Times New Roman" w:cs="Times New Roman"/>
          <w:color w:val="000000" w:themeColor="text1"/>
        </w:rPr>
        <w:t xml:space="preserve">помощью </w:t>
      </w:r>
      <w:r w:rsidR="00367C63" w:rsidRPr="00F0736F">
        <w:rPr>
          <w:rFonts w:ascii="Times New Roman" w:hAnsi="Times New Roman" w:cs="Times New Roman"/>
          <w:color w:val="000000" w:themeColor="text1"/>
        </w:rPr>
        <w:t>м</w:t>
      </w:r>
      <w:r w:rsidRPr="00F0736F">
        <w:rPr>
          <w:rFonts w:ascii="Times New Roman" w:hAnsi="Times New Roman" w:cs="Times New Roman"/>
          <w:color w:val="000000" w:themeColor="text1"/>
        </w:rPr>
        <w:t>ожно решить ряд проблем</w:t>
      </w:r>
      <w:r w:rsidR="00367C6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в области междугородной и международной перевозки пассажиров. </w:t>
      </w:r>
    </w:p>
    <w:p w14:paraId="21D87942" w14:textId="77777777" w:rsidR="002412D5" w:rsidRPr="00F0736F" w:rsidRDefault="002412D5" w:rsidP="002412D5">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Кроме этого, с 2018 года действует программа льготного лизинга </w:t>
      </w:r>
      <w:r w:rsidR="00367C63" w:rsidRPr="00F0736F">
        <w:rPr>
          <w:rFonts w:ascii="Times New Roman" w:hAnsi="Times New Roman" w:cs="Times New Roman"/>
          <w:color w:val="000000" w:themeColor="text1"/>
        </w:rPr>
        <w:t xml:space="preserve">по </w:t>
      </w:r>
      <w:r w:rsidRPr="00F0736F">
        <w:rPr>
          <w:rFonts w:ascii="Times New Roman" w:hAnsi="Times New Roman" w:cs="Times New Roman"/>
          <w:color w:val="000000" w:themeColor="text1"/>
        </w:rPr>
        <w:t>приобретени</w:t>
      </w:r>
      <w:r w:rsidR="00367C63" w:rsidRPr="00F0736F">
        <w:rPr>
          <w:rFonts w:ascii="Times New Roman" w:hAnsi="Times New Roman" w:cs="Times New Roman"/>
          <w:color w:val="000000" w:themeColor="text1"/>
        </w:rPr>
        <w:t>ю</w:t>
      </w:r>
      <w:r w:rsidRPr="00F0736F">
        <w:rPr>
          <w:rFonts w:ascii="Times New Roman" w:hAnsi="Times New Roman" w:cs="Times New Roman"/>
          <w:color w:val="000000" w:themeColor="text1"/>
        </w:rPr>
        <w:t xml:space="preserve"> автобусов отечественного производства, которая позволила за 2018-2019 годы в 7 регионах закупить 693 а</w:t>
      </w:r>
      <w:r w:rsidR="00367C63" w:rsidRPr="00F0736F">
        <w:rPr>
          <w:rFonts w:ascii="Times New Roman" w:hAnsi="Times New Roman" w:cs="Times New Roman"/>
          <w:color w:val="000000" w:themeColor="text1"/>
        </w:rPr>
        <w:t>втобуса</w:t>
      </w:r>
      <w:r w:rsidRPr="00F0736F">
        <w:rPr>
          <w:rFonts w:ascii="Times New Roman" w:hAnsi="Times New Roman" w:cs="Times New Roman"/>
          <w:color w:val="000000" w:themeColor="text1"/>
        </w:rPr>
        <w:t>.</w:t>
      </w:r>
    </w:p>
    <w:p w14:paraId="08B0AC4D" w14:textId="7C65BB69" w:rsidR="00A14DD4" w:rsidRPr="00F0736F" w:rsidRDefault="00A14DD4" w:rsidP="00E73430">
      <w:pPr>
        <w:ind w:firstLine="709"/>
        <w:jc w:val="both"/>
        <w:rPr>
          <w:color w:val="000000" w:themeColor="text1"/>
        </w:rPr>
      </w:pPr>
      <w:r w:rsidRPr="00F0736F">
        <w:rPr>
          <w:rFonts w:ascii="Times New Roman" w:hAnsi="Times New Roman" w:cs="Times New Roman"/>
          <w:color w:val="000000" w:themeColor="text1"/>
        </w:rPr>
        <w:t xml:space="preserve">Требования к энергоэффективности определены для различных видов транспорта (автомобильного, воздушного, железнодорожного, внутреннего водного, морского и городского электротранспорта) приказом </w:t>
      </w:r>
      <w:r w:rsidR="00E73430" w:rsidRPr="00F0736F">
        <w:rPr>
          <w:rFonts w:ascii="Times New Roman" w:hAnsi="Times New Roman" w:cs="Times New Roman"/>
          <w:color w:val="000000" w:themeColor="text1"/>
        </w:rPr>
        <w:t xml:space="preserve">Министра по инвестициям и развитию Республики Казахстан от 31 марта 2015 года № 389 «Об установлении требований по энергоэффективности транспорта». </w:t>
      </w:r>
      <w:r w:rsidRPr="00F0736F">
        <w:rPr>
          <w:rFonts w:ascii="Times New Roman" w:hAnsi="Times New Roman" w:cs="Times New Roman"/>
          <w:color w:val="000000" w:themeColor="text1"/>
        </w:rPr>
        <w:t>Помимо этого, в 2017 г</w:t>
      </w:r>
      <w:r w:rsidR="00E83B79"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Комитет автомобильных дорог Министерства инвестиций и развития одобрил рекомендации «Зеленые принципы устойчивого развития дорожно-тран</w:t>
      </w:r>
      <w:r w:rsidR="00367C63" w:rsidRPr="00F0736F">
        <w:rPr>
          <w:rFonts w:ascii="Times New Roman" w:hAnsi="Times New Roman" w:cs="Times New Roman"/>
          <w:color w:val="000000" w:themeColor="text1"/>
        </w:rPr>
        <w:t>спортной инфраструктуры» (</w:t>
      </w:r>
      <w:r w:rsidRPr="00F0736F">
        <w:rPr>
          <w:rFonts w:ascii="Times New Roman" w:hAnsi="Times New Roman" w:cs="Times New Roman"/>
          <w:color w:val="000000" w:themeColor="text1"/>
        </w:rPr>
        <w:t>РК 218-137-2017)</w:t>
      </w:r>
      <w:r w:rsidR="00E83B79" w:rsidRPr="00F0736F">
        <w:rPr>
          <w:rFonts w:ascii="Times New Roman" w:hAnsi="Times New Roman" w:cs="Times New Roman"/>
          <w:color w:val="000000" w:themeColor="text1"/>
        </w:rPr>
        <w:t>, которы</w:t>
      </w:r>
      <w:r w:rsidR="0098448B" w:rsidRPr="00F0736F">
        <w:rPr>
          <w:rFonts w:ascii="Times New Roman" w:hAnsi="Times New Roman" w:cs="Times New Roman"/>
          <w:color w:val="000000" w:themeColor="text1"/>
        </w:rPr>
        <w:t xml:space="preserve">е </w:t>
      </w:r>
      <w:r w:rsidRPr="00F0736F">
        <w:rPr>
          <w:rFonts w:ascii="Times New Roman" w:hAnsi="Times New Roman" w:cs="Times New Roman"/>
          <w:color w:val="000000" w:themeColor="text1"/>
        </w:rPr>
        <w:t>определяют критерии и балльную систему для оценки объектов дорожно-транспортной инфраструктуры, дорог, объектов придорожного сервиса и придорожных гостиниц на предмет соответствия экологическим требованиям и для присвоения этим объектам категории соответствия (зеленый, серебряный, золотой или платиновый).</w:t>
      </w:r>
    </w:p>
    <w:p w14:paraId="7CCEB8D8" w14:textId="77777777" w:rsidR="00A14DD4" w:rsidRPr="00F0736F" w:rsidRDefault="00A14DD4" w:rsidP="008727D9">
      <w:pPr>
        <w:ind w:firstLine="709"/>
        <w:jc w:val="both"/>
        <w:rPr>
          <w:color w:val="000000" w:themeColor="text1"/>
        </w:rPr>
      </w:pPr>
      <w:r w:rsidRPr="00F0736F">
        <w:rPr>
          <w:rFonts w:ascii="Times New Roman" w:hAnsi="Times New Roman" w:cs="Times New Roman"/>
          <w:color w:val="000000" w:themeColor="text1"/>
          <w:lang w:val="kk-KZ"/>
        </w:rPr>
        <w:t xml:space="preserve">В </w:t>
      </w:r>
      <w:r w:rsidRPr="00F0736F">
        <w:rPr>
          <w:rFonts w:ascii="Times New Roman" w:hAnsi="Times New Roman" w:cs="Times New Roman"/>
          <w:color w:val="000000" w:themeColor="text1"/>
        </w:rPr>
        <w:t xml:space="preserve">различных </w:t>
      </w:r>
      <w:r w:rsidRPr="00F0736F">
        <w:rPr>
          <w:rFonts w:ascii="Times New Roman" w:hAnsi="Times New Roman" w:cs="Times New Roman"/>
          <w:color w:val="000000" w:themeColor="text1"/>
          <w:lang w:val="kk-KZ"/>
        </w:rPr>
        <w:t>регионах страны</w:t>
      </w:r>
      <w:r w:rsidRPr="00F0736F">
        <w:rPr>
          <w:rFonts w:ascii="Times New Roman" w:hAnsi="Times New Roman" w:cs="Times New Roman"/>
          <w:color w:val="000000" w:themeColor="text1"/>
        </w:rPr>
        <w:t xml:space="preserve"> открыты </w:t>
      </w:r>
      <w:r w:rsidRPr="00F0736F">
        <w:rPr>
          <w:rFonts w:ascii="Times New Roman" w:hAnsi="Times New Roman" w:cs="Times New Roman"/>
          <w:b/>
          <w:color w:val="000000" w:themeColor="text1"/>
        </w:rPr>
        <w:t>производства энергосберегающих стройматериалов</w:t>
      </w:r>
      <w:r w:rsidRPr="00F0736F">
        <w:rPr>
          <w:rFonts w:ascii="Times New Roman" w:hAnsi="Times New Roman" w:cs="Times New Roman"/>
          <w:color w:val="000000" w:themeColor="text1"/>
        </w:rPr>
        <w:t xml:space="preserve"> как теплоизоляционные панели, предизолированные трубы</w:t>
      </w:r>
      <w:r w:rsidRPr="00F0736F">
        <w:rPr>
          <w:rFonts w:ascii="Times New Roman" w:hAnsi="Times New Roman" w:cs="Times New Roman"/>
          <w:color w:val="000000" w:themeColor="text1"/>
          <w:lang w:val="kk-KZ"/>
        </w:rPr>
        <w:t xml:space="preserve"> и предизолированные пенополиуретаном трубы в оцинкованной и полиэтиленовой оболочке</w:t>
      </w:r>
      <w:r w:rsidRPr="00F0736F">
        <w:rPr>
          <w:rFonts w:ascii="Times New Roman" w:hAnsi="Times New Roman" w:cs="Times New Roman"/>
          <w:color w:val="000000" w:themeColor="text1"/>
        </w:rPr>
        <w:t xml:space="preserve"> (Акмолинская</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Северо-Казахстанская</w:t>
      </w:r>
      <w:r w:rsidRPr="00F0736F">
        <w:rPr>
          <w:rFonts w:ascii="Times New Roman" w:hAnsi="Times New Roman" w:cs="Times New Roman"/>
          <w:color w:val="000000" w:themeColor="text1"/>
          <w:lang w:val="kk-KZ"/>
        </w:rPr>
        <w:t xml:space="preserve"> и Восточно-Казахстанская</w:t>
      </w:r>
      <w:r w:rsidRPr="00F0736F">
        <w:rPr>
          <w:rFonts w:ascii="Times New Roman" w:hAnsi="Times New Roman" w:cs="Times New Roman"/>
          <w:color w:val="000000" w:themeColor="text1"/>
        </w:rPr>
        <w:t xml:space="preserve"> области). Производятся инженерные оборудования энергосбережения как теплообменники, тепловые насосы (Акмолинская область и ВКО).</w:t>
      </w:r>
      <w:r w:rsidRPr="00F0736F">
        <w:rPr>
          <w:rFonts w:ascii="Times New Roman" w:hAnsi="Times New Roman" w:cs="Times New Roman"/>
          <w:color w:val="000000" w:themeColor="text1"/>
          <w:lang w:val="kk-KZ"/>
        </w:rPr>
        <w:t xml:space="preserve"> Также выпускается вспененный полиэтилен, который во всем мире считается одним из представителей четверки лидеров по технической изоляции </w:t>
      </w:r>
      <w:r w:rsidRPr="00F0736F">
        <w:rPr>
          <w:rFonts w:ascii="Times New Roman" w:hAnsi="Times New Roman" w:cs="Times New Roman"/>
          <w:color w:val="000000" w:themeColor="text1"/>
        </w:rPr>
        <w:t>(ВКО).</w:t>
      </w:r>
    </w:p>
    <w:p w14:paraId="2196437C" w14:textId="77777777" w:rsidR="00F674A4" w:rsidRPr="00F0736F" w:rsidRDefault="00A14DD4" w:rsidP="00075143">
      <w:pPr>
        <w:ind w:firstLine="709"/>
        <w:jc w:val="both"/>
        <w:rPr>
          <w:color w:val="000000" w:themeColor="text1"/>
        </w:rPr>
      </w:pPr>
      <w:r w:rsidRPr="00F0736F">
        <w:rPr>
          <w:rFonts w:ascii="Times New Roman" w:eastAsia="Times New Roman" w:hAnsi="Times New Roman" w:cs="Times New Roman"/>
          <w:color w:val="000000" w:themeColor="text1"/>
          <w:spacing w:val="2"/>
          <w:lang w:val="kk-KZ" w:eastAsia="ru-RU"/>
        </w:rPr>
        <w:t xml:space="preserve">На сегодняшний день в эксплуатацию были введены 4 цементных завода по производству цемента </w:t>
      </w:r>
      <w:r w:rsidRPr="00F0736F">
        <w:rPr>
          <w:rFonts w:ascii="Times New Roman" w:eastAsia="Times New Roman" w:hAnsi="Times New Roman" w:cs="Times New Roman"/>
          <w:color w:val="000000" w:themeColor="text1"/>
          <w:spacing w:val="2"/>
          <w:lang w:eastAsia="ru-RU"/>
        </w:rPr>
        <w:t xml:space="preserve">энергосберегающей технологией </w:t>
      </w:r>
      <w:r w:rsidRPr="00F0736F">
        <w:rPr>
          <w:rFonts w:ascii="Times New Roman" w:eastAsia="Times New Roman" w:hAnsi="Times New Roman" w:cs="Times New Roman"/>
          <w:color w:val="000000" w:themeColor="text1"/>
          <w:spacing w:val="2"/>
          <w:lang w:val="kk-KZ" w:eastAsia="ru-RU"/>
        </w:rPr>
        <w:t xml:space="preserve">«сухим способом»: ТОО «Мынарал Тас компани», ТОО «Стандарт цемент», АО «ACIG», ТОО «Казахцемент». </w:t>
      </w:r>
    </w:p>
    <w:p w14:paraId="1CA7C032"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Для реализации поставленных Концепцией по переходу к «зеленой экономике» задач приняты следующие меры:</w:t>
      </w:r>
    </w:p>
    <w:p w14:paraId="6A84F0F7"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1) сформирована законодательная база на основе Закона «Об энергосбережении и повышении энергоэффективности»;</w:t>
      </w:r>
    </w:p>
    <w:p w14:paraId="091D136B"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2) Главой 17 Кодекса </w:t>
      </w:r>
      <w:r w:rsidR="00367C63" w:rsidRPr="00F0736F">
        <w:rPr>
          <w:rFonts w:ascii="Times New Roman" w:hAnsi="Times New Roman" w:cs="Times New Roman"/>
          <w:color w:val="000000" w:themeColor="text1"/>
        </w:rPr>
        <w:t>об административных</w:t>
      </w:r>
      <w:r w:rsidRPr="00F0736F">
        <w:rPr>
          <w:rFonts w:ascii="Times New Roman" w:hAnsi="Times New Roman" w:cs="Times New Roman"/>
          <w:color w:val="000000" w:themeColor="text1"/>
        </w:rPr>
        <w:t xml:space="preserve"> правонарушениям РК установлены штрафные санкции за</w:t>
      </w:r>
      <w:r w:rsidR="00367C63" w:rsidRPr="00F0736F">
        <w:rPr>
          <w:rFonts w:ascii="Times New Roman" w:hAnsi="Times New Roman" w:cs="Times New Roman"/>
          <w:color w:val="000000" w:themeColor="text1"/>
        </w:rPr>
        <w:t xml:space="preserve"> нарушение</w:t>
      </w:r>
      <w:r w:rsidRPr="00F0736F">
        <w:rPr>
          <w:rFonts w:ascii="Times New Roman" w:hAnsi="Times New Roman" w:cs="Times New Roman"/>
          <w:color w:val="000000" w:themeColor="text1"/>
        </w:rPr>
        <w:t xml:space="preserve"> требований законодательства в части энергосбережения и повышения энергоэффективности;</w:t>
      </w:r>
    </w:p>
    <w:p w14:paraId="3B7EA1A0"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3) реализуются 16 региональных планов энергосбережения, а также Программа энергосбережения «Самрук-Казына» и его дочерних компаний;</w:t>
      </w:r>
    </w:p>
    <w:p w14:paraId="040B41FB"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4) создан и функционирует один из ключевых системных механизмов Закона – Государственный энергетический реестр (ГЭР);</w:t>
      </w:r>
    </w:p>
    <w:p w14:paraId="3EEEFF45"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5) для подготовки необходимых кадров и развития науки в этом направлении открыты 18 учебных центров энергосбережения. Подготовлено более 500 специалистов;</w:t>
      </w:r>
    </w:p>
    <w:p w14:paraId="71C3BFAC"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6) создан «Институт развития электроэнергетики и энергосбережения», как системный оператор, разрабатывающий и координирующий все процессы энергосбережения в стране; </w:t>
      </w:r>
    </w:p>
    <w:p w14:paraId="7D9D1FDE" w14:textId="77777777" w:rsidR="00691A12" w:rsidRPr="00F0736F" w:rsidRDefault="00691A12"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7) на рынке энергоэффективности в области энергосбережения и повышения энергоэффективности занимаются 159 энергоаудиторских организаций, аттестовано более 350 энергоаудиторов;</w:t>
      </w:r>
    </w:p>
    <w:p w14:paraId="0FDC878E" w14:textId="77777777" w:rsidR="00691A12" w:rsidRPr="00F0736F" w:rsidRDefault="00691A12"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8) в рамках международного сотрудничества перенимается передовой опыт Германии и Японии, через Немецкое энергетическое агентство и Центр энергоэффективности Японии (102 специалиста прошли курсы обучения в Японии), реализуются совместные проекты с ВБ, ЕБРР, ПРООН, АБР;</w:t>
      </w:r>
    </w:p>
    <w:p w14:paraId="1A490876"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9) </w:t>
      </w:r>
      <w:r w:rsidRPr="00F0736F">
        <w:rPr>
          <w:rFonts w:ascii="Times New Roman" w:hAnsi="Times New Roman" w:cs="Times New Roman"/>
          <w:color w:val="000000" w:themeColor="text1"/>
          <w:sz w:val="23"/>
          <w:szCs w:val="23"/>
          <w:shd w:val="clear" w:color="auto" w:fill="FFFFFF"/>
        </w:rPr>
        <w:t xml:space="preserve">АО «Фонд развития предпринимательства «Даму» (Фонд </w:t>
      </w:r>
      <w:r w:rsidR="00C017AA"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sz w:val="23"/>
          <w:szCs w:val="23"/>
          <w:shd w:val="clear" w:color="auto" w:fill="FFFFFF"/>
        </w:rPr>
        <w:t>Даму</w:t>
      </w:r>
      <w:r w:rsidR="00C017AA"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sz w:val="23"/>
          <w:szCs w:val="23"/>
          <w:shd w:val="clear" w:color="auto" w:fill="FFFFFF"/>
        </w:rPr>
        <w:t xml:space="preserve">) </w:t>
      </w:r>
      <w:r w:rsidRPr="00F0736F">
        <w:rPr>
          <w:rFonts w:ascii="Times New Roman" w:hAnsi="Times New Roman" w:cs="Times New Roman"/>
          <w:color w:val="000000" w:themeColor="text1"/>
        </w:rPr>
        <w:t>и Министерством индустрии и инфраструктурного развития Республики Казахстан при поддержке ПРООН создана институциональная основа поддержки проектов энергосбережения и повышения энергоэффективности через меры финансового стимулирования и поддержки;</w:t>
      </w:r>
    </w:p>
    <w:p w14:paraId="7ED66158"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10) Международный центр зеленых технологий и инвестиционных проектов (МЦЗТИП) занимается внедрением наилучших доступных технологий (НДТ), которые среди прочего включают и вопросы энергоэффективности.</w:t>
      </w:r>
    </w:p>
    <w:p w14:paraId="01615BF1" w14:textId="1510371E" w:rsidR="00691A12" w:rsidRPr="00F0736F" w:rsidRDefault="00691A12" w:rsidP="008727D9">
      <w:pPr>
        <w:ind w:firstLine="709"/>
        <w:jc w:val="both"/>
        <w:rPr>
          <w:color w:val="000000" w:themeColor="text1"/>
        </w:rPr>
      </w:pPr>
      <w:r w:rsidRPr="00F0736F">
        <w:rPr>
          <w:rFonts w:ascii="Times New Roman" w:hAnsi="Times New Roman" w:cs="Times New Roman"/>
          <w:b/>
          <w:color w:val="000000" w:themeColor="text1"/>
        </w:rPr>
        <w:t>Государственный энергетический реестр (ГЭР)</w:t>
      </w:r>
      <w:r w:rsidRPr="00F0736F">
        <w:rPr>
          <w:rFonts w:ascii="Times New Roman" w:hAnsi="Times New Roman" w:cs="Times New Roman"/>
          <w:color w:val="000000" w:themeColor="text1"/>
        </w:rPr>
        <w:t xml:space="preserve"> включает в себя 20 533 субъект</w:t>
      </w:r>
      <w:r w:rsidR="00C017AA"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из них: субъектов квазигосударственного секто</w:t>
      </w:r>
      <w:r w:rsidR="00C017AA" w:rsidRPr="00F0736F">
        <w:rPr>
          <w:rFonts w:ascii="Times New Roman" w:hAnsi="Times New Roman" w:cs="Times New Roman"/>
          <w:color w:val="000000" w:themeColor="text1"/>
        </w:rPr>
        <w:t>ра – 4</w:t>
      </w:r>
      <w:r w:rsidR="008E01F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962, государственных учреждений – 13 278, юридических лиц –</w:t>
      </w:r>
      <w:r w:rsidR="00C017AA" w:rsidRPr="00F0736F">
        <w:rPr>
          <w:rFonts w:ascii="Times New Roman" w:hAnsi="Times New Roman" w:cs="Times New Roman"/>
          <w:color w:val="000000" w:themeColor="text1"/>
        </w:rPr>
        <w:t xml:space="preserve"> 2</w:t>
      </w:r>
      <w:r w:rsidR="008E01F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293. </w:t>
      </w:r>
    </w:p>
    <w:p w14:paraId="0F10E07B" w14:textId="2A1F4222"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Механизм ГЭР предусматривает для предприятий, которые потребляют более 1</w:t>
      </w:r>
      <w:r w:rsidR="008E01F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500 т у.т. в год, требования по проведению энергетических аудитов и формированию программы мероприятий по энергосбережению. Оператор ГЭР занимается мониторингом исполнения требований законодательства у субъектов ГЭР. </w:t>
      </w:r>
    </w:p>
    <w:p w14:paraId="15807D71"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Общее потребление энергоресурсов субъектами ГЭР в 2018 году составило 58 млн. т.у.т., или около 41% от общестранового потребления энергоресурсов, из них: юридическими лицами – 41%, учреждениями квазигосударственного сектора – 37%, государственными учреждениями - 2%.</w:t>
      </w:r>
    </w:p>
    <w:p w14:paraId="7D592436" w14:textId="0C38C9BA"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В отраслевом разрезе на 30 предприятий горнодобывающей отрасли приходится около 17,4% потребления. Доля потребления 41 субъекта ГЭР, оказывающих транспортные услуги (вокзалы, аэропорты, автобусные парки и прочие перевозки)</w:t>
      </w:r>
      <w:r w:rsidR="008E01F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составляет 12,2%. При этом на 32 субъекта обрабатывающей промышленности приходится всего 3,4%.</w:t>
      </w:r>
    </w:p>
    <w:p w14:paraId="5FCF311A" w14:textId="77777777" w:rsidR="00691A12" w:rsidRPr="00F0736F" w:rsidRDefault="00691A12" w:rsidP="008727D9">
      <w:pPr>
        <w:ind w:firstLine="709"/>
        <w:jc w:val="both"/>
        <w:rPr>
          <w:color w:val="000000" w:themeColor="text1"/>
        </w:rPr>
      </w:pPr>
      <w:r w:rsidRPr="00F0736F">
        <w:rPr>
          <w:rFonts w:ascii="Times New Roman" w:eastAsia="Calibri" w:hAnsi="Times New Roman" w:cs="Times New Roman"/>
          <w:color w:val="000000" w:themeColor="text1"/>
          <w:lang w:eastAsia="ru-RU"/>
        </w:rPr>
        <w:t>Кроме того, проводятся работы по цифровизации ГЭРа – создана и запущена Автоматизированная информационная система ГЭР. Количество субъектов ГЭР</w:t>
      </w:r>
      <w:r w:rsidR="00C017AA" w:rsidRPr="00F0736F">
        <w:rPr>
          <w:rFonts w:ascii="Times New Roman" w:eastAsia="Calibri" w:hAnsi="Times New Roman" w:cs="Times New Roman"/>
          <w:color w:val="000000" w:themeColor="text1"/>
          <w:lang w:eastAsia="ru-RU"/>
        </w:rPr>
        <w:t>,</w:t>
      </w:r>
      <w:r w:rsidRPr="00F0736F">
        <w:rPr>
          <w:rFonts w:ascii="Times New Roman" w:eastAsia="Calibri" w:hAnsi="Times New Roman" w:cs="Times New Roman"/>
          <w:color w:val="000000" w:themeColor="text1"/>
          <w:lang w:eastAsia="ru-RU"/>
        </w:rPr>
        <w:t xml:space="preserve"> предоставивших информацию через АИС ГЭР</w:t>
      </w:r>
      <w:r w:rsidR="00C017AA" w:rsidRPr="00F0736F">
        <w:rPr>
          <w:rFonts w:ascii="Times New Roman" w:eastAsia="Calibri" w:hAnsi="Times New Roman" w:cs="Times New Roman"/>
          <w:color w:val="000000" w:themeColor="text1"/>
          <w:lang w:eastAsia="ru-RU"/>
        </w:rPr>
        <w:t>,</w:t>
      </w:r>
      <w:r w:rsidRPr="00F0736F">
        <w:rPr>
          <w:rFonts w:ascii="Times New Roman" w:eastAsia="Calibri" w:hAnsi="Times New Roman" w:cs="Times New Roman"/>
          <w:color w:val="000000" w:themeColor="text1"/>
          <w:lang w:eastAsia="ru-RU"/>
        </w:rPr>
        <w:t xml:space="preserve"> более 20</w:t>
      </w:r>
      <w:r w:rsidR="00C017AA" w:rsidRPr="00F0736F">
        <w:rPr>
          <w:rFonts w:ascii="Times New Roman" w:eastAsia="Calibri" w:hAnsi="Times New Roman" w:cs="Times New Roman"/>
          <w:color w:val="000000" w:themeColor="text1"/>
          <w:lang w:eastAsia="ru-RU"/>
        </w:rPr>
        <w:t xml:space="preserve"> </w:t>
      </w:r>
      <w:r w:rsidRPr="00F0736F">
        <w:rPr>
          <w:rFonts w:ascii="Times New Roman" w:eastAsia="Calibri" w:hAnsi="Times New Roman" w:cs="Times New Roman"/>
          <w:color w:val="000000" w:themeColor="text1"/>
          <w:lang w:eastAsia="ru-RU"/>
        </w:rPr>
        <w:t xml:space="preserve">000. </w:t>
      </w:r>
    </w:p>
    <w:p w14:paraId="2A9B8FE2"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В реализацию 59 шага Плана Наций «100 шагов по реализации пяти институциональных реформ» создана Карта энергоэффективности, включающая 81 проект на сумму порядка 37,7 млрд. тенге (из них 24 проекта через механизмы энергосервисных договоров и государственно-частного партнерства). </w:t>
      </w:r>
    </w:p>
    <w:p w14:paraId="2CEB97FC"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Для стимулирования реализации энергосервисных проектов совместно с Фондом </w:t>
      </w:r>
      <w:r w:rsidR="00C017AA"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rPr>
        <w:t>Даму</w:t>
      </w:r>
      <w:r w:rsidR="00C017AA" w:rsidRPr="00F0736F">
        <w:rPr>
          <w:rFonts w:ascii="Times New Roman" w:hAnsi="Times New Roman" w:cs="Times New Roman"/>
          <w:color w:val="000000" w:themeColor="text1"/>
          <w:sz w:val="23"/>
          <w:szCs w:val="23"/>
          <w:shd w:val="clear" w:color="auto" w:fill="FFFFFF"/>
        </w:rPr>
        <w:t>»</w:t>
      </w:r>
      <w:r w:rsidRPr="00F0736F">
        <w:rPr>
          <w:rFonts w:ascii="Times New Roman" w:hAnsi="Times New Roman" w:cs="Times New Roman"/>
          <w:color w:val="000000" w:themeColor="text1"/>
        </w:rPr>
        <w:t xml:space="preserve"> апробирован механизм финансовой поддержки в виде субсидирования и гарантирования проектов по энергосбережению (общая сумма - 3 млн. долларов США). В 2018 году одобрено 90 проектов на сумму 18,5 млрд. тенге.</w:t>
      </w:r>
    </w:p>
    <w:p w14:paraId="653271F1" w14:textId="1713035D" w:rsidR="00691A12" w:rsidRPr="00F0736F" w:rsidRDefault="00691A12" w:rsidP="008727D9">
      <w:pPr>
        <w:ind w:firstLine="709"/>
        <w:jc w:val="both"/>
        <w:rPr>
          <w:rFonts w:ascii="Calibri" w:hAnsi="Calibri"/>
          <w:color w:val="000000" w:themeColor="text1"/>
        </w:rPr>
      </w:pPr>
      <w:r w:rsidRPr="00F0736F">
        <w:rPr>
          <w:rFonts w:ascii="Times New Roman" w:eastAsia="Calibri" w:hAnsi="Times New Roman" w:cs="Times New Roman"/>
          <w:color w:val="000000" w:themeColor="text1"/>
        </w:rPr>
        <w:t>Ведется активная работа по привлечению инвесторов в сферу энергосбережения. Совместно с Всемирным банком, Программой развития ООН, ЕБРР и АБР реализуются</w:t>
      </w:r>
      <w:r w:rsidR="008E01F1"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международные проекты на общую сумму более 50 млн. долларов США.</w:t>
      </w:r>
    </w:p>
    <w:p w14:paraId="5B4A0AC2" w14:textId="02272C31" w:rsidR="00691A12" w:rsidRPr="00F0736F" w:rsidRDefault="00691A12" w:rsidP="008727D9">
      <w:pPr>
        <w:ind w:firstLine="709"/>
        <w:jc w:val="both"/>
        <w:rPr>
          <w:color w:val="000000" w:themeColor="text1"/>
        </w:rPr>
      </w:pPr>
      <w:r w:rsidRPr="00F0736F">
        <w:rPr>
          <w:rFonts w:ascii="Times New Roman" w:eastAsia="Calibri" w:hAnsi="Times New Roman" w:cs="Times New Roman"/>
          <w:color w:val="000000" w:themeColor="text1"/>
        </w:rPr>
        <w:t>1. С</w:t>
      </w:r>
      <w:r w:rsidRPr="00F0736F">
        <w:rPr>
          <w:rFonts w:ascii="Times New Roman" w:hAnsi="Times New Roman" w:cs="Times New Roman"/>
          <w:color w:val="000000" w:themeColor="text1"/>
        </w:rPr>
        <w:t xml:space="preserve">оглашение о гранте между Казахстаном и Международным банком реконструкции и развития по проекту </w:t>
      </w:r>
      <w:r w:rsidRPr="00F0736F">
        <w:rPr>
          <w:rFonts w:ascii="Times New Roman" w:hAnsi="Times New Roman" w:cs="Times New Roman"/>
          <w:bCs/>
          <w:color w:val="000000" w:themeColor="text1"/>
        </w:rPr>
        <w:t>«Повышение энергоэффективности в Казахстане»</w:t>
      </w:r>
      <w:r w:rsidRPr="00F0736F">
        <w:rPr>
          <w:rFonts w:ascii="Times New Roman" w:hAnsi="Times New Roman" w:cs="Times New Roman"/>
          <w:color w:val="000000" w:themeColor="text1"/>
        </w:rPr>
        <w:t xml:space="preserve"> на сумму 21,7 млн. долл</w:t>
      </w:r>
      <w:r w:rsidR="008E01F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США. С 2015 - 201</w:t>
      </w:r>
      <w:r w:rsidR="00C017AA" w:rsidRPr="00F0736F">
        <w:rPr>
          <w:rFonts w:ascii="Times New Roman" w:hAnsi="Times New Roman" w:cs="Times New Roman"/>
          <w:color w:val="000000" w:themeColor="text1"/>
        </w:rPr>
        <w:t>9 гг. в</w:t>
      </w:r>
      <w:r w:rsidRPr="00F0736F">
        <w:rPr>
          <w:rFonts w:ascii="Times New Roman" w:hAnsi="Times New Roman" w:cs="Times New Roman"/>
          <w:color w:val="000000" w:themeColor="text1"/>
        </w:rPr>
        <w:t xml:space="preserve"> проекте предусмотрена модернизация 97 государственных и социальных объектов (75 работы завершены), а также разработка НПА и НДТ и информационная</w:t>
      </w:r>
      <w:r w:rsidR="008E01F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компания. </w:t>
      </w:r>
      <w:r w:rsidR="000C171D" w:rsidRPr="00F0736F">
        <w:rPr>
          <w:rFonts w:ascii="Times New Roman" w:hAnsi="Times New Roman" w:cs="Times New Roman"/>
          <w:color w:val="000000" w:themeColor="text1"/>
        </w:rPr>
        <w:t xml:space="preserve">  </w:t>
      </w:r>
    </w:p>
    <w:p w14:paraId="428B9702"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2. В 2017 году завершена реализация проекта с Программой развития ООН </w:t>
      </w:r>
      <w:r w:rsidRPr="00F0736F">
        <w:rPr>
          <w:rFonts w:ascii="Times New Roman" w:hAnsi="Times New Roman" w:cs="Times New Roman"/>
          <w:bCs/>
          <w:color w:val="000000" w:themeColor="text1"/>
        </w:rPr>
        <w:t>«Продвижение энергоэффективного освещения в Казахстане»,</w:t>
      </w:r>
      <w:r w:rsidRPr="00F0736F">
        <w:rPr>
          <w:rFonts w:ascii="Times New Roman" w:hAnsi="Times New Roman" w:cs="Times New Roman"/>
          <w:color w:val="000000" w:themeColor="text1"/>
        </w:rPr>
        <w:t xml:space="preserve"> в рамках которого было модернизировано освещение 4 школ Акмолинской области, 3 школ ВКО, подъездов МЖД гг. Лисаковск, Сатпаев, Уральск, Актау, Алматы, Нур-Султан </w:t>
      </w:r>
      <w:r w:rsidRPr="00F0736F">
        <w:rPr>
          <w:rFonts w:ascii="Times New Roman" w:eastAsia="Calibri" w:hAnsi="Times New Roman" w:cs="Times New Roman"/>
          <w:color w:val="000000" w:themeColor="text1"/>
        </w:rPr>
        <w:t>(заменены 3200 шт. светильников)</w:t>
      </w:r>
      <w:r w:rsidRPr="00F0736F">
        <w:rPr>
          <w:rFonts w:ascii="Times New Roman" w:hAnsi="Times New Roman" w:cs="Times New Roman"/>
          <w:color w:val="000000" w:themeColor="text1"/>
        </w:rPr>
        <w:t>. В рамках проекта была проведена модернизация системы уличного освещения в 5 пилотных регионах (г. Аксу, г. Павлодар, с. Аксуат, с. Арнасай, г. Петропавловск), где было установлено энергоэффективное осветительное оборудование на основе LED с элементами автоматической системы управления. Проведена модернизации освещения в 9 медицинских учреждениях страны на сумму более 30 млн. тенге.</w:t>
      </w:r>
    </w:p>
    <w:p w14:paraId="002CFC1A" w14:textId="77777777" w:rsidR="00691A12" w:rsidRPr="00F0736F" w:rsidRDefault="00691A12" w:rsidP="008727D9">
      <w:pPr>
        <w:ind w:firstLine="709"/>
        <w:jc w:val="both"/>
        <w:rPr>
          <w:color w:val="000000" w:themeColor="text1"/>
        </w:rPr>
      </w:pPr>
      <w:r w:rsidRPr="00F0736F">
        <w:rPr>
          <w:rFonts w:ascii="Times New Roman" w:hAnsi="Times New Roman" w:cs="Times New Roman"/>
          <w:color w:val="000000" w:themeColor="text1"/>
        </w:rPr>
        <w:t xml:space="preserve">3. C 2015 года ПРООН при финансовой поддержке Глобального Экологического Фонда исполняет совместный с Правительством РК </w:t>
      </w:r>
      <w:r w:rsidR="001B6202" w:rsidRPr="00F0736F">
        <w:rPr>
          <w:rFonts w:ascii="Times New Roman" w:hAnsi="Times New Roman" w:cs="Times New Roman"/>
          <w:color w:val="000000" w:themeColor="text1"/>
        </w:rPr>
        <w:t>п</w:t>
      </w:r>
      <w:r w:rsidRPr="00F0736F">
        <w:rPr>
          <w:rFonts w:ascii="Times New Roman" w:hAnsi="Times New Roman" w:cs="Times New Roman"/>
          <w:color w:val="000000" w:themeColor="text1"/>
        </w:rPr>
        <w:t xml:space="preserve">роект </w:t>
      </w:r>
      <w:r w:rsidRPr="00F0736F">
        <w:rPr>
          <w:rFonts w:ascii="Times New Roman" w:hAnsi="Times New Roman" w:cs="Times New Roman"/>
          <w:bCs/>
          <w:color w:val="000000" w:themeColor="text1"/>
        </w:rPr>
        <w:t>«Устойчивые города для низкоуглеродного развития», в</w:t>
      </w:r>
      <w:r w:rsidRPr="00F0736F">
        <w:rPr>
          <w:rFonts w:ascii="Times New Roman" w:hAnsi="Times New Roman" w:cs="Times New Roman"/>
          <w:color w:val="000000" w:themeColor="text1"/>
        </w:rPr>
        <w:t xml:space="preserve"> рамках которого оказывается техническая и методологическая поддержка 15 отобранным пилотным городам, в подготовке и реализации низкоуглеродных (энергоэффективных) проектах в системах их городского хозяйства (системы теплопотребления, освещения, водоснабжения, канализации, зданий и пр.). </w:t>
      </w:r>
      <w:r w:rsidR="000C171D" w:rsidRPr="00F0736F">
        <w:rPr>
          <w:rFonts w:ascii="Times New Roman" w:hAnsi="Times New Roman" w:cs="Times New Roman"/>
          <w:color w:val="000000" w:themeColor="text1"/>
        </w:rPr>
        <w:t xml:space="preserve"> </w:t>
      </w:r>
    </w:p>
    <w:p w14:paraId="58D012CA" w14:textId="77777777" w:rsidR="00691A12" w:rsidRPr="00F0736F" w:rsidRDefault="00691A12" w:rsidP="008727D9">
      <w:pPr>
        <w:ind w:firstLine="709"/>
        <w:jc w:val="both"/>
        <w:rPr>
          <w:color w:val="000000" w:themeColor="text1"/>
        </w:rPr>
      </w:pPr>
      <w:r w:rsidRPr="00F0736F">
        <w:rPr>
          <w:rFonts w:ascii="Times New Roman" w:eastAsia="Calibri" w:hAnsi="Times New Roman" w:cs="Times New Roman"/>
          <w:color w:val="000000" w:themeColor="text1"/>
          <w:spacing w:val="2"/>
        </w:rPr>
        <w:t xml:space="preserve">4. </w:t>
      </w:r>
      <w:r w:rsidRPr="00F0736F">
        <w:rPr>
          <w:rFonts w:ascii="Times New Roman" w:hAnsi="Times New Roman" w:cs="Times New Roman"/>
          <w:color w:val="000000" w:themeColor="text1"/>
        </w:rPr>
        <w:t>Казахстанской программой Американского агентства по международному развитию (USAID) по сдерживанию изменения климата в 2014 - 2017 годах реализовано 24 пилотных проект</w:t>
      </w:r>
      <w:r w:rsidRPr="00F0736F">
        <w:rPr>
          <w:rFonts w:ascii="Times New Roman" w:hAnsi="Times New Roman" w:cs="Times New Roman"/>
          <w:color w:val="000000" w:themeColor="text1"/>
          <w:lang w:val="kk-KZ"/>
        </w:rPr>
        <w:t>а</w:t>
      </w:r>
      <w:r w:rsidRPr="00F0736F">
        <w:rPr>
          <w:rFonts w:ascii="Times New Roman" w:hAnsi="Times New Roman" w:cs="Times New Roman"/>
          <w:color w:val="000000" w:themeColor="text1"/>
        </w:rPr>
        <w:t xml:space="preserve"> по разработке систем энергетического менеджмента и мониторинга (СЭММ). </w:t>
      </w:r>
      <w:r w:rsidRPr="00F0736F">
        <w:rPr>
          <w:rFonts w:ascii="Times New Roman" w:eastAsia="Calibri" w:hAnsi="Times New Roman" w:cs="Times New Roman"/>
          <w:color w:val="000000" w:themeColor="text1"/>
          <w:spacing w:val="2"/>
        </w:rPr>
        <w:t>В настоящее время USAID оказывается содействие в запуске на 3 объектах здравоохранения Карагандинской, Павлодарской и Восточно-Казахстанской областей энергосервисных проектов через механизм государственно-частного партнерства.</w:t>
      </w:r>
    </w:p>
    <w:p w14:paraId="416DA2B4" w14:textId="77777777" w:rsidR="00691A12" w:rsidRPr="00F0736F" w:rsidRDefault="00691A12" w:rsidP="008727D9">
      <w:pPr>
        <w:ind w:firstLine="709"/>
        <w:jc w:val="both"/>
        <w:rPr>
          <w:color w:val="000000" w:themeColor="text1"/>
        </w:rPr>
      </w:pPr>
      <w:r w:rsidRPr="00F0736F">
        <w:rPr>
          <w:rFonts w:ascii="Times New Roman" w:eastAsia="Calibri" w:hAnsi="Times New Roman" w:cs="Times New Roman"/>
          <w:color w:val="000000" w:themeColor="text1"/>
          <w:spacing w:val="2"/>
        </w:rPr>
        <w:t xml:space="preserve">5. </w:t>
      </w:r>
      <w:r w:rsidRPr="00F0736F">
        <w:rPr>
          <w:rFonts w:ascii="Times New Roman" w:hAnsi="Times New Roman" w:cs="Times New Roman"/>
          <w:color w:val="000000" w:themeColor="text1"/>
        </w:rPr>
        <w:t>В 2017 году начата реализация нового проекта Правительства и ПРООН на 3,5 млн. долл</w:t>
      </w:r>
      <w:r w:rsidR="00C017A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США «Стандарты, сертификация и маркировка энергоэффективности электрических бытовых приборов и оборудования в Казахстане». Целью данного проекта является трансформация отечественного рынка для применения энергоэффективных приборов и оборудования, а также разработка минимальных и максимальных стандартов по энергоэффективности. В 2018 году разработано методологическое пособие по проведению экспресс-энергоаудитов электродвигателей и трансформаторов для энергоаудиторов, проведено социологическое исследование «Осведомленность потребителей о преимуществах энергоэффективного оборудования и приборов». Из 50 местных испытательных лабораторий определены 6 лабораторий по дальнейшей совместной работе по оснащению/дооснащению необходимыми приборами.</w:t>
      </w:r>
    </w:p>
    <w:p w14:paraId="2607BB05" w14:textId="77777777" w:rsidR="000C171D" w:rsidRPr="00F0736F" w:rsidRDefault="000C171D" w:rsidP="00075143">
      <w:pPr>
        <w:tabs>
          <w:tab w:val="left" w:pos="5313"/>
        </w:tabs>
        <w:ind w:firstLine="709"/>
        <w:jc w:val="both"/>
        <w:rPr>
          <w:rFonts w:ascii="Times New Roman" w:hAnsi="Times New Roman" w:cs="Times New Roman"/>
          <w:color w:val="000000" w:themeColor="text1"/>
        </w:rPr>
      </w:pPr>
    </w:p>
    <w:p w14:paraId="119E6A50" w14:textId="77777777" w:rsidR="00C017AA" w:rsidRPr="00F0736F" w:rsidRDefault="00F674A4" w:rsidP="008727D9">
      <w:pPr>
        <w:ind w:firstLine="709"/>
        <w:jc w:val="both"/>
        <w:rPr>
          <w:rFonts w:ascii="Times New Roman" w:hAnsi="Times New Roman" w:cs="Times New Roman"/>
          <w:b/>
          <w:bCs/>
          <w:i/>
          <w:iCs/>
          <w:color w:val="000000" w:themeColor="text1"/>
        </w:rPr>
      </w:pPr>
      <w:r w:rsidRPr="00F0736F">
        <w:rPr>
          <w:rFonts w:ascii="Times New Roman" w:hAnsi="Times New Roman" w:cs="Times New Roman"/>
          <w:b/>
          <w:bCs/>
          <w:i/>
          <w:iCs/>
          <w:color w:val="000000" w:themeColor="text1"/>
        </w:rPr>
        <w:t>Международный опыт</w:t>
      </w:r>
    </w:p>
    <w:p w14:paraId="05613B1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 начала 90-х годов прошлого века в мире популярно стало создание центров энергоэффективности.</w:t>
      </w:r>
    </w:p>
    <w:p w14:paraId="7E245B0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Подобные Центры редко существуют на принципах полной самоокупаемости и поддерживаются через государственные и международные программы повышения энергоэффективности. Назначение Центров варьируется в зависимости от уровня развития страны. </w:t>
      </w:r>
    </w:p>
    <w:p w14:paraId="53C644C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развивающихся странах Центры учреждаются в рамках международных программ различных финансовых институтов. Целью таких проектов является повышение осведомленности политиков и населения о преимуществах энергосбережения для снижения нагрузки на сети, о снижении загрязнения окружающей среды и эмиссии парниковых газов, а также повышение экспортного потенциала ТЭР.</w:t>
      </w:r>
    </w:p>
    <w:p w14:paraId="7848BF7C"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К примеру, Центр энергоэффективности Университета штата Орегон США</w:t>
      </w:r>
      <w:r w:rsidR="00C017AA" w:rsidRPr="00F0736F">
        <w:rPr>
          <w:rFonts w:ascii="Times New Roman" w:eastAsia="Times New Roman" w:hAnsi="Times New Roman" w:cs="Times New Roman"/>
          <w:color w:val="000000" w:themeColor="text1"/>
          <w:spacing w:val="2"/>
          <w:lang w:eastAsia="ru-RU"/>
        </w:rPr>
        <w:t xml:space="preserve"> (OSU EEC),</w:t>
      </w:r>
      <w:r w:rsidRPr="00F0736F">
        <w:rPr>
          <w:rFonts w:ascii="Times New Roman" w:eastAsia="Times New Roman" w:hAnsi="Times New Roman" w:cs="Times New Roman"/>
          <w:color w:val="000000" w:themeColor="text1"/>
          <w:spacing w:val="2"/>
          <w:lang w:eastAsia="ru-RU"/>
        </w:rPr>
        <w:t xml:space="preserve"> является научно-исследовательским центром, нацеленным на продвижение возобновляемых источников энергии и энергоэффективности в промышленном, сельскохозяйственном, коммерческом, институциональном и жилищном секторах. OSU ЕЕС является частью Центра оценки промышленности (IAC), созданного в рамках программы Министерства энергетики США. Программа IAC включает 26 центров, расположенных в университетах по всей стране. OSU ЕЕС был создан в 1986 г</w:t>
      </w:r>
      <w:r w:rsidR="00C017AA" w:rsidRPr="00F0736F">
        <w:rPr>
          <w:rFonts w:ascii="Times New Roman" w:eastAsia="Times New Roman" w:hAnsi="Times New Roman" w:cs="Times New Roman"/>
          <w:color w:val="000000" w:themeColor="text1"/>
          <w:spacing w:val="2"/>
          <w:lang w:eastAsia="ru-RU"/>
        </w:rPr>
        <w:t>оду</w:t>
      </w:r>
      <w:r w:rsidRPr="00F0736F">
        <w:rPr>
          <w:rFonts w:ascii="Times New Roman" w:eastAsia="Times New Roman" w:hAnsi="Times New Roman" w:cs="Times New Roman"/>
          <w:color w:val="000000" w:themeColor="text1"/>
          <w:spacing w:val="2"/>
          <w:lang w:eastAsia="ru-RU"/>
        </w:rPr>
        <w:t xml:space="preserve"> и накопил большой опыт в области энергоэффективности в промышленности. Министерство сельского хозяйства США предоставило Центру $100000 для проведения более 90 аудитов. Кроме того, Центр является разработчиком централизованного справочника по энергоэффективности. Цель этого проекта заключается в объединении большого объема информации об эффективности использования энергии. Справочник предназначен для открытого, публичного использования.</w:t>
      </w:r>
    </w:p>
    <w:p w14:paraId="19E6DF4D"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Центр энергоэффективности и технологий ВИЭ (CEERT), США. </w:t>
      </w:r>
      <w:r w:rsidRPr="00F0736F">
        <w:rPr>
          <w:rFonts w:ascii="Times New Roman" w:hAnsi="Times New Roman" w:cs="Times New Roman"/>
          <w:color w:val="000000" w:themeColor="text1"/>
        </w:rPr>
        <w:t xml:space="preserve">CEERT является некоммерческой общественной организацией, основанной в 1990 году. Базируется в г. Сакраменто, штат Калифорния. В команду Центра, его филиалов и Совет директоров входят профессиональные ученые, юристы, экономисты, эксперты в области политики, общественные адвокаты и предприниматели из области «зеленых» технологий. Центр осуществляет технические работы, разработку и внедрение политики, проводит информационно-пропагандистские кампании, фокусирующиеся на ключевых вопросах развития возобновляемых источников энергии. Активно сотрудничает с федеральными, региональными и местными энергетическими агентствами. </w:t>
      </w:r>
    </w:p>
    <w:p w14:paraId="49114C23" w14:textId="6A0022BE" w:rsidR="00AF1C11" w:rsidRPr="00F0736F" w:rsidRDefault="00F674A4" w:rsidP="00655ED1">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Мичиганские демонстрационные энергетические Центры, США</w:t>
      </w:r>
      <w:r w:rsidRPr="00F0736F">
        <w:rPr>
          <w:rFonts w:ascii="Times New Roman" w:eastAsia="Times New Roman" w:hAnsi="Times New Roman" w:cs="Times New Roman"/>
          <w:b/>
          <w:bCs/>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Общей </w:t>
      </w:r>
      <w:r w:rsidR="00C017AA" w:rsidRPr="00F0736F">
        <w:rPr>
          <w:rFonts w:ascii="Times New Roman" w:eastAsia="Times New Roman" w:hAnsi="Times New Roman" w:cs="Times New Roman"/>
          <w:color w:val="000000" w:themeColor="text1"/>
          <w:spacing w:val="2"/>
          <w:lang w:eastAsia="ru-RU"/>
        </w:rPr>
        <w:t>их чертой</w:t>
      </w:r>
      <w:r w:rsidR="008E01F1" w:rsidRPr="00F0736F">
        <w:rPr>
          <w:rFonts w:ascii="Times New Roman" w:eastAsia="Times New Roman" w:hAnsi="Times New Roman" w:cs="Times New Roman"/>
          <w:color w:val="000000" w:themeColor="text1"/>
          <w:spacing w:val="2"/>
          <w:lang w:eastAsia="ru-RU"/>
        </w:rPr>
        <w:t xml:space="preserve"> </w:t>
      </w:r>
      <w:r w:rsidRPr="00F0736F">
        <w:rPr>
          <w:rFonts w:ascii="Times New Roman" w:eastAsia="Times New Roman" w:hAnsi="Times New Roman" w:cs="Times New Roman"/>
          <w:color w:val="000000" w:themeColor="text1"/>
          <w:spacing w:val="2"/>
          <w:lang w:eastAsia="ru-RU"/>
        </w:rPr>
        <w:t>является статус самостоятельных некоммерческих неправительственных организаций, фокусирующихся на местных сообществах. Сеть представляет собой группу энергетических демонстрационных центров, расположенных по всему штату; организации учреждены для продвижения энергоэффективных и возобновляемых источников энергии; центры обучают население через практические,  интерактивные примеры; центры предоставляют возможность для жителей  Мичигана быть в авангарде эффективного использования энергии</w:t>
      </w:r>
      <w:r w:rsidR="00C017AA" w:rsidRPr="00F0736F">
        <w:rPr>
          <w:rFonts w:ascii="Times New Roman" w:eastAsia="Times New Roman" w:hAnsi="Times New Roman" w:cs="Times New Roman"/>
          <w:color w:val="000000" w:themeColor="text1"/>
          <w:spacing w:val="2"/>
          <w:lang w:eastAsia="ru-RU"/>
        </w:rPr>
        <w:t>.</w:t>
      </w:r>
      <w:r w:rsidR="00C017AA" w:rsidRPr="00F0736F">
        <w:rPr>
          <w:rStyle w:val="a4"/>
          <w:rFonts w:ascii="Times New Roman" w:eastAsia="Times New Roman" w:hAnsi="Times New Roman" w:cs="Times New Roman"/>
          <w:color w:val="000000" w:themeColor="text1"/>
          <w:spacing w:val="2"/>
          <w:lang w:eastAsia="ru-RU"/>
        </w:rPr>
        <w:footnoteReference w:id="43"/>
      </w:r>
      <w:r w:rsidRPr="00F0736F">
        <w:rPr>
          <w:rFonts w:ascii="Times New Roman" w:eastAsia="Times New Roman" w:hAnsi="Times New Roman" w:cs="Times New Roman"/>
          <w:color w:val="000000" w:themeColor="text1"/>
          <w:spacing w:val="2"/>
          <w:lang w:eastAsia="ru-RU"/>
        </w:rPr>
        <w:t xml:space="preserve"> </w:t>
      </w:r>
    </w:p>
    <w:p w14:paraId="37A2B946" w14:textId="77777777" w:rsidR="00AF1C11" w:rsidRPr="00F0736F" w:rsidRDefault="00AF1C11" w:rsidP="00075143">
      <w:pPr>
        <w:ind w:firstLine="709"/>
        <w:jc w:val="both"/>
        <w:rPr>
          <w:strike/>
          <w:color w:val="000000" w:themeColor="text1"/>
        </w:rPr>
      </w:pPr>
    </w:p>
    <w:p w14:paraId="78AA951B" w14:textId="77777777" w:rsidR="00F674A4" w:rsidRPr="00F0736F" w:rsidRDefault="00F674A4" w:rsidP="008727D9">
      <w:pPr>
        <w:ind w:firstLine="709"/>
        <w:jc w:val="both"/>
        <w:rPr>
          <w:color w:val="000000" w:themeColor="text1"/>
        </w:rPr>
      </w:pPr>
      <w:r w:rsidRPr="00F0736F">
        <w:rPr>
          <w:rFonts w:ascii="Times New Roman" w:hAnsi="Times New Roman" w:cs="Times New Roman"/>
          <w:i/>
          <w:iCs/>
          <w:color w:val="000000" w:themeColor="text1"/>
        </w:rPr>
        <w:t>Модернизация угольной генерации</w:t>
      </w:r>
    </w:p>
    <w:p w14:paraId="4327357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rPr>
        <w:t xml:space="preserve">Значительных результатов повышения энергоэффективности угольных электростанций показывает в последнее время Китай. </w:t>
      </w:r>
      <w:r w:rsidRPr="00F0736F">
        <w:rPr>
          <w:rFonts w:ascii="Times New Roman" w:hAnsi="Times New Roman" w:cs="Times New Roman"/>
          <w:color w:val="000000" w:themeColor="text1"/>
        </w:rPr>
        <w:t>В среднем по стране показатель потребления угля в электроэнергетике в 2015 году составил 315 г/кВт*ч, что на 55 г/кВт*ч меньше, чем в 2005 году.</w:t>
      </w:r>
    </w:p>
    <w:p w14:paraId="523B6F26" w14:textId="456FF7C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Суммарные выбросы PM, SO</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 xml:space="preserve"> и NOx тепловых электростанций в 2014 году </w:t>
      </w:r>
      <w:r w:rsidRPr="00F0736F">
        <w:rPr>
          <w:rStyle w:val="12"/>
          <w:rFonts w:ascii="Times New Roman" w:hAnsi="Times New Roman" w:cs="Times New Roman"/>
          <w:b w:val="0"/>
          <w:bCs w:val="0"/>
          <w:color w:val="000000" w:themeColor="text1"/>
        </w:rPr>
        <w:t>сократились наполовину по сравнению с 2006 годом</w:t>
      </w:r>
      <w:r w:rsidRPr="00F0736F">
        <w:rPr>
          <w:rFonts w:ascii="Times New Roman" w:hAnsi="Times New Roman" w:cs="Times New Roman"/>
          <w:b/>
          <w:bCs/>
          <w:color w:val="000000" w:themeColor="text1"/>
        </w:rPr>
        <w:t>.</w:t>
      </w:r>
      <w:r w:rsidRPr="00F0736F">
        <w:rPr>
          <w:rFonts w:ascii="Times New Roman" w:hAnsi="Times New Roman" w:cs="Times New Roman"/>
          <w:color w:val="000000" w:themeColor="text1"/>
        </w:rPr>
        <w:t xml:space="preserve"> Также отмечался экспоненциальный рост энергоблоков, работающих на ультрасверхкритических технологи</w:t>
      </w:r>
      <w:r w:rsidR="00C017AA" w:rsidRPr="00F0736F">
        <w:rPr>
          <w:rFonts w:ascii="Times New Roman" w:hAnsi="Times New Roman" w:cs="Times New Roman"/>
          <w:color w:val="000000" w:themeColor="text1"/>
        </w:rPr>
        <w:t>ях</w:t>
      </w:r>
      <w:r w:rsidRPr="00F0736F">
        <w:rPr>
          <w:rFonts w:ascii="Times New Roman" w:hAnsi="Times New Roman" w:cs="Times New Roman"/>
          <w:color w:val="000000" w:themeColor="text1"/>
        </w:rPr>
        <w:t xml:space="preserve"> подогрева пара</w:t>
      </w:r>
      <w:r w:rsidR="008E01F1" w:rsidRPr="00F0736F">
        <w:rPr>
          <w:rFonts w:ascii="Times New Roman" w:hAnsi="Times New Roman" w:cs="Times New Roman"/>
          <w:color w:val="000000" w:themeColor="text1"/>
        </w:rPr>
        <w:t>.</w:t>
      </w:r>
      <w:r w:rsidRPr="00F0736F">
        <w:rPr>
          <w:rStyle w:val="a4"/>
          <w:rFonts w:ascii="Times New Roman" w:hAnsi="Times New Roman" w:cs="Times New Roman"/>
          <w:color w:val="000000" w:themeColor="text1"/>
        </w:rPr>
        <w:footnoteReference w:id="44"/>
      </w:r>
      <w:r w:rsidRPr="00F0736F">
        <w:rPr>
          <w:rFonts w:ascii="Times New Roman" w:hAnsi="Times New Roman" w:cs="Times New Roman"/>
          <w:color w:val="000000" w:themeColor="text1"/>
        </w:rPr>
        <w:t xml:space="preserve"> </w:t>
      </w:r>
      <w:r w:rsidR="008E01F1"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 2014 году на неё приходилось 100 из 907 ГВт общей угольной мощности Китая. Сегодня, по данным S&amp;P Global Platts, 19% угольной мощности Китая функционирует на основе ультра-сверхкритической технологии, в 25% используются сверхкритические технологии, а 56% угольных станций работа</w:t>
      </w:r>
      <w:r w:rsidR="008E01F1" w:rsidRPr="00F0736F">
        <w:rPr>
          <w:rFonts w:ascii="Times New Roman" w:hAnsi="Times New Roman" w:cs="Times New Roman"/>
          <w:color w:val="000000" w:themeColor="text1"/>
        </w:rPr>
        <w:t>ют</w:t>
      </w:r>
      <w:r w:rsidRPr="00F0736F">
        <w:rPr>
          <w:rFonts w:ascii="Times New Roman" w:hAnsi="Times New Roman" w:cs="Times New Roman"/>
          <w:color w:val="000000" w:themeColor="text1"/>
        </w:rPr>
        <w:t xml:space="preserve"> на докритических параметрах пара.</w:t>
      </w:r>
    </w:p>
    <w:p w14:paraId="4D23D8E0" w14:textId="77777777" w:rsidR="00F674A4" w:rsidRPr="00F0736F" w:rsidRDefault="00F674A4" w:rsidP="008727D9">
      <w:pPr>
        <w:ind w:firstLine="709"/>
        <w:jc w:val="both"/>
        <w:rPr>
          <w:color w:val="000000" w:themeColor="text1"/>
        </w:rPr>
      </w:pPr>
      <w:bookmarkStart w:id="16" w:name="_Hlk56178106"/>
      <w:bookmarkStart w:id="17" w:name="_Hlk56178073"/>
      <w:r w:rsidRPr="00F0736F">
        <w:rPr>
          <w:rFonts w:ascii="Times New Roman" w:eastAsia="Calibri" w:hAnsi="Times New Roman" w:cs="Times New Roman"/>
          <w:color w:val="000000" w:themeColor="text1"/>
          <w:spacing w:val="2"/>
        </w:rPr>
        <w:t xml:space="preserve">В 2014 году Китай опубликовал «План действий по обновлению и реконструкции угольных электростанций для энергосбережения </w:t>
      </w:r>
      <w:bookmarkEnd w:id="16"/>
      <w:r w:rsidRPr="00F0736F">
        <w:rPr>
          <w:rFonts w:ascii="Times New Roman" w:eastAsia="Calibri" w:hAnsi="Times New Roman" w:cs="Times New Roman"/>
          <w:color w:val="000000" w:themeColor="text1"/>
          <w:spacing w:val="2"/>
        </w:rPr>
        <w:t xml:space="preserve">и сокращения выбросов», который устанавливает </w:t>
      </w:r>
      <w:r w:rsidRPr="00F0736F">
        <w:rPr>
          <w:rStyle w:val="12"/>
          <w:rFonts w:ascii="Times New Roman" w:eastAsia="Times New Roman" w:hAnsi="Times New Roman" w:cs="Times New Roman"/>
          <w:b w:val="0"/>
          <w:bCs w:val="0"/>
          <w:color w:val="000000" w:themeColor="text1"/>
          <w:spacing w:val="2"/>
        </w:rPr>
        <w:t>технические стандарты для новых и существующих угольных электростанций, вступающие в силу в 2020 году</w:t>
      </w:r>
      <w:r w:rsidRPr="00F0736F">
        <w:rPr>
          <w:rFonts w:ascii="Times New Roman" w:eastAsia="Calibri" w:hAnsi="Times New Roman" w:cs="Times New Roman"/>
          <w:color w:val="000000" w:themeColor="text1"/>
          <w:spacing w:val="2"/>
        </w:rPr>
        <w:t xml:space="preserve"> (с 2017 г</w:t>
      </w:r>
      <w:r w:rsidR="00C017AA" w:rsidRPr="00F0736F">
        <w:rPr>
          <w:rFonts w:ascii="Times New Roman" w:eastAsia="Calibri" w:hAnsi="Times New Roman" w:cs="Times New Roman"/>
          <w:color w:val="000000" w:themeColor="text1"/>
          <w:spacing w:val="2"/>
        </w:rPr>
        <w:t>.</w:t>
      </w:r>
      <w:r w:rsidRPr="00F0736F">
        <w:rPr>
          <w:rFonts w:ascii="Times New Roman" w:eastAsia="Calibri" w:hAnsi="Times New Roman" w:cs="Times New Roman"/>
          <w:color w:val="000000" w:themeColor="text1"/>
          <w:spacing w:val="2"/>
        </w:rPr>
        <w:t xml:space="preserve"> </w:t>
      </w:r>
      <w:r w:rsidR="007D670C" w:rsidRPr="00F0736F">
        <w:rPr>
          <w:rFonts w:ascii="Times New Roman" w:eastAsia="Calibri" w:hAnsi="Times New Roman" w:cs="Times New Roman"/>
          <w:color w:val="000000" w:themeColor="text1"/>
          <w:spacing w:val="2"/>
        </w:rPr>
        <w:t>-</w:t>
      </w:r>
      <w:r w:rsidRPr="00F0736F">
        <w:rPr>
          <w:rFonts w:ascii="Times New Roman" w:eastAsia="Calibri" w:hAnsi="Times New Roman" w:cs="Times New Roman"/>
          <w:color w:val="000000" w:themeColor="text1"/>
          <w:spacing w:val="2"/>
        </w:rPr>
        <w:t xml:space="preserve"> в Восточном Китае и с 2018 г </w:t>
      </w:r>
      <w:r w:rsidR="007D670C" w:rsidRPr="00F0736F">
        <w:rPr>
          <w:rFonts w:ascii="Times New Roman" w:eastAsia="Calibri" w:hAnsi="Times New Roman" w:cs="Times New Roman"/>
          <w:color w:val="000000" w:themeColor="text1"/>
          <w:spacing w:val="2"/>
        </w:rPr>
        <w:t>-</w:t>
      </w:r>
      <w:r w:rsidRPr="00F0736F">
        <w:rPr>
          <w:rFonts w:ascii="Times New Roman" w:eastAsia="Calibri" w:hAnsi="Times New Roman" w:cs="Times New Roman"/>
          <w:color w:val="000000" w:themeColor="text1"/>
          <w:spacing w:val="2"/>
        </w:rPr>
        <w:t xml:space="preserve"> в центральном Китае). </w:t>
      </w:r>
      <w:r w:rsidRPr="00F0736F">
        <w:rPr>
          <w:rStyle w:val="12"/>
          <w:rFonts w:ascii="Times New Roman" w:eastAsia="Times New Roman" w:hAnsi="Times New Roman" w:cs="Times New Roman"/>
          <w:b w:val="0"/>
          <w:bCs w:val="0"/>
          <w:color w:val="000000" w:themeColor="text1"/>
          <w:spacing w:val="2"/>
        </w:rPr>
        <w:t>Выбросы угольных электростанций должны находит</w:t>
      </w:r>
      <w:r w:rsidR="007D670C" w:rsidRPr="00F0736F">
        <w:rPr>
          <w:rStyle w:val="12"/>
          <w:rFonts w:ascii="Times New Roman" w:eastAsia="Times New Roman" w:hAnsi="Times New Roman" w:cs="Times New Roman"/>
          <w:b w:val="0"/>
          <w:bCs w:val="0"/>
          <w:color w:val="000000" w:themeColor="text1"/>
          <w:spacing w:val="2"/>
        </w:rPr>
        <w:t>ь</w:t>
      </w:r>
      <w:r w:rsidRPr="00F0736F">
        <w:rPr>
          <w:rStyle w:val="12"/>
          <w:rFonts w:ascii="Times New Roman" w:eastAsia="Times New Roman" w:hAnsi="Times New Roman" w:cs="Times New Roman"/>
          <w:b w:val="0"/>
          <w:bCs w:val="0"/>
          <w:color w:val="000000" w:themeColor="text1"/>
          <w:spacing w:val="2"/>
        </w:rPr>
        <w:t>ся примерно на одном уровне с газовой генерацией. Это более строгие стандарты, чем в Европейском союзе и США</w:t>
      </w:r>
      <w:r w:rsidR="00B34EE1" w:rsidRPr="00F0736F">
        <w:rPr>
          <w:rStyle w:val="12"/>
          <w:rFonts w:ascii="Times New Roman" w:eastAsia="Times New Roman" w:hAnsi="Times New Roman" w:cs="Times New Roman"/>
          <w:b w:val="0"/>
          <w:bCs w:val="0"/>
          <w:color w:val="000000" w:themeColor="text1"/>
          <w:spacing w:val="2"/>
        </w:rPr>
        <w:t xml:space="preserve"> </w:t>
      </w:r>
      <w:r w:rsidR="007D670C" w:rsidRPr="00F0736F">
        <w:rPr>
          <w:rStyle w:val="12"/>
          <w:rFonts w:ascii="Times New Roman" w:eastAsia="Times New Roman" w:hAnsi="Times New Roman" w:cs="Times New Roman"/>
          <w:b w:val="0"/>
          <w:bCs w:val="0"/>
          <w:color w:val="000000" w:themeColor="text1"/>
          <w:spacing w:val="2"/>
        </w:rPr>
        <w:t>(т</w:t>
      </w:r>
      <w:r w:rsidR="00B34EE1" w:rsidRPr="00F0736F">
        <w:rPr>
          <w:rStyle w:val="12"/>
          <w:rFonts w:ascii="Times New Roman" w:eastAsia="Times New Roman" w:hAnsi="Times New Roman" w:cs="Times New Roman"/>
          <w:b w:val="0"/>
          <w:bCs w:val="0"/>
          <w:color w:val="000000" w:themeColor="text1"/>
          <w:spacing w:val="2"/>
        </w:rPr>
        <w:t>аблица 1.3.4.)</w:t>
      </w:r>
      <w:r w:rsidRPr="00F0736F">
        <w:rPr>
          <w:rStyle w:val="12"/>
          <w:rFonts w:ascii="Times New Roman" w:eastAsia="Times New Roman" w:hAnsi="Times New Roman" w:cs="Times New Roman"/>
          <w:b w:val="0"/>
          <w:bCs w:val="0"/>
          <w:color w:val="000000" w:themeColor="text1"/>
          <w:spacing w:val="2"/>
        </w:rPr>
        <w:t>.</w:t>
      </w:r>
    </w:p>
    <w:bookmarkEnd w:id="17"/>
    <w:p w14:paraId="7343DB92" w14:textId="77777777" w:rsidR="00B34EE1" w:rsidRPr="00F0736F" w:rsidRDefault="00B34EE1" w:rsidP="008727D9">
      <w:pPr>
        <w:ind w:firstLine="709"/>
        <w:jc w:val="both"/>
        <w:rPr>
          <w:color w:val="000000" w:themeColor="text1"/>
        </w:rPr>
      </w:pPr>
      <w:r w:rsidRPr="00F0736F">
        <w:rPr>
          <w:rFonts w:ascii="Times New Roman" w:hAnsi="Times New Roman" w:cs="Times New Roman"/>
          <w:color w:val="000000" w:themeColor="text1"/>
        </w:rPr>
        <w:t xml:space="preserve">Он также предусматривает, что новые пылеугольные блоки мощностью более 600 МВт должны работать только по ультрасверхкритической технологии, а пылеугольные котлоагрегаты и пылеугольные установки с кипящим слоем мощностью более 300 МВт должны использовать только сверхкритические технологии. </w:t>
      </w:r>
    </w:p>
    <w:p w14:paraId="0D4B53D9" w14:textId="77777777" w:rsidR="00F674A4" w:rsidRPr="00F0736F" w:rsidRDefault="00F674A4" w:rsidP="008727D9">
      <w:pPr>
        <w:ind w:firstLine="709"/>
        <w:jc w:val="both"/>
        <w:rPr>
          <w:color w:val="000000" w:themeColor="text1"/>
        </w:rPr>
      </w:pPr>
    </w:p>
    <w:p w14:paraId="1DDC5D36" w14:textId="738090AF"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1.3.</w:t>
      </w:r>
      <w:r w:rsidR="00B34EE1" w:rsidRPr="00F0736F">
        <w:rPr>
          <w:rFonts w:ascii="Times New Roman" w:hAnsi="Times New Roman" w:cs="Times New Roman"/>
          <w:color w:val="000000" w:themeColor="text1"/>
        </w:rPr>
        <w:t>4</w:t>
      </w:r>
      <w:r w:rsidRPr="00F0736F">
        <w:rPr>
          <w:rFonts w:ascii="Times New Roman" w:hAnsi="Times New Roman" w:cs="Times New Roman"/>
          <w:color w:val="000000" w:themeColor="text1"/>
        </w:rPr>
        <w:t>. Нормативы выбросов угольных электростанций в Китае в сравнении с США и ЕС</w:t>
      </w:r>
      <w:r w:rsidR="00923645" w:rsidRPr="00F0736F">
        <w:rPr>
          <w:rFonts w:ascii="Times New Roman" w:hAnsi="Times New Roman" w:cs="Times New Roman"/>
          <w:color w:val="000000" w:themeColor="text1"/>
        </w:rPr>
        <w:t>(</w:t>
      </w:r>
      <w:r w:rsidR="00923645" w:rsidRPr="00F0736F">
        <w:rPr>
          <w:rFonts w:ascii="Times New Roman" w:hAnsi="Times New Roman" w:cs="Times New Roman"/>
          <w:color w:val="000000" w:themeColor="text1"/>
          <w:lang w:val="en-US"/>
        </w:rPr>
        <w:t>mg</w:t>
      </w:r>
      <w:r w:rsidR="00923645" w:rsidRPr="00F0736F">
        <w:rPr>
          <w:rFonts w:ascii="Times New Roman" w:hAnsi="Times New Roman" w:cs="Times New Roman"/>
          <w:color w:val="000000" w:themeColor="text1"/>
        </w:rPr>
        <w:t>/</w:t>
      </w:r>
      <w:r w:rsidR="00923645" w:rsidRPr="00F0736F">
        <w:rPr>
          <w:rFonts w:ascii="Times New Roman" w:hAnsi="Times New Roman" w:cs="Times New Roman"/>
          <w:color w:val="000000" w:themeColor="text1"/>
          <w:lang w:val="en-US"/>
        </w:rPr>
        <w:t>m</w:t>
      </w:r>
      <w:r w:rsidR="00923645" w:rsidRPr="00F0736F">
        <w:rPr>
          <w:rFonts w:ascii="Times New Roman" w:hAnsi="Times New Roman" w:cs="Times New Roman"/>
          <w:color w:val="000000" w:themeColor="text1"/>
          <w:vertAlign w:val="superscript"/>
        </w:rPr>
        <w:t>3</w:t>
      </w:r>
      <w:r w:rsidR="00923645" w:rsidRPr="00F0736F">
        <w:rPr>
          <w:rFonts w:ascii="Times New Roman" w:hAnsi="Times New Roman" w:cs="Times New Roman"/>
          <w:color w:val="000000" w:themeColor="text1"/>
        </w:rPr>
        <w:t>)</w:t>
      </w:r>
    </w:p>
    <w:p w14:paraId="263B8728" w14:textId="77777777" w:rsidR="008E01F1" w:rsidRPr="00F0736F" w:rsidRDefault="008E01F1" w:rsidP="008727D9">
      <w:pPr>
        <w:ind w:firstLine="709"/>
        <w:jc w:val="both"/>
        <w:rPr>
          <w:color w:val="000000" w:themeColor="text1"/>
        </w:rPr>
      </w:pPr>
    </w:p>
    <w:tbl>
      <w:tblPr>
        <w:tblW w:w="4913" w:type="pct"/>
        <w:tblInd w:w="108" w:type="dxa"/>
        <w:tblLayout w:type="fixed"/>
        <w:tblLook w:val="0000" w:firstRow="0" w:lastRow="0" w:firstColumn="0" w:lastColumn="0" w:noHBand="0" w:noVBand="0"/>
      </w:tblPr>
      <w:tblGrid>
        <w:gridCol w:w="2258"/>
        <w:gridCol w:w="2307"/>
        <w:gridCol w:w="2551"/>
        <w:gridCol w:w="2552"/>
      </w:tblGrid>
      <w:tr w:rsidR="00F0736F" w:rsidRPr="00F0736F" w14:paraId="43E0E3D6" w14:textId="77777777" w:rsidTr="00DE0B52">
        <w:trPr>
          <w:trHeight w:val="330"/>
        </w:trPr>
        <w:tc>
          <w:tcPr>
            <w:tcW w:w="2258" w:type="dxa"/>
            <w:tcBorders>
              <w:top w:val="single" w:sz="4" w:space="0" w:color="000000"/>
              <w:left w:val="single" w:sz="4" w:space="0" w:color="000000"/>
              <w:bottom w:val="single" w:sz="4" w:space="0" w:color="000000"/>
            </w:tcBorders>
            <w:shd w:val="clear" w:color="auto" w:fill="auto"/>
            <w:vAlign w:val="center"/>
          </w:tcPr>
          <w:p w14:paraId="29F0AEFE" w14:textId="77777777" w:rsidR="00F674A4" w:rsidRPr="00F0736F" w:rsidRDefault="008748FB" w:rsidP="008E01F1">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Виды выбросов</w:t>
            </w:r>
          </w:p>
        </w:tc>
        <w:tc>
          <w:tcPr>
            <w:tcW w:w="2307" w:type="dxa"/>
            <w:tcBorders>
              <w:top w:val="single" w:sz="4" w:space="0" w:color="000000"/>
              <w:left w:val="single" w:sz="4" w:space="0" w:color="000000"/>
              <w:bottom w:val="single" w:sz="4" w:space="0" w:color="000000"/>
            </w:tcBorders>
            <w:shd w:val="clear" w:color="auto" w:fill="auto"/>
          </w:tcPr>
          <w:p w14:paraId="11761FF7"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Китай (новые)</w:t>
            </w:r>
          </w:p>
        </w:tc>
        <w:tc>
          <w:tcPr>
            <w:tcW w:w="2551" w:type="dxa"/>
            <w:tcBorders>
              <w:top w:val="single" w:sz="4" w:space="0" w:color="000000"/>
              <w:left w:val="single" w:sz="4" w:space="0" w:color="000000"/>
              <w:bottom w:val="single" w:sz="4" w:space="0" w:color="000000"/>
            </w:tcBorders>
            <w:shd w:val="clear" w:color="auto" w:fill="auto"/>
          </w:tcPr>
          <w:p w14:paraId="7BB50A76"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США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B5F58DC"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ЕС</w:t>
            </w:r>
          </w:p>
        </w:tc>
      </w:tr>
      <w:tr w:rsidR="00F0736F" w:rsidRPr="00F0736F" w14:paraId="5FCFBD57" w14:textId="77777777" w:rsidTr="00DE0B52">
        <w:trPr>
          <w:trHeight w:val="330"/>
        </w:trPr>
        <w:tc>
          <w:tcPr>
            <w:tcW w:w="2258" w:type="dxa"/>
            <w:tcBorders>
              <w:top w:val="single" w:sz="4" w:space="0" w:color="000000"/>
              <w:left w:val="single" w:sz="4" w:space="0" w:color="000000"/>
              <w:bottom w:val="single" w:sz="4" w:space="0" w:color="000000"/>
            </w:tcBorders>
            <w:shd w:val="clear" w:color="auto" w:fill="auto"/>
          </w:tcPr>
          <w:p w14:paraId="25916295" w14:textId="77777777" w:rsidR="00F674A4" w:rsidRPr="00F0736F" w:rsidRDefault="00F674A4" w:rsidP="00075143">
            <w:pPr>
              <w:jc w:val="both"/>
              <w:rPr>
                <w:color w:val="000000" w:themeColor="text1"/>
              </w:rPr>
            </w:pPr>
            <w:r w:rsidRPr="00F0736F">
              <w:rPr>
                <w:rFonts w:ascii="Times New Roman" w:hAnsi="Times New Roman" w:cs="Times New Roman"/>
                <w:color w:val="000000" w:themeColor="text1"/>
                <w:sz w:val="20"/>
                <w:szCs w:val="20"/>
              </w:rPr>
              <w:t>Оксиды азота</w:t>
            </w:r>
          </w:p>
        </w:tc>
        <w:tc>
          <w:tcPr>
            <w:tcW w:w="2307" w:type="dxa"/>
            <w:tcBorders>
              <w:top w:val="single" w:sz="4" w:space="0" w:color="000000"/>
              <w:left w:val="single" w:sz="4" w:space="0" w:color="000000"/>
              <w:bottom w:val="single" w:sz="4" w:space="0" w:color="000000"/>
            </w:tcBorders>
            <w:shd w:val="clear" w:color="auto" w:fill="auto"/>
          </w:tcPr>
          <w:p w14:paraId="557FBFCD"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100</w:t>
            </w:r>
          </w:p>
        </w:tc>
        <w:tc>
          <w:tcPr>
            <w:tcW w:w="2551" w:type="dxa"/>
            <w:tcBorders>
              <w:top w:val="single" w:sz="4" w:space="0" w:color="000000"/>
              <w:left w:val="single" w:sz="4" w:space="0" w:color="000000"/>
              <w:bottom w:val="single" w:sz="4" w:space="0" w:color="000000"/>
            </w:tcBorders>
            <w:shd w:val="clear" w:color="auto" w:fill="auto"/>
          </w:tcPr>
          <w:p w14:paraId="20EDF4DD"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135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3D79082"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200</w:t>
            </w:r>
          </w:p>
        </w:tc>
      </w:tr>
      <w:tr w:rsidR="00F0736F" w:rsidRPr="00F0736F" w14:paraId="31CAEF81" w14:textId="77777777" w:rsidTr="00DE0B52">
        <w:trPr>
          <w:trHeight w:val="330"/>
        </w:trPr>
        <w:tc>
          <w:tcPr>
            <w:tcW w:w="2258" w:type="dxa"/>
            <w:tcBorders>
              <w:top w:val="single" w:sz="4" w:space="0" w:color="000000"/>
              <w:left w:val="single" w:sz="4" w:space="0" w:color="000000"/>
              <w:bottom w:val="single" w:sz="4" w:space="0" w:color="000000"/>
            </w:tcBorders>
            <w:shd w:val="clear" w:color="auto" w:fill="auto"/>
          </w:tcPr>
          <w:p w14:paraId="3F9FA4F2" w14:textId="77777777" w:rsidR="00F674A4" w:rsidRPr="00F0736F" w:rsidRDefault="00F674A4" w:rsidP="00075143">
            <w:pPr>
              <w:jc w:val="both"/>
              <w:rPr>
                <w:color w:val="000000" w:themeColor="text1"/>
              </w:rPr>
            </w:pPr>
            <w:r w:rsidRPr="00F0736F">
              <w:rPr>
                <w:rFonts w:ascii="Times New Roman" w:hAnsi="Times New Roman" w:cs="Times New Roman"/>
                <w:color w:val="000000" w:themeColor="text1"/>
                <w:sz w:val="20"/>
                <w:szCs w:val="20"/>
              </w:rPr>
              <w:t>Оксиды серы</w:t>
            </w:r>
          </w:p>
        </w:tc>
        <w:tc>
          <w:tcPr>
            <w:tcW w:w="2307" w:type="dxa"/>
            <w:tcBorders>
              <w:top w:val="single" w:sz="4" w:space="0" w:color="000000"/>
              <w:left w:val="single" w:sz="4" w:space="0" w:color="000000"/>
              <w:bottom w:val="single" w:sz="4" w:space="0" w:color="000000"/>
            </w:tcBorders>
            <w:shd w:val="clear" w:color="auto" w:fill="auto"/>
          </w:tcPr>
          <w:p w14:paraId="6A87B8CB"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200</w:t>
            </w:r>
          </w:p>
        </w:tc>
        <w:tc>
          <w:tcPr>
            <w:tcW w:w="2551" w:type="dxa"/>
            <w:tcBorders>
              <w:top w:val="single" w:sz="4" w:space="0" w:color="000000"/>
              <w:left w:val="single" w:sz="4" w:space="0" w:color="000000"/>
              <w:bottom w:val="single" w:sz="4" w:space="0" w:color="000000"/>
            </w:tcBorders>
            <w:shd w:val="clear" w:color="auto" w:fill="auto"/>
          </w:tcPr>
          <w:p w14:paraId="73C93EA0"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185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A747C23"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200</w:t>
            </w:r>
          </w:p>
        </w:tc>
      </w:tr>
      <w:tr w:rsidR="00F674A4" w:rsidRPr="00F0736F" w14:paraId="50F80AB4" w14:textId="77777777" w:rsidTr="00DE0B52">
        <w:trPr>
          <w:trHeight w:val="345"/>
        </w:trPr>
        <w:tc>
          <w:tcPr>
            <w:tcW w:w="2258" w:type="dxa"/>
            <w:tcBorders>
              <w:top w:val="single" w:sz="4" w:space="0" w:color="000000"/>
              <w:left w:val="single" w:sz="4" w:space="0" w:color="000000"/>
              <w:bottom w:val="single" w:sz="4" w:space="0" w:color="000000"/>
            </w:tcBorders>
            <w:shd w:val="clear" w:color="auto" w:fill="auto"/>
          </w:tcPr>
          <w:p w14:paraId="515308D2" w14:textId="77777777" w:rsidR="00F674A4" w:rsidRPr="00F0736F" w:rsidRDefault="00F674A4" w:rsidP="00075143">
            <w:pPr>
              <w:jc w:val="both"/>
              <w:rPr>
                <w:color w:val="000000" w:themeColor="text1"/>
              </w:rPr>
            </w:pPr>
            <w:r w:rsidRPr="00F0736F">
              <w:rPr>
                <w:rFonts w:ascii="Times New Roman" w:hAnsi="Times New Roman" w:cs="Times New Roman"/>
                <w:color w:val="000000" w:themeColor="text1"/>
                <w:sz w:val="20"/>
                <w:szCs w:val="20"/>
              </w:rPr>
              <w:t>Твердые частицы</w:t>
            </w:r>
          </w:p>
        </w:tc>
        <w:tc>
          <w:tcPr>
            <w:tcW w:w="2307" w:type="dxa"/>
            <w:tcBorders>
              <w:top w:val="single" w:sz="4" w:space="0" w:color="000000"/>
              <w:left w:val="single" w:sz="4" w:space="0" w:color="000000"/>
              <w:bottom w:val="single" w:sz="4" w:space="0" w:color="000000"/>
            </w:tcBorders>
            <w:shd w:val="clear" w:color="auto" w:fill="auto"/>
          </w:tcPr>
          <w:p w14:paraId="79863BC6"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30</w:t>
            </w:r>
          </w:p>
        </w:tc>
        <w:tc>
          <w:tcPr>
            <w:tcW w:w="2551" w:type="dxa"/>
            <w:tcBorders>
              <w:top w:val="single" w:sz="4" w:space="0" w:color="000000"/>
              <w:left w:val="single" w:sz="4" w:space="0" w:color="000000"/>
              <w:bottom w:val="single" w:sz="4" w:space="0" w:color="000000"/>
            </w:tcBorders>
            <w:shd w:val="clear" w:color="auto" w:fill="auto"/>
          </w:tcPr>
          <w:p w14:paraId="2DB012D1"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6CEA761" w14:textId="77777777" w:rsidR="00F674A4" w:rsidRPr="00F0736F" w:rsidRDefault="00F674A4" w:rsidP="00DE0B52">
            <w:pPr>
              <w:jc w:val="center"/>
              <w:rPr>
                <w:color w:val="000000" w:themeColor="text1"/>
              </w:rPr>
            </w:pPr>
            <w:r w:rsidRPr="00F0736F">
              <w:rPr>
                <w:rFonts w:ascii="Times New Roman" w:hAnsi="Times New Roman" w:cs="Times New Roman"/>
                <w:color w:val="000000" w:themeColor="text1"/>
                <w:sz w:val="20"/>
                <w:szCs w:val="20"/>
              </w:rPr>
              <w:t>20</w:t>
            </w:r>
          </w:p>
        </w:tc>
      </w:tr>
    </w:tbl>
    <w:p w14:paraId="56BF8CC2" w14:textId="77777777" w:rsidR="00F674A4" w:rsidRPr="00F0736F" w:rsidRDefault="00F674A4" w:rsidP="008727D9">
      <w:pPr>
        <w:ind w:firstLine="709"/>
        <w:jc w:val="both"/>
        <w:rPr>
          <w:rFonts w:ascii="Times New Roman" w:hAnsi="Times New Roman" w:cs="Times New Roman"/>
          <w:color w:val="000000" w:themeColor="text1"/>
        </w:rPr>
      </w:pPr>
    </w:p>
    <w:p w14:paraId="0D87C18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Чтобы стимулировать применение высокоэффективных технологий с низким уровнем выбросов, правительство Китая ввело с 2016 года специальные фиксированные тарифы на электроэнергию, производимую на установках с низким уровнем выбросов.</w:t>
      </w:r>
    </w:p>
    <w:p w14:paraId="2C1708D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Центр американского прогресса (</w:t>
      </w:r>
      <w:r w:rsidRPr="00F0736F">
        <w:rPr>
          <w:rFonts w:ascii="Times New Roman" w:hAnsi="Times New Roman" w:cs="Times New Roman"/>
          <w:color w:val="000000" w:themeColor="text1"/>
          <w:lang w:val="en-US"/>
        </w:rPr>
        <w:t>Center</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American</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Progress</w:t>
      </w:r>
      <w:r w:rsidRPr="00F0736F">
        <w:rPr>
          <w:rFonts w:ascii="Times New Roman" w:hAnsi="Times New Roman" w:cs="Times New Roman"/>
          <w:color w:val="000000" w:themeColor="text1"/>
        </w:rPr>
        <w:t>) в мае 2017 года опубликовал доклад о китайской угольной генерации Китая</w:t>
      </w:r>
      <w:r w:rsidRPr="00F0736F">
        <w:rPr>
          <w:rStyle w:val="a4"/>
          <w:rFonts w:ascii="Times New Roman" w:hAnsi="Times New Roman" w:cs="Times New Roman"/>
          <w:color w:val="000000" w:themeColor="text1"/>
        </w:rPr>
        <w:footnoteReference w:id="45"/>
      </w:r>
      <w:r w:rsidRPr="00F0736F">
        <w:rPr>
          <w:rFonts w:ascii="Times New Roman" w:hAnsi="Times New Roman" w:cs="Times New Roman"/>
          <w:color w:val="000000" w:themeColor="text1"/>
        </w:rPr>
        <w:t>. Согласно данному докладу, Правительство Китая ставит следующие требования: 2020 году все угольные электростанции по всей стране должны достичь следующих стандартов эффективности или закрыться: 300 [г у.т./кВт*ч] для всех новых установок и 310 [г у.т./кВт*ч] для всех существующих установок.</w:t>
      </w:r>
    </w:p>
    <w:p w14:paraId="0ABBFD6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Показатели 100 наиболее эффективных угольных электростанций в Китае: от 271,56 [г у.т./кВт*ч] до 294,88 [г у.т./кВт*ч ч]. «В настоящее время ни одна электростанция США из топ-100 не сможет соответствовать этим стандартам эффективности», — отмечают авторы доклада. Самая старая из сотни самых эффективных китайских угольных электростанций была построена в 2006 году. То есть Китай обладает новейшим (и современнейшим) парком угольных энергоблоков. В США всего одна угольная электростанция в топ-100 работает по суперсверхкритической технологии, в первой китайской сотне таких электростанций – 69.</w:t>
      </w:r>
    </w:p>
    <w:p w14:paraId="68F5EAB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При этом необходимо понимать, что 68% электроэнергии Китая вырабатывается на угле, и в период бурного экономического роста с конца 90-х годов, генерация росла в основном за </w:t>
      </w:r>
      <w:r w:rsidR="007D670C"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чет строительства угольных блоков средней мощности на докритических параметрах пар</w:t>
      </w:r>
      <w:r w:rsidR="007D670C" w:rsidRPr="00F0736F">
        <w:rPr>
          <w:rFonts w:ascii="Times New Roman" w:hAnsi="Times New Roman" w:cs="Times New Roman"/>
          <w:color w:val="000000" w:themeColor="text1"/>
        </w:rPr>
        <w:t>а. При этом доля ТЭЦ в Китае не</w:t>
      </w:r>
      <w:r w:rsidRPr="00F0736F">
        <w:rPr>
          <w:rFonts w:ascii="Times New Roman" w:hAnsi="Times New Roman" w:cs="Times New Roman"/>
          <w:color w:val="000000" w:themeColor="text1"/>
        </w:rPr>
        <w:t>значительна, основу составляют конденсационные электростанции.</w:t>
      </w:r>
    </w:p>
    <w:p w14:paraId="3D3AE140" w14:textId="23995E6E"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Казахстана в период модернизации угольной генерации наиболее важен будет опыт Китая в части внедрения угольных энергоблоков на ультрасверхкритических параметрах пара</w:t>
      </w:r>
      <w:r w:rsidR="008748FB" w:rsidRPr="00F0736F">
        <w:rPr>
          <w:rFonts w:ascii="Times New Roman" w:hAnsi="Times New Roman" w:cs="Times New Roman"/>
          <w:color w:val="000000" w:themeColor="text1"/>
        </w:rPr>
        <w:t xml:space="preserve"> (Рис. 1.3.</w:t>
      </w:r>
      <w:r w:rsidR="00DE0B52" w:rsidRPr="00F0736F">
        <w:rPr>
          <w:rFonts w:ascii="Times New Roman" w:hAnsi="Times New Roman" w:cs="Times New Roman"/>
          <w:color w:val="000000" w:themeColor="text1"/>
        </w:rPr>
        <w:t>3</w:t>
      </w:r>
      <w:r w:rsidR="008748F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p>
    <w:p w14:paraId="16E01B82" w14:textId="77777777" w:rsidR="00F674A4" w:rsidRPr="00F0736F" w:rsidRDefault="00F674A4" w:rsidP="008727D9">
      <w:pPr>
        <w:ind w:firstLine="709"/>
        <w:jc w:val="both"/>
        <w:rPr>
          <w:rFonts w:ascii="Times New Roman" w:hAnsi="Times New Roman" w:cs="Times New Roman"/>
          <w:color w:val="000000" w:themeColor="text1"/>
        </w:rPr>
      </w:pPr>
    </w:p>
    <w:p w14:paraId="2E8C1A1A" w14:textId="77777777" w:rsidR="00F674A4" w:rsidRPr="00F0736F" w:rsidRDefault="00797A05" w:rsidP="00DE0B52">
      <w:pPr>
        <w:jc w:val="center"/>
        <w:rPr>
          <w:rFonts w:ascii="Times New Roman" w:hAnsi="Times New Roman" w:cs="Times New Roman"/>
          <w:color w:val="000000" w:themeColor="text1"/>
        </w:rPr>
      </w:pPr>
      <w:r w:rsidRPr="00F0736F">
        <w:rPr>
          <w:rFonts w:ascii="Times New Roman" w:hAnsi="Times New Roman" w:cs="Times New Roman"/>
          <w:noProof/>
          <w:color w:val="000000" w:themeColor="text1"/>
          <w:lang w:eastAsia="ru-RU" w:bidi="ar-SA"/>
        </w:rPr>
        <w:drawing>
          <wp:inline distT="0" distB="0" distL="0" distR="0" wp14:anchorId="41E88851" wp14:editId="10C262B8">
            <wp:extent cx="5734050" cy="193357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34050" cy="1933575"/>
                    </a:xfrm>
                    <a:prstGeom prst="rect">
                      <a:avLst/>
                    </a:prstGeom>
                    <a:solidFill>
                      <a:srgbClr val="FFFFFF"/>
                    </a:solidFill>
                    <a:ln w="9525" cmpd="sng">
                      <a:solidFill>
                        <a:srgbClr val="000080"/>
                      </a:solidFill>
                      <a:miter lim="800000"/>
                      <a:headEnd/>
                      <a:tailEnd/>
                    </a:ln>
                    <a:effectLst/>
                  </pic:spPr>
                </pic:pic>
              </a:graphicData>
            </a:graphic>
          </wp:inline>
        </w:drawing>
      </w:r>
    </w:p>
    <w:p w14:paraId="4FD2230C" w14:textId="77777777" w:rsidR="00F674A4" w:rsidRPr="00F0736F" w:rsidRDefault="00F674A4" w:rsidP="008727D9">
      <w:pPr>
        <w:ind w:firstLine="709"/>
        <w:jc w:val="both"/>
        <w:rPr>
          <w:rFonts w:ascii="Times New Roman" w:hAnsi="Times New Roman" w:cs="Times New Roman"/>
          <w:color w:val="000000" w:themeColor="text1"/>
        </w:rPr>
      </w:pPr>
    </w:p>
    <w:p w14:paraId="4B9767C3" w14:textId="19BEEFA6"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 1.3.</w:t>
      </w:r>
      <w:r w:rsidR="00DE0B52"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 Динамика внедрения новых технологий сжигания угля в Китае.</w:t>
      </w:r>
    </w:p>
    <w:p w14:paraId="0A748CF8" w14:textId="77777777" w:rsidR="00F674A4" w:rsidRPr="00F0736F" w:rsidRDefault="00F674A4" w:rsidP="008727D9">
      <w:pPr>
        <w:ind w:firstLine="709"/>
        <w:jc w:val="both"/>
        <w:rPr>
          <w:rFonts w:ascii="Times New Roman" w:hAnsi="Times New Roman" w:cs="Times New Roman"/>
          <w:color w:val="000000" w:themeColor="text1"/>
        </w:rPr>
      </w:pPr>
    </w:p>
    <w:p w14:paraId="3450B380" w14:textId="6CEE5115"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Достижения в увеличении высокоэффективных мощностей были во многом обусловлены гигантскими инвестициями Китая в НИОКР. Пятилетние планы определяли приоритетность развития передовых технологий </w:t>
      </w:r>
      <w:r w:rsidR="007D670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крупномасштабных суперсверхкритических и CFB-энергоблоков, а также объектов комбинированного цикла с внутренней газификацией угля (IGCC) и улавливания углерода.</w:t>
      </w:r>
    </w:p>
    <w:p w14:paraId="17031230" w14:textId="77777777" w:rsidR="00B8452D" w:rsidRPr="00F0736F" w:rsidRDefault="00423D1A" w:rsidP="00011840">
      <w:pPr>
        <w:widowControl w:val="0"/>
        <w:autoSpaceDN w:val="0"/>
        <w:ind w:firstLine="709"/>
        <w:jc w:val="both"/>
        <w:textAlignment w:val="baseline"/>
        <w:rPr>
          <w:rFonts w:ascii="Times New Roman" w:eastAsia="SimSun" w:hAnsi="Times New Roman" w:cs="Times New Roman"/>
          <w:color w:val="000000" w:themeColor="text1"/>
          <w:kern w:val="3"/>
          <w:lang w:eastAsia="en-US"/>
        </w:rPr>
      </w:pPr>
      <w:r w:rsidRPr="00F0736F">
        <w:rPr>
          <w:rFonts w:ascii="Times New Roman" w:eastAsia="SimSun" w:hAnsi="Times New Roman" w:cs="Times New Roman"/>
          <w:color w:val="000000" w:themeColor="text1"/>
          <w:kern w:val="3"/>
          <w:lang w:eastAsia="en-US"/>
        </w:rPr>
        <w:t>Эксперты ЕЭК ООН отмечают, что п</w:t>
      </w:r>
      <w:r w:rsidR="00B8452D" w:rsidRPr="00F0736F">
        <w:rPr>
          <w:rFonts w:ascii="Times New Roman" w:eastAsia="SimSun" w:hAnsi="Times New Roman" w:cs="Times New Roman"/>
          <w:color w:val="000000" w:themeColor="text1"/>
          <w:kern w:val="3"/>
          <w:lang w:eastAsia="en-US"/>
        </w:rPr>
        <w:t>ринятые в Казахстане национальные стратегические документы свидетельствуют о том, что уголь будет оставаться основным источником энергии в стране в среднесрочной и, возможно, долгосрочной перспективе. В то же время страна подчеркивает важность перехода к более устойчивой энергетической системе. Чистые угольные технологии могут внести значительный вклад в повышение устойчивости.</w:t>
      </w:r>
    </w:p>
    <w:p w14:paraId="6BDD895C" w14:textId="77777777" w:rsidR="00011840" w:rsidRPr="00F0736F" w:rsidRDefault="00011840" w:rsidP="00423D1A">
      <w:pPr>
        <w:ind w:firstLine="709"/>
        <w:jc w:val="both"/>
        <w:rPr>
          <w:rFonts w:ascii="Times New Roman" w:eastAsia="SimSun" w:hAnsi="Times New Roman" w:cs="Times New Roman"/>
          <w:iCs/>
          <w:color w:val="000000" w:themeColor="text1"/>
          <w:kern w:val="3"/>
          <w:lang w:eastAsia="en-US"/>
        </w:rPr>
      </w:pPr>
      <w:r w:rsidRPr="00F0736F">
        <w:rPr>
          <w:rFonts w:ascii="Times New Roman" w:eastAsia="SimSun" w:hAnsi="Times New Roman" w:cs="Times New Roman"/>
          <w:color w:val="000000" w:themeColor="text1"/>
          <w:kern w:val="3"/>
          <w:lang w:eastAsia="en-US"/>
        </w:rPr>
        <w:t>Повышение эффективности, гибкий режим эксплуатации с целью поддержки ВИЭ, а также улавливание и хранение углерода являются ключевыми технологиями, способными обеспечить такой переход. Стратегический паритет между этими технологиями и другими технологиями с низким уровнем выбросов не обеспечен.</w:t>
      </w:r>
      <w:r w:rsidR="00423D1A" w:rsidRPr="00F0736F">
        <w:rPr>
          <w:rFonts w:ascii="Times New Roman" w:eastAsia="SimSun" w:hAnsi="Times New Roman" w:cs="Times New Roman"/>
          <w:color w:val="000000" w:themeColor="text1"/>
          <w:kern w:val="3"/>
          <w:lang w:eastAsia="en-US"/>
        </w:rPr>
        <w:t xml:space="preserve"> </w:t>
      </w:r>
      <w:r w:rsidRPr="00F0736F">
        <w:rPr>
          <w:rFonts w:ascii="Times New Roman" w:hAnsi="Times New Roman" w:cs="Times New Roman"/>
          <w:bCs/>
          <w:iCs/>
          <w:color w:val="000000" w:themeColor="text1"/>
        </w:rPr>
        <w:t>Поэтому</w:t>
      </w:r>
      <w:r w:rsidRPr="00F0736F">
        <w:rPr>
          <w:rFonts w:ascii="Times New Roman" w:hAnsi="Times New Roman" w:cs="Times New Roman"/>
          <w:b/>
          <w:bCs/>
          <w:i/>
          <w:iCs/>
          <w:color w:val="000000" w:themeColor="text1"/>
        </w:rPr>
        <w:t xml:space="preserve"> </w:t>
      </w:r>
      <w:r w:rsidRPr="00F0736F">
        <w:rPr>
          <w:rFonts w:ascii="Times New Roman" w:eastAsia="SimSun" w:hAnsi="Times New Roman" w:cs="Times New Roman"/>
          <w:iCs/>
          <w:color w:val="000000" w:themeColor="text1"/>
          <w:kern w:val="3"/>
          <w:lang w:eastAsia="en-US"/>
        </w:rPr>
        <w:t>Правительству Казахстана</w:t>
      </w:r>
      <w:r w:rsidR="00423D1A" w:rsidRPr="00F0736F">
        <w:rPr>
          <w:rFonts w:ascii="Times New Roman" w:eastAsia="SimSun" w:hAnsi="Times New Roman" w:cs="Times New Roman"/>
          <w:iCs/>
          <w:color w:val="000000" w:themeColor="text1"/>
          <w:kern w:val="3"/>
          <w:lang w:eastAsia="en-US"/>
        </w:rPr>
        <w:t>,</w:t>
      </w:r>
      <w:r w:rsidRPr="00F0736F">
        <w:rPr>
          <w:rFonts w:ascii="Times New Roman" w:eastAsia="SimSun" w:hAnsi="Times New Roman" w:cs="Times New Roman"/>
          <w:iCs/>
          <w:color w:val="000000" w:themeColor="text1"/>
          <w:kern w:val="3"/>
          <w:lang w:eastAsia="en-US"/>
        </w:rPr>
        <w:t xml:space="preserve"> </w:t>
      </w:r>
      <w:r w:rsidR="00423D1A" w:rsidRPr="00F0736F">
        <w:rPr>
          <w:rFonts w:ascii="Times New Roman" w:hAnsi="Times New Roman" w:cs="Times New Roman"/>
          <w:color w:val="000000" w:themeColor="text1"/>
        </w:rPr>
        <w:t>по мнению международных экспертов</w:t>
      </w:r>
      <w:r w:rsidR="00423D1A" w:rsidRPr="00F0736F">
        <w:rPr>
          <w:rStyle w:val="a4"/>
          <w:rFonts w:ascii="Times New Roman" w:hAnsi="Times New Roman" w:cs="Times New Roman"/>
          <w:color w:val="000000" w:themeColor="text1"/>
        </w:rPr>
        <w:footnoteReference w:id="46"/>
      </w:r>
      <w:r w:rsidR="00423D1A" w:rsidRPr="00F0736F">
        <w:rPr>
          <w:rFonts w:ascii="Times New Roman" w:hAnsi="Times New Roman" w:cs="Times New Roman"/>
          <w:color w:val="000000" w:themeColor="text1"/>
        </w:rPr>
        <w:t xml:space="preserve">, </w:t>
      </w:r>
      <w:r w:rsidRPr="00F0736F">
        <w:rPr>
          <w:rFonts w:ascii="Times New Roman" w:eastAsia="SimSun" w:hAnsi="Times New Roman" w:cs="Times New Roman"/>
          <w:iCs/>
          <w:color w:val="000000" w:themeColor="text1"/>
          <w:kern w:val="3"/>
          <w:lang w:eastAsia="en-US"/>
        </w:rPr>
        <w:t>следует:</w:t>
      </w:r>
    </w:p>
    <w:p w14:paraId="2CEB8B07" w14:textId="76DB216B" w:rsidR="00011840" w:rsidRPr="00F0736F" w:rsidRDefault="00E91460" w:rsidP="00011840">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п</w:t>
      </w:r>
      <w:r w:rsidR="00011840" w:rsidRPr="00F0736F">
        <w:rPr>
          <w:rFonts w:ascii="Times New Roman" w:eastAsia="SimSun" w:hAnsi="Times New Roman" w:cs="Times New Roman"/>
          <w:i/>
          <w:iCs/>
          <w:color w:val="000000" w:themeColor="text1"/>
          <w:lang w:eastAsia="en-US"/>
        </w:rPr>
        <w:t>родолжить изучение более эффективных и экологически безопасных способов использования угля;</w:t>
      </w:r>
    </w:p>
    <w:p w14:paraId="63416814" w14:textId="4B7417C3" w:rsidR="00011840" w:rsidRPr="00F0736F" w:rsidRDefault="00E91460" w:rsidP="00011840">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п</w:t>
      </w:r>
      <w:r w:rsidR="00011840" w:rsidRPr="00F0736F">
        <w:rPr>
          <w:rFonts w:ascii="Times New Roman" w:eastAsia="SimSun" w:hAnsi="Times New Roman" w:cs="Times New Roman"/>
          <w:i/>
          <w:iCs/>
          <w:color w:val="000000" w:themeColor="text1"/>
          <w:lang w:eastAsia="en-US"/>
        </w:rPr>
        <w:t>ринять меры по сокращению выбросов за счет повышения эффективности использования угля с постепенной модернизацией и повышением технологического уровня существующих угольных электростанций;</w:t>
      </w:r>
    </w:p>
    <w:p w14:paraId="5F42AD9E" w14:textId="3EF5BE98" w:rsidR="00011840" w:rsidRPr="00F0736F" w:rsidRDefault="00E91460" w:rsidP="00011840">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п</w:t>
      </w:r>
      <w:r w:rsidR="00011840" w:rsidRPr="00F0736F">
        <w:rPr>
          <w:rFonts w:ascii="Times New Roman" w:eastAsia="SimSun" w:hAnsi="Times New Roman" w:cs="Times New Roman"/>
          <w:i/>
          <w:iCs/>
          <w:color w:val="000000" w:themeColor="text1"/>
          <w:lang w:eastAsia="en-US"/>
        </w:rPr>
        <w:t>ри разработке национальных стратегических документов, направленных на достижение ЦУР 7, провести всеобъемлющее исследование по вопросам развития передовых технологий использования ископаемых энергоносителей с учетом их статуса, тенденций, экономического анализа, воздействия на окружающую среду и здоровье человека, а также институциональных и законодательных барьеров;</w:t>
      </w:r>
    </w:p>
    <w:p w14:paraId="1C0B64E3" w14:textId="37303E01" w:rsidR="00011840" w:rsidRPr="00F0736F" w:rsidRDefault="00E91460" w:rsidP="00011840">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е</w:t>
      </w:r>
      <w:r w:rsidR="00011840" w:rsidRPr="00F0736F">
        <w:rPr>
          <w:rFonts w:ascii="Times New Roman" w:eastAsia="SimSun" w:hAnsi="Times New Roman" w:cs="Times New Roman"/>
          <w:i/>
          <w:iCs/>
          <w:color w:val="000000" w:themeColor="text1"/>
          <w:lang w:eastAsia="en-US"/>
        </w:rPr>
        <w:t>сли чистая электрогенерация на основе угля будет являться экономически обоснованной и экологически безопасной, разработать и одобрить соответствующие стратегические документы в поддержку достижения ЦУР 7 и обеспечить включение в эти стратегические документы соответствующей нормативно-правовой базы и экономических стимулов, а также учет воздействия на окружающую среду и здоровье человека.</w:t>
      </w:r>
    </w:p>
    <w:p w14:paraId="7C2A0DCF" w14:textId="77777777" w:rsidR="00B8452D" w:rsidRPr="00F0736F" w:rsidRDefault="00B8452D" w:rsidP="00011840">
      <w:pPr>
        <w:ind w:firstLine="709"/>
        <w:jc w:val="both"/>
        <w:rPr>
          <w:rFonts w:ascii="Times New Roman" w:hAnsi="Times New Roman" w:cs="Times New Roman"/>
          <w:b/>
          <w:bCs/>
          <w:i/>
          <w:iCs/>
          <w:color w:val="000000" w:themeColor="text1"/>
        </w:rPr>
      </w:pPr>
    </w:p>
    <w:p w14:paraId="7460CAFD" w14:textId="50C77A4A"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40583170"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Вопросов энергоэффективности прямо касается з</w:t>
      </w:r>
      <w:r w:rsidRPr="00F0736F">
        <w:rPr>
          <w:rFonts w:ascii="Times New Roman" w:eastAsia="SimSun" w:hAnsi="Times New Roman" w:cs="Times New Roman"/>
          <w:color w:val="000000" w:themeColor="text1"/>
          <w:spacing w:val="2"/>
          <w:lang w:eastAsia="en-GB"/>
        </w:rPr>
        <w:t>адача ЦУР 7.3 ЦУР 7 (таблица 1.3.</w:t>
      </w:r>
      <w:r w:rsidR="008748FB" w:rsidRPr="00F0736F">
        <w:rPr>
          <w:rFonts w:ascii="Times New Roman" w:eastAsia="SimSun" w:hAnsi="Times New Roman" w:cs="Times New Roman"/>
          <w:color w:val="000000" w:themeColor="text1"/>
          <w:spacing w:val="2"/>
          <w:lang w:eastAsia="en-GB"/>
        </w:rPr>
        <w:t>6</w:t>
      </w:r>
      <w:r w:rsidRPr="00F0736F">
        <w:rPr>
          <w:rFonts w:ascii="Times New Roman" w:eastAsia="SimSun" w:hAnsi="Times New Roman" w:cs="Times New Roman"/>
          <w:color w:val="000000" w:themeColor="text1"/>
          <w:spacing w:val="2"/>
          <w:lang w:eastAsia="en-GB"/>
        </w:rPr>
        <w:t xml:space="preserve">). </w:t>
      </w:r>
    </w:p>
    <w:p w14:paraId="126D7453" w14:textId="637A0AD7"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spacing w:val="2"/>
          <w:lang w:eastAsia="en-GB"/>
        </w:rPr>
        <w:t>В соответствии со Стратегией «Казахстан-2050» и другими стратегическими и программн</w:t>
      </w:r>
      <w:r w:rsidR="007D670C" w:rsidRPr="00F0736F">
        <w:rPr>
          <w:rFonts w:ascii="Times New Roman" w:eastAsia="SimSun" w:hAnsi="Times New Roman" w:cs="Times New Roman"/>
          <w:color w:val="000000" w:themeColor="text1"/>
          <w:spacing w:val="2"/>
          <w:lang w:eastAsia="en-GB"/>
        </w:rPr>
        <w:t>ыми документами</w:t>
      </w:r>
      <w:r w:rsidR="00E91460" w:rsidRPr="00F0736F">
        <w:rPr>
          <w:rFonts w:ascii="Times New Roman" w:eastAsia="SimSun" w:hAnsi="Times New Roman" w:cs="Times New Roman"/>
          <w:color w:val="000000" w:themeColor="text1"/>
          <w:spacing w:val="2"/>
          <w:lang w:eastAsia="en-GB"/>
        </w:rPr>
        <w:t>,</w:t>
      </w:r>
      <w:r w:rsidR="007D670C" w:rsidRPr="00F0736F">
        <w:rPr>
          <w:rFonts w:ascii="Times New Roman" w:eastAsia="SimSun" w:hAnsi="Times New Roman" w:cs="Times New Roman"/>
          <w:color w:val="000000" w:themeColor="text1"/>
          <w:spacing w:val="2"/>
          <w:lang w:eastAsia="en-GB"/>
        </w:rPr>
        <w:t xml:space="preserve"> в</w:t>
      </w:r>
      <w:r w:rsidRPr="00F0736F">
        <w:rPr>
          <w:rFonts w:ascii="Times New Roman" w:eastAsia="SimSun" w:hAnsi="Times New Roman" w:cs="Times New Roman"/>
          <w:color w:val="000000" w:themeColor="text1"/>
          <w:spacing w:val="2"/>
          <w:lang w:eastAsia="en-GB"/>
        </w:rPr>
        <w:t xml:space="preserve"> Казахстане поставлены целевые показатели к 2020</w:t>
      </w:r>
      <w:r w:rsidRPr="00F0736F">
        <w:rPr>
          <w:rFonts w:ascii="Times New Roman" w:eastAsia="SimSun" w:hAnsi="Times New Roman" w:cs="Times New Roman"/>
          <w:color w:val="000000" w:themeColor="text1"/>
          <w:spacing w:val="2"/>
          <w:lang w:val="fr-CH" w:eastAsia="en-GB"/>
        </w:rPr>
        <w:t xml:space="preserve"> </w:t>
      </w:r>
      <w:r w:rsidRPr="00F0736F">
        <w:rPr>
          <w:rFonts w:ascii="Times New Roman" w:eastAsia="SimSun" w:hAnsi="Times New Roman" w:cs="Times New Roman"/>
          <w:color w:val="000000" w:themeColor="text1"/>
          <w:spacing w:val="2"/>
          <w:lang w:eastAsia="en-GB"/>
        </w:rPr>
        <w:t>г</w:t>
      </w:r>
      <w:r w:rsidR="007D670C" w:rsidRPr="00F0736F">
        <w:rPr>
          <w:rFonts w:ascii="Times New Roman" w:eastAsia="SimSun" w:hAnsi="Times New Roman" w:cs="Times New Roman"/>
          <w:color w:val="000000" w:themeColor="text1"/>
          <w:spacing w:val="2"/>
          <w:lang w:eastAsia="en-GB"/>
        </w:rPr>
        <w:t>оду</w:t>
      </w:r>
      <w:r w:rsidR="00E91460" w:rsidRPr="00F0736F">
        <w:rPr>
          <w:rFonts w:ascii="Times New Roman" w:eastAsia="SimSun" w:hAnsi="Times New Roman" w:cs="Times New Roman"/>
          <w:color w:val="000000" w:themeColor="text1"/>
          <w:spacing w:val="2"/>
          <w:lang w:eastAsia="en-GB"/>
        </w:rPr>
        <w:t xml:space="preserve"> </w:t>
      </w:r>
      <w:r w:rsidRPr="00F0736F">
        <w:rPr>
          <w:rFonts w:ascii="Times New Roman" w:eastAsia="SimSun" w:hAnsi="Times New Roman" w:cs="Times New Roman"/>
          <w:color w:val="000000" w:themeColor="text1"/>
          <w:spacing w:val="2"/>
          <w:lang w:eastAsia="en-GB"/>
        </w:rPr>
        <w:t>снизить энергоемкость на 25% от уровня 2008</w:t>
      </w:r>
      <w:r w:rsidRPr="00F0736F">
        <w:rPr>
          <w:rFonts w:ascii="Times New Roman" w:eastAsia="SimSun" w:hAnsi="Times New Roman" w:cs="Times New Roman"/>
          <w:color w:val="000000" w:themeColor="text1"/>
          <w:spacing w:val="2"/>
          <w:lang w:val="fr-CH" w:eastAsia="en-GB"/>
        </w:rPr>
        <w:t xml:space="preserve"> </w:t>
      </w:r>
      <w:r w:rsidRPr="00F0736F">
        <w:rPr>
          <w:rFonts w:ascii="Times New Roman" w:eastAsia="SimSun" w:hAnsi="Times New Roman" w:cs="Times New Roman"/>
          <w:color w:val="000000" w:themeColor="text1"/>
          <w:spacing w:val="2"/>
          <w:lang w:eastAsia="en-GB"/>
        </w:rPr>
        <w:t>г</w:t>
      </w:r>
      <w:r w:rsidR="007D670C" w:rsidRPr="00F0736F">
        <w:rPr>
          <w:rFonts w:ascii="Times New Roman" w:eastAsia="SimSun" w:hAnsi="Times New Roman" w:cs="Times New Roman"/>
          <w:color w:val="000000" w:themeColor="text1"/>
          <w:spacing w:val="2"/>
          <w:lang w:eastAsia="en-GB"/>
        </w:rPr>
        <w:t>ода</w:t>
      </w:r>
      <w:r w:rsidRPr="00F0736F">
        <w:rPr>
          <w:rFonts w:ascii="Times New Roman" w:eastAsia="SimSun" w:hAnsi="Times New Roman" w:cs="Times New Roman"/>
          <w:color w:val="000000" w:themeColor="text1"/>
          <w:spacing w:val="2"/>
          <w:lang w:eastAsia="en-GB"/>
        </w:rPr>
        <w:t>, а к 2050</w:t>
      </w:r>
      <w:r w:rsidRPr="00F0736F">
        <w:rPr>
          <w:rFonts w:ascii="Times New Roman" w:eastAsia="SimSun" w:hAnsi="Times New Roman" w:cs="Times New Roman"/>
          <w:color w:val="000000" w:themeColor="text1"/>
          <w:spacing w:val="2"/>
          <w:lang w:val="fr-CH" w:eastAsia="en-GB"/>
        </w:rPr>
        <w:t xml:space="preserve"> </w:t>
      </w:r>
      <w:r w:rsidRPr="00F0736F">
        <w:rPr>
          <w:rFonts w:ascii="Times New Roman" w:eastAsia="SimSun" w:hAnsi="Times New Roman" w:cs="Times New Roman"/>
          <w:color w:val="000000" w:themeColor="text1"/>
          <w:spacing w:val="2"/>
          <w:lang w:eastAsia="en-GB"/>
        </w:rPr>
        <w:t>г</w:t>
      </w:r>
      <w:r w:rsidR="007D670C" w:rsidRPr="00F0736F">
        <w:rPr>
          <w:rFonts w:ascii="Times New Roman" w:eastAsia="SimSun" w:hAnsi="Times New Roman" w:cs="Times New Roman"/>
          <w:color w:val="000000" w:themeColor="text1"/>
          <w:spacing w:val="2"/>
          <w:lang w:eastAsia="en-GB"/>
        </w:rPr>
        <w:t>оду</w:t>
      </w:r>
      <w:r w:rsidRPr="00F0736F">
        <w:rPr>
          <w:rFonts w:ascii="Times New Roman" w:eastAsia="SimSun" w:hAnsi="Times New Roman" w:cs="Times New Roman"/>
          <w:color w:val="000000" w:themeColor="text1"/>
          <w:spacing w:val="2"/>
          <w:lang w:eastAsia="en-GB"/>
        </w:rPr>
        <w:t xml:space="preserve"> – на 50%. Решение данной задачи отслеживается статистическим показателем «энергоемкость, ВВП». Однако данных по показателю 7.</w:t>
      </w:r>
      <w:r w:rsidRPr="00F0736F">
        <w:rPr>
          <w:rFonts w:ascii="Times New Roman" w:eastAsia="SimSun" w:hAnsi="Times New Roman" w:cs="Times New Roman"/>
          <w:color w:val="000000" w:themeColor="text1"/>
          <w:spacing w:val="2"/>
          <w:lang w:val="en-GB" w:eastAsia="en-GB"/>
        </w:rPr>
        <w:t>b</w:t>
      </w:r>
      <w:r w:rsidRPr="00F0736F">
        <w:rPr>
          <w:rFonts w:ascii="Times New Roman" w:eastAsia="SimSun" w:hAnsi="Times New Roman" w:cs="Times New Roman"/>
          <w:color w:val="000000" w:themeColor="text1"/>
          <w:spacing w:val="2"/>
          <w:lang w:eastAsia="en-GB"/>
        </w:rPr>
        <w:t xml:space="preserve">.1 пока не имеется. </w:t>
      </w:r>
    </w:p>
    <w:p w14:paraId="0C14577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Полностью не отслеживается в Казахстане показатель 12c.1. (Сумма субсидий на ископаемое топливо на единицу ВВП (производство и потребление) и их доля в совокупных национальных расходах на ископаемое топливо).</w:t>
      </w:r>
    </w:p>
    <w:p w14:paraId="036B41E0" w14:textId="77777777" w:rsidR="00F674A4" w:rsidRPr="00F0736F" w:rsidRDefault="00F674A4" w:rsidP="008727D9">
      <w:pPr>
        <w:ind w:firstLine="709"/>
        <w:jc w:val="both"/>
        <w:rPr>
          <w:rFonts w:ascii="Times New Roman" w:hAnsi="Times New Roman" w:cs="Times New Roman"/>
          <w:color w:val="000000" w:themeColor="text1"/>
        </w:rPr>
      </w:pPr>
    </w:p>
    <w:p w14:paraId="44CAEE3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1.3.</w:t>
      </w:r>
      <w:r w:rsidR="008748FB" w:rsidRPr="00F0736F">
        <w:rPr>
          <w:rFonts w:ascii="Times New Roman" w:hAnsi="Times New Roman" w:cs="Times New Roman"/>
          <w:color w:val="000000" w:themeColor="text1"/>
        </w:rPr>
        <w:t>6</w:t>
      </w:r>
      <w:r w:rsidRPr="00F0736F">
        <w:rPr>
          <w:rFonts w:ascii="Times New Roman" w:hAnsi="Times New Roman" w:cs="Times New Roman"/>
          <w:color w:val="000000" w:themeColor="text1"/>
        </w:rPr>
        <w:t>. Проблемы достижения ЦУР, связанных с энергоэффективностью</w:t>
      </w:r>
    </w:p>
    <w:p w14:paraId="38218487"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2437"/>
        <w:gridCol w:w="2221"/>
        <w:gridCol w:w="1892"/>
        <w:gridCol w:w="1550"/>
        <w:gridCol w:w="1780"/>
      </w:tblGrid>
      <w:tr w:rsidR="00F0736F" w:rsidRPr="00F0736F" w14:paraId="55ADBECD" w14:textId="77777777">
        <w:tc>
          <w:tcPr>
            <w:tcW w:w="2437" w:type="dxa"/>
            <w:tcBorders>
              <w:top w:val="single" w:sz="4" w:space="0" w:color="000000"/>
              <w:left w:val="single" w:sz="4" w:space="0" w:color="000000"/>
              <w:bottom w:val="single" w:sz="4" w:space="0" w:color="000000"/>
            </w:tcBorders>
            <w:shd w:val="clear" w:color="auto" w:fill="auto"/>
          </w:tcPr>
          <w:p w14:paraId="78E612FF"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21" w:type="dxa"/>
            <w:tcBorders>
              <w:top w:val="single" w:sz="4" w:space="0" w:color="000000"/>
              <w:left w:val="single" w:sz="4" w:space="0" w:color="000000"/>
              <w:bottom w:val="single" w:sz="4" w:space="0" w:color="000000"/>
            </w:tcBorders>
            <w:shd w:val="clear" w:color="auto" w:fill="auto"/>
          </w:tcPr>
          <w:p w14:paraId="2D73A651"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892" w:type="dxa"/>
            <w:tcBorders>
              <w:top w:val="single" w:sz="4" w:space="0" w:color="000000"/>
              <w:left w:val="single" w:sz="4" w:space="0" w:color="000000"/>
              <w:bottom w:val="single" w:sz="4" w:space="0" w:color="000000"/>
            </w:tcBorders>
            <w:shd w:val="clear" w:color="auto" w:fill="auto"/>
          </w:tcPr>
          <w:p w14:paraId="48C037A2"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550" w:type="dxa"/>
            <w:tcBorders>
              <w:top w:val="single" w:sz="4" w:space="0" w:color="000000"/>
              <w:left w:val="single" w:sz="4" w:space="0" w:color="000000"/>
              <w:bottom w:val="single" w:sz="4" w:space="0" w:color="000000"/>
            </w:tcBorders>
            <w:shd w:val="clear" w:color="auto" w:fill="auto"/>
          </w:tcPr>
          <w:p w14:paraId="11232343"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0C0C79EA" w14:textId="77777777" w:rsidR="00F674A4" w:rsidRPr="00F0736F" w:rsidRDefault="00F674A4" w:rsidP="00075143">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42371978" w14:textId="77777777">
        <w:tc>
          <w:tcPr>
            <w:tcW w:w="9880" w:type="dxa"/>
            <w:gridSpan w:val="5"/>
            <w:tcBorders>
              <w:top w:val="single" w:sz="4" w:space="0" w:color="000000"/>
              <w:left w:val="single" w:sz="4" w:space="0" w:color="000000"/>
              <w:bottom w:val="single" w:sz="4" w:space="0" w:color="000000"/>
              <w:right w:val="single" w:sz="4" w:space="0" w:color="000000"/>
            </w:tcBorders>
            <w:shd w:val="clear" w:color="auto" w:fill="auto"/>
          </w:tcPr>
          <w:p w14:paraId="057DB28A" w14:textId="77777777" w:rsidR="00F674A4" w:rsidRPr="00F0736F" w:rsidRDefault="00F674A4" w:rsidP="00C45EC0">
            <w:pPr>
              <w:jc w:val="center"/>
              <w:rPr>
                <w:color w:val="000000" w:themeColor="text1"/>
              </w:rPr>
            </w:pPr>
            <w:r w:rsidRPr="00F0736F">
              <w:rPr>
                <w:rFonts w:ascii="Times New Roman" w:hAnsi="Times New Roman" w:cs="Times New Roman"/>
                <w:color w:val="000000" w:themeColor="text1"/>
                <w:sz w:val="20"/>
                <w:szCs w:val="20"/>
              </w:rPr>
              <w:t>ЦУР 7. Обеспечение доступа к недорогим, надежным, устойчивым и современным источникам энергии для всех</w:t>
            </w:r>
          </w:p>
        </w:tc>
      </w:tr>
      <w:tr w:rsidR="00F0736F" w:rsidRPr="00F0736F" w14:paraId="26ACC70F" w14:textId="77777777">
        <w:tc>
          <w:tcPr>
            <w:tcW w:w="2437" w:type="dxa"/>
            <w:tcBorders>
              <w:top w:val="single" w:sz="4" w:space="0" w:color="000000"/>
              <w:left w:val="single" w:sz="4" w:space="0" w:color="000000"/>
              <w:bottom w:val="single" w:sz="4" w:space="0" w:color="000000"/>
            </w:tcBorders>
            <w:shd w:val="clear" w:color="auto" w:fill="auto"/>
          </w:tcPr>
          <w:p w14:paraId="56D8F96B" w14:textId="77777777" w:rsidR="00F674A4" w:rsidRPr="00F0736F" w:rsidRDefault="00F674A4" w:rsidP="007D670C">
            <w:pPr>
              <w:jc w:val="both"/>
              <w:rPr>
                <w:color w:val="000000" w:themeColor="text1"/>
              </w:rPr>
            </w:pPr>
            <w:r w:rsidRPr="00F0736F">
              <w:rPr>
                <w:rFonts w:ascii="Times New Roman" w:hAnsi="Times New Roman" w:cs="Times New Roman"/>
                <w:color w:val="000000" w:themeColor="text1"/>
                <w:sz w:val="20"/>
                <w:szCs w:val="20"/>
              </w:rPr>
              <w:t>Задача 7.3. К 2030 году удвоить глобальный показатель повышения энергоэффективности</w:t>
            </w:r>
          </w:p>
        </w:tc>
        <w:tc>
          <w:tcPr>
            <w:tcW w:w="2221" w:type="dxa"/>
            <w:tcBorders>
              <w:top w:val="single" w:sz="4" w:space="0" w:color="000000"/>
              <w:left w:val="single" w:sz="4" w:space="0" w:color="000000"/>
              <w:bottom w:val="single" w:sz="4" w:space="0" w:color="000000"/>
            </w:tcBorders>
            <w:shd w:val="clear" w:color="auto" w:fill="auto"/>
          </w:tcPr>
          <w:p w14:paraId="5CE55C21"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7.3.1. Энергоемкость, рассчитываемая как отношение расхода первичной энергии к ВВП</w:t>
            </w:r>
          </w:p>
        </w:tc>
        <w:tc>
          <w:tcPr>
            <w:tcW w:w="1892" w:type="dxa"/>
            <w:tcBorders>
              <w:top w:val="single" w:sz="4" w:space="0" w:color="000000"/>
              <w:left w:val="single" w:sz="4" w:space="0" w:color="000000"/>
              <w:bottom w:val="single" w:sz="4" w:space="0" w:color="000000"/>
            </w:tcBorders>
            <w:shd w:val="clear" w:color="auto" w:fill="auto"/>
          </w:tcPr>
          <w:p w14:paraId="660C4B28" w14:textId="77777777" w:rsidR="00F674A4" w:rsidRPr="00F0736F" w:rsidRDefault="00F674A4" w:rsidP="00075143">
            <w:pPr>
              <w:jc w:val="both"/>
              <w:rPr>
                <w:color w:val="000000" w:themeColor="text1"/>
              </w:rPr>
            </w:pPr>
            <w:r w:rsidRPr="00F0736F">
              <w:rPr>
                <w:rFonts w:ascii="Times New Roman" w:hAnsi="Times New Roman" w:cs="Times New Roman"/>
                <w:color w:val="000000" w:themeColor="text1"/>
                <w:sz w:val="20"/>
                <w:szCs w:val="20"/>
              </w:rPr>
              <w:t>Энергоемкость, ВВП</w:t>
            </w:r>
          </w:p>
        </w:tc>
        <w:tc>
          <w:tcPr>
            <w:tcW w:w="1550" w:type="dxa"/>
            <w:tcBorders>
              <w:top w:val="single" w:sz="4" w:space="0" w:color="000000"/>
              <w:left w:val="single" w:sz="4" w:space="0" w:color="000000"/>
              <w:bottom w:val="single" w:sz="4" w:space="0" w:color="000000"/>
            </w:tcBorders>
            <w:shd w:val="clear" w:color="auto" w:fill="auto"/>
          </w:tcPr>
          <w:p w14:paraId="00AC3053"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68C69E1E"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674A4" w:rsidRPr="00F0736F" w14:paraId="24FC667B" w14:textId="77777777">
        <w:tc>
          <w:tcPr>
            <w:tcW w:w="2437" w:type="dxa"/>
            <w:tcBorders>
              <w:top w:val="single" w:sz="4" w:space="0" w:color="000000"/>
              <w:left w:val="single" w:sz="4" w:space="0" w:color="000000"/>
              <w:bottom w:val="single" w:sz="4" w:space="0" w:color="000000"/>
            </w:tcBorders>
            <w:shd w:val="clear" w:color="auto" w:fill="auto"/>
          </w:tcPr>
          <w:p w14:paraId="4D5D4771" w14:textId="77777777" w:rsidR="00F674A4" w:rsidRPr="00F0736F" w:rsidRDefault="00F674A4" w:rsidP="007D670C">
            <w:pPr>
              <w:ind w:firstLine="34"/>
              <w:jc w:val="both"/>
              <w:rPr>
                <w:color w:val="000000" w:themeColor="text1"/>
              </w:rPr>
            </w:pPr>
            <w:r w:rsidRPr="00F0736F">
              <w:rPr>
                <w:rFonts w:ascii="Times New Roman" w:hAnsi="Times New Roman" w:cs="Times New Roman"/>
                <w:color w:val="000000" w:themeColor="text1"/>
                <w:sz w:val="20"/>
                <w:szCs w:val="20"/>
              </w:rPr>
              <w:t>Задача 7.b. К 2030 году расширить инфраструктуру и модернизировать технологии для современного и устойчивого энергоснабжения всех в развивающихся странах, в частности в наименее развитых странах, малых островных развивающихся государствах и развивающихся странах, не имеющих выхода к морю, с учетом их соответствующих программ поддержки</w:t>
            </w:r>
          </w:p>
        </w:tc>
        <w:tc>
          <w:tcPr>
            <w:tcW w:w="2221" w:type="dxa"/>
            <w:tcBorders>
              <w:top w:val="single" w:sz="4" w:space="0" w:color="000000"/>
              <w:left w:val="single" w:sz="4" w:space="0" w:color="000000"/>
              <w:bottom w:val="single" w:sz="4" w:space="0" w:color="000000"/>
            </w:tcBorders>
            <w:shd w:val="clear" w:color="auto" w:fill="auto"/>
          </w:tcPr>
          <w:p w14:paraId="0E8A8E59"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7.b.1. Капиталовложения в обеспечение энергоэффективности в процентном отношении к ВВП и доля прямых иностранных инвестиций в финансовых средствах, поступающих в отрасли обслуживания, обеспечивающие устойчивое развитие, на цели расширения их инфраструктуры и модернизации технологии</w:t>
            </w:r>
          </w:p>
        </w:tc>
        <w:tc>
          <w:tcPr>
            <w:tcW w:w="1892" w:type="dxa"/>
            <w:tcBorders>
              <w:top w:val="single" w:sz="4" w:space="0" w:color="000000"/>
              <w:left w:val="single" w:sz="4" w:space="0" w:color="000000"/>
              <w:bottom w:val="single" w:sz="4" w:space="0" w:color="000000"/>
            </w:tcBorders>
            <w:shd w:val="clear" w:color="auto" w:fill="auto"/>
          </w:tcPr>
          <w:p w14:paraId="7483AD11"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Нет</w:t>
            </w:r>
          </w:p>
        </w:tc>
        <w:tc>
          <w:tcPr>
            <w:tcW w:w="1550" w:type="dxa"/>
            <w:tcBorders>
              <w:top w:val="single" w:sz="4" w:space="0" w:color="000000"/>
              <w:left w:val="single" w:sz="4" w:space="0" w:color="000000"/>
              <w:bottom w:val="single" w:sz="4" w:space="0" w:color="000000"/>
            </w:tcBorders>
            <w:shd w:val="clear" w:color="auto" w:fill="auto"/>
          </w:tcPr>
          <w:p w14:paraId="7A9362FA" w14:textId="77777777" w:rsidR="00F674A4" w:rsidRPr="00F0736F" w:rsidRDefault="00F674A4" w:rsidP="00C45EC0">
            <w:pPr>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03491021" w14:textId="77777777" w:rsidR="00F674A4" w:rsidRPr="00F0736F" w:rsidRDefault="00F674A4" w:rsidP="00F678C2">
            <w:pPr>
              <w:jc w:val="both"/>
              <w:rPr>
                <w:color w:val="000000" w:themeColor="text1"/>
              </w:rPr>
            </w:pPr>
            <w:r w:rsidRPr="00F0736F">
              <w:rPr>
                <w:rFonts w:ascii="Times New Roman" w:hAnsi="Times New Roman" w:cs="Times New Roman"/>
                <w:color w:val="000000" w:themeColor="text1"/>
                <w:sz w:val="20"/>
                <w:szCs w:val="20"/>
              </w:rPr>
              <w:t>Капиталовложения в обеспечение энергоэффективности в процентном отношении к ВВП и доля прямых иностранных инвестиций в финансовых средствах,</w:t>
            </w:r>
          </w:p>
        </w:tc>
      </w:tr>
    </w:tbl>
    <w:p w14:paraId="01F441C6" w14:textId="77777777" w:rsidR="00F674A4" w:rsidRPr="00F0736F" w:rsidRDefault="00F674A4" w:rsidP="008727D9">
      <w:pPr>
        <w:ind w:firstLine="709"/>
        <w:jc w:val="both"/>
        <w:rPr>
          <w:rFonts w:ascii="Times New Roman" w:hAnsi="Times New Roman" w:cs="Times New Roman"/>
          <w:color w:val="000000" w:themeColor="text1"/>
        </w:rPr>
      </w:pPr>
    </w:p>
    <w:p w14:paraId="128BFF2E"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1FC94EA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Пунктом 12 Общенационального плана мероприяти</w:t>
      </w:r>
      <w:r w:rsidR="00521D74" w:rsidRPr="00F0736F">
        <w:rPr>
          <w:rFonts w:ascii="Times New Roman" w:hAnsi="Times New Roman" w:cs="Times New Roman"/>
          <w:color w:val="000000" w:themeColor="text1"/>
        </w:rPr>
        <w:t xml:space="preserve">й по реализации Послания Главы </w:t>
      </w:r>
      <w:r w:rsidR="00325D10" w:rsidRPr="00F0736F">
        <w:rPr>
          <w:rFonts w:ascii="Times New Roman" w:hAnsi="Times New Roman" w:cs="Times New Roman"/>
          <w:color w:val="000000" w:themeColor="text1"/>
        </w:rPr>
        <w:t>г</w:t>
      </w:r>
      <w:r w:rsidRPr="00F0736F">
        <w:rPr>
          <w:rFonts w:ascii="Times New Roman" w:hAnsi="Times New Roman" w:cs="Times New Roman"/>
          <w:color w:val="000000" w:themeColor="text1"/>
        </w:rPr>
        <w:t>осударства народу Казахстана от 10 января 2018 года «Новые возможности развития в условиях четвертой промышленной революции» закреплено мероприятие «Внесение предложений по совершенствованию требований к энергоэффективности и энергосбережению предприятий».</w:t>
      </w:r>
    </w:p>
    <w:p w14:paraId="08DBE77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lang w:val="kk-KZ"/>
        </w:rPr>
        <w:t>В рамка</w:t>
      </w:r>
      <w:r w:rsidR="00325D10" w:rsidRPr="00F0736F">
        <w:rPr>
          <w:rFonts w:ascii="Times New Roman" w:hAnsi="Times New Roman" w:cs="Times New Roman"/>
          <w:color w:val="000000" w:themeColor="text1"/>
          <w:lang w:val="kk-KZ"/>
        </w:rPr>
        <w:t>х исполнения данного мероприятия</w:t>
      </w:r>
      <w:r w:rsidRPr="00F0736F">
        <w:rPr>
          <w:rFonts w:ascii="Times New Roman" w:hAnsi="Times New Roman" w:cs="Times New Roman"/>
          <w:color w:val="000000" w:themeColor="text1"/>
        </w:rPr>
        <w:t xml:space="preserve"> </w:t>
      </w:r>
      <w:r w:rsidR="003E3EB3" w:rsidRPr="00F0736F">
        <w:rPr>
          <w:rFonts w:ascii="Times New Roman" w:hAnsi="Times New Roman" w:cs="Times New Roman"/>
          <w:color w:val="000000" w:themeColor="text1"/>
        </w:rPr>
        <w:t xml:space="preserve">Министерством индустрии и инфраструктурного развития </w:t>
      </w:r>
      <w:r w:rsidRPr="00F0736F">
        <w:rPr>
          <w:rFonts w:ascii="Times New Roman" w:hAnsi="Times New Roman" w:cs="Times New Roman"/>
          <w:color w:val="000000" w:themeColor="text1"/>
        </w:rPr>
        <w:t>РК</w:t>
      </w:r>
      <w:r w:rsidR="003E3EB3" w:rsidRPr="00F0736F">
        <w:rPr>
          <w:rFonts w:ascii="Times New Roman" w:hAnsi="Times New Roman" w:cs="Times New Roman"/>
          <w:color w:val="000000" w:themeColor="text1"/>
        </w:rPr>
        <w:t xml:space="preserve"> (МИИР РК)</w:t>
      </w:r>
      <w:r w:rsidRPr="00F0736F">
        <w:rPr>
          <w:rFonts w:ascii="Times New Roman" w:hAnsi="Times New Roman" w:cs="Times New Roman"/>
          <w:color w:val="000000" w:themeColor="text1"/>
        </w:rPr>
        <w:t xml:space="preserve"> был проведен анализ практической реализации Закона РК «Об энергосбережении и повышении энергоэффективности», в том числе на предмет совершенствования требований к энергоэффективности </w:t>
      </w:r>
      <w:r w:rsidRPr="00F0736F">
        <w:rPr>
          <w:rFonts w:ascii="Times New Roman" w:hAnsi="Times New Roman" w:cs="Times New Roman"/>
          <w:color w:val="000000" w:themeColor="text1"/>
          <w:lang w:val="kk-KZ"/>
        </w:rPr>
        <w:t>и энергосбережению</w:t>
      </w:r>
      <w:r w:rsidRPr="00F0736F">
        <w:rPr>
          <w:rFonts w:ascii="Times New Roman" w:hAnsi="Times New Roman" w:cs="Times New Roman"/>
          <w:color w:val="000000" w:themeColor="text1"/>
        </w:rPr>
        <w:t xml:space="preserve"> предприятий. По итогам проведенного анализа был выявлен ряд вопросов, требующих ужесточения или, напротив, смягчения регулирования, например, по отношению к обеспечению качества заключений, выданных по итогам проведения энергоаудита, формированию и ведению Государственного энергетического реестра, регулированию энергоаудиторской деятельности, государственному контролю и т.д. </w:t>
      </w:r>
    </w:p>
    <w:p w14:paraId="774C796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этой связи совершенствование системы энергосбережения предлагается по двум направлениям – для частного и государственного секторов.</w:t>
      </w:r>
    </w:p>
    <w:p w14:paraId="4BDB54B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частных юридических лиц предлагаются такие меры, как:</w:t>
      </w:r>
    </w:p>
    <w:p w14:paraId="384CDB2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частичное исключение жестких норм регулирования (например, уменьшение количества лиц, обязанных провести энергоаудит, сокращение количества предоставляемой информации);</w:t>
      </w:r>
    </w:p>
    <w:p w14:paraId="77801A4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профилактический контроль (в соответствии с законом Республики Казахстан «О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w:t>
      </w:r>
    </w:p>
    <w:p w14:paraId="087C9E4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внедрение в штате энергоменеджера (для крупных предприятий);</w:t>
      </w:r>
    </w:p>
    <w:p w14:paraId="2FD0380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передача контрольных функций в уполномоченный орган по вопросам электроэнергетики (</w:t>
      </w:r>
      <w:r w:rsidRPr="00F0736F">
        <w:rPr>
          <w:rFonts w:ascii="Times New Roman" w:hAnsi="Times New Roman" w:cs="Times New Roman"/>
          <w:color w:val="000000" w:themeColor="text1"/>
          <w:lang w:val="kk-KZ"/>
        </w:rPr>
        <w:t>в отношении</w:t>
      </w:r>
      <w:r w:rsidRPr="00F0736F">
        <w:rPr>
          <w:rFonts w:ascii="Times New Roman" w:hAnsi="Times New Roman" w:cs="Times New Roman"/>
          <w:color w:val="000000" w:themeColor="text1"/>
        </w:rPr>
        <w:t xml:space="preserve"> электр</w:t>
      </w:r>
      <w:r w:rsidRPr="00F0736F">
        <w:rPr>
          <w:rFonts w:ascii="Times New Roman" w:hAnsi="Times New Roman" w:cs="Times New Roman"/>
          <w:color w:val="000000" w:themeColor="text1"/>
          <w:lang w:val="kk-KZ"/>
        </w:rPr>
        <w:t xml:space="preserve">ических </w:t>
      </w:r>
      <w:r w:rsidRPr="00F0736F">
        <w:rPr>
          <w:rFonts w:ascii="Times New Roman" w:hAnsi="Times New Roman" w:cs="Times New Roman"/>
          <w:color w:val="000000" w:themeColor="text1"/>
        </w:rPr>
        <w:t>станций);</w:t>
      </w:r>
    </w:p>
    <w:p w14:paraId="6202F7A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создание стимулирующих механизмов (финансовая поддержка, налоговые льготы).</w:t>
      </w:r>
    </w:p>
    <w:p w14:paraId="26E4A77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совершенствования регулирования государственного и квазигосударственного секторов в области энергосбережения и повышения энергоэффективности предлагаются такие меры, как:</w:t>
      </w:r>
    </w:p>
    <w:p w14:paraId="2CF8CD6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полный мониторинг энергопотребления субъектами государственного и квазигосударственного секторов (расширение охвата Государственного энергетического реестра),</w:t>
      </w:r>
    </w:p>
    <w:p w14:paraId="5FEDC8F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принятие мер жесткого регулирования данной сферы (усиление ответственности руководителей, разработка нормативов).</w:t>
      </w:r>
    </w:p>
    <w:p w14:paraId="40432A3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По итогам данной работы была разработана </w:t>
      </w:r>
      <w:r w:rsidRPr="00F0736F">
        <w:rPr>
          <w:rFonts w:ascii="Times New Roman" w:hAnsi="Times New Roman" w:cs="Times New Roman"/>
          <w:bCs/>
          <w:color w:val="000000" w:themeColor="text1"/>
        </w:rPr>
        <w:t>концепция проекта Закона Республики Казахстан «О внесении изменений</w:t>
      </w:r>
      <w:r w:rsidRPr="00F0736F">
        <w:rPr>
          <w:rFonts w:ascii="Times New Roman" w:hAnsi="Times New Roman" w:cs="Times New Roman"/>
          <w:color w:val="000000" w:themeColor="text1"/>
        </w:rPr>
        <w:t xml:space="preserve"> и дополнений в некоторые законодательные акты Республики Казахстан по вопросам энергосбережения и повышения энергоэффективности».</w:t>
      </w:r>
    </w:p>
    <w:p w14:paraId="6BB8015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Данная Концепция направлена на совершенствование системы энергосбережения и, принимая во внимание международный опыт стран ближнего и дальнего зарубежья, предлагает соответствующие изменения и дополнения законодательства Республики Казахстан с учетом предложений государственных и местных исполнительных органов.</w:t>
      </w:r>
    </w:p>
    <w:p w14:paraId="0D18FDCB" w14:textId="77777777" w:rsidR="000633A5" w:rsidRPr="00F0736F" w:rsidRDefault="00BF29F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Для повышения эффективности в энергетическом секторе </w:t>
      </w:r>
    </w:p>
    <w:p w14:paraId="12CD006F" w14:textId="77777777" w:rsidR="00BF29F4" w:rsidRPr="00F0736F" w:rsidRDefault="00BF29F4" w:rsidP="008727D9">
      <w:pPr>
        <w:ind w:firstLine="709"/>
        <w:jc w:val="both"/>
        <w:rPr>
          <w:rFonts w:ascii="Times New Roman" w:hAnsi="Times New Roman" w:cs="Times New Roman"/>
          <w:color w:val="000000" w:themeColor="text1"/>
        </w:rPr>
      </w:pPr>
    </w:p>
    <w:p w14:paraId="5D9651D4" w14:textId="77777777" w:rsidR="00BF29F4" w:rsidRPr="00F0736F" w:rsidRDefault="00BF29F4" w:rsidP="008727D9">
      <w:pPr>
        <w:ind w:firstLine="709"/>
        <w:jc w:val="both"/>
        <w:rPr>
          <w:rFonts w:ascii="Times New Roman" w:hAnsi="Times New Roman" w:cs="Times New Roman"/>
          <w:color w:val="000000" w:themeColor="text1"/>
        </w:rPr>
      </w:pPr>
    </w:p>
    <w:p w14:paraId="6ACE11FF"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18" w:name="_Toc57818725"/>
      <w:r w:rsidRPr="007272FB">
        <w:rPr>
          <w:rFonts w:ascii="Times New Roman" w:eastAsia="Times New Roman" w:hAnsi="Times New Roman" w:cs="Times New Roman"/>
          <w:color w:val="000000" w:themeColor="text1"/>
          <w:sz w:val="24"/>
          <w:szCs w:val="24"/>
        </w:rPr>
        <w:t>1.4. Развитие электроэнергетики</w:t>
      </w:r>
      <w:bookmarkEnd w:id="18"/>
    </w:p>
    <w:p w14:paraId="7E95579F" w14:textId="77777777" w:rsidR="00F674A4" w:rsidRPr="00F0736F" w:rsidRDefault="00F674A4" w:rsidP="008727D9">
      <w:pPr>
        <w:ind w:firstLine="709"/>
        <w:jc w:val="both"/>
        <w:rPr>
          <w:rFonts w:ascii="Times New Roman" w:hAnsi="Times New Roman" w:cs="Times New Roman"/>
          <w:color w:val="000000" w:themeColor="text1"/>
        </w:rPr>
      </w:pPr>
    </w:p>
    <w:p w14:paraId="424F75DC" w14:textId="6DBEAD18"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w:t>
      </w:r>
    </w:p>
    <w:p w14:paraId="7D693F93" w14:textId="470370F2"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lang w:eastAsia="ru-RU"/>
        </w:rPr>
        <w:t xml:space="preserve">Стратегия «Казахстан-2050» и Концепция по переходу Республики Казахстан к «зеленой экономике» ставят амбициозные цели достижения доли </w:t>
      </w:r>
      <w:r w:rsidRPr="00F0736F">
        <w:rPr>
          <w:rFonts w:ascii="Times New Roman" w:hAnsi="Times New Roman" w:cs="Times New Roman"/>
          <w:b/>
          <w:bCs/>
          <w:color w:val="000000" w:themeColor="text1"/>
          <w:spacing w:val="2"/>
          <w:lang w:eastAsia="ru-RU"/>
        </w:rPr>
        <w:t>возобновляемых источников</w:t>
      </w:r>
      <w:r w:rsidRPr="00F0736F">
        <w:rPr>
          <w:rFonts w:ascii="Times New Roman" w:hAnsi="Times New Roman" w:cs="Times New Roman"/>
          <w:color w:val="000000" w:themeColor="text1"/>
          <w:spacing w:val="2"/>
          <w:lang w:eastAsia="ru-RU"/>
        </w:rPr>
        <w:t xml:space="preserve"> </w:t>
      </w:r>
      <w:r w:rsidR="001B6202" w:rsidRPr="00F0736F">
        <w:rPr>
          <w:rFonts w:ascii="Times New Roman" w:hAnsi="Times New Roman" w:cs="Times New Roman"/>
          <w:color w:val="000000" w:themeColor="text1"/>
          <w:spacing w:val="2"/>
          <w:lang w:eastAsia="ru-RU"/>
        </w:rPr>
        <w:t xml:space="preserve">энергии </w:t>
      </w:r>
      <w:r w:rsidRPr="00F0736F">
        <w:rPr>
          <w:rFonts w:ascii="Times New Roman" w:hAnsi="Times New Roman" w:cs="Times New Roman"/>
          <w:color w:val="000000" w:themeColor="text1"/>
          <w:spacing w:val="2"/>
          <w:lang w:eastAsia="ru-RU"/>
        </w:rPr>
        <w:t>3% к 2020 г</w:t>
      </w:r>
      <w:r w:rsidR="00666720" w:rsidRPr="00F0736F">
        <w:rPr>
          <w:rFonts w:ascii="Times New Roman" w:hAnsi="Times New Roman" w:cs="Times New Roman"/>
          <w:color w:val="000000" w:themeColor="text1"/>
          <w:spacing w:val="2"/>
          <w:lang w:eastAsia="ru-RU"/>
        </w:rPr>
        <w:t>оду, 10% к 2030 году и 50% к 20</w:t>
      </w:r>
      <w:r w:rsidRPr="00F0736F">
        <w:rPr>
          <w:rFonts w:ascii="Times New Roman" w:hAnsi="Times New Roman" w:cs="Times New Roman"/>
          <w:color w:val="000000" w:themeColor="text1"/>
          <w:spacing w:val="2"/>
          <w:lang w:eastAsia="ru-RU"/>
        </w:rPr>
        <w:t>50 году от общего производства электроэнергии. Традиционные источники энергии также должны повысить эффективность своей работы.</w:t>
      </w:r>
    </w:p>
    <w:p w14:paraId="49B8F59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 сегодня Единая энергетическая система (ЕЭС) Казахстана работает устойчиво. Полностью обеспечена системная надежность ЕЭС, потребность экономики и населения в электроэнергии удовлетворена.</w:t>
      </w:r>
    </w:p>
    <w:p w14:paraId="57B39B1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Производство электрической энергии в Казахстане осуществляют 138 электрических станций (в том числе ВИЭ) различной формы собственности (большинство частных). </w:t>
      </w:r>
    </w:p>
    <w:p w14:paraId="2052BD3E" w14:textId="0F40875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Общая установленная мощность электростанций (ЭС) Казахстана на 1 января 2019 года – 21</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901,9 МВт, в том числе по видам топлива: угольные ЭС – 13</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236 МВт; газовые ЭС – 5</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699,7 МВт; ГЭС (большие) – 2</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446,6 МВт;</w:t>
      </w:r>
      <w:bookmarkStart w:id="19" w:name="_GoBack21"/>
      <w:bookmarkEnd w:id="19"/>
      <w:r w:rsidRPr="00F0736F">
        <w:rPr>
          <w:rFonts w:ascii="Times New Roman" w:hAnsi="Times New Roman" w:cs="Times New Roman"/>
          <w:color w:val="000000" w:themeColor="text1"/>
        </w:rPr>
        <w:t xml:space="preserve"> ВИЭ (включая малые ГЭС) – 531 МВт. Годовой максимум нагрузки в Казахстане в 2018 году зафиксирован 25 декабря 2018 года и составил 14</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823 МВт, при располагаемой мощности 18</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895 МВт. За последние пять лет располагаемая мощность электростанций увеличилась на 2470 МВт</w:t>
      </w:r>
      <w:r w:rsidR="00325D1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на 15% от уровня 2013 года, в основном за счет увеличения мощности тепловых станций и возобновляемых источников энергии. При этом</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имеется резерв мощности энергопроизводящих компаний около 4000 МВт к максимуму нагрузки или порядка 22</w:t>
      </w:r>
      <w:r w:rsidR="00325D10"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25%. Это позволит обеспечить необходимые объемы потребления до 2025 года. </w:t>
      </w:r>
    </w:p>
    <w:p w14:paraId="2132CA38" w14:textId="604FF876" w:rsidR="00F674A4" w:rsidRPr="00F0736F" w:rsidRDefault="00F674A4" w:rsidP="00C45EC0">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статистическим данным</w:t>
      </w:r>
      <w:r w:rsidR="00325D1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2018 году выработка электроэнергии составила 107,</w:t>
      </w:r>
      <w:r w:rsidR="00AC7793" w:rsidRPr="00F0736F">
        <w:rPr>
          <w:rFonts w:ascii="Times New Roman" w:hAnsi="Times New Roman" w:cs="Times New Roman"/>
          <w:color w:val="000000" w:themeColor="text1"/>
        </w:rPr>
        <w:t>4</w:t>
      </w:r>
      <w:r w:rsidR="009D0AEB" w:rsidRPr="00F0736F">
        <w:rPr>
          <w:rFonts w:ascii="Times New Roman" w:hAnsi="Times New Roman" w:cs="Times New Roman"/>
          <w:color w:val="000000" w:themeColor="text1"/>
        </w:rPr>
        <w:t xml:space="preserve"> млрд. </w:t>
      </w:r>
      <w:r w:rsidR="00C45EC0" w:rsidRPr="00F0736F">
        <w:rPr>
          <w:rFonts w:ascii="Times New Roman" w:hAnsi="Times New Roman" w:cs="Times New Roman"/>
          <w:color w:val="000000" w:themeColor="text1"/>
        </w:rPr>
        <w:t>кВт*ч</w:t>
      </w:r>
      <w:r w:rsidR="00325D10" w:rsidRPr="00F0736F">
        <w:rPr>
          <w:rFonts w:ascii="Times New Roman" w:hAnsi="Times New Roman" w:cs="Times New Roman"/>
          <w:color w:val="000000" w:themeColor="text1"/>
        </w:rPr>
        <w:t>,</w:t>
      </w:r>
      <w:r w:rsidR="00870A0E" w:rsidRPr="00F0736F">
        <w:rPr>
          <w:rFonts w:ascii="Times New Roman" w:hAnsi="Times New Roman" w:cs="Times New Roman"/>
          <w:color w:val="000000" w:themeColor="text1"/>
        </w:rPr>
        <w:t xml:space="preserve"> или 116</w:t>
      </w:r>
      <w:r w:rsidRPr="00F0736F">
        <w:rPr>
          <w:rFonts w:ascii="Times New Roman" w:hAnsi="Times New Roman" w:cs="Times New Roman"/>
          <w:color w:val="000000" w:themeColor="text1"/>
        </w:rPr>
        <w:t>% к аналогичному пер</w:t>
      </w:r>
      <w:r w:rsidR="009D0AEB" w:rsidRPr="00F0736F">
        <w:rPr>
          <w:rFonts w:ascii="Times New Roman" w:hAnsi="Times New Roman" w:cs="Times New Roman"/>
          <w:color w:val="000000" w:themeColor="text1"/>
        </w:rPr>
        <w:t xml:space="preserve">иоду 2017 года (103,1 млрд. </w:t>
      </w:r>
      <w:r w:rsidR="00C45EC0"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rPr>
        <w:t xml:space="preserve">), в 2019 году </w:t>
      </w:r>
      <w:r w:rsidR="00325D1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9D0AEB" w:rsidRPr="00F0736F">
        <w:rPr>
          <w:rFonts w:ascii="Times New Roman" w:hAnsi="Times New Roman" w:cs="Times New Roman"/>
          <w:color w:val="000000" w:themeColor="text1"/>
        </w:rPr>
        <w:t xml:space="preserve">106,5 млрд. </w:t>
      </w:r>
      <w:r w:rsidR="00C45EC0"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rPr>
        <w:t>, из них</w:t>
      </w:r>
      <w:r w:rsidR="000B0D4E" w:rsidRPr="00F0736F">
        <w:rPr>
          <w:rFonts w:ascii="Times New Roman" w:hAnsi="Times New Roman" w:cs="Times New Roman"/>
          <w:color w:val="000000" w:themeColor="text1"/>
        </w:rPr>
        <w:t xml:space="preserve"> за счет ВИЭ </w:t>
      </w:r>
      <w:r w:rsidR="00C45EC0" w:rsidRPr="00F0736F">
        <w:rPr>
          <w:rFonts w:ascii="Times New Roman" w:hAnsi="Times New Roman" w:cs="Times New Roman"/>
          <w:color w:val="000000" w:themeColor="text1"/>
        </w:rPr>
        <w:t>–</w:t>
      </w:r>
      <w:r w:rsidR="003D15C1" w:rsidRPr="00F0736F">
        <w:rPr>
          <w:rFonts w:ascii="Times New Roman" w:hAnsi="Times New Roman" w:cs="Times New Roman"/>
          <w:color w:val="000000" w:themeColor="text1"/>
        </w:rPr>
        <w:t xml:space="preserve"> </w:t>
      </w:r>
      <w:r w:rsidR="000B0D4E" w:rsidRPr="00F0736F">
        <w:rPr>
          <w:rFonts w:ascii="Times New Roman" w:hAnsi="Times New Roman" w:cs="Times New Roman"/>
          <w:color w:val="000000" w:themeColor="text1"/>
        </w:rPr>
        <w:t>11</w:t>
      </w:r>
      <w:r w:rsidR="00C45EC0" w:rsidRPr="00F0736F">
        <w:rPr>
          <w:rFonts w:ascii="Times New Roman" w:hAnsi="Times New Roman" w:cs="Times New Roman"/>
          <w:color w:val="000000" w:themeColor="text1"/>
        </w:rPr>
        <w:t xml:space="preserve"> </w:t>
      </w:r>
      <w:r w:rsidR="000B0D4E" w:rsidRPr="00F0736F">
        <w:rPr>
          <w:rFonts w:ascii="Times New Roman" w:hAnsi="Times New Roman" w:cs="Times New Roman"/>
          <w:color w:val="000000" w:themeColor="text1"/>
        </w:rPr>
        <w:t>097,0 млн. кВт</w:t>
      </w:r>
      <w:r w:rsidR="009D0AE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ч</w:t>
      </w:r>
      <w:r w:rsidR="00C45EC0" w:rsidRPr="00F0736F">
        <w:rPr>
          <w:rFonts w:ascii="Times New Roman" w:hAnsi="Times New Roman" w:cs="Times New Roman"/>
          <w:color w:val="000000" w:themeColor="text1"/>
        </w:rPr>
        <w:t xml:space="preserve"> кВт*ч</w:t>
      </w:r>
      <w:r w:rsidRPr="00F0736F">
        <w:rPr>
          <w:rFonts w:ascii="Times New Roman" w:hAnsi="Times New Roman" w:cs="Times New Roman"/>
          <w:color w:val="000000" w:themeColor="text1"/>
        </w:rPr>
        <w:t>, в то</w:t>
      </w:r>
      <w:r w:rsidR="000B0D4E" w:rsidRPr="00F0736F">
        <w:rPr>
          <w:rFonts w:ascii="Times New Roman" w:hAnsi="Times New Roman" w:cs="Times New Roman"/>
          <w:color w:val="000000" w:themeColor="text1"/>
        </w:rPr>
        <w:t>м числе 9</w:t>
      </w:r>
      <w:r w:rsidR="00C45EC0" w:rsidRPr="00F0736F">
        <w:rPr>
          <w:rFonts w:ascii="Times New Roman" w:hAnsi="Times New Roman" w:cs="Times New Roman"/>
          <w:color w:val="000000" w:themeColor="text1"/>
        </w:rPr>
        <w:t xml:space="preserve"> </w:t>
      </w:r>
      <w:r w:rsidR="000B0D4E" w:rsidRPr="00F0736F">
        <w:rPr>
          <w:rFonts w:ascii="Times New Roman" w:hAnsi="Times New Roman" w:cs="Times New Roman"/>
          <w:color w:val="000000" w:themeColor="text1"/>
        </w:rPr>
        <w:t xml:space="preserve">993,7 млн. </w:t>
      </w:r>
      <w:r w:rsidR="00C45EC0" w:rsidRPr="00F0736F">
        <w:rPr>
          <w:rFonts w:ascii="Times New Roman" w:hAnsi="Times New Roman" w:cs="Times New Roman"/>
          <w:color w:val="000000" w:themeColor="text1"/>
        </w:rPr>
        <w:t xml:space="preserve">кВт*ч </w:t>
      </w:r>
      <w:r w:rsidRPr="00F0736F">
        <w:rPr>
          <w:rFonts w:ascii="Times New Roman" w:hAnsi="Times New Roman" w:cs="Times New Roman"/>
          <w:color w:val="000000" w:themeColor="text1"/>
        </w:rPr>
        <w:t xml:space="preserve">электроэнергии произведено гидроэлектростанциями, 707,1 млн. </w:t>
      </w:r>
      <w:r w:rsidR="00C45EC0" w:rsidRPr="00F0736F">
        <w:rPr>
          <w:rFonts w:ascii="Times New Roman" w:hAnsi="Times New Roman" w:cs="Times New Roman"/>
          <w:color w:val="000000" w:themeColor="text1"/>
        </w:rPr>
        <w:t xml:space="preserve">кВт*ч </w:t>
      </w:r>
      <w:r w:rsidRPr="00F0736F">
        <w:rPr>
          <w:rFonts w:ascii="Times New Roman" w:hAnsi="Times New Roman" w:cs="Times New Roman"/>
          <w:color w:val="000000" w:themeColor="text1"/>
        </w:rPr>
        <w:t xml:space="preserve">- ветровыми электростанциями, </w:t>
      </w:r>
      <w:r w:rsidR="000B0D4E" w:rsidRPr="00F0736F">
        <w:rPr>
          <w:rFonts w:ascii="Times New Roman" w:hAnsi="Times New Roman" w:cs="Times New Roman"/>
          <w:color w:val="000000" w:themeColor="text1"/>
        </w:rPr>
        <w:t xml:space="preserve">391,2 млн. </w:t>
      </w:r>
      <w:r w:rsidR="00C45EC0" w:rsidRPr="00F0736F">
        <w:rPr>
          <w:rFonts w:ascii="Times New Roman" w:hAnsi="Times New Roman" w:cs="Times New Roman"/>
          <w:color w:val="000000" w:themeColor="text1"/>
        </w:rPr>
        <w:t xml:space="preserve">кВт*ч </w:t>
      </w:r>
      <w:r w:rsidRPr="00F0736F">
        <w:rPr>
          <w:rFonts w:ascii="Times New Roman" w:hAnsi="Times New Roman" w:cs="Times New Roman"/>
          <w:color w:val="000000" w:themeColor="text1"/>
        </w:rPr>
        <w:t>-</w:t>
      </w:r>
      <w:r w:rsidR="00AC7793" w:rsidRPr="00F0736F">
        <w:rPr>
          <w:rFonts w:ascii="Times New Roman" w:hAnsi="Times New Roman" w:cs="Times New Roman"/>
          <w:color w:val="000000" w:themeColor="text1"/>
        </w:rPr>
        <w:t xml:space="preserve"> солнечными электростанциями</w:t>
      </w:r>
      <w:r w:rsidR="003D15C1" w:rsidRPr="00F0736F">
        <w:rPr>
          <w:rFonts w:ascii="Times New Roman" w:hAnsi="Times New Roman" w:cs="Times New Roman"/>
          <w:color w:val="000000" w:themeColor="text1"/>
        </w:rPr>
        <w:t xml:space="preserve">. </w:t>
      </w:r>
      <w:r w:rsidR="000B0D4E" w:rsidRPr="00F0736F">
        <w:rPr>
          <w:rFonts w:ascii="Times New Roman" w:hAnsi="Times New Roman" w:cs="Times New Roman"/>
          <w:color w:val="000000" w:themeColor="text1"/>
        </w:rPr>
        <w:t>Электроэнергия от биогаза, произведенная биогазовыми</w:t>
      </w:r>
      <w:r w:rsidR="00325D10" w:rsidRPr="00F0736F">
        <w:rPr>
          <w:rFonts w:ascii="Times New Roman" w:hAnsi="Times New Roman" w:cs="Times New Roman"/>
          <w:color w:val="000000" w:themeColor="text1"/>
        </w:rPr>
        <w:t>,</w:t>
      </w:r>
      <w:r w:rsidR="000B0D4E" w:rsidRPr="00F0736F">
        <w:rPr>
          <w:rFonts w:ascii="Times New Roman" w:hAnsi="Times New Roman" w:cs="Times New Roman"/>
          <w:color w:val="000000" w:themeColor="text1"/>
        </w:rPr>
        <w:t xml:space="preserve"> в 2019 году составил</w:t>
      </w:r>
      <w:r w:rsidR="00C45EC0" w:rsidRPr="00F0736F">
        <w:rPr>
          <w:rFonts w:ascii="Times New Roman" w:hAnsi="Times New Roman" w:cs="Times New Roman"/>
          <w:color w:val="000000" w:themeColor="text1"/>
        </w:rPr>
        <w:t xml:space="preserve">а </w:t>
      </w:r>
      <w:r w:rsidR="000B0D4E" w:rsidRPr="00F0736F">
        <w:rPr>
          <w:rFonts w:ascii="Times New Roman" w:hAnsi="Times New Roman" w:cs="Times New Roman"/>
          <w:color w:val="000000" w:themeColor="text1"/>
        </w:rPr>
        <w:t xml:space="preserve">4 967,1 тыс. </w:t>
      </w:r>
      <w:r w:rsidR="00C45EC0" w:rsidRPr="00F0736F">
        <w:rPr>
          <w:rFonts w:ascii="Times New Roman" w:hAnsi="Times New Roman" w:cs="Times New Roman"/>
          <w:color w:val="000000" w:themeColor="text1"/>
        </w:rPr>
        <w:t xml:space="preserve">кВт*ч </w:t>
      </w:r>
      <w:r w:rsidR="000B0D4E" w:rsidRPr="00F0736F">
        <w:rPr>
          <w:rFonts w:ascii="Times New Roman" w:hAnsi="Times New Roman" w:cs="Times New Roman"/>
          <w:color w:val="000000" w:themeColor="text1"/>
        </w:rPr>
        <w:t xml:space="preserve">(5,0 млн. </w:t>
      </w:r>
      <w:r w:rsidR="00C45EC0" w:rsidRPr="00F0736F">
        <w:rPr>
          <w:rFonts w:ascii="Times New Roman" w:hAnsi="Times New Roman" w:cs="Times New Roman"/>
          <w:color w:val="000000" w:themeColor="text1"/>
        </w:rPr>
        <w:t>кВт*ч</w:t>
      </w:r>
      <w:r w:rsidR="000B0D4E" w:rsidRPr="00F0736F">
        <w:rPr>
          <w:rFonts w:ascii="Times New Roman" w:hAnsi="Times New Roman" w:cs="Times New Roman"/>
          <w:color w:val="000000" w:themeColor="text1"/>
        </w:rPr>
        <w:t>)</w:t>
      </w:r>
      <w:r w:rsidR="00C45EC0" w:rsidRPr="00F0736F">
        <w:rPr>
          <w:rFonts w:ascii="Times New Roman" w:hAnsi="Times New Roman" w:cs="Times New Roman"/>
          <w:color w:val="000000" w:themeColor="text1"/>
        </w:rPr>
        <w:t>.</w:t>
      </w:r>
    </w:p>
    <w:p w14:paraId="34847FE4" w14:textId="49E11AF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Средний возраст оборудования электростанций Казахстана на конец 2018 года составил 32 года. За предыдущие пять лет он увеличился на 3 года. Мощность самого старого оборудования, введенного более 70 лет назад, составляет 0,54% (118 МВт) от всей установленной мощности электростанций, а мощность электростанций, введенных более 30 лет назад </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54,3% (11</w:t>
      </w:r>
      <w:r w:rsidR="00C45EC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892 Мвт).</w:t>
      </w:r>
    </w:p>
    <w:p w14:paraId="5A2B147C"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val="kk-KZ" w:eastAsia="ru-RU"/>
        </w:rPr>
        <w:t xml:space="preserve">Уровень износа электрических сетей в Казахстане составляет порядка 60%. </w:t>
      </w:r>
      <w:r w:rsidRPr="00F0736F">
        <w:rPr>
          <w:rFonts w:ascii="Times New Roman" w:eastAsia="Times New Roman" w:hAnsi="Times New Roman" w:cs="Times New Roman"/>
          <w:bCs/>
          <w:color w:val="000000" w:themeColor="text1"/>
          <w:spacing w:val="2"/>
          <w:lang w:val="kk-KZ" w:eastAsia="ru-RU"/>
        </w:rPr>
        <w:t>Потери электрической энергии</w:t>
      </w:r>
      <w:r w:rsidRPr="00F0736F">
        <w:rPr>
          <w:rFonts w:ascii="Times New Roman" w:eastAsia="Times New Roman" w:hAnsi="Times New Roman" w:cs="Times New Roman"/>
          <w:color w:val="000000" w:themeColor="text1"/>
          <w:spacing w:val="2"/>
          <w:lang w:val="kk-KZ" w:eastAsia="ru-RU"/>
        </w:rPr>
        <w:t xml:space="preserve"> в магистральных электрических сетях (НЭС РК) составляют от 5 до 7%, в сетях региональных электросетевых компаний – порядка 12% и являются практически оптимальными для сетей данного класса. </w:t>
      </w:r>
      <w:r w:rsidRPr="00F0736F">
        <w:rPr>
          <w:rFonts w:ascii="Times New Roman" w:hAnsi="Times New Roman" w:cs="Times New Roman"/>
          <w:color w:val="000000" w:themeColor="text1"/>
          <w:spacing w:val="2"/>
          <w:lang w:val="kk-KZ"/>
        </w:rPr>
        <w:t>В распределительных сетях некоторых регионов Казахстана потери достигают 20%, но связаны они с высокой протяженностью сетей и низкой концентрацией потребителей</w:t>
      </w:r>
      <w:r w:rsidRPr="00F0736F">
        <w:rPr>
          <w:rStyle w:val="a4"/>
          <w:rFonts w:ascii="Times New Roman" w:hAnsi="Times New Roman" w:cs="Times New Roman"/>
          <w:color w:val="000000" w:themeColor="text1"/>
          <w:spacing w:val="2"/>
          <w:lang w:val="kk-KZ"/>
        </w:rPr>
        <w:footnoteReference w:id="47"/>
      </w:r>
      <w:r w:rsidRPr="00F0736F">
        <w:rPr>
          <w:rFonts w:ascii="Times New Roman" w:hAnsi="Times New Roman" w:cs="Times New Roman"/>
          <w:color w:val="000000" w:themeColor="text1"/>
          <w:spacing w:val="2"/>
          <w:lang w:val="kk-KZ"/>
        </w:rPr>
        <w:t xml:space="preserve"> (таблица 1.4.1.).</w:t>
      </w:r>
    </w:p>
    <w:p w14:paraId="41BDBDE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lang w:val="kk-KZ"/>
        </w:rPr>
        <w:t>Министр энергетики РК на коллегии 25.02.2020 года отметил</w:t>
      </w:r>
      <w:r w:rsidRPr="00F0736F">
        <w:rPr>
          <w:rFonts w:ascii="Times New Roman" w:hAnsi="Times New Roman" w:cs="Times New Roman"/>
          <w:color w:val="000000" w:themeColor="text1"/>
        </w:rPr>
        <w:t>, что протяженность бесхозных сетей снизилась с 2350 км в 2017 году до 225 км в 2019 году (на 2125 км). При этом в рамках проводимой работы местными исполнительными органами выявляются новые бесхозяйные объекты, окончательные результаты по этой проблеме будут достигнуты в 2023 году.</w:t>
      </w:r>
    </w:p>
    <w:p w14:paraId="272B0D21" w14:textId="100B133A"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b/>
          <w:bCs/>
          <w:color w:val="000000" w:themeColor="text1"/>
          <w:spacing w:val="2"/>
          <w:lang w:eastAsia="ru-RU"/>
        </w:rPr>
        <w:t>Тепловая энергия</w:t>
      </w:r>
      <w:r w:rsidRPr="00F0736F">
        <w:rPr>
          <w:rFonts w:ascii="Times New Roman" w:hAnsi="Times New Roman" w:cs="Times New Roman"/>
          <w:color w:val="000000" w:themeColor="text1"/>
          <w:spacing w:val="2"/>
          <w:lang w:val="kk-KZ" w:eastAsia="ru-RU"/>
        </w:rPr>
        <w:t xml:space="preserve"> поставляется на внутренний рынок республики. В 2013 г</w:t>
      </w:r>
      <w:r w:rsidR="00325D10" w:rsidRPr="00F0736F">
        <w:rPr>
          <w:rFonts w:ascii="Times New Roman" w:hAnsi="Times New Roman" w:cs="Times New Roman"/>
          <w:color w:val="000000" w:themeColor="text1"/>
          <w:spacing w:val="2"/>
          <w:lang w:val="kk-KZ" w:eastAsia="ru-RU"/>
        </w:rPr>
        <w:t>оду</w:t>
      </w:r>
      <w:r w:rsidRPr="00F0736F">
        <w:rPr>
          <w:rFonts w:ascii="Times New Roman" w:hAnsi="Times New Roman" w:cs="Times New Roman"/>
          <w:color w:val="000000" w:themeColor="text1"/>
          <w:spacing w:val="2"/>
          <w:lang w:val="kk-KZ" w:eastAsia="ru-RU"/>
        </w:rPr>
        <w:t xml:space="preserve"> </w:t>
      </w:r>
      <w:r w:rsidRPr="00F0736F">
        <w:rPr>
          <w:rFonts w:ascii="Times New Roman" w:hAnsi="Times New Roman" w:cs="Times New Roman"/>
          <w:color w:val="000000" w:themeColor="text1"/>
          <w:spacing w:val="2"/>
          <w:lang w:eastAsia="ru-RU"/>
        </w:rPr>
        <w:t>ее производство</w:t>
      </w:r>
      <w:r w:rsidRPr="00F0736F">
        <w:rPr>
          <w:rFonts w:ascii="Times New Roman" w:hAnsi="Times New Roman" w:cs="Times New Roman"/>
          <w:color w:val="000000" w:themeColor="text1"/>
          <w:spacing w:val="2"/>
          <w:lang w:val="kk-KZ" w:eastAsia="ru-RU"/>
        </w:rPr>
        <w:t xml:space="preserve"> составило </w:t>
      </w:r>
      <w:r w:rsidR="00870A0E" w:rsidRPr="00F0736F">
        <w:rPr>
          <w:rFonts w:ascii="Times New Roman" w:hAnsi="Times New Roman" w:cs="Times New Roman"/>
          <w:color w:val="000000" w:themeColor="text1"/>
          <w:spacing w:val="2"/>
          <w:lang w:eastAsia="ru-RU"/>
        </w:rPr>
        <w:t>94,7</w:t>
      </w:r>
      <w:r w:rsidRPr="00F0736F">
        <w:rPr>
          <w:rFonts w:ascii="Times New Roman" w:hAnsi="Times New Roman" w:cs="Times New Roman"/>
          <w:color w:val="000000" w:themeColor="text1"/>
          <w:spacing w:val="2"/>
          <w:lang w:val="kk-KZ" w:eastAsia="ru-RU"/>
        </w:rPr>
        <w:t xml:space="preserve"> млн. Гкал, в 2017 г</w:t>
      </w:r>
      <w:r w:rsidR="00325D10" w:rsidRPr="00F0736F">
        <w:rPr>
          <w:rFonts w:ascii="Times New Roman" w:hAnsi="Times New Roman" w:cs="Times New Roman"/>
          <w:color w:val="000000" w:themeColor="text1"/>
          <w:spacing w:val="2"/>
          <w:lang w:val="kk-KZ" w:eastAsia="ru-RU"/>
        </w:rPr>
        <w:t>оду</w:t>
      </w:r>
      <w:r w:rsidRPr="00F0736F">
        <w:rPr>
          <w:rFonts w:ascii="Times New Roman" w:hAnsi="Times New Roman" w:cs="Times New Roman"/>
          <w:color w:val="000000" w:themeColor="text1"/>
          <w:spacing w:val="2"/>
          <w:lang w:val="kk-KZ" w:eastAsia="ru-RU"/>
        </w:rPr>
        <w:t xml:space="preserve"> – 8</w:t>
      </w:r>
      <w:r w:rsidR="00870A0E" w:rsidRPr="00F0736F">
        <w:rPr>
          <w:rFonts w:ascii="Times New Roman" w:hAnsi="Times New Roman" w:cs="Times New Roman"/>
          <w:color w:val="000000" w:themeColor="text1"/>
          <w:spacing w:val="2"/>
          <w:lang w:val="kk-KZ" w:eastAsia="ru-RU"/>
        </w:rPr>
        <w:t>8,7</w:t>
      </w:r>
      <w:r w:rsidRPr="00F0736F">
        <w:rPr>
          <w:rFonts w:ascii="Times New Roman" w:hAnsi="Times New Roman" w:cs="Times New Roman"/>
          <w:color w:val="000000" w:themeColor="text1"/>
          <w:spacing w:val="2"/>
          <w:lang w:val="kk-KZ" w:eastAsia="ru-RU"/>
        </w:rPr>
        <w:t xml:space="preserve"> млн. Гкал, </w:t>
      </w:r>
      <w:r w:rsidRPr="00F0736F">
        <w:rPr>
          <w:rFonts w:ascii="Times New Roman" w:hAnsi="Times New Roman" w:cs="Times New Roman"/>
          <w:color w:val="000000" w:themeColor="text1"/>
          <w:spacing w:val="2"/>
          <w:lang w:eastAsia="ru-RU"/>
        </w:rPr>
        <w:t xml:space="preserve">в 2019 году — </w:t>
      </w:r>
      <w:r w:rsidR="00870A0E" w:rsidRPr="00F0736F">
        <w:rPr>
          <w:rFonts w:ascii="Times New Roman" w:hAnsi="Times New Roman" w:cs="Times New Roman"/>
          <w:color w:val="000000" w:themeColor="text1"/>
          <w:spacing w:val="2"/>
          <w:lang w:eastAsia="ru-RU"/>
        </w:rPr>
        <w:t>90,0</w:t>
      </w:r>
      <w:r w:rsidRPr="00F0736F">
        <w:rPr>
          <w:rFonts w:ascii="Times New Roman" w:hAnsi="Times New Roman" w:cs="Times New Roman"/>
          <w:color w:val="000000" w:themeColor="text1"/>
          <w:spacing w:val="2"/>
          <w:lang w:eastAsia="ru-RU"/>
        </w:rPr>
        <w:t xml:space="preserve"> </w:t>
      </w:r>
      <w:r w:rsidRPr="00F0736F">
        <w:rPr>
          <w:rFonts w:ascii="Times New Roman" w:hAnsi="Times New Roman" w:cs="Times New Roman"/>
          <w:color w:val="000000" w:themeColor="text1"/>
          <w:spacing w:val="2"/>
          <w:lang w:val="kk-KZ" w:eastAsia="ru-RU"/>
        </w:rPr>
        <w:t>млн. Гкал. Средний износ теплосетей по стране составляет 63%. При этом около 40%</w:t>
      </w:r>
      <w:r w:rsidR="00325D10" w:rsidRPr="00F0736F">
        <w:rPr>
          <w:rFonts w:ascii="Times New Roman" w:hAnsi="Times New Roman" w:cs="Times New Roman"/>
          <w:color w:val="000000" w:themeColor="text1"/>
          <w:spacing w:val="2"/>
          <w:lang w:val="kk-KZ" w:eastAsia="ru-RU"/>
        </w:rPr>
        <w:t>,</w:t>
      </w:r>
      <w:r w:rsidRPr="00F0736F">
        <w:rPr>
          <w:rFonts w:ascii="Times New Roman" w:hAnsi="Times New Roman" w:cs="Times New Roman"/>
          <w:color w:val="000000" w:themeColor="text1"/>
          <w:spacing w:val="2"/>
          <w:lang w:val="kk-KZ" w:eastAsia="ru-RU"/>
        </w:rPr>
        <w:t xml:space="preserve"> или 9,6 тыс. км имеют 100% износ. </w:t>
      </w:r>
      <w:r w:rsidRPr="00F0736F">
        <w:rPr>
          <w:rFonts w:ascii="Times New Roman" w:hAnsi="Times New Roman" w:cs="Times New Roman"/>
          <w:bCs/>
          <w:color w:val="000000" w:themeColor="text1"/>
          <w:spacing w:val="2"/>
          <w:lang w:val="kk-KZ" w:eastAsia="ru-RU"/>
        </w:rPr>
        <w:t>Потери тепловой энергии составили</w:t>
      </w:r>
      <w:r w:rsidRPr="00F0736F">
        <w:rPr>
          <w:rFonts w:ascii="Times New Roman" w:hAnsi="Times New Roman" w:cs="Times New Roman"/>
          <w:color w:val="000000" w:themeColor="text1"/>
          <w:spacing w:val="2"/>
          <w:lang w:val="kk-KZ" w:eastAsia="ru-RU"/>
        </w:rPr>
        <w:t xml:space="preserve"> в 2013 и 2017 годах: 8,9 млн. Гкал и 8,3 млн. Гкал соответственно, то есть </w:t>
      </w:r>
      <w:r w:rsidRPr="00F0736F">
        <w:rPr>
          <w:rFonts w:ascii="Times New Roman" w:hAnsi="Times New Roman" w:cs="Times New Roman"/>
          <w:color w:val="000000" w:themeColor="text1"/>
          <w:spacing w:val="2"/>
          <w:lang w:eastAsia="ru-RU"/>
        </w:rPr>
        <w:t>около</w:t>
      </w:r>
      <w:r w:rsidRPr="00F0736F">
        <w:rPr>
          <w:rFonts w:ascii="Times New Roman" w:hAnsi="Times New Roman" w:cs="Times New Roman"/>
          <w:color w:val="000000" w:themeColor="text1"/>
          <w:spacing w:val="2"/>
          <w:lang w:val="kk-KZ" w:eastAsia="ru-RU"/>
        </w:rPr>
        <w:t xml:space="preserve"> 9% от общего объема ресурсов </w:t>
      </w:r>
      <w:r w:rsidRPr="00F0736F">
        <w:rPr>
          <w:rFonts w:ascii="Times New Roman" w:hAnsi="Times New Roman" w:cs="Times New Roman"/>
          <w:color w:val="000000" w:themeColor="text1"/>
        </w:rPr>
        <w:t>теплоэнергии</w:t>
      </w:r>
      <w:r w:rsidRPr="00F0736F">
        <w:rPr>
          <w:color w:val="000000" w:themeColor="text1"/>
          <w:vertAlign w:val="superscript"/>
        </w:rPr>
        <w:footnoteReference w:id="48"/>
      </w:r>
      <w:r w:rsidRPr="00F0736F">
        <w:rPr>
          <w:rFonts w:ascii="Times New Roman" w:hAnsi="Times New Roman" w:cs="Times New Roman"/>
          <w:color w:val="000000" w:themeColor="text1"/>
          <w:vertAlign w:val="superscript"/>
        </w:rPr>
        <w:t>.</w:t>
      </w:r>
      <w:r w:rsidRPr="00F0736F">
        <w:rPr>
          <w:rFonts w:ascii="Times New Roman" w:hAnsi="Times New Roman" w:cs="Times New Roman"/>
          <w:color w:val="000000" w:themeColor="text1"/>
        </w:rPr>
        <w:t xml:space="preserve"> </w:t>
      </w:r>
    </w:p>
    <w:p w14:paraId="39A36608" w14:textId="64DAD533"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по данным Комитета по статистике, выработка теплоэнергии составила 87,9 млн. Гкал, из них 52,2 млн. Гкал приходится на тепловые электростанции и 28,6 млн. Гкал – на котельные. В республике в 2019 году количество источников теплоснабжения составило 2</w:t>
      </w:r>
      <w:r w:rsidR="00B32C0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457, общая протяженность тепловых сетей – 11,4 тыс. км, из них 28% нуждались в замене. Потери тепловой энергии составили в 2019 году </w:t>
      </w:r>
      <w:r w:rsidR="00870A0E" w:rsidRPr="00F0736F">
        <w:rPr>
          <w:rFonts w:ascii="Times New Roman" w:hAnsi="Times New Roman" w:cs="Times New Roman"/>
          <w:color w:val="000000" w:themeColor="text1"/>
        </w:rPr>
        <w:t>9</w:t>
      </w:r>
      <w:r w:rsidR="00B32C03" w:rsidRPr="00F0736F">
        <w:rPr>
          <w:rFonts w:ascii="Times New Roman" w:hAnsi="Times New Roman" w:cs="Times New Roman"/>
          <w:color w:val="000000" w:themeColor="text1"/>
        </w:rPr>
        <w:t xml:space="preserve"> </w:t>
      </w:r>
      <w:r w:rsidR="00870A0E" w:rsidRPr="00F0736F">
        <w:rPr>
          <w:rFonts w:ascii="Times New Roman" w:hAnsi="Times New Roman" w:cs="Times New Roman"/>
          <w:color w:val="000000" w:themeColor="text1"/>
        </w:rPr>
        <w:t>027,6 тыс. Гкал</w:t>
      </w:r>
      <w:r w:rsidR="00870A0E" w:rsidRPr="00F0736F">
        <w:rPr>
          <w:color w:val="000000" w:themeColor="text1"/>
          <w:vertAlign w:val="superscript"/>
        </w:rPr>
        <w:footnoteReference w:id="49"/>
      </w:r>
      <w:r w:rsidR="00870A0E" w:rsidRPr="00F0736F">
        <w:rPr>
          <w:rFonts w:ascii="Times New Roman" w:hAnsi="Times New Roman" w:cs="Times New Roman"/>
          <w:color w:val="000000" w:themeColor="text1"/>
        </w:rPr>
        <w:t>.</w:t>
      </w:r>
    </w:p>
    <w:p w14:paraId="4C8E1FD7" w14:textId="3A31E9B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Принятая в 2014 г</w:t>
      </w:r>
      <w:r w:rsidR="00271974"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Концепция развития топливно-энергетического комплекса до 2030 г</w:t>
      </w:r>
      <w:r w:rsidR="00271974"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(Постановление Правительства №724 2014 г.) охватывает вопросы развития угольной, нефтяной, газовой и атомной отраслей, а также электро- и теплоэнергетики. В ней изложены стратегические приоритеты сектора: энергетическая безопасность, развитие ресурсной базы и улучшение экологической ситуации. К основным задачам сектора до 2030 г. относятся: модернизация существующих и строительство новых генерирующих мощностей; развитие внутренних рынков и конкуренции; модернизация промышленности и транспорта; внедрение современных технологий для повышения энергоэффективности и снижения неблагоприятного воздействия на окружающую среду; и развитие технологий и инфраструктуры для использования альтернативных видов энергоносителей, включая атомную энергию.</w:t>
      </w:r>
    </w:p>
    <w:p w14:paraId="03685A45" w14:textId="171E6F2F"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С 2012 года общее потребление электроэнергии в Казахстане, по-видимому, вошло в новую фазу стабилизации – оно больше не растет относительно быстрыми темпами, наблюдавшимися в 2000 - 2012 годах (в среднем 4,4% в год). В будущем ожидается, что спрос на электроэнергию будет расти более скромно, составляя в среднем лишь около 1,1% в год до 2040 года (см. Рис. 1.4.1.)</w:t>
      </w:r>
      <w:r w:rsidRPr="00F0736F">
        <w:rPr>
          <w:rStyle w:val="a4"/>
          <w:rFonts w:ascii="Times New Roman" w:eastAsia="Times New Roman" w:hAnsi="Times New Roman" w:cs="Times New Roman"/>
          <w:color w:val="000000" w:themeColor="text1"/>
          <w:spacing w:val="2"/>
          <w:lang w:eastAsia="ru-RU"/>
        </w:rPr>
        <w:footnoteReference w:id="50"/>
      </w:r>
      <w:r w:rsidRPr="00F0736F">
        <w:rPr>
          <w:rFonts w:ascii="Times New Roman" w:eastAsia="Times New Roman" w:hAnsi="Times New Roman" w:cs="Times New Roman"/>
          <w:color w:val="000000" w:themeColor="text1"/>
          <w:spacing w:val="2"/>
          <w:lang w:eastAsia="ru-RU"/>
        </w:rPr>
        <w:t xml:space="preserve">. </w:t>
      </w:r>
    </w:p>
    <w:p w14:paraId="555BB067"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 xml:space="preserve">По итогам 2018 года в Республике было 67 действующих объектов ВИЭ суммарной мощностью 531 МВт (ГЭС – 200,25; ВЭС – 121,45; СЭС – 209; биогазовая установка – 0,35) и выработка электроэнергии объектами ВИЭ составила 1,35 млрд. </w:t>
      </w:r>
      <w:r w:rsidRPr="00F0736F">
        <w:rPr>
          <w:rFonts w:ascii="Times New Roman" w:hAnsi="Times New Roman" w:cs="Times New Roman"/>
          <w:color w:val="000000" w:themeColor="text1"/>
        </w:rPr>
        <w:t>кВт*ч</w:t>
      </w:r>
      <w:r w:rsidRPr="00F0736F">
        <w:rPr>
          <w:rFonts w:ascii="Times New Roman" w:eastAsia="Calibri" w:hAnsi="Times New Roman" w:cs="Times New Roman"/>
          <w:color w:val="000000" w:themeColor="text1"/>
        </w:rPr>
        <w:t xml:space="preserve"> (115% к 2017 году). Доля ВИЭ в общем объеме производства электроэнергии – 1,3% (таблица 1.4.1.). </w:t>
      </w:r>
    </w:p>
    <w:p w14:paraId="398B471F" w14:textId="77777777" w:rsidR="008748FB" w:rsidRPr="00F0736F" w:rsidRDefault="008748FB" w:rsidP="008727D9">
      <w:pPr>
        <w:ind w:firstLine="709"/>
        <w:jc w:val="both"/>
        <w:rPr>
          <w:color w:val="000000" w:themeColor="text1"/>
        </w:rPr>
      </w:pPr>
    </w:p>
    <w:p w14:paraId="2F3432B9" w14:textId="467A1C0B" w:rsidR="008748FB" w:rsidRPr="00F0736F" w:rsidRDefault="008748FB" w:rsidP="008727D9">
      <w:pPr>
        <w:ind w:firstLine="709"/>
        <w:jc w:val="both"/>
        <w:rPr>
          <w:color w:val="000000" w:themeColor="text1"/>
        </w:rPr>
      </w:pPr>
      <w:r w:rsidRPr="00F0736F">
        <w:rPr>
          <w:rFonts w:ascii="Times New Roman" w:hAnsi="Times New Roman" w:cs="Times New Roman"/>
          <w:color w:val="000000" w:themeColor="text1"/>
        </w:rPr>
        <w:t xml:space="preserve">Таблица 1.4.1. </w:t>
      </w:r>
      <w:r w:rsidRPr="00F0736F">
        <w:rPr>
          <w:rFonts w:ascii="Times New Roman" w:eastAsia="Times New Roman" w:hAnsi="Times New Roman" w:cs="Times New Roman"/>
          <w:color w:val="000000" w:themeColor="text1"/>
          <w:lang w:eastAsia="ru-RU"/>
        </w:rPr>
        <w:t>Производство электрической энергии объектами ВИЭ за 2019 год</w:t>
      </w:r>
      <w:r w:rsidRPr="00F0736F">
        <w:rPr>
          <w:rFonts w:ascii="Times New Roman" w:eastAsia="Times New Roman" w:hAnsi="Times New Roman" w:cs="Times New Roman"/>
          <w:color w:val="000000" w:themeColor="text1"/>
          <w:sz w:val="20"/>
          <w:szCs w:val="20"/>
          <w:lang w:eastAsia="ru-RU"/>
        </w:rPr>
        <w:t xml:space="preserve"> </w:t>
      </w:r>
    </w:p>
    <w:p w14:paraId="008AC179" w14:textId="7C6D8B1B" w:rsidR="008748FB" w:rsidRDefault="008748FB" w:rsidP="008727D9">
      <w:pPr>
        <w:ind w:firstLine="709"/>
        <w:jc w:val="both"/>
        <w:rPr>
          <w:rFonts w:ascii="Times New Roman" w:eastAsia="Times New Roman" w:hAnsi="Times New Roman" w:cs="Times New Roman"/>
          <w:b/>
          <w:bCs/>
          <w:color w:val="000000" w:themeColor="text1"/>
          <w:sz w:val="20"/>
          <w:szCs w:val="20"/>
          <w:lang w:val="kk-KZ" w:eastAsia="ru-RU"/>
        </w:rPr>
      </w:pPr>
    </w:p>
    <w:tbl>
      <w:tblPr>
        <w:tblW w:w="9780" w:type="dxa"/>
        <w:tblInd w:w="-5" w:type="dxa"/>
        <w:tblLayout w:type="fixed"/>
        <w:tblLook w:val="0000" w:firstRow="0" w:lastRow="0" w:firstColumn="0" w:lastColumn="0" w:noHBand="0" w:noVBand="0"/>
      </w:tblPr>
      <w:tblGrid>
        <w:gridCol w:w="3402"/>
        <w:gridCol w:w="1842"/>
        <w:gridCol w:w="1418"/>
        <w:gridCol w:w="1418"/>
        <w:gridCol w:w="1700"/>
      </w:tblGrid>
      <w:tr w:rsidR="00F86BDC" w:rsidRPr="00F0736F" w14:paraId="6EB2735A" w14:textId="77777777" w:rsidTr="00B155C8">
        <w:trPr>
          <w:trHeight w:val="570"/>
        </w:trPr>
        <w:tc>
          <w:tcPr>
            <w:tcW w:w="3402" w:type="dxa"/>
            <w:tcBorders>
              <w:top w:val="single" w:sz="4" w:space="0" w:color="000000"/>
              <w:left w:val="single" w:sz="4" w:space="0" w:color="000000"/>
              <w:bottom w:val="single" w:sz="4" w:space="0" w:color="000000"/>
            </w:tcBorders>
            <w:shd w:val="clear" w:color="auto" w:fill="auto"/>
            <w:vAlign w:val="center"/>
          </w:tcPr>
          <w:p w14:paraId="4031920B"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Показатели</w:t>
            </w:r>
          </w:p>
        </w:tc>
        <w:tc>
          <w:tcPr>
            <w:tcW w:w="1842" w:type="dxa"/>
            <w:tcBorders>
              <w:top w:val="single" w:sz="4" w:space="0" w:color="000000"/>
              <w:left w:val="single" w:sz="4" w:space="0" w:color="000000"/>
              <w:bottom w:val="single" w:sz="4" w:space="0" w:color="000000"/>
            </w:tcBorders>
            <w:shd w:val="clear" w:color="auto" w:fill="auto"/>
            <w:vAlign w:val="center"/>
          </w:tcPr>
          <w:p w14:paraId="48BC9440"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Единицы измерения</w:t>
            </w:r>
          </w:p>
        </w:tc>
        <w:tc>
          <w:tcPr>
            <w:tcW w:w="1418" w:type="dxa"/>
            <w:tcBorders>
              <w:top w:val="single" w:sz="4" w:space="0" w:color="000000"/>
              <w:left w:val="single" w:sz="4" w:space="0" w:color="000000"/>
              <w:bottom w:val="single" w:sz="4" w:space="0" w:color="000000"/>
              <w:right w:val="single" w:sz="4" w:space="0" w:color="000000"/>
            </w:tcBorders>
          </w:tcPr>
          <w:p w14:paraId="05903671" w14:textId="77777777" w:rsidR="00F86BDC" w:rsidRDefault="00F86BDC" w:rsidP="00B155C8">
            <w:pPr>
              <w:jc w:val="center"/>
              <w:rPr>
                <w:rFonts w:ascii="Times New Roman" w:eastAsia="Times New Roman" w:hAnsi="Times New Roman" w:cs="Times New Roman"/>
                <w:color w:val="000000" w:themeColor="text1"/>
                <w:sz w:val="20"/>
                <w:szCs w:val="20"/>
                <w:lang w:eastAsia="ru-RU"/>
              </w:rPr>
            </w:pPr>
          </w:p>
          <w:p w14:paraId="088542B4"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sidRPr="00F0736F">
              <w:rPr>
                <w:rFonts w:ascii="Times New Roman" w:eastAsia="Times New Roman" w:hAnsi="Times New Roman" w:cs="Times New Roman"/>
                <w:color w:val="000000" w:themeColor="text1"/>
                <w:sz w:val="20"/>
                <w:szCs w:val="20"/>
                <w:lang w:eastAsia="ru-RU"/>
              </w:rPr>
              <w:t>За 201</w:t>
            </w:r>
            <w:r>
              <w:rPr>
                <w:rFonts w:ascii="Times New Roman" w:eastAsia="Times New Roman" w:hAnsi="Times New Roman" w:cs="Times New Roman"/>
                <w:color w:val="000000" w:themeColor="text1"/>
                <w:sz w:val="20"/>
                <w:szCs w:val="20"/>
                <w:lang w:eastAsia="ru-RU"/>
              </w:rPr>
              <w:t>7</w:t>
            </w:r>
            <w:r w:rsidRPr="00F0736F">
              <w:rPr>
                <w:rFonts w:ascii="Times New Roman" w:eastAsia="Times New Roman" w:hAnsi="Times New Roman" w:cs="Times New Roman"/>
                <w:color w:val="000000" w:themeColor="text1"/>
                <w:sz w:val="20"/>
                <w:szCs w:val="20"/>
                <w:lang w:eastAsia="ru-RU"/>
              </w:rPr>
              <w:t xml:space="preserve"> год</w:t>
            </w:r>
          </w:p>
        </w:tc>
        <w:tc>
          <w:tcPr>
            <w:tcW w:w="1418" w:type="dxa"/>
            <w:tcBorders>
              <w:top w:val="single" w:sz="4" w:space="0" w:color="000000"/>
              <w:left w:val="single" w:sz="4" w:space="0" w:color="000000"/>
              <w:bottom w:val="single" w:sz="4" w:space="0" w:color="000000"/>
            </w:tcBorders>
          </w:tcPr>
          <w:p w14:paraId="7B5CA8F6" w14:textId="77777777" w:rsidR="00F86BDC" w:rsidRDefault="00F86BDC" w:rsidP="00B155C8">
            <w:pPr>
              <w:jc w:val="center"/>
              <w:rPr>
                <w:rFonts w:ascii="Times New Roman" w:eastAsia="Times New Roman" w:hAnsi="Times New Roman" w:cs="Times New Roman"/>
                <w:color w:val="000000" w:themeColor="text1"/>
                <w:sz w:val="20"/>
                <w:szCs w:val="20"/>
                <w:lang w:eastAsia="ru-RU"/>
              </w:rPr>
            </w:pPr>
          </w:p>
          <w:p w14:paraId="2CCAE0B3"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sidRPr="00F0736F">
              <w:rPr>
                <w:rFonts w:ascii="Times New Roman" w:eastAsia="Times New Roman" w:hAnsi="Times New Roman" w:cs="Times New Roman"/>
                <w:color w:val="000000" w:themeColor="text1"/>
                <w:sz w:val="20"/>
                <w:szCs w:val="20"/>
                <w:lang w:eastAsia="ru-RU"/>
              </w:rPr>
              <w:t>За 201</w:t>
            </w:r>
            <w:r>
              <w:rPr>
                <w:rFonts w:ascii="Times New Roman" w:eastAsia="Times New Roman" w:hAnsi="Times New Roman" w:cs="Times New Roman"/>
                <w:color w:val="000000" w:themeColor="text1"/>
                <w:sz w:val="20"/>
                <w:szCs w:val="20"/>
                <w:lang w:eastAsia="ru-RU"/>
              </w:rPr>
              <w:t>8</w:t>
            </w:r>
            <w:r w:rsidRPr="00F0736F">
              <w:rPr>
                <w:rFonts w:ascii="Times New Roman" w:eastAsia="Times New Roman" w:hAnsi="Times New Roman" w:cs="Times New Roman"/>
                <w:color w:val="000000" w:themeColor="text1"/>
                <w:sz w:val="20"/>
                <w:szCs w:val="20"/>
                <w:lang w:eastAsia="ru-RU"/>
              </w:rPr>
              <w:t xml:space="preserve"> год</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0C43"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За 2019 год</w:t>
            </w:r>
          </w:p>
        </w:tc>
      </w:tr>
      <w:tr w:rsidR="00F86BDC" w:rsidRPr="00F0736F" w14:paraId="47139349" w14:textId="77777777" w:rsidTr="00B155C8">
        <w:trPr>
          <w:trHeight w:val="334"/>
        </w:trPr>
        <w:tc>
          <w:tcPr>
            <w:tcW w:w="3402" w:type="dxa"/>
            <w:tcBorders>
              <w:top w:val="single" w:sz="4" w:space="0" w:color="000000"/>
              <w:left w:val="single" w:sz="4" w:space="0" w:color="000000"/>
              <w:bottom w:val="single" w:sz="4" w:space="0" w:color="000000"/>
            </w:tcBorders>
            <w:shd w:val="clear" w:color="auto" w:fill="auto"/>
            <w:vAlign w:val="center"/>
          </w:tcPr>
          <w:p w14:paraId="4F003E34"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Установленная мощность</w:t>
            </w:r>
            <w:r w:rsidRPr="00F0736F">
              <w:rPr>
                <w:rFonts w:ascii="Times New Roman" w:eastAsia="Times New Roman" w:hAnsi="Times New Roman" w:cs="Times New Roman"/>
                <w:color w:val="000000" w:themeColor="text1"/>
                <w:sz w:val="20"/>
                <w:szCs w:val="20"/>
                <w:lang w:val="kk-KZ" w:eastAsia="ru-RU"/>
              </w:rPr>
              <w:t xml:space="preserve"> </w:t>
            </w:r>
            <w:r w:rsidRPr="00F0736F">
              <w:rPr>
                <w:rFonts w:ascii="Times New Roman" w:eastAsia="Times New Roman" w:hAnsi="Times New Roman" w:cs="Times New Roman"/>
                <w:color w:val="000000" w:themeColor="text1"/>
                <w:sz w:val="20"/>
                <w:szCs w:val="20"/>
                <w:lang w:eastAsia="ru-RU"/>
              </w:rPr>
              <w:t>в том числе:</w:t>
            </w:r>
          </w:p>
        </w:tc>
        <w:tc>
          <w:tcPr>
            <w:tcW w:w="1842" w:type="dxa"/>
            <w:tcBorders>
              <w:top w:val="single" w:sz="4" w:space="0" w:color="000000"/>
              <w:left w:val="single" w:sz="4" w:space="0" w:color="000000"/>
              <w:bottom w:val="single" w:sz="4" w:space="0" w:color="000000"/>
            </w:tcBorders>
            <w:shd w:val="clear" w:color="auto" w:fill="auto"/>
            <w:vAlign w:val="center"/>
          </w:tcPr>
          <w:p w14:paraId="575F2A21"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МВт</w:t>
            </w:r>
          </w:p>
        </w:tc>
        <w:tc>
          <w:tcPr>
            <w:tcW w:w="1418" w:type="dxa"/>
            <w:tcBorders>
              <w:top w:val="single" w:sz="4" w:space="0" w:color="000000"/>
              <w:left w:val="single" w:sz="4" w:space="0" w:color="000000"/>
              <w:bottom w:val="single" w:sz="4" w:space="0" w:color="000000"/>
              <w:right w:val="single" w:sz="4" w:space="0" w:color="000000"/>
            </w:tcBorders>
          </w:tcPr>
          <w:p w14:paraId="78E01AA3" w14:textId="4652F6C0"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409,35</w:t>
            </w:r>
          </w:p>
        </w:tc>
        <w:tc>
          <w:tcPr>
            <w:tcW w:w="1418" w:type="dxa"/>
            <w:tcBorders>
              <w:top w:val="single" w:sz="4" w:space="0" w:color="000000"/>
              <w:left w:val="single" w:sz="4" w:space="0" w:color="000000"/>
              <w:bottom w:val="single" w:sz="4" w:space="0" w:color="000000"/>
            </w:tcBorders>
          </w:tcPr>
          <w:p w14:paraId="486AD993" w14:textId="76CB5D45"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570,35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629A7B5" w14:textId="1CF9E923"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1</w:t>
            </w:r>
            <w:r w:rsidR="00CC5935">
              <w:rPr>
                <w:rFonts w:ascii="Times New Roman" w:eastAsia="Times New Roman" w:hAnsi="Times New Roman" w:cs="Times New Roman"/>
                <w:color w:val="000000" w:themeColor="text1"/>
                <w:sz w:val="20"/>
                <w:szCs w:val="20"/>
                <w:lang w:val="kk-KZ" w:eastAsia="ru-RU"/>
              </w:rPr>
              <w:t xml:space="preserve"> </w:t>
            </w:r>
            <w:r w:rsidRPr="00F0736F">
              <w:rPr>
                <w:rFonts w:ascii="Times New Roman" w:eastAsia="Times New Roman" w:hAnsi="Times New Roman" w:cs="Times New Roman"/>
                <w:color w:val="000000" w:themeColor="text1"/>
                <w:sz w:val="20"/>
                <w:szCs w:val="20"/>
                <w:lang w:val="kk-KZ" w:eastAsia="ru-RU"/>
              </w:rPr>
              <w:t>050,1</w:t>
            </w:r>
          </w:p>
        </w:tc>
      </w:tr>
      <w:tr w:rsidR="00F86BDC" w:rsidRPr="00F0736F" w14:paraId="25B83769" w14:textId="77777777" w:rsidTr="00B155C8">
        <w:trPr>
          <w:trHeight w:val="316"/>
        </w:trPr>
        <w:tc>
          <w:tcPr>
            <w:tcW w:w="3402" w:type="dxa"/>
            <w:tcBorders>
              <w:top w:val="single" w:sz="4" w:space="0" w:color="000000"/>
              <w:left w:val="single" w:sz="4" w:space="0" w:color="000000"/>
              <w:bottom w:val="single" w:sz="4" w:space="0" w:color="000000"/>
            </w:tcBorders>
            <w:shd w:val="clear" w:color="auto" w:fill="auto"/>
            <w:vAlign w:val="center"/>
          </w:tcPr>
          <w:p w14:paraId="55062AC4"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ветровые 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68A37379"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МВт</w:t>
            </w:r>
          </w:p>
        </w:tc>
        <w:tc>
          <w:tcPr>
            <w:tcW w:w="1418" w:type="dxa"/>
            <w:tcBorders>
              <w:top w:val="single" w:sz="4" w:space="0" w:color="000000"/>
              <w:left w:val="single" w:sz="4" w:space="0" w:color="000000"/>
              <w:bottom w:val="single" w:sz="4" w:space="0" w:color="000000"/>
              <w:right w:val="single" w:sz="4" w:space="0" w:color="000000"/>
            </w:tcBorders>
          </w:tcPr>
          <w:p w14:paraId="6191D3BA"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134,5</w:t>
            </w:r>
          </w:p>
        </w:tc>
        <w:tc>
          <w:tcPr>
            <w:tcW w:w="1418" w:type="dxa"/>
            <w:tcBorders>
              <w:top w:val="single" w:sz="4" w:space="0" w:color="000000"/>
              <w:left w:val="single" w:sz="4" w:space="0" w:color="000000"/>
              <w:bottom w:val="single" w:sz="4" w:space="0" w:color="000000"/>
            </w:tcBorders>
          </w:tcPr>
          <w:p w14:paraId="3274808E"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143,5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A749656"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283,8</w:t>
            </w:r>
          </w:p>
        </w:tc>
      </w:tr>
      <w:tr w:rsidR="00F86BDC" w:rsidRPr="00F0736F" w14:paraId="69C215BA" w14:textId="77777777" w:rsidTr="00B155C8">
        <w:trPr>
          <w:trHeight w:val="316"/>
        </w:trPr>
        <w:tc>
          <w:tcPr>
            <w:tcW w:w="3402" w:type="dxa"/>
            <w:tcBorders>
              <w:top w:val="single" w:sz="4" w:space="0" w:color="000000"/>
              <w:left w:val="single" w:sz="4" w:space="0" w:color="000000"/>
              <w:bottom w:val="single" w:sz="4" w:space="0" w:color="000000"/>
            </w:tcBorders>
            <w:shd w:val="clear" w:color="auto" w:fill="auto"/>
            <w:vAlign w:val="center"/>
          </w:tcPr>
          <w:p w14:paraId="27328CA4"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малые ГЭС</w:t>
            </w:r>
          </w:p>
        </w:tc>
        <w:tc>
          <w:tcPr>
            <w:tcW w:w="1842" w:type="dxa"/>
            <w:tcBorders>
              <w:top w:val="single" w:sz="4" w:space="0" w:color="000000"/>
              <w:left w:val="single" w:sz="4" w:space="0" w:color="000000"/>
              <w:bottom w:val="single" w:sz="4" w:space="0" w:color="000000"/>
            </w:tcBorders>
            <w:shd w:val="clear" w:color="auto" w:fill="auto"/>
            <w:vAlign w:val="center"/>
          </w:tcPr>
          <w:p w14:paraId="594A2CB8"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МВт</w:t>
            </w:r>
          </w:p>
        </w:tc>
        <w:tc>
          <w:tcPr>
            <w:tcW w:w="1418" w:type="dxa"/>
            <w:tcBorders>
              <w:top w:val="single" w:sz="4" w:space="0" w:color="000000"/>
              <w:left w:val="single" w:sz="4" w:space="0" w:color="000000"/>
              <w:bottom w:val="single" w:sz="4" w:space="0" w:color="000000"/>
              <w:right w:val="single" w:sz="4" w:space="0" w:color="000000"/>
            </w:tcBorders>
          </w:tcPr>
          <w:p w14:paraId="0DA27114"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216,8</w:t>
            </w:r>
          </w:p>
        </w:tc>
        <w:tc>
          <w:tcPr>
            <w:tcW w:w="1418" w:type="dxa"/>
            <w:tcBorders>
              <w:top w:val="single" w:sz="4" w:space="0" w:color="000000"/>
              <w:left w:val="single" w:sz="4" w:space="0" w:color="000000"/>
              <w:bottom w:val="single" w:sz="4" w:space="0" w:color="000000"/>
            </w:tcBorders>
          </w:tcPr>
          <w:p w14:paraId="2BD8C4C3"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216,8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6014508"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222,2</w:t>
            </w:r>
          </w:p>
        </w:tc>
      </w:tr>
      <w:tr w:rsidR="00F86BDC" w:rsidRPr="00F0736F" w14:paraId="6E81CF5E" w14:textId="77777777" w:rsidTr="00B155C8">
        <w:trPr>
          <w:trHeight w:val="388"/>
        </w:trPr>
        <w:tc>
          <w:tcPr>
            <w:tcW w:w="3402" w:type="dxa"/>
            <w:tcBorders>
              <w:top w:val="single" w:sz="4" w:space="0" w:color="000000"/>
              <w:left w:val="single" w:sz="4" w:space="0" w:color="000000"/>
              <w:bottom w:val="single" w:sz="4" w:space="0" w:color="000000"/>
            </w:tcBorders>
            <w:shd w:val="clear" w:color="auto" w:fill="auto"/>
            <w:vAlign w:val="center"/>
          </w:tcPr>
          <w:p w14:paraId="55C867E5"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солнечные 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0446A88B"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МВт</w:t>
            </w:r>
          </w:p>
        </w:tc>
        <w:tc>
          <w:tcPr>
            <w:tcW w:w="1418" w:type="dxa"/>
            <w:tcBorders>
              <w:top w:val="single" w:sz="4" w:space="0" w:color="000000"/>
              <w:left w:val="single" w:sz="4" w:space="0" w:color="000000"/>
              <w:bottom w:val="single" w:sz="4" w:space="0" w:color="000000"/>
              <w:right w:val="single" w:sz="4" w:space="0" w:color="000000"/>
            </w:tcBorders>
          </w:tcPr>
          <w:p w14:paraId="25BC82A3"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57,7</w:t>
            </w:r>
          </w:p>
        </w:tc>
        <w:tc>
          <w:tcPr>
            <w:tcW w:w="1418" w:type="dxa"/>
            <w:tcBorders>
              <w:top w:val="single" w:sz="4" w:space="0" w:color="000000"/>
              <w:left w:val="single" w:sz="4" w:space="0" w:color="000000"/>
              <w:bottom w:val="single" w:sz="4" w:space="0" w:color="000000"/>
            </w:tcBorders>
          </w:tcPr>
          <w:p w14:paraId="4BEC6C26"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209,7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7FDCBD7"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541,7</w:t>
            </w:r>
          </w:p>
        </w:tc>
      </w:tr>
      <w:tr w:rsidR="00F86BDC" w:rsidRPr="00F0736F" w14:paraId="43EC2401" w14:textId="77777777" w:rsidTr="00B155C8">
        <w:trPr>
          <w:trHeight w:val="243"/>
        </w:trPr>
        <w:tc>
          <w:tcPr>
            <w:tcW w:w="3402" w:type="dxa"/>
            <w:tcBorders>
              <w:top w:val="single" w:sz="4" w:space="0" w:color="000000"/>
              <w:left w:val="single" w:sz="4" w:space="0" w:color="000000"/>
              <w:bottom w:val="single" w:sz="4" w:space="0" w:color="000000"/>
            </w:tcBorders>
            <w:shd w:val="clear" w:color="auto" w:fill="auto"/>
            <w:vAlign w:val="center"/>
          </w:tcPr>
          <w:p w14:paraId="04FD484E"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биоэлектростанции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03CB9542"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МВт</w:t>
            </w:r>
          </w:p>
        </w:tc>
        <w:tc>
          <w:tcPr>
            <w:tcW w:w="1418" w:type="dxa"/>
            <w:tcBorders>
              <w:top w:val="single" w:sz="4" w:space="0" w:color="000000"/>
              <w:left w:val="single" w:sz="4" w:space="0" w:color="000000"/>
              <w:bottom w:val="single" w:sz="4" w:space="0" w:color="000000"/>
              <w:right w:val="single" w:sz="4" w:space="0" w:color="000000"/>
            </w:tcBorders>
          </w:tcPr>
          <w:p w14:paraId="3429ABF1"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0,35</w:t>
            </w:r>
          </w:p>
        </w:tc>
        <w:tc>
          <w:tcPr>
            <w:tcW w:w="1418" w:type="dxa"/>
            <w:tcBorders>
              <w:top w:val="single" w:sz="4" w:space="0" w:color="000000"/>
              <w:left w:val="single" w:sz="4" w:space="0" w:color="000000"/>
              <w:bottom w:val="single" w:sz="4" w:space="0" w:color="000000"/>
            </w:tcBorders>
          </w:tcPr>
          <w:p w14:paraId="3DB60169"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0,35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A60F037"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2,42</w:t>
            </w:r>
          </w:p>
        </w:tc>
      </w:tr>
      <w:tr w:rsidR="00F86BDC" w:rsidRPr="00F0736F" w14:paraId="3A36FE64" w14:textId="77777777" w:rsidTr="00B155C8">
        <w:trPr>
          <w:trHeight w:val="109"/>
        </w:trPr>
        <w:tc>
          <w:tcPr>
            <w:tcW w:w="3402" w:type="dxa"/>
            <w:tcBorders>
              <w:top w:val="single" w:sz="4" w:space="0" w:color="000000"/>
              <w:left w:val="single" w:sz="4" w:space="0" w:color="000000"/>
              <w:bottom w:val="single" w:sz="4" w:space="0" w:color="000000"/>
            </w:tcBorders>
            <w:shd w:val="clear" w:color="auto" w:fill="auto"/>
            <w:vAlign w:val="center"/>
          </w:tcPr>
          <w:p w14:paraId="552E12C7"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Выработка электроэнергии</w:t>
            </w:r>
          </w:p>
          <w:p w14:paraId="63934305"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в том числе:</w:t>
            </w:r>
          </w:p>
        </w:tc>
        <w:tc>
          <w:tcPr>
            <w:tcW w:w="1842" w:type="dxa"/>
            <w:tcBorders>
              <w:top w:val="single" w:sz="4" w:space="0" w:color="000000"/>
              <w:left w:val="single" w:sz="4" w:space="0" w:color="000000"/>
              <w:bottom w:val="single" w:sz="4" w:space="0" w:color="000000"/>
            </w:tcBorders>
            <w:shd w:val="clear" w:color="auto" w:fill="auto"/>
            <w:vAlign w:val="center"/>
          </w:tcPr>
          <w:p w14:paraId="237EF1C8" w14:textId="77777777" w:rsidR="00F86BDC" w:rsidRPr="00F0736F" w:rsidRDefault="00F86BDC" w:rsidP="00B155C8">
            <w:pPr>
              <w:jc w:val="center"/>
              <w:rPr>
                <w:color w:val="000000" w:themeColor="text1"/>
                <w:sz w:val="20"/>
                <w:szCs w:val="20"/>
              </w:rPr>
            </w:pPr>
            <w:r w:rsidRPr="00F0736F">
              <w:rPr>
                <w:rFonts w:ascii="Times New Roman" w:hAnsi="Times New Roman" w:cs="Times New Roman"/>
                <w:color w:val="000000" w:themeColor="text1"/>
                <w:sz w:val="20"/>
                <w:szCs w:val="20"/>
              </w:rPr>
              <w:t xml:space="preserve"> млн.кВт*ч</w:t>
            </w:r>
          </w:p>
        </w:tc>
        <w:tc>
          <w:tcPr>
            <w:tcW w:w="1418" w:type="dxa"/>
            <w:tcBorders>
              <w:top w:val="single" w:sz="4" w:space="0" w:color="000000"/>
              <w:left w:val="single" w:sz="4" w:space="0" w:color="000000"/>
              <w:bottom w:val="single" w:sz="4" w:space="0" w:color="000000"/>
              <w:right w:val="single" w:sz="4" w:space="0" w:color="000000"/>
            </w:tcBorders>
          </w:tcPr>
          <w:p w14:paraId="580E4CC3" w14:textId="0DE7ECF6"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1 104,76</w:t>
            </w:r>
          </w:p>
        </w:tc>
        <w:tc>
          <w:tcPr>
            <w:tcW w:w="1418" w:type="dxa"/>
            <w:tcBorders>
              <w:top w:val="single" w:sz="4" w:space="0" w:color="000000"/>
              <w:left w:val="single" w:sz="4" w:space="0" w:color="000000"/>
              <w:bottom w:val="single" w:sz="4" w:space="0" w:color="000000"/>
            </w:tcBorders>
          </w:tcPr>
          <w:p w14:paraId="37A3BD24" w14:textId="5B8892B1"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1 304,2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9BE1ED" w14:textId="3A719671"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2</w:t>
            </w:r>
            <w:r w:rsidR="00CC5935">
              <w:rPr>
                <w:rFonts w:ascii="Times New Roman" w:eastAsia="Times New Roman" w:hAnsi="Times New Roman" w:cs="Times New Roman"/>
                <w:color w:val="000000" w:themeColor="text1"/>
                <w:sz w:val="20"/>
                <w:szCs w:val="20"/>
                <w:lang w:val="kk-KZ" w:eastAsia="ru-RU"/>
              </w:rPr>
              <w:t xml:space="preserve"> </w:t>
            </w:r>
            <w:r w:rsidRPr="00F0736F">
              <w:rPr>
                <w:rFonts w:ascii="Times New Roman" w:eastAsia="Times New Roman" w:hAnsi="Times New Roman" w:cs="Times New Roman"/>
                <w:color w:val="000000" w:themeColor="text1"/>
                <w:sz w:val="20"/>
                <w:szCs w:val="20"/>
                <w:lang w:val="kk-KZ" w:eastAsia="ru-RU"/>
              </w:rPr>
              <w:t>400,74</w:t>
            </w:r>
          </w:p>
        </w:tc>
      </w:tr>
      <w:tr w:rsidR="00F86BDC" w:rsidRPr="00F0736F" w14:paraId="31E5AED6" w14:textId="77777777" w:rsidTr="00B155C8">
        <w:trPr>
          <w:trHeight w:val="109"/>
        </w:trPr>
        <w:tc>
          <w:tcPr>
            <w:tcW w:w="3402" w:type="dxa"/>
            <w:tcBorders>
              <w:top w:val="single" w:sz="4" w:space="0" w:color="000000"/>
              <w:left w:val="single" w:sz="4" w:space="0" w:color="000000"/>
              <w:bottom w:val="single" w:sz="4" w:space="0" w:color="000000"/>
            </w:tcBorders>
            <w:shd w:val="clear" w:color="auto" w:fill="auto"/>
            <w:vAlign w:val="center"/>
          </w:tcPr>
          <w:p w14:paraId="6ACA0C21"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ветровые 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64404AF7" w14:textId="77777777" w:rsidR="00F86BDC" w:rsidRPr="00F0736F" w:rsidRDefault="00F86BDC" w:rsidP="00B155C8">
            <w:pPr>
              <w:jc w:val="center"/>
              <w:rPr>
                <w:color w:val="000000" w:themeColor="text1"/>
              </w:rPr>
            </w:pPr>
            <w:r w:rsidRPr="00F0736F">
              <w:rPr>
                <w:rFonts w:ascii="Times New Roman" w:hAnsi="Times New Roman" w:cs="Times New Roman"/>
                <w:color w:val="000000" w:themeColor="text1"/>
                <w:sz w:val="20"/>
                <w:szCs w:val="20"/>
              </w:rPr>
              <w:t>млн.кВт*ч</w:t>
            </w:r>
          </w:p>
        </w:tc>
        <w:tc>
          <w:tcPr>
            <w:tcW w:w="1418" w:type="dxa"/>
            <w:tcBorders>
              <w:top w:val="single" w:sz="4" w:space="0" w:color="000000"/>
              <w:left w:val="single" w:sz="4" w:space="0" w:color="000000"/>
              <w:bottom w:val="single" w:sz="4" w:space="0" w:color="000000"/>
              <w:right w:val="single" w:sz="4" w:space="0" w:color="000000"/>
            </w:tcBorders>
          </w:tcPr>
          <w:p w14:paraId="1188E509"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339,77</w:t>
            </w:r>
          </w:p>
        </w:tc>
        <w:tc>
          <w:tcPr>
            <w:tcW w:w="1418" w:type="dxa"/>
            <w:tcBorders>
              <w:top w:val="single" w:sz="4" w:space="0" w:color="000000"/>
              <w:left w:val="single" w:sz="4" w:space="0" w:color="000000"/>
              <w:bottom w:val="single" w:sz="4" w:space="0" w:color="000000"/>
            </w:tcBorders>
          </w:tcPr>
          <w:p w14:paraId="4BC7550C"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384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1691D7"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717,4</w:t>
            </w:r>
          </w:p>
        </w:tc>
      </w:tr>
      <w:tr w:rsidR="00F86BDC" w:rsidRPr="00F0736F" w14:paraId="63B3ECAB" w14:textId="77777777" w:rsidTr="00B155C8">
        <w:trPr>
          <w:trHeight w:val="217"/>
        </w:trPr>
        <w:tc>
          <w:tcPr>
            <w:tcW w:w="3402" w:type="dxa"/>
            <w:tcBorders>
              <w:top w:val="single" w:sz="4" w:space="0" w:color="000000"/>
              <w:left w:val="single" w:sz="4" w:space="0" w:color="000000"/>
              <w:bottom w:val="single" w:sz="4" w:space="0" w:color="000000"/>
            </w:tcBorders>
            <w:shd w:val="clear" w:color="auto" w:fill="auto"/>
            <w:vAlign w:val="center"/>
          </w:tcPr>
          <w:p w14:paraId="53711764"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малые ГЭС</w:t>
            </w:r>
          </w:p>
        </w:tc>
        <w:tc>
          <w:tcPr>
            <w:tcW w:w="1842" w:type="dxa"/>
            <w:tcBorders>
              <w:top w:val="single" w:sz="4" w:space="0" w:color="000000"/>
              <w:left w:val="single" w:sz="4" w:space="0" w:color="000000"/>
              <w:bottom w:val="single" w:sz="4" w:space="0" w:color="000000"/>
            </w:tcBorders>
            <w:shd w:val="clear" w:color="auto" w:fill="auto"/>
            <w:vAlign w:val="center"/>
          </w:tcPr>
          <w:p w14:paraId="349B3464" w14:textId="77777777" w:rsidR="00F86BDC" w:rsidRPr="00F0736F" w:rsidRDefault="00F86BDC" w:rsidP="00B155C8">
            <w:pPr>
              <w:jc w:val="center"/>
              <w:rPr>
                <w:color w:val="000000" w:themeColor="text1"/>
              </w:rPr>
            </w:pPr>
            <w:r w:rsidRPr="00F0736F">
              <w:rPr>
                <w:rFonts w:ascii="Times New Roman" w:hAnsi="Times New Roman" w:cs="Times New Roman"/>
                <w:color w:val="000000" w:themeColor="text1"/>
                <w:sz w:val="20"/>
                <w:szCs w:val="20"/>
              </w:rPr>
              <w:t>млн.кВт*ч</w:t>
            </w:r>
          </w:p>
        </w:tc>
        <w:tc>
          <w:tcPr>
            <w:tcW w:w="1418" w:type="dxa"/>
            <w:tcBorders>
              <w:top w:val="single" w:sz="4" w:space="0" w:color="000000"/>
              <w:left w:val="single" w:sz="4" w:space="0" w:color="000000"/>
              <w:bottom w:val="single" w:sz="4" w:space="0" w:color="000000"/>
              <w:right w:val="single" w:sz="4" w:space="0" w:color="000000"/>
            </w:tcBorders>
          </w:tcPr>
          <w:p w14:paraId="4135AABB"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650,02</w:t>
            </w:r>
          </w:p>
        </w:tc>
        <w:tc>
          <w:tcPr>
            <w:tcW w:w="1418" w:type="dxa"/>
            <w:tcBorders>
              <w:top w:val="single" w:sz="4" w:space="0" w:color="000000"/>
              <w:left w:val="single" w:sz="4" w:space="0" w:color="000000"/>
              <w:bottom w:val="single" w:sz="4" w:space="0" w:color="000000"/>
            </w:tcBorders>
          </w:tcPr>
          <w:p w14:paraId="42E3AFEF"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781,4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3E14229" w14:textId="32A545C4"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1</w:t>
            </w:r>
            <w:r w:rsidR="00CC5935">
              <w:rPr>
                <w:rFonts w:ascii="Times New Roman" w:eastAsia="Times New Roman" w:hAnsi="Times New Roman" w:cs="Times New Roman"/>
                <w:color w:val="000000" w:themeColor="text1"/>
                <w:sz w:val="20"/>
                <w:szCs w:val="20"/>
                <w:lang w:eastAsia="ru-RU"/>
              </w:rPr>
              <w:t xml:space="preserve"> </w:t>
            </w:r>
            <w:r w:rsidRPr="00F0736F">
              <w:rPr>
                <w:rFonts w:ascii="Times New Roman" w:eastAsia="Times New Roman" w:hAnsi="Times New Roman" w:cs="Times New Roman"/>
                <w:color w:val="000000" w:themeColor="text1"/>
                <w:sz w:val="20"/>
                <w:szCs w:val="20"/>
                <w:lang w:eastAsia="ru-RU"/>
              </w:rPr>
              <w:t>105,3</w:t>
            </w:r>
          </w:p>
        </w:tc>
      </w:tr>
      <w:tr w:rsidR="00F86BDC" w:rsidRPr="00F0736F" w14:paraId="441E39BD" w14:textId="77777777" w:rsidTr="00B155C8">
        <w:trPr>
          <w:trHeight w:val="435"/>
        </w:trPr>
        <w:tc>
          <w:tcPr>
            <w:tcW w:w="3402" w:type="dxa"/>
            <w:tcBorders>
              <w:top w:val="single" w:sz="4" w:space="0" w:color="000000"/>
              <w:left w:val="single" w:sz="4" w:space="0" w:color="000000"/>
              <w:bottom w:val="single" w:sz="4" w:space="0" w:color="000000"/>
            </w:tcBorders>
            <w:shd w:val="clear" w:color="auto" w:fill="auto"/>
            <w:vAlign w:val="center"/>
          </w:tcPr>
          <w:p w14:paraId="088B4ACB"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солнечные 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62C10C16" w14:textId="77777777" w:rsidR="00F86BDC" w:rsidRPr="00F0736F" w:rsidRDefault="00F86BDC" w:rsidP="00B155C8">
            <w:pPr>
              <w:jc w:val="center"/>
              <w:rPr>
                <w:color w:val="000000" w:themeColor="text1"/>
              </w:rPr>
            </w:pPr>
            <w:r w:rsidRPr="00F0736F">
              <w:rPr>
                <w:rFonts w:ascii="Times New Roman" w:hAnsi="Times New Roman" w:cs="Times New Roman"/>
                <w:color w:val="000000" w:themeColor="text1"/>
                <w:sz w:val="20"/>
                <w:szCs w:val="20"/>
              </w:rPr>
              <w:t>млн.кВт*ч</w:t>
            </w:r>
          </w:p>
        </w:tc>
        <w:tc>
          <w:tcPr>
            <w:tcW w:w="1418" w:type="dxa"/>
            <w:tcBorders>
              <w:top w:val="single" w:sz="4" w:space="0" w:color="000000"/>
              <w:left w:val="single" w:sz="4" w:space="0" w:color="000000"/>
              <w:bottom w:val="single" w:sz="4" w:space="0" w:color="000000"/>
              <w:right w:val="single" w:sz="4" w:space="0" w:color="000000"/>
            </w:tcBorders>
          </w:tcPr>
          <w:p w14:paraId="22F986A1"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114,28</w:t>
            </w:r>
          </w:p>
        </w:tc>
        <w:tc>
          <w:tcPr>
            <w:tcW w:w="1418" w:type="dxa"/>
            <w:tcBorders>
              <w:top w:val="single" w:sz="4" w:space="0" w:color="000000"/>
              <w:left w:val="single" w:sz="4" w:space="0" w:color="000000"/>
              <w:bottom w:val="single" w:sz="4" w:space="0" w:color="000000"/>
            </w:tcBorders>
          </w:tcPr>
          <w:p w14:paraId="59AE91C6" w14:textId="77777777" w:rsidR="00F86BDC" w:rsidRPr="00F0736F" w:rsidRDefault="00F86BDC" w:rsidP="00B155C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138,8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91B371E"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563,14</w:t>
            </w:r>
          </w:p>
        </w:tc>
      </w:tr>
      <w:tr w:rsidR="00F86BDC" w:rsidRPr="00F0736F" w14:paraId="3EE3501C" w14:textId="77777777" w:rsidTr="00B155C8">
        <w:trPr>
          <w:trHeight w:val="243"/>
        </w:trPr>
        <w:tc>
          <w:tcPr>
            <w:tcW w:w="3402" w:type="dxa"/>
            <w:tcBorders>
              <w:top w:val="single" w:sz="4" w:space="0" w:color="000000"/>
              <w:left w:val="single" w:sz="4" w:space="0" w:color="000000"/>
              <w:bottom w:val="single" w:sz="4" w:space="0" w:color="000000"/>
            </w:tcBorders>
            <w:shd w:val="clear" w:color="auto" w:fill="auto"/>
            <w:vAlign w:val="center"/>
          </w:tcPr>
          <w:p w14:paraId="5699D835"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eastAsia="ru-RU"/>
              </w:rPr>
              <w:t>биоэлектростанции</w:t>
            </w:r>
          </w:p>
        </w:tc>
        <w:tc>
          <w:tcPr>
            <w:tcW w:w="1842" w:type="dxa"/>
            <w:tcBorders>
              <w:top w:val="single" w:sz="4" w:space="0" w:color="000000"/>
              <w:left w:val="single" w:sz="4" w:space="0" w:color="000000"/>
              <w:bottom w:val="single" w:sz="4" w:space="0" w:color="000000"/>
            </w:tcBorders>
            <w:shd w:val="clear" w:color="auto" w:fill="auto"/>
            <w:vAlign w:val="center"/>
          </w:tcPr>
          <w:p w14:paraId="67084D35" w14:textId="77777777" w:rsidR="00F86BDC" w:rsidRPr="00F0736F" w:rsidRDefault="00F86BDC" w:rsidP="00B155C8">
            <w:pPr>
              <w:jc w:val="center"/>
              <w:rPr>
                <w:color w:val="000000" w:themeColor="text1"/>
              </w:rPr>
            </w:pPr>
            <w:r w:rsidRPr="00F0736F">
              <w:rPr>
                <w:rFonts w:ascii="Times New Roman" w:hAnsi="Times New Roman" w:cs="Times New Roman"/>
                <w:color w:val="000000" w:themeColor="text1"/>
                <w:sz w:val="20"/>
                <w:szCs w:val="20"/>
              </w:rPr>
              <w:t>млн.кВт*ч</w:t>
            </w:r>
          </w:p>
        </w:tc>
        <w:tc>
          <w:tcPr>
            <w:tcW w:w="1418" w:type="dxa"/>
            <w:tcBorders>
              <w:top w:val="single" w:sz="4" w:space="0" w:color="000000"/>
              <w:left w:val="single" w:sz="4" w:space="0" w:color="000000"/>
              <w:bottom w:val="single" w:sz="4" w:space="0" w:color="000000"/>
              <w:right w:val="single" w:sz="4" w:space="0" w:color="000000"/>
            </w:tcBorders>
          </w:tcPr>
          <w:p w14:paraId="4486CFEF"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0,69</w:t>
            </w:r>
          </w:p>
        </w:tc>
        <w:tc>
          <w:tcPr>
            <w:tcW w:w="1418" w:type="dxa"/>
            <w:tcBorders>
              <w:top w:val="single" w:sz="4" w:space="0" w:color="000000"/>
              <w:left w:val="single" w:sz="4" w:space="0" w:color="000000"/>
              <w:bottom w:val="single" w:sz="4" w:space="0" w:color="000000"/>
            </w:tcBorders>
          </w:tcPr>
          <w:p w14:paraId="02E3C9F6"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7C79670"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14,9</w:t>
            </w:r>
          </w:p>
        </w:tc>
      </w:tr>
      <w:tr w:rsidR="00F86BDC" w:rsidRPr="00F0736F" w14:paraId="385C9A46" w14:textId="77777777" w:rsidTr="00B155C8">
        <w:trPr>
          <w:trHeight w:val="670"/>
        </w:trPr>
        <w:tc>
          <w:tcPr>
            <w:tcW w:w="3402" w:type="dxa"/>
            <w:tcBorders>
              <w:top w:val="single" w:sz="4" w:space="0" w:color="000000"/>
              <w:left w:val="single" w:sz="4" w:space="0" w:color="000000"/>
              <w:bottom w:val="single" w:sz="4" w:space="0" w:color="000000"/>
            </w:tcBorders>
            <w:shd w:val="clear" w:color="auto" w:fill="auto"/>
            <w:vAlign w:val="center"/>
          </w:tcPr>
          <w:p w14:paraId="318511AC" w14:textId="77777777" w:rsidR="00F86BDC" w:rsidRPr="00F0736F" w:rsidRDefault="00F86BDC" w:rsidP="00B155C8">
            <w:pPr>
              <w:jc w:val="both"/>
              <w:rPr>
                <w:color w:val="000000" w:themeColor="text1"/>
              </w:rPr>
            </w:pPr>
            <w:r w:rsidRPr="00F0736F">
              <w:rPr>
                <w:rFonts w:ascii="Times New Roman" w:eastAsia="Times New Roman" w:hAnsi="Times New Roman" w:cs="Times New Roman"/>
                <w:color w:val="000000" w:themeColor="text1"/>
                <w:sz w:val="20"/>
                <w:szCs w:val="20"/>
                <w:lang w:val="kk-KZ" w:eastAsia="ru-RU"/>
              </w:rPr>
              <w:t xml:space="preserve">Доля вырабатываемой электроэнергии ВИЭ в общем объеме производства электрической энергии» </w:t>
            </w:r>
          </w:p>
        </w:tc>
        <w:tc>
          <w:tcPr>
            <w:tcW w:w="1842" w:type="dxa"/>
            <w:tcBorders>
              <w:top w:val="single" w:sz="4" w:space="0" w:color="000000"/>
              <w:left w:val="single" w:sz="4" w:space="0" w:color="000000"/>
              <w:bottom w:val="single" w:sz="4" w:space="0" w:color="000000"/>
            </w:tcBorders>
            <w:shd w:val="clear" w:color="auto" w:fill="auto"/>
            <w:vAlign w:val="center"/>
          </w:tcPr>
          <w:p w14:paraId="5903C29C"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04DAD52" w14:textId="77777777" w:rsidR="00F86BDC" w:rsidRDefault="00F86BDC" w:rsidP="00B155C8">
            <w:pPr>
              <w:jc w:val="center"/>
              <w:rPr>
                <w:rFonts w:ascii="Times New Roman" w:eastAsia="Times New Roman" w:hAnsi="Times New Roman" w:cs="Times New Roman"/>
                <w:color w:val="000000" w:themeColor="text1"/>
                <w:sz w:val="20"/>
                <w:szCs w:val="20"/>
                <w:lang w:val="kk-KZ" w:eastAsia="ru-RU"/>
              </w:rPr>
            </w:pPr>
          </w:p>
          <w:p w14:paraId="3EFEE3AD"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1,08</w:t>
            </w:r>
          </w:p>
        </w:tc>
        <w:tc>
          <w:tcPr>
            <w:tcW w:w="1418" w:type="dxa"/>
            <w:tcBorders>
              <w:top w:val="single" w:sz="4" w:space="0" w:color="000000"/>
              <w:left w:val="single" w:sz="4" w:space="0" w:color="000000"/>
              <w:bottom w:val="single" w:sz="4" w:space="0" w:color="000000"/>
            </w:tcBorders>
          </w:tcPr>
          <w:p w14:paraId="5371493A" w14:textId="77777777" w:rsidR="00F86BDC" w:rsidRDefault="00F86BDC" w:rsidP="00B155C8">
            <w:pPr>
              <w:jc w:val="center"/>
              <w:rPr>
                <w:rFonts w:ascii="Times New Roman" w:eastAsia="Times New Roman" w:hAnsi="Times New Roman" w:cs="Times New Roman"/>
                <w:color w:val="000000" w:themeColor="text1"/>
                <w:sz w:val="20"/>
                <w:szCs w:val="20"/>
                <w:lang w:val="kk-KZ" w:eastAsia="ru-RU"/>
              </w:rPr>
            </w:pPr>
          </w:p>
          <w:p w14:paraId="3C131514" w14:textId="77777777" w:rsidR="00F86BDC" w:rsidRPr="00F0736F" w:rsidRDefault="00F86BDC" w:rsidP="00B155C8">
            <w:pPr>
              <w:jc w:val="center"/>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color w:val="000000" w:themeColor="text1"/>
                <w:sz w:val="20"/>
                <w:szCs w:val="20"/>
                <w:lang w:val="kk-KZ" w:eastAsia="ru-RU"/>
              </w:rPr>
              <w:t>1,3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8665" w14:textId="77777777" w:rsidR="00F86BDC" w:rsidRPr="00F0736F" w:rsidRDefault="00F86BDC" w:rsidP="00B155C8">
            <w:pPr>
              <w:jc w:val="center"/>
              <w:rPr>
                <w:color w:val="000000" w:themeColor="text1"/>
              </w:rPr>
            </w:pPr>
            <w:r w:rsidRPr="00F0736F">
              <w:rPr>
                <w:rFonts w:ascii="Times New Roman" w:eastAsia="Times New Roman" w:hAnsi="Times New Roman" w:cs="Times New Roman"/>
                <w:color w:val="000000" w:themeColor="text1"/>
                <w:sz w:val="20"/>
                <w:szCs w:val="20"/>
                <w:lang w:val="kk-KZ" w:eastAsia="ru-RU"/>
              </w:rPr>
              <w:t>2,3</w:t>
            </w:r>
          </w:p>
        </w:tc>
      </w:tr>
    </w:tbl>
    <w:p w14:paraId="117E9547" w14:textId="77777777" w:rsidR="00F86BDC" w:rsidRPr="00F0736F" w:rsidRDefault="00F86BDC" w:rsidP="008727D9">
      <w:pPr>
        <w:ind w:firstLine="709"/>
        <w:jc w:val="both"/>
        <w:rPr>
          <w:rFonts w:ascii="Times New Roman" w:eastAsia="Times New Roman" w:hAnsi="Times New Roman" w:cs="Times New Roman"/>
          <w:b/>
          <w:bCs/>
          <w:color w:val="000000" w:themeColor="text1"/>
          <w:sz w:val="20"/>
          <w:szCs w:val="20"/>
          <w:lang w:val="kk-KZ" w:eastAsia="ru-RU"/>
        </w:rPr>
      </w:pPr>
    </w:p>
    <w:p w14:paraId="60E81ECA" w14:textId="77777777" w:rsidR="008748FB" w:rsidRPr="00F0736F" w:rsidRDefault="008748FB" w:rsidP="008727D9">
      <w:pPr>
        <w:ind w:firstLine="709"/>
        <w:jc w:val="both"/>
        <w:rPr>
          <w:i/>
          <w:color w:val="000000" w:themeColor="text1"/>
        </w:rPr>
      </w:pPr>
      <w:r w:rsidRPr="00F0736F">
        <w:rPr>
          <w:rFonts w:ascii="Times New Roman" w:eastAsia="Times New Roman" w:hAnsi="Times New Roman" w:cs="Times New Roman"/>
          <w:i/>
          <w:color w:val="000000" w:themeColor="text1"/>
          <w:spacing w:val="2"/>
          <w:sz w:val="20"/>
          <w:szCs w:val="20"/>
          <w:lang w:eastAsia="ru-RU"/>
        </w:rPr>
        <w:t>Источник: данные Министерства энергетики РК</w:t>
      </w:r>
    </w:p>
    <w:p w14:paraId="43F22584" w14:textId="77777777" w:rsidR="008748FB" w:rsidRPr="00F0736F" w:rsidRDefault="008748FB" w:rsidP="008727D9">
      <w:pPr>
        <w:ind w:firstLine="709"/>
        <w:jc w:val="both"/>
        <w:rPr>
          <w:rFonts w:ascii="Times New Roman" w:eastAsia="Calibri" w:hAnsi="Times New Roman" w:cs="Times New Roman"/>
          <w:color w:val="000000" w:themeColor="text1"/>
        </w:rPr>
      </w:pPr>
    </w:p>
    <w:p w14:paraId="3B9615A4"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 xml:space="preserve">В 2018 году </w:t>
      </w:r>
      <w:r w:rsidRPr="00F0736F">
        <w:rPr>
          <w:rFonts w:ascii="Times New Roman" w:hAnsi="Times New Roman" w:cs="Times New Roman"/>
          <w:color w:val="000000" w:themeColor="text1"/>
        </w:rPr>
        <w:t>были введены в эксплуатацию следующие проекты:</w:t>
      </w:r>
    </w:p>
    <w:p w14:paraId="07C9028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проект «СЭС мощностью 2 МВт в районе с. Батыр Мунайлинского района Мангистауской области» компании ТОО «Group Independent»;</w:t>
      </w:r>
    </w:p>
    <w:p w14:paraId="4571E51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проект «Строительство Бурное солар-2 в Жуалынском районе Жамбылской области» мощностью 50 МВт компании ТОО «Burnoye Solar-2»;</w:t>
      </w:r>
    </w:p>
    <w:p w14:paraId="3D6F194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проект «Строительство «ВЭС Сарыбулак» в районе села Сарыбулак Алматинской области» мощностью 4,5 МВт компании ТОО «ВЭС Сарыбулак»;</w:t>
      </w:r>
    </w:p>
    <w:p w14:paraId="6A294B7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проект «Строительство «ВЭС Сарыбулак 2» в районе села Сарыбулак Алматинской области» мощностью 4,5 МВт компании ТОО «ВЭС Сарыбулак-2»</w:t>
      </w:r>
      <w:r w:rsidRPr="00F0736F">
        <w:rPr>
          <w:rFonts w:ascii="Times New Roman" w:hAnsi="Times New Roman" w:cs="Times New Roman"/>
          <w:color w:val="000000" w:themeColor="text1"/>
          <w:lang w:val="kk-KZ"/>
        </w:rPr>
        <w:t>;</w:t>
      </w:r>
    </w:p>
    <w:p w14:paraId="4D405D6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проект «Строительство СЭС мощностью 100 МВт в г. Сарань Карагандинской области» - ТОО «SES Saran».</w:t>
      </w:r>
    </w:p>
    <w:p w14:paraId="394B53F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Общий объем привлеченных инвестиций по вышеуказанным проектам более 160 млн. долл</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США.</w:t>
      </w:r>
    </w:p>
    <w:p w14:paraId="19E00824" w14:textId="2618DA45" w:rsidR="00A465FA"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8A570C" w:rsidRPr="00F0736F">
        <w:rPr>
          <w:rFonts w:ascii="Times New Roman" w:hAnsi="Times New Roman" w:cs="Times New Roman"/>
          <w:color w:val="000000" w:themeColor="text1"/>
        </w:rPr>
        <w:t>по данным Министерства энергетики</w:t>
      </w:r>
      <w:r w:rsidR="00B32C03" w:rsidRPr="00F0736F">
        <w:rPr>
          <w:rFonts w:ascii="Times New Roman" w:hAnsi="Times New Roman" w:cs="Times New Roman"/>
          <w:color w:val="000000" w:themeColor="text1"/>
        </w:rPr>
        <w:t>,</w:t>
      </w:r>
      <w:r w:rsidR="008A570C" w:rsidRPr="00F0736F">
        <w:rPr>
          <w:rFonts w:ascii="Times New Roman" w:hAnsi="Times New Roman" w:cs="Times New Roman"/>
          <w:color w:val="000000" w:themeColor="text1"/>
        </w:rPr>
        <w:t xml:space="preserve"> </w:t>
      </w:r>
      <w:r w:rsidR="00675B39" w:rsidRPr="00F0736F">
        <w:rPr>
          <w:rFonts w:ascii="Times New Roman" w:hAnsi="Times New Roman" w:cs="Times New Roman"/>
          <w:color w:val="000000" w:themeColor="text1"/>
        </w:rPr>
        <w:t xml:space="preserve">выработано 2,4 млрд. </w:t>
      </w:r>
      <w:r w:rsidR="00BA0F59" w:rsidRPr="00F0736F">
        <w:rPr>
          <w:rFonts w:ascii="Times New Roman" w:hAnsi="Times New Roman" w:cs="Times New Roman"/>
          <w:color w:val="000000" w:themeColor="text1"/>
          <w:sz w:val="20"/>
          <w:szCs w:val="20"/>
        </w:rPr>
        <w:t>кВт*ч</w:t>
      </w:r>
      <w:r w:rsidRPr="00F0736F">
        <w:rPr>
          <w:rFonts w:ascii="Times New Roman" w:hAnsi="Times New Roman" w:cs="Times New Roman"/>
          <w:color w:val="000000" w:themeColor="text1"/>
        </w:rPr>
        <w:t xml:space="preserve"> «зеленой» энергии с ростом на 77,8% в сравнении с 2018 годом. Доля ВИЭ в общем объеме производства электроэнергии – 2,3%. В 2019 году в эксплуатацию был введен 21 объект ВИЭ. </w:t>
      </w:r>
    </w:p>
    <w:p w14:paraId="42A4FA69" w14:textId="42AA9B69" w:rsidR="00EC103E" w:rsidRPr="00F0736F" w:rsidRDefault="00A465FA"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2019 года </w:t>
      </w:r>
      <w:r w:rsidR="00EC103E" w:rsidRPr="00F0736F">
        <w:rPr>
          <w:rFonts w:ascii="Times New Roman" w:hAnsi="Times New Roman" w:cs="Times New Roman"/>
          <w:color w:val="000000" w:themeColor="text1"/>
        </w:rPr>
        <w:t xml:space="preserve">введен в эксплуатацию </w:t>
      </w:r>
      <w:r w:rsidR="00675B39" w:rsidRPr="00F0736F">
        <w:rPr>
          <w:rFonts w:ascii="Times New Roman" w:hAnsi="Times New Roman" w:cs="Times New Roman"/>
          <w:color w:val="000000" w:themeColor="text1"/>
        </w:rPr>
        <w:t>21 объект ВИЭ, установленной мощностью 504,55 МВт</w:t>
      </w:r>
      <w:r w:rsidR="00EC103E" w:rsidRPr="00F0736F">
        <w:rPr>
          <w:rFonts w:ascii="Times New Roman" w:hAnsi="Times New Roman" w:cs="Times New Roman"/>
          <w:color w:val="000000" w:themeColor="text1"/>
        </w:rPr>
        <w:t>. П</w:t>
      </w:r>
      <w:r w:rsidR="00F674A4" w:rsidRPr="00F0736F">
        <w:rPr>
          <w:rFonts w:ascii="Times New Roman" w:hAnsi="Times New Roman" w:cs="Times New Roman"/>
          <w:color w:val="000000" w:themeColor="text1"/>
        </w:rPr>
        <w:t>о проектам ВИЭ общий объем привлеченных инвестиций составил 613 млн. долл</w:t>
      </w:r>
      <w:r w:rsidR="00B32C03"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США</w:t>
      </w:r>
      <w:r w:rsidR="00675B39" w:rsidRPr="00F0736F">
        <w:rPr>
          <w:rFonts w:ascii="Times New Roman" w:hAnsi="Times New Roman" w:cs="Times New Roman"/>
          <w:color w:val="000000" w:themeColor="text1"/>
        </w:rPr>
        <w:t xml:space="preserve">. </w:t>
      </w:r>
    </w:p>
    <w:p w14:paraId="4E2763DD" w14:textId="4B1D3C5E" w:rsidR="00675B39" w:rsidRPr="00F0736F" w:rsidRDefault="00EC103E"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Таким образом</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r w:rsidR="00BA0F59" w:rsidRPr="00F0736F">
        <w:rPr>
          <w:rFonts w:ascii="Times New Roman" w:hAnsi="Times New Roman" w:cs="Times New Roman"/>
          <w:color w:val="000000" w:themeColor="text1"/>
        </w:rPr>
        <w:t>о</w:t>
      </w:r>
      <w:r w:rsidR="00F674A4" w:rsidRPr="00F0736F">
        <w:rPr>
          <w:rFonts w:ascii="Times New Roman" w:hAnsi="Times New Roman" w:cs="Times New Roman"/>
          <w:color w:val="000000" w:themeColor="text1"/>
        </w:rPr>
        <w:t xml:space="preserve">бщее количество </w:t>
      </w:r>
      <w:r w:rsidR="00A465FA" w:rsidRPr="00F0736F">
        <w:rPr>
          <w:rFonts w:ascii="Times New Roman" w:hAnsi="Times New Roman" w:cs="Times New Roman"/>
          <w:color w:val="000000" w:themeColor="text1"/>
        </w:rPr>
        <w:t xml:space="preserve">действующих </w:t>
      </w:r>
      <w:r w:rsidR="00F674A4" w:rsidRPr="00F0736F">
        <w:rPr>
          <w:rFonts w:ascii="Times New Roman" w:hAnsi="Times New Roman" w:cs="Times New Roman"/>
          <w:color w:val="000000" w:themeColor="text1"/>
        </w:rPr>
        <w:t xml:space="preserve">объектов ВИЭ составило 90 с </w:t>
      </w:r>
      <w:r w:rsidR="00A465FA" w:rsidRPr="00F0736F">
        <w:rPr>
          <w:rFonts w:ascii="Times New Roman" w:hAnsi="Times New Roman" w:cs="Times New Roman"/>
          <w:color w:val="000000" w:themeColor="text1"/>
        </w:rPr>
        <w:t xml:space="preserve">суммарной </w:t>
      </w:r>
      <w:r w:rsidR="00F674A4" w:rsidRPr="00F0736F">
        <w:rPr>
          <w:rFonts w:ascii="Times New Roman" w:hAnsi="Times New Roman" w:cs="Times New Roman"/>
          <w:color w:val="000000" w:themeColor="text1"/>
        </w:rPr>
        <w:t>мощностью 1</w:t>
      </w:r>
      <w:r w:rsidR="00B32C03"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rPr>
        <w:t>050,1 МВт</w:t>
      </w:r>
      <w:r w:rsidR="004768E5" w:rsidRPr="00F0736F">
        <w:rPr>
          <w:rFonts w:ascii="Times New Roman" w:hAnsi="Times New Roman" w:cs="Times New Roman"/>
          <w:color w:val="000000" w:themeColor="text1"/>
        </w:rPr>
        <w:t xml:space="preserve"> </w:t>
      </w:r>
      <w:r w:rsidR="00A465FA" w:rsidRPr="00F0736F">
        <w:rPr>
          <w:rFonts w:ascii="Times New Roman" w:hAnsi="Times New Roman" w:cs="Times New Roman"/>
          <w:color w:val="000000" w:themeColor="text1"/>
        </w:rPr>
        <w:t>(ГЭС – 222,2; ВЭС – 283;8 СЭС – 541,7; биогазовая установка – 2,42)</w:t>
      </w:r>
      <w:r w:rsidR="00F674A4" w:rsidRPr="00F0736F">
        <w:rPr>
          <w:rFonts w:ascii="Times New Roman" w:hAnsi="Times New Roman" w:cs="Times New Roman"/>
          <w:color w:val="000000" w:themeColor="text1"/>
        </w:rPr>
        <w:t>. В 2020 году планируется ввести еще 18 объектов ВИЭ с общей мощностью 605,5 МВт</w:t>
      </w:r>
      <w:r w:rsidR="00F674A4" w:rsidRPr="00F0736F">
        <w:rPr>
          <w:color w:val="000000" w:themeColor="text1"/>
        </w:rPr>
        <w:t>.</w:t>
      </w:r>
      <w:r w:rsidR="00675B39" w:rsidRPr="00F0736F">
        <w:rPr>
          <w:rFonts w:ascii="Times New Roman" w:hAnsi="Times New Roman" w:cs="Times New Roman"/>
          <w:color w:val="000000" w:themeColor="text1"/>
        </w:rPr>
        <w:t xml:space="preserve"> Соответственно</w:t>
      </w:r>
      <w:r w:rsidR="00BA0F59" w:rsidRPr="00F0736F">
        <w:rPr>
          <w:rFonts w:ascii="Times New Roman" w:hAnsi="Times New Roman" w:cs="Times New Roman"/>
          <w:color w:val="000000" w:themeColor="text1"/>
        </w:rPr>
        <w:t>,</w:t>
      </w:r>
      <w:r w:rsidR="00675B39" w:rsidRPr="00F0736F">
        <w:rPr>
          <w:rFonts w:ascii="Times New Roman" w:hAnsi="Times New Roman" w:cs="Times New Roman"/>
          <w:color w:val="000000" w:themeColor="text1"/>
        </w:rPr>
        <w:t xml:space="preserve"> количество объектов ВИЭ планируется довести до 108 (1</w:t>
      </w:r>
      <w:r w:rsidR="00B32C03" w:rsidRPr="00F0736F">
        <w:rPr>
          <w:rFonts w:ascii="Times New Roman" w:hAnsi="Times New Roman" w:cs="Times New Roman"/>
          <w:color w:val="000000" w:themeColor="text1"/>
        </w:rPr>
        <w:t xml:space="preserve"> </w:t>
      </w:r>
      <w:r w:rsidR="00675B39" w:rsidRPr="00F0736F">
        <w:rPr>
          <w:rFonts w:ascii="Times New Roman" w:hAnsi="Times New Roman" w:cs="Times New Roman"/>
          <w:color w:val="000000" w:themeColor="text1"/>
        </w:rPr>
        <w:t xml:space="preserve">650 МВт) в 2020 году. </w:t>
      </w:r>
    </w:p>
    <w:p w14:paraId="582EE755" w14:textId="39B9CEC2"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статистическим данным, с учетом крупных гидроэлектростанций производство электроэнергии за счет ВИЭ в 2019 году составило </w:t>
      </w:r>
      <w:r w:rsidR="000F2579" w:rsidRPr="00F0736F">
        <w:rPr>
          <w:rFonts w:ascii="Times New Roman" w:hAnsi="Times New Roman" w:cs="Times New Roman"/>
          <w:color w:val="000000" w:themeColor="text1"/>
        </w:rPr>
        <w:t>11</w:t>
      </w:r>
      <w:r w:rsidR="00BE7690" w:rsidRPr="00F0736F">
        <w:rPr>
          <w:rFonts w:ascii="Times New Roman" w:hAnsi="Times New Roman" w:cs="Times New Roman"/>
          <w:color w:val="000000" w:themeColor="text1"/>
        </w:rPr>
        <w:t xml:space="preserve"> </w:t>
      </w:r>
      <w:r w:rsidR="000F2579" w:rsidRPr="00F0736F">
        <w:rPr>
          <w:rFonts w:ascii="Times New Roman" w:hAnsi="Times New Roman" w:cs="Times New Roman"/>
          <w:color w:val="000000" w:themeColor="text1"/>
        </w:rPr>
        <w:t xml:space="preserve">097,0 </w:t>
      </w:r>
      <w:r w:rsidRPr="00F0736F">
        <w:rPr>
          <w:rFonts w:ascii="Times New Roman" w:hAnsi="Times New Roman" w:cs="Times New Roman"/>
          <w:color w:val="000000" w:themeColor="text1"/>
        </w:rPr>
        <w:t xml:space="preserve">млн. </w:t>
      </w:r>
      <w:r w:rsidR="00BA0F59"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rPr>
        <w:t>, в том числе 9</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993,7 млн. </w:t>
      </w:r>
      <w:r w:rsidR="00BE7690" w:rsidRPr="00F0736F">
        <w:rPr>
          <w:rFonts w:ascii="Times New Roman" w:hAnsi="Times New Roman" w:cs="Times New Roman"/>
          <w:color w:val="000000" w:themeColor="text1"/>
        </w:rPr>
        <w:t xml:space="preserve">. кВт*ч </w:t>
      </w:r>
      <w:r w:rsidRPr="00F0736F">
        <w:rPr>
          <w:rFonts w:ascii="Times New Roman" w:hAnsi="Times New Roman" w:cs="Times New Roman"/>
          <w:color w:val="000000" w:themeColor="text1"/>
        </w:rPr>
        <w:t xml:space="preserve">электроэнергии произведено гидроэлектростанциями, 707,1 млн. </w:t>
      </w:r>
      <w:r w:rsidR="00BA0F59" w:rsidRPr="00F0736F">
        <w:rPr>
          <w:rFonts w:ascii="Times New Roman" w:hAnsi="Times New Roman" w:cs="Times New Roman"/>
          <w:color w:val="000000" w:themeColor="text1"/>
        </w:rPr>
        <w:t>кВт*ч</w:t>
      </w:r>
      <w:r w:rsidR="003D15C1" w:rsidRPr="00F0736F">
        <w:rPr>
          <w:rFonts w:ascii="Times New Roman" w:hAnsi="Times New Roman" w:cs="Times New Roman"/>
          <w:color w:val="000000" w:themeColor="text1"/>
        </w:rPr>
        <w:t xml:space="preserve"> - ветровыми электростанциями, </w:t>
      </w:r>
      <w:r w:rsidRPr="00F0736F">
        <w:rPr>
          <w:rFonts w:ascii="Times New Roman" w:hAnsi="Times New Roman" w:cs="Times New Roman"/>
          <w:color w:val="000000" w:themeColor="text1"/>
        </w:rPr>
        <w:t xml:space="preserve">391,2 млн. </w:t>
      </w:r>
      <w:r w:rsidR="00BA0F59"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rPr>
        <w:t xml:space="preserve"> - солнечными электростанциями и  </w:t>
      </w:r>
      <w:r w:rsidR="000F2579" w:rsidRPr="00F0736F">
        <w:rPr>
          <w:rFonts w:ascii="Times New Roman" w:hAnsi="Times New Roman" w:cs="Times New Roman"/>
          <w:color w:val="000000" w:themeColor="text1"/>
        </w:rPr>
        <w:t xml:space="preserve">5,0 </w:t>
      </w:r>
      <w:r w:rsidRPr="00F0736F">
        <w:rPr>
          <w:rFonts w:ascii="Times New Roman" w:hAnsi="Times New Roman" w:cs="Times New Roman"/>
          <w:color w:val="000000" w:themeColor="text1"/>
        </w:rPr>
        <w:t xml:space="preserve">млн. </w:t>
      </w:r>
      <w:r w:rsidR="00BA0F59"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rPr>
        <w:t xml:space="preserve"> — биогазом (таблица 1.4.2.). Потребление электроэнергии различными отраслями представлено на рисунке 1.4.1.</w:t>
      </w:r>
    </w:p>
    <w:p w14:paraId="1A6D7DC0" w14:textId="77777777" w:rsidR="00F674A4" w:rsidRPr="00F0736F" w:rsidRDefault="00F674A4" w:rsidP="008727D9">
      <w:pPr>
        <w:ind w:firstLine="709"/>
        <w:jc w:val="both"/>
        <w:rPr>
          <w:rFonts w:ascii="Times New Roman" w:hAnsi="Times New Roman" w:cs="Times New Roman"/>
          <w:color w:val="000000" w:themeColor="text1"/>
        </w:rPr>
      </w:pPr>
    </w:p>
    <w:p w14:paraId="757DE85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1.4.2. Распределение выработки электроэнергии ВИЭ по областям РК</w:t>
      </w:r>
      <w:r w:rsidR="000F2579" w:rsidRPr="00F0736F">
        <w:rPr>
          <w:rFonts w:ascii="Times New Roman" w:hAnsi="Times New Roman" w:cs="Times New Roman"/>
          <w:color w:val="000000" w:themeColor="text1"/>
        </w:rPr>
        <w:t xml:space="preserve"> за 2019 год</w:t>
      </w:r>
      <w:r w:rsidRPr="00F0736F">
        <w:rPr>
          <w:rFonts w:ascii="Times New Roman" w:hAnsi="Times New Roman" w:cs="Times New Roman"/>
          <w:color w:val="000000" w:themeColor="text1"/>
        </w:rPr>
        <w:t>.</w:t>
      </w:r>
    </w:p>
    <w:p w14:paraId="7A485222" w14:textId="77777777" w:rsidR="00F674A4" w:rsidRPr="00F0736F" w:rsidRDefault="00F674A4" w:rsidP="00F678C2">
      <w:pPr>
        <w:ind w:firstLine="709"/>
        <w:jc w:val="right"/>
        <w:rPr>
          <w:color w:val="000000" w:themeColor="text1"/>
        </w:rPr>
      </w:pPr>
      <w:r w:rsidRPr="00F0736F">
        <w:rPr>
          <w:rFonts w:ascii="Times New Roman" w:hAnsi="Times New Roman" w:cs="Times New Roman"/>
          <w:color w:val="000000" w:themeColor="text1"/>
        </w:rPr>
        <w:t>тыс.</w:t>
      </w:r>
      <w:r w:rsidR="00BA0F59" w:rsidRPr="00F0736F">
        <w:rPr>
          <w:rFonts w:ascii="Times New Roman" w:hAnsi="Times New Roman" w:cs="Times New Roman"/>
          <w:color w:val="000000" w:themeColor="text1"/>
          <w:sz w:val="20"/>
          <w:szCs w:val="20"/>
        </w:rPr>
        <w:t xml:space="preserve"> кВт*ч</w:t>
      </w:r>
      <w:r w:rsidR="00BA0F59" w:rsidRPr="00F0736F">
        <w:rPr>
          <w:rFonts w:ascii="Times New Roman" w:hAnsi="Times New Roman" w:cs="Times New Roman"/>
          <w:color w:val="000000" w:themeColor="text1"/>
        </w:rPr>
        <w:t xml:space="preserve"> </w:t>
      </w:r>
    </w:p>
    <w:tbl>
      <w:tblPr>
        <w:tblW w:w="0" w:type="auto"/>
        <w:tblInd w:w="132" w:type="dxa"/>
        <w:tblLayout w:type="fixed"/>
        <w:tblCellMar>
          <w:left w:w="0" w:type="dxa"/>
          <w:right w:w="0" w:type="dxa"/>
        </w:tblCellMar>
        <w:tblLook w:val="0000" w:firstRow="0" w:lastRow="0" w:firstColumn="0" w:lastColumn="0" w:noHBand="0" w:noVBand="0"/>
      </w:tblPr>
      <w:tblGrid>
        <w:gridCol w:w="2040"/>
        <w:gridCol w:w="1245"/>
        <w:gridCol w:w="1245"/>
        <w:gridCol w:w="1200"/>
        <w:gridCol w:w="1350"/>
        <w:gridCol w:w="1140"/>
        <w:gridCol w:w="1419"/>
      </w:tblGrid>
      <w:tr w:rsidR="00F0736F" w:rsidRPr="00F0736F" w14:paraId="10627A23" w14:textId="77777777" w:rsidTr="00BE7690">
        <w:trPr>
          <w:trHeight w:val="270"/>
        </w:trPr>
        <w:tc>
          <w:tcPr>
            <w:tcW w:w="2040" w:type="dxa"/>
            <w:tcBorders>
              <w:top w:val="single" w:sz="8" w:space="0" w:color="000000"/>
              <w:left w:val="single" w:sz="8" w:space="0" w:color="000000"/>
              <w:bottom w:val="single" w:sz="8" w:space="0" w:color="000000"/>
            </w:tcBorders>
            <w:shd w:val="clear" w:color="auto" w:fill="auto"/>
          </w:tcPr>
          <w:p w14:paraId="62FB7E9D" w14:textId="77777777" w:rsidR="00F674A4" w:rsidRPr="00F0736F" w:rsidRDefault="00F674A4" w:rsidP="008727D9">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w:t>
            </w:r>
          </w:p>
          <w:p w14:paraId="482EB6DA" w14:textId="77777777" w:rsidR="00BE7690" w:rsidRPr="00F0736F" w:rsidRDefault="00BE7690" w:rsidP="00BE7690">
            <w:pPr>
              <w:rPr>
                <w:rFonts w:ascii="Times New Roman" w:hAnsi="Times New Roman" w:cs="Times New Roman"/>
                <w:color w:val="000000" w:themeColor="text1"/>
                <w:sz w:val="20"/>
                <w:szCs w:val="20"/>
              </w:rPr>
            </w:pPr>
          </w:p>
          <w:p w14:paraId="4383E973" w14:textId="65354897" w:rsidR="00BE7690" w:rsidRPr="00F0736F" w:rsidRDefault="00BE7690" w:rsidP="00BE7690">
            <w:pPr>
              <w:jc w:val="center"/>
              <w:rPr>
                <w:color w:val="000000" w:themeColor="text1"/>
              </w:rPr>
            </w:pPr>
          </w:p>
        </w:tc>
        <w:tc>
          <w:tcPr>
            <w:tcW w:w="1245" w:type="dxa"/>
            <w:tcBorders>
              <w:top w:val="single" w:sz="8" w:space="0" w:color="000000"/>
              <w:left w:val="single" w:sz="8" w:space="0" w:color="000000"/>
              <w:bottom w:val="single" w:sz="8" w:space="0" w:color="000000"/>
            </w:tcBorders>
            <w:shd w:val="clear" w:color="auto" w:fill="auto"/>
          </w:tcPr>
          <w:p w14:paraId="369FA770" w14:textId="77777777"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Общее производство электроэнергии ВИЭ</w:t>
            </w:r>
          </w:p>
        </w:tc>
        <w:tc>
          <w:tcPr>
            <w:tcW w:w="1245" w:type="dxa"/>
            <w:tcBorders>
              <w:top w:val="single" w:sz="8" w:space="0" w:color="000000"/>
              <w:left w:val="single" w:sz="8" w:space="0" w:color="000000"/>
              <w:bottom w:val="single" w:sz="8" w:space="0" w:color="000000"/>
            </w:tcBorders>
            <w:shd w:val="clear" w:color="auto" w:fill="auto"/>
          </w:tcPr>
          <w:p w14:paraId="494AA7E0" w14:textId="77777777" w:rsidR="00BE7690" w:rsidRPr="00F0736F" w:rsidRDefault="00F674A4" w:rsidP="00D2630D">
            <w:pPr>
              <w:jc w:val="center"/>
              <w:rPr>
                <w:rFonts w:ascii="Times New Roman" w:hAnsi="Times New Roman" w:cs="Times New Roman"/>
                <w:color w:val="000000" w:themeColor="text1"/>
                <w:sz w:val="18"/>
                <w:szCs w:val="18"/>
              </w:rPr>
            </w:pPr>
            <w:r w:rsidRPr="00F0736F">
              <w:rPr>
                <w:rFonts w:ascii="Times New Roman" w:hAnsi="Times New Roman" w:cs="Times New Roman"/>
                <w:color w:val="000000" w:themeColor="text1"/>
                <w:sz w:val="18"/>
                <w:szCs w:val="18"/>
              </w:rPr>
              <w:t>Производство электроэнергии гидроэлектро</w:t>
            </w:r>
          </w:p>
          <w:p w14:paraId="25E7322E" w14:textId="63121F61"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станциями</w:t>
            </w:r>
          </w:p>
        </w:tc>
        <w:tc>
          <w:tcPr>
            <w:tcW w:w="1200" w:type="dxa"/>
            <w:tcBorders>
              <w:top w:val="single" w:sz="8" w:space="0" w:color="000000"/>
              <w:left w:val="single" w:sz="8" w:space="0" w:color="000000"/>
              <w:bottom w:val="single" w:sz="8" w:space="0" w:color="000000"/>
            </w:tcBorders>
            <w:shd w:val="clear" w:color="auto" w:fill="auto"/>
          </w:tcPr>
          <w:p w14:paraId="1B27DB3B" w14:textId="77777777" w:rsidR="00BE7690" w:rsidRPr="00F0736F" w:rsidRDefault="00F674A4" w:rsidP="00D2630D">
            <w:pPr>
              <w:jc w:val="center"/>
              <w:rPr>
                <w:rFonts w:ascii="Times New Roman" w:hAnsi="Times New Roman" w:cs="Times New Roman"/>
                <w:color w:val="000000" w:themeColor="text1"/>
                <w:sz w:val="18"/>
                <w:szCs w:val="18"/>
              </w:rPr>
            </w:pPr>
            <w:r w:rsidRPr="00F0736F">
              <w:rPr>
                <w:rFonts w:ascii="Times New Roman" w:hAnsi="Times New Roman" w:cs="Times New Roman"/>
                <w:color w:val="000000" w:themeColor="text1"/>
                <w:sz w:val="18"/>
                <w:szCs w:val="18"/>
              </w:rPr>
              <w:t>Производство электроэнергии ветроэлектро</w:t>
            </w:r>
          </w:p>
          <w:p w14:paraId="317CD4EC" w14:textId="3ADF14A5"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станциями</w:t>
            </w:r>
          </w:p>
        </w:tc>
        <w:tc>
          <w:tcPr>
            <w:tcW w:w="1350" w:type="dxa"/>
            <w:tcBorders>
              <w:top w:val="single" w:sz="8" w:space="0" w:color="000000"/>
              <w:left w:val="single" w:sz="8" w:space="0" w:color="000000"/>
              <w:bottom w:val="single" w:sz="8" w:space="0" w:color="000000"/>
            </w:tcBorders>
            <w:shd w:val="clear" w:color="auto" w:fill="auto"/>
          </w:tcPr>
          <w:p w14:paraId="3468FDD8" w14:textId="77777777" w:rsidR="00BE7690" w:rsidRPr="00F0736F" w:rsidRDefault="00F674A4" w:rsidP="00D2630D">
            <w:pPr>
              <w:jc w:val="center"/>
              <w:rPr>
                <w:rFonts w:ascii="Times New Roman" w:hAnsi="Times New Roman" w:cs="Times New Roman"/>
                <w:color w:val="000000" w:themeColor="text1"/>
                <w:sz w:val="18"/>
                <w:szCs w:val="18"/>
              </w:rPr>
            </w:pPr>
            <w:r w:rsidRPr="00F0736F">
              <w:rPr>
                <w:rFonts w:ascii="Times New Roman" w:hAnsi="Times New Roman" w:cs="Times New Roman"/>
                <w:color w:val="000000" w:themeColor="text1"/>
                <w:sz w:val="18"/>
                <w:szCs w:val="18"/>
              </w:rPr>
              <w:t>Производство электроэнергии солнечными электростан</w:t>
            </w:r>
          </w:p>
          <w:p w14:paraId="1D011CC8" w14:textId="0A4FD9F3"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циями</w:t>
            </w:r>
          </w:p>
        </w:tc>
        <w:tc>
          <w:tcPr>
            <w:tcW w:w="1140" w:type="dxa"/>
            <w:tcBorders>
              <w:top w:val="single" w:sz="8" w:space="0" w:color="000000"/>
              <w:left w:val="single" w:sz="8" w:space="0" w:color="000000"/>
              <w:bottom w:val="single" w:sz="8" w:space="0" w:color="000000"/>
            </w:tcBorders>
            <w:shd w:val="clear" w:color="auto" w:fill="auto"/>
          </w:tcPr>
          <w:p w14:paraId="2193A3F4" w14:textId="77777777" w:rsidR="00BE7690" w:rsidRPr="00F0736F" w:rsidRDefault="00F674A4" w:rsidP="00D2630D">
            <w:pPr>
              <w:jc w:val="center"/>
              <w:rPr>
                <w:rFonts w:ascii="Times New Roman" w:hAnsi="Times New Roman" w:cs="Times New Roman"/>
                <w:color w:val="000000" w:themeColor="text1"/>
                <w:sz w:val="18"/>
                <w:szCs w:val="18"/>
              </w:rPr>
            </w:pPr>
            <w:r w:rsidRPr="00F0736F">
              <w:rPr>
                <w:rFonts w:ascii="Times New Roman" w:hAnsi="Times New Roman" w:cs="Times New Roman"/>
                <w:color w:val="000000" w:themeColor="text1"/>
                <w:sz w:val="18"/>
                <w:szCs w:val="18"/>
              </w:rPr>
              <w:t>Производство электроэнергии с использова</w:t>
            </w:r>
          </w:p>
          <w:p w14:paraId="4EB9DD3A" w14:textId="50171BD5"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нием биогаза</w:t>
            </w: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14:paraId="4B68D93B" w14:textId="77777777" w:rsidR="00F674A4" w:rsidRPr="00F0736F" w:rsidRDefault="00F674A4" w:rsidP="00D2630D">
            <w:pPr>
              <w:jc w:val="center"/>
              <w:rPr>
                <w:color w:val="000000" w:themeColor="text1"/>
                <w:sz w:val="18"/>
                <w:szCs w:val="18"/>
              </w:rPr>
            </w:pPr>
            <w:r w:rsidRPr="00F0736F">
              <w:rPr>
                <w:rFonts w:ascii="Times New Roman" w:hAnsi="Times New Roman" w:cs="Times New Roman"/>
                <w:color w:val="000000" w:themeColor="text1"/>
                <w:sz w:val="18"/>
                <w:szCs w:val="18"/>
              </w:rPr>
              <w:t xml:space="preserve">Доля ВИЭ в общем производстве электроэнергии </w:t>
            </w:r>
            <w:r w:rsidR="00F678C2" w:rsidRPr="00F0736F">
              <w:rPr>
                <w:rFonts w:ascii="Times New Roman" w:hAnsi="Times New Roman" w:cs="Times New Roman"/>
                <w:color w:val="000000" w:themeColor="text1"/>
                <w:sz w:val="18"/>
                <w:szCs w:val="18"/>
              </w:rPr>
              <w:t>(</w:t>
            </w:r>
            <w:r w:rsidRPr="00F0736F">
              <w:rPr>
                <w:rFonts w:ascii="Times New Roman" w:hAnsi="Times New Roman" w:cs="Times New Roman"/>
                <w:color w:val="000000" w:themeColor="text1"/>
                <w:sz w:val="18"/>
                <w:szCs w:val="18"/>
              </w:rPr>
              <w:t>%</w:t>
            </w:r>
            <w:r w:rsidR="00F678C2" w:rsidRPr="00F0736F">
              <w:rPr>
                <w:rFonts w:ascii="Times New Roman" w:hAnsi="Times New Roman" w:cs="Times New Roman"/>
                <w:color w:val="000000" w:themeColor="text1"/>
                <w:sz w:val="18"/>
                <w:szCs w:val="18"/>
              </w:rPr>
              <w:t>)</w:t>
            </w:r>
          </w:p>
        </w:tc>
      </w:tr>
      <w:tr w:rsidR="00F0736F" w:rsidRPr="00F0736F" w14:paraId="0C6B954C" w14:textId="77777777" w:rsidTr="00BE7690">
        <w:trPr>
          <w:trHeight w:val="255"/>
        </w:trPr>
        <w:tc>
          <w:tcPr>
            <w:tcW w:w="2040" w:type="dxa"/>
            <w:tcBorders>
              <w:top w:val="single" w:sz="4" w:space="0" w:color="000000"/>
              <w:left w:val="single" w:sz="4" w:space="0" w:color="000000"/>
              <w:bottom w:val="single" w:sz="4" w:space="0" w:color="000000"/>
            </w:tcBorders>
            <w:shd w:val="clear" w:color="auto" w:fill="auto"/>
            <w:vAlign w:val="bottom"/>
          </w:tcPr>
          <w:p w14:paraId="2CF4520E" w14:textId="77777777" w:rsidR="00F674A4" w:rsidRPr="00F0736F" w:rsidRDefault="00F674A4" w:rsidP="00D2630D">
            <w:pPr>
              <w:tabs>
                <w:tab w:val="left" w:pos="709"/>
              </w:tabs>
              <w:jc w:val="both"/>
              <w:rPr>
                <w:color w:val="000000" w:themeColor="text1"/>
              </w:rPr>
            </w:pPr>
            <w:r w:rsidRPr="00F0736F">
              <w:rPr>
                <w:rFonts w:ascii="Times New Roman" w:hAnsi="Times New Roman" w:cs="Times New Roman"/>
                <w:color w:val="000000" w:themeColor="text1"/>
                <w:sz w:val="20"/>
                <w:szCs w:val="20"/>
              </w:rPr>
              <w:t>Республика</w:t>
            </w:r>
            <w:r w:rsidRPr="00F0736F">
              <w:rPr>
                <w:rFonts w:ascii="Times New Roman" w:hAnsi="Times New Roman" w:cs="Times New Roman"/>
                <w:color w:val="000000" w:themeColor="text1"/>
                <w:sz w:val="20"/>
                <w:szCs w:val="20"/>
                <w:lang w:val="kk-KZ"/>
              </w:rPr>
              <w:t xml:space="preserve"> Казахстан</w:t>
            </w:r>
          </w:p>
        </w:tc>
        <w:tc>
          <w:tcPr>
            <w:tcW w:w="1245" w:type="dxa"/>
            <w:tcBorders>
              <w:top w:val="single" w:sz="4" w:space="0" w:color="000000"/>
              <w:left w:val="single" w:sz="4" w:space="0" w:color="000000"/>
              <w:bottom w:val="single" w:sz="4" w:space="0" w:color="000000"/>
            </w:tcBorders>
            <w:shd w:val="clear" w:color="auto" w:fill="auto"/>
            <w:vAlign w:val="bottom"/>
          </w:tcPr>
          <w:p w14:paraId="33FCA58C"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11 096 990,6</w:t>
            </w:r>
          </w:p>
        </w:tc>
        <w:tc>
          <w:tcPr>
            <w:tcW w:w="1245" w:type="dxa"/>
            <w:tcBorders>
              <w:top w:val="single" w:sz="4" w:space="0" w:color="000000"/>
              <w:left w:val="single" w:sz="4" w:space="0" w:color="000000"/>
              <w:bottom w:val="single" w:sz="4" w:space="0" w:color="000000"/>
            </w:tcBorders>
            <w:shd w:val="clear" w:color="auto" w:fill="auto"/>
            <w:vAlign w:val="bottom"/>
          </w:tcPr>
          <w:p w14:paraId="7E67CA1E"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9 993 658,8</w:t>
            </w:r>
          </w:p>
        </w:tc>
        <w:tc>
          <w:tcPr>
            <w:tcW w:w="1200" w:type="dxa"/>
            <w:tcBorders>
              <w:left w:val="single" w:sz="8" w:space="0" w:color="000000"/>
              <w:bottom w:val="single" w:sz="8" w:space="0" w:color="000000"/>
            </w:tcBorders>
            <w:shd w:val="clear" w:color="auto" w:fill="auto"/>
            <w:vAlign w:val="bottom"/>
          </w:tcPr>
          <w:p w14:paraId="6EC1CE11"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707 135,1</w:t>
            </w:r>
          </w:p>
        </w:tc>
        <w:tc>
          <w:tcPr>
            <w:tcW w:w="1350" w:type="dxa"/>
            <w:tcBorders>
              <w:left w:val="single" w:sz="8" w:space="0" w:color="000000"/>
              <w:bottom w:val="single" w:sz="8" w:space="0" w:color="000000"/>
            </w:tcBorders>
            <w:shd w:val="clear" w:color="auto" w:fill="auto"/>
            <w:vAlign w:val="bottom"/>
          </w:tcPr>
          <w:p w14:paraId="1C0B550B"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391 229,6</w:t>
            </w:r>
          </w:p>
        </w:tc>
        <w:tc>
          <w:tcPr>
            <w:tcW w:w="1140" w:type="dxa"/>
            <w:tcBorders>
              <w:left w:val="single" w:sz="8" w:space="0" w:color="000000"/>
              <w:bottom w:val="single" w:sz="8" w:space="0" w:color="000000"/>
            </w:tcBorders>
            <w:shd w:val="clear" w:color="auto" w:fill="auto"/>
            <w:vAlign w:val="bottom"/>
          </w:tcPr>
          <w:p w14:paraId="79CA4C00"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4 967,1</w:t>
            </w:r>
          </w:p>
        </w:tc>
        <w:tc>
          <w:tcPr>
            <w:tcW w:w="1419" w:type="dxa"/>
            <w:tcBorders>
              <w:left w:val="single" w:sz="8" w:space="0" w:color="000000"/>
              <w:bottom w:val="single" w:sz="8" w:space="0" w:color="000000"/>
              <w:right w:val="single" w:sz="8" w:space="0" w:color="000000"/>
            </w:tcBorders>
            <w:shd w:val="clear" w:color="auto" w:fill="auto"/>
            <w:vAlign w:val="bottom"/>
          </w:tcPr>
          <w:p w14:paraId="60D2A75D"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10,4</w:t>
            </w:r>
          </w:p>
        </w:tc>
      </w:tr>
      <w:tr w:rsidR="00F0736F" w:rsidRPr="00F0736F" w14:paraId="51E05CC6" w14:textId="77777777" w:rsidTr="00BE7690">
        <w:trPr>
          <w:trHeight w:val="255"/>
        </w:trPr>
        <w:tc>
          <w:tcPr>
            <w:tcW w:w="2040" w:type="dxa"/>
            <w:tcBorders>
              <w:left w:val="single" w:sz="4" w:space="0" w:color="000000"/>
              <w:bottom w:val="single" w:sz="4" w:space="0" w:color="000000"/>
            </w:tcBorders>
            <w:shd w:val="clear" w:color="auto" w:fill="auto"/>
            <w:vAlign w:val="bottom"/>
          </w:tcPr>
          <w:p w14:paraId="164B376A"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Акмолинская</w:t>
            </w:r>
          </w:p>
        </w:tc>
        <w:tc>
          <w:tcPr>
            <w:tcW w:w="1245" w:type="dxa"/>
            <w:tcBorders>
              <w:left w:val="single" w:sz="4" w:space="0" w:color="000000"/>
              <w:bottom w:val="single" w:sz="4" w:space="0" w:color="000000"/>
            </w:tcBorders>
            <w:shd w:val="clear" w:color="auto" w:fill="auto"/>
            <w:vAlign w:val="bottom"/>
          </w:tcPr>
          <w:p w14:paraId="5E9996D4"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230 796,6</w:t>
            </w:r>
          </w:p>
        </w:tc>
        <w:tc>
          <w:tcPr>
            <w:tcW w:w="1245" w:type="dxa"/>
            <w:tcBorders>
              <w:left w:val="single" w:sz="4" w:space="0" w:color="000000"/>
              <w:bottom w:val="single" w:sz="4" w:space="0" w:color="000000"/>
            </w:tcBorders>
            <w:shd w:val="clear" w:color="auto" w:fill="auto"/>
            <w:vAlign w:val="bottom"/>
          </w:tcPr>
          <w:p w14:paraId="453C1B22"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2DE9B235"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230 776,4</w:t>
            </w:r>
          </w:p>
        </w:tc>
        <w:tc>
          <w:tcPr>
            <w:tcW w:w="1350" w:type="dxa"/>
            <w:tcBorders>
              <w:left w:val="single" w:sz="8" w:space="0" w:color="000000"/>
              <w:bottom w:val="single" w:sz="8" w:space="0" w:color="000000"/>
            </w:tcBorders>
            <w:shd w:val="clear" w:color="auto" w:fill="auto"/>
            <w:vAlign w:val="bottom"/>
          </w:tcPr>
          <w:p w14:paraId="7966605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20,2</w:t>
            </w:r>
          </w:p>
        </w:tc>
        <w:tc>
          <w:tcPr>
            <w:tcW w:w="1140" w:type="dxa"/>
            <w:tcBorders>
              <w:left w:val="single" w:sz="8" w:space="0" w:color="000000"/>
              <w:bottom w:val="single" w:sz="8" w:space="0" w:color="000000"/>
            </w:tcBorders>
            <w:shd w:val="clear" w:color="auto" w:fill="auto"/>
            <w:vAlign w:val="bottom"/>
          </w:tcPr>
          <w:p w14:paraId="678AAF36"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4E70A114"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21,4</w:t>
            </w:r>
          </w:p>
        </w:tc>
      </w:tr>
      <w:tr w:rsidR="00F0736F" w:rsidRPr="00F0736F" w14:paraId="617C573A" w14:textId="77777777" w:rsidTr="00BE7690">
        <w:trPr>
          <w:trHeight w:val="255"/>
        </w:trPr>
        <w:tc>
          <w:tcPr>
            <w:tcW w:w="2040" w:type="dxa"/>
            <w:tcBorders>
              <w:left w:val="single" w:sz="4" w:space="0" w:color="000000"/>
              <w:bottom w:val="single" w:sz="4" w:space="0" w:color="000000"/>
            </w:tcBorders>
            <w:shd w:val="clear" w:color="auto" w:fill="auto"/>
            <w:vAlign w:val="bottom"/>
          </w:tcPr>
          <w:p w14:paraId="2753EFF9"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Актюбинская</w:t>
            </w:r>
          </w:p>
        </w:tc>
        <w:tc>
          <w:tcPr>
            <w:tcW w:w="1245" w:type="dxa"/>
            <w:tcBorders>
              <w:left w:val="single" w:sz="4" w:space="0" w:color="000000"/>
              <w:bottom w:val="single" w:sz="4" w:space="0" w:color="000000"/>
            </w:tcBorders>
            <w:shd w:val="clear" w:color="auto" w:fill="auto"/>
            <w:vAlign w:val="bottom"/>
          </w:tcPr>
          <w:p w14:paraId="5A29E757"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45" w:type="dxa"/>
            <w:tcBorders>
              <w:left w:val="single" w:sz="4" w:space="0" w:color="000000"/>
              <w:bottom w:val="single" w:sz="4" w:space="0" w:color="000000"/>
            </w:tcBorders>
            <w:shd w:val="clear" w:color="auto" w:fill="auto"/>
            <w:vAlign w:val="bottom"/>
          </w:tcPr>
          <w:p w14:paraId="149CE42D"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61EA5794"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762EC2AC"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7AEF2EA0"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44DCB0ED" w14:textId="77777777" w:rsidR="00F674A4" w:rsidRPr="00F0736F" w:rsidRDefault="00F674A4" w:rsidP="00F678C2">
            <w:pPr>
              <w:pStyle w:val="aff3"/>
              <w:jc w:val="center"/>
              <w:rPr>
                <w:rFonts w:ascii="Times New Roman" w:hAnsi="Times New Roman" w:cs="Times New Roman"/>
                <w:color w:val="000000" w:themeColor="text1"/>
                <w:sz w:val="20"/>
                <w:szCs w:val="20"/>
              </w:rPr>
            </w:pPr>
          </w:p>
        </w:tc>
      </w:tr>
      <w:tr w:rsidR="00F0736F" w:rsidRPr="00F0736F" w14:paraId="5CCFDA33" w14:textId="77777777" w:rsidTr="00BE7690">
        <w:trPr>
          <w:trHeight w:val="255"/>
        </w:trPr>
        <w:tc>
          <w:tcPr>
            <w:tcW w:w="2040" w:type="dxa"/>
            <w:tcBorders>
              <w:left w:val="single" w:sz="4" w:space="0" w:color="000000"/>
              <w:bottom w:val="single" w:sz="4" w:space="0" w:color="000000"/>
            </w:tcBorders>
            <w:shd w:val="clear" w:color="auto" w:fill="auto"/>
            <w:vAlign w:val="bottom"/>
          </w:tcPr>
          <w:p w14:paraId="7A2B31D2"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Алматинская </w:t>
            </w:r>
          </w:p>
        </w:tc>
        <w:tc>
          <w:tcPr>
            <w:tcW w:w="1245" w:type="dxa"/>
            <w:tcBorders>
              <w:left w:val="single" w:sz="4" w:space="0" w:color="000000"/>
              <w:bottom w:val="single" w:sz="4" w:space="0" w:color="000000"/>
            </w:tcBorders>
            <w:shd w:val="clear" w:color="auto" w:fill="auto"/>
            <w:vAlign w:val="bottom"/>
          </w:tcPr>
          <w:p w14:paraId="662338C0"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2 465 857,3</w:t>
            </w:r>
          </w:p>
        </w:tc>
        <w:tc>
          <w:tcPr>
            <w:tcW w:w="1245" w:type="dxa"/>
            <w:tcBorders>
              <w:left w:val="single" w:sz="4" w:space="0" w:color="000000"/>
              <w:bottom w:val="single" w:sz="4" w:space="0" w:color="000000"/>
            </w:tcBorders>
            <w:shd w:val="clear" w:color="auto" w:fill="auto"/>
            <w:vAlign w:val="bottom"/>
          </w:tcPr>
          <w:p w14:paraId="70451A81"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2 385 809,3</w:t>
            </w:r>
          </w:p>
        </w:tc>
        <w:tc>
          <w:tcPr>
            <w:tcW w:w="1200" w:type="dxa"/>
            <w:tcBorders>
              <w:left w:val="single" w:sz="8" w:space="0" w:color="000000"/>
              <w:bottom w:val="single" w:sz="8" w:space="0" w:color="000000"/>
            </w:tcBorders>
            <w:shd w:val="clear" w:color="auto" w:fill="auto"/>
            <w:vAlign w:val="bottom"/>
          </w:tcPr>
          <w:p w14:paraId="2616B143"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36 136,0</w:t>
            </w:r>
          </w:p>
        </w:tc>
        <w:tc>
          <w:tcPr>
            <w:tcW w:w="1350" w:type="dxa"/>
            <w:tcBorders>
              <w:left w:val="single" w:sz="8" w:space="0" w:color="000000"/>
              <w:bottom w:val="single" w:sz="8" w:space="0" w:color="000000"/>
            </w:tcBorders>
            <w:shd w:val="clear" w:color="auto" w:fill="auto"/>
            <w:vAlign w:val="bottom"/>
          </w:tcPr>
          <w:p w14:paraId="4F9B2E7B"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43 912,0</w:t>
            </w:r>
          </w:p>
        </w:tc>
        <w:tc>
          <w:tcPr>
            <w:tcW w:w="1140" w:type="dxa"/>
            <w:tcBorders>
              <w:left w:val="single" w:sz="8" w:space="0" w:color="000000"/>
              <w:bottom w:val="single" w:sz="8" w:space="0" w:color="000000"/>
            </w:tcBorders>
            <w:shd w:val="clear" w:color="auto" w:fill="auto"/>
            <w:vAlign w:val="bottom"/>
          </w:tcPr>
          <w:p w14:paraId="0F53080B"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7F683BEC"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65,9</w:t>
            </w:r>
          </w:p>
        </w:tc>
      </w:tr>
      <w:tr w:rsidR="00F0736F" w:rsidRPr="00F0736F" w14:paraId="533D3126" w14:textId="77777777" w:rsidTr="00BE7690">
        <w:trPr>
          <w:trHeight w:val="255"/>
        </w:trPr>
        <w:tc>
          <w:tcPr>
            <w:tcW w:w="2040" w:type="dxa"/>
            <w:tcBorders>
              <w:left w:val="single" w:sz="4" w:space="0" w:color="000000"/>
              <w:bottom w:val="single" w:sz="4" w:space="0" w:color="000000"/>
            </w:tcBorders>
            <w:shd w:val="clear" w:color="auto" w:fill="auto"/>
            <w:vAlign w:val="bottom"/>
          </w:tcPr>
          <w:p w14:paraId="2CF2ADF8"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Атырауская</w:t>
            </w:r>
          </w:p>
        </w:tc>
        <w:tc>
          <w:tcPr>
            <w:tcW w:w="1245" w:type="dxa"/>
            <w:tcBorders>
              <w:left w:val="single" w:sz="4" w:space="0" w:color="000000"/>
              <w:bottom w:val="single" w:sz="4" w:space="0" w:color="000000"/>
            </w:tcBorders>
            <w:shd w:val="clear" w:color="auto" w:fill="auto"/>
            <w:vAlign w:val="bottom"/>
          </w:tcPr>
          <w:p w14:paraId="7508DBF5"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206 628,0</w:t>
            </w:r>
          </w:p>
        </w:tc>
        <w:tc>
          <w:tcPr>
            <w:tcW w:w="1245" w:type="dxa"/>
            <w:tcBorders>
              <w:left w:val="single" w:sz="4" w:space="0" w:color="000000"/>
              <w:bottom w:val="single" w:sz="4" w:space="0" w:color="000000"/>
            </w:tcBorders>
            <w:shd w:val="clear" w:color="auto" w:fill="auto"/>
            <w:vAlign w:val="bottom"/>
          </w:tcPr>
          <w:p w14:paraId="6FEB302D"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2CA4170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206 628,0</w:t>
            </w:r>
          </w:p>
        </w:tc>
        <w:tc>
          <w:tcPr>
            <w:tcW w:w="1350" w:type="dxa"/>
            <w:tcBorders>
              <w:left w:val="single" w:sz="8" w:space="0" w:color="000000"/>
              <w:bottom w:val="single" w:sz="8" w:space="0" w:color="000000"/>
            </w:tcBorders>
            <w:shd w:val="clear" w:color="auto" w:fill="auto"/>
            <w:vAlign w:val="bottom"/>
          </w:tcPr>
          <w:p w14:paraId="2E141194"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52F330C8"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56A35693"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w:t>
            </w:r>
          </w:p>
        </w:tc>
      </w:tr>
      <w:tr w:rsidR="00F0736F" w:rsidRPr="00F0736F" w14:paraId="7DB8E481" w14:textId="77777777" w:rsidTr="00BE7690">
        <w:trPr>
          <w:trHeight w:val="255"/>
        </w:trPr>
        <w:tc>
          <w:tcPr>
            <w:tcW w:w="2040" w:type="dxa"/>
            <w:tcBorders>
              <w:left w:val="single" w:sz="4" w:space="0" w:color="000000"/>
              <w:bottom w:val="single" w:sz="4" w:space="0" w:color="000000"/>
            </w:tcBorders>
            <w:shd w:val="clear" w:color="auto" w:fill="auto"/>
            <w:vAlign w:val="bottom"/>
          </w:tcPr>
          <w:p w14:paraId="6D936049"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ЗКО</w:t>
            </w:r>
          </w:p>
        </w:tc>
        <w:tc>
          <w:tcPr>
            <w:tcW w:w="1245" w:type="dxa"/>
            <w:tcBorders>
              <w:left w:val="single" w:sz="4" w:space="0" w:color="000000"/>
              <w:bottom w:val="single" w:sz="4" w:space="0" w:color="000000"/>
            </w:tcBorders>
            <w:shd w:val="clear" w:color="auto" w:fill="auto"/>
            <w:vAlign w:val="bottom"/>
          </w:tcPr>
          <w:p w14:paraId="49E1B66C"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45" w:type="dxa"/>
            <w:tcBorders>
              <w:left w:val="single" w:sz="4" w:space="0" w:color="000000"/>
              <w:bottom w:val="single" w:sz="4" w:space="0" w:color="000000"/>
            </w:tcBorders>
            <w:shd w:val="clear" w:color="auto" w:fill="auto"/>
            <w:vAlign w:val="bottom"/>
          </w:tcPr>
          <w:p w14:paraId="73202845"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33B5D382"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617FE031"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01C899F6"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07C723E6" w14:textId="77777777" w:rsidR="00F674A4" w:rsidRPr="00F0736F" w:rsidRDefault="00F674A4" w:rsidP="00F678C2">
            <w:pPr>
              <w:pStyle w:val="aff3"/>
              <w:jc w:val="center"/>
              <w:rPr>
                <w:rFonts w:ascii="Times New Roman" w:hAnsi="Times New Roman" w:cs="Times New Roman"/>
                <w:color w:val="000000" w:themeColor="text1"/>
                <w:sz w:val="20"/>
                <w:szCs w:val="20"/>
              </w:rPr>
            </w:pPr>
          </w:p>
        </w:tc>
      </w:tr>
      <w:tr w:rsidR="00F0736F" w:rsidRPr="00F0736F" w14:paraId="41356CD0" w14:textId="77777777" w:rsidTr="00BE7690">
        <w:trPr>
          <w:trHeight w:val="255"/>
        </w:trPr>
        <w:tc>
          <w:tcPr>
            <w:tcW w:w="2040" w:type="dxa"/>
            <w:tcBorders>
              <w:left w:val="single" w:sz="4" w:space="0" w:color="000000"/>
              <w:bottom w:val="single" w:sz="4" w:space="0" w:color="000000"/>
            </w:tcBorders>
            <w:shd w:val="clear" w:color="auto" w:fill="auto"/>
            <w:vAlign w:val="bottom"/>
          </w:tcPr>
          <w:p w14:paraId="3923114E"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Жамбылская</w:t>
            </w:r>
          </w:p>
        </w:tc>
        <w:tc>
          <w:tcPr>
            <w:tcW w:w="1245" w:type="dxa"/>
            <w:tcBorders>
              <w:left w:val="single" w:sz="4" w:space="0" w:color="000000"/>
              <w:bottom w:val="single" w:sz="4" w:space="0" w:color="000000"/>
            </w:tcBorders>
            <w:shd w:val="clear" w:color="auto" w:fill="auto"/>
            <w:vAlign w:val="bottom"/>
          </w:tcPr>
          <w:p w14:paraId="115BAFFC"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407 656,4</w:t>
            </w:r>
          </w:p>
        </w:tc>
        <w:tc>
          <w:tcPr>
            <w:tcW w:w="1245" w:type="dxa"/>
            <w:tcBorders>
              <w:left w:val="single" w:sz="4" w:space="0" w:color="000000"/>
              <w:bottom w:val="single" w:sz="4" w:space="0" w:color="000000"/>
            </w:tcBorders>
            <w:shd w:val="clear" w:color="auto" w:fill="auto"/>
            <w:vAlign w:val="bottom"/>
          </w:tcPr>
          <w:p w14:paraId="057B1770"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58 325,0</w:t>
            </w:r>
          </w:p>
        </w:tc>
        <w:tc>
          <w:tcPr>
            <w:tcW w:w="1200" w:type="dxa"/>
            <w:tcBorders>
              <w:left w:val="single" w:sz="8" w:space="0" w:color="000000"/>
              <w:bottom w:val="single" w:sz="8" w:space="0" w:color="000000"/>
            </w:tcBorders>
            <w:shd w:val="clear" w:color="auto" w:fill="auto"/>
            <w:vAlign w:val="bottom"/>
          </w:tcPr>
          <w:p w14:paraId="5E3EE2B3"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189 562,3</w:t>
            </w:r>
          </w:p>
        </w:tc>
        <w:tc>
          <w:tcPr>
            <w:tcW w:w="1350" w:type="dxa"/>
            <w:tcBorders>
              <w:left w:val="single" w:sz="8" w:space="0" w:color="000000"/>
              <w:bottom w:val="single" w:sz="8" w:space="0" w:color="000000"/>
            </w:tcBorders>
            <w:shd w:val="clear" w:color="auto" w:fill="auto"/>
            <w:vAlign w:val="bottom"/>
          </w:tcPr>
          <w:p w14:paraId="2D8BE404"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159 769,1</w:t>
            </w:r>
          </w:p>
        </w:tc>
        <w:tc>
          <w:tcPr>
            <w:tcW w:w="1140" w:type="dxa"/>
            <w:tcBorders>
              <w:left w:val="single" w:sz="8" w:space="0" w:color="000000"/>
              <w:bottom w:val="single" w:sz="8" w:space="0" w:color="000000"/>
            </w:tcBorders>
            <w:shd w:val="clear" w:color="auto" w:fill="auto"/>
            <w:vAlign w:val="bottom"/>
          </w:tcPr>
          <w:p w14:paraId="6AB73203"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11067EA6"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17,0</w:t>
            </w:r>
          </w:p>
        </w:tc>
      </w:tr>
      <w:tr w:rsidR="00F0736F" w:rsidRPr="00F0736F" w14:paraId="12594C0F" w14:textId="77777777" w:rsidTr="00BE7690">
        <w:trPr>
          <w:trHeight w:val="255"/>
        </w:trPr>
        <w:tc>
          <w:tcPr>
            <w:tcW w:w="2040" w:type="dxa"/>
            <w:tcBorders>
              <w:left w:val="single" w:sz="4" w:space="0" w:color="000000"/>
              <w:bottom w:val="single" w:sz="4" w:space="0" w:color="000000"/>
            </w:tcBorders>
            <w:shd w:val="clear" w:color="auto" w:fill="auto"/>
            <w:vAlign w:val="bottom"/>
          </w:tcPr>
          <w:p w14:paraId="399C3E7B"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Карагандинская</w:t>
            </w:r>
          </w:p>
        </w:tc>
        <w:tc>
          <w:tcPr>
            <w:tcW w:w="1245" w:type="dxa"/>
            <w:tcBorders>
              <w:left w:val="single" w:sz="4" w:space="0" w:color="000000"/>
              <w:bottom w:val="single" w:sz="4" w:space="0" w:color="000000"/>
            </w:tcBorders>
            <w:shd w:val="clear" w:color="auto" w:fill="auto"/>
            <w:vAlign w:val="bottom"/>
          </w:tcPr>
          <w:p w14:paraId="3A15C322"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177 547,1</w:t>
            </w:r>
          </w:p>
        </w:tc>
        <w:tc>
          <w:tcPr>
            <w:tcW w:w="1245" w:type="dxa"/>
            <w:tcBorders>
              <w:left w:val="single" w:sz="4" w:space="0" w:color="000000"/>
              <w:bottom w:val="single" w:sz="4" w:space="0" w:color="000000"/>
            </w:tcBorders>
            <w:shd w:val="clear" w:color="auto" w:fill="auto"/>
            <w:vAlign w:val="bottom"/>
          </w:tcPr>
          <w:p w14:paraId="6FEBD002"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4 263,0</w:t>
            </w:r>
          </w:p>
        </w:tc>
        <w:tc>
          <w:tcPr>
            <w:tcW w:w="1200" w:type="dxa"/>
            <w:tcBorders>
              <w:left w:val="single" w:sz="8" w:space="0" w:color="000000"/>
              <w:bottom w:val="single" w:sz="8" w:space="0" w:color="000000"/>
            </w:tcBorders>
            <w:shd w:val="clear" w:color="auto" w:fill="auto"/>
            <w:vAlign w:val="bottom"/>
          </w:tcPr>
          <w:p w14:paraId="4497C2B4"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0D15557A"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170 320,1</w:t>
            </w:r>
          </w:p>
        </w:tc>
        <w:tc>
          <w:tcPr>
            <w:tcW w:w="1140" w:type="dxa"/>
            <w:tcBorders>
              <w:left w:val="single" w:sz="8" w:space="0" w:color="000000"/>
              <w:bottom w:val="single" w:sz="8" w:space="0" w:color="000000"/>
            </w:tcBorders>
            <w:shd w:val="clear" w:color="auto" w:fill="auto"/>
            <w:vAlign w:val="bottom"/>
          </w:tcPr>
          <w:p w14:paraId="067CD3E2"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2 964,0</w:t>
            </w:r>
          </w:p>
        </w:tc>
        <w:tc>
          <w:tcPr>
            <w:tcW w:w="1419" w:type="dxa"/>
            <w:tcBorders>
              <w:left w:val="single" w:sz="8" w:space="0" w:color="000000"/>
              <w:bottom w:val="single" w:sz="8" w:space="0" w:color="000000"/>
              <w:right w:val="single" w:sz="8" w:space="0" w:color="000000"/>
            </w:tcBorders>
            <w:shd w:val="clear" w:color="auto" w:fill="auto"/>
            <w:vAlign w:val="bottom"/>
          </w:tcPr>
          <w:p w14:paraId="7DD93F2B"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w:t>
            </w:r>
          </w:p>
        </w:tc>
      </w:tr>
      <w:tr w:rsidR="00F0736F" w:rsidRPr="00F0736F" w14:paraId="55D0789F" w14:textId="77777777" w:rsidTr="00BE7690">
        <w:trPr>
          <w:trHeight w:val="255"/>
        </w:trPr>
        <w:tc>
          <w:tcPr>
            <w:tcW w:w="2040" w:type="dxa"/>
            <w:tcBorders>
              <w:left w:val="single" w:sz="4" w:space="0" w:color="000000"/>
              <w:bottom w:val="single" w:sz="4" w:space="0" w:color="000000"/>
            </w:tcBorders>
            <w:shd w:val="clear" w:color="auto" w:fill="auto"/>
            <w:vAlign w:val="bottom"/>
          </w:tcPr>
          <w:p w14:paraId="06C7A39C"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Костанайская</w:t>
            </w:r>
          </w:p>
        </w:tc>
        <w:tc>
          <w:tcPr>
            <w:tcW w:w="1245" w:type="dxa"/>
            <w:tcBorders>
              <w:left w:val="single" w:sz="4" w:space="0" w:color="000000"/>
              <w:bottom w:val="single" w:sz="4" w:space="0" w:color="000000"/>
            </w:tcBorders>
            <w:shd w:val="clear" w:color="auto" w:fill="auto"/>
            <w:vAlign w:val="bottom"/>
          </w:tcPr>
          <w:p w14:paraId="33DC4814"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45" w:type="dxa"/>
            <w:tcBorders>
              <w:left w:val="single" w:sz="4" w:space="0" w:color="000000"/>
              <w:bottom w:val="single" w:sz="4" w:space="0" w:color="000000"/>
            </w:tcBorders>
            <w:shd w:val="clear" w:color="auto" w:fill="auto"/>
            <w:vAlign w:val="bottom"/>
          </w:tcPr>
          <w:p w14:paraId="24C5E7C8"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5759A631"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25498B08"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11677498" w14:textId="77777777" w:rsidR="00F674A4" w:rsidRPr="00F0736F" w:rsidRDefault="00F674A4" w:rsidP="00F678C2">
            <w:pPr>
              <w:pStyle w:val="aff3"/>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48F0B805" w14:textId="77777777" w:rsidR="00F674A4" w:rsidRPr="00F0736F" w:rsidRDefault="00F674A4" w:rsidP="00F678C2">
            <w:pPr>
              <w:pStyle w:val="aff3"/>
              <w:jc w:val="center"/>
              <w:rPr>
                <w:rFonts w:ascii="Times New Roman" w:hAnsi="Times New Roman" w:cs="Times New Roman"/>
                <w:color w:val="000000" w:themeColor="text1"/>
                <w:sz w:val="20"/>
                <w:szCs w:val="20"/>
              </w:rPr>
            </w:pPr>
          </w:p>
        </w:tc>
      </w:tr>
      <w:tr w:rsidR="00F0736F" w:rsidRPr="00F0736F" w14:paraId="7B2F7A46" w14:textId="77777777" w:rsidTr="00BE7690">
        <w:trPr>
          <w:trHeight w:val="255"/>
        </w:trPr>
        <w:tc>
          <w:tcPr>
            <w:tcW w:w="2040" w:type="dxa"/>
            <w:tcBorders>
              <w:left w:val="single" w:sz="4" w:space="0" w:color="000000"/>
              <w:bottom w:val="single" w:sz="4" w:space="0" w:color="000000"/>
            </w:tcBorders>
            <w:shd w:val="clear" w:color="auto" w:fill="auto"/>
            <w:vAlign w:val="bottom"/>
          </w:tcPr>
          <w:p w14:paraId="39B05FAD"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Кызылординская</w:t>
            </w:r>
          </w:p>
        </w:tc>
        <w:tc>
          <w:tcPr>
            <w:tcW w:w="1245" w:type="dxa"/>
            <w:tcBorders>
              <w:left w:val="single" w:sz="4" w:space="0" w:color="000000"/>
              <w:bottom w:val="single" w:sz="4" w:space="0" w:color="000000"/>
            </w:tcBorders>
            <w:shd w:val="clear" w:color="auto" w:fill="auto"/>
            <w:vAlign w:val="bottom"/>
          </w:tcPr>
          <w:p w14:paraId="3E53499D"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3 054,2</w:t>
            </w:r>
          </w:p>
        </w:tc>
        <w:tc>
          <w:tcPr>
            <w:tcW w:w="1245" w:type="dxa"/>
            <w:tcBorders>
              <w:left w:val="single" w:sz="4" w:space="0" w:color="000000"/>
              <w:bottom w:val="single" w:sz="4" w:space="0" w:color="000000"/>
            </w:tcBorders>
            <w:shd w:val="clear" w:color="auto" w:fill="auto"/>
            <w:vAlign w:val="bottom"/>
          </w:tcPr>
          <w:p w14:paraId="1C3BD6BE" w14:textId="77777777" w:rsidR="00F674A4" w:rsidRPr="00F0736F" w:rsidRDefault="00F674A4" w:rsidP="00F678C2">
            <w:pPr>
              <w:pStyle w:val="aff3"/>
              <w:snapToGrid w:val="0"/>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3EA9EE2C" w14:textId="77777777" w:rsidR="00F674A4" w:rsidRPr="00F0736F" w:rsidRDefault="00F674A4" w:rsidP="00F678C2">
            <w:pPr>
              <w:pStyle w:val="aff3"/>
              <w:snapToGrid w:val="0"/>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1822DBD6"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3 054,2</w:t>
            </w:r>
          </w:p>
        </w:tc>
        <w:tc>
          <w:tcPr>
            <w:tcW w:w="1140" w:type="dxa"/>
            <w:tcBorders>
              <w:left w:val="single" w:sz="8" w:space="0" w:color="000000"/>
              <w:bottom w:val="single" w:sz="8" w:space="0" w:color="000000"/>
            </w:tcBorders>
            <w:shd w:val="clear" w:color="auto" w:fill="auto"/>
            <w:vAlign w:val="bottom"/>
          </w:tcPr>
          <w:p w14:paraId="0C587005" w14:textId="77777777" w:rsidR="00F674A4" w:rsidRPr="00F0736F" w:rsidRDefault="00F674A4" w:rsidP="00F678C2">
            <w:pPr>
              <w:pStyle w:val="aff3"/>
              <w:snapToGrid w:val="0"/>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37CE2A09"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0,2</w:t>
            </w:r>
          </w:p>
        </w:tc>
      </w:tr>
      <w:tr w:rsidR="00F0736F" w:rsidRPr="00F0736F" w14:paraId="18909B1D" w14:textId="77777777" w:rsidTr="00BE7690">
        <w:trPr>
          <w:trHeight w:val="255"/>
        </w:trPr>
        <w:tc>
          <w:tcPr>
            <w:tcW w:w="2040" w:type="dxa"/>
            <w:tcBorders>
              <w:left w:val="single" w:sz="4" w:space="0" w:color="000000"/>
              <w:bottom w:val="single" w:sz="4" w:space="0" w:color="000000"/>
            </w:tcBorders>
            <w:shd w:val="clear" w:color="auto" w:fill="auto"/>
            <w:vAlign w:val="bottom"/>
          </w:tcPr>
          <w:p w14:paraId="6772DBEB"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Мангистауская </w:t>
            </w:r>
          </w:p>
        </w:tc>
        <w:tc>
          <w:tcPr>
            <w:tcW w:w="1245" w:type="dxa"/>
            <w:tcBorders>
              <w:left w:val="single" w:sz="4" w:space="0" w:color="000000"/>
              <w:bottom w:val="single" w:sz="4" w:space="0" w:color="000000"/>
            </w:tcBorders>
            <w:shd w:val="clear" w:color="auto" w:fill="auto"/>
            <w:vAlign w:val="bottom"/>
          </w:tcPr>
          <w:p w14:paraId="3C6BB664"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39 727,5</w:t>
            </w:r>
          </w:p>
        </w:tc>
        <w:tc>
          <w:tcPr>
            <w:tcW w:w="1245" w:type="dxa"/>
            <w:tcBorders>
              <w:left w:val="single" w:sz="4" w:space="0" w:color="000000"/>
              <w:bottom w:val="single" w:sz="4" w:space="0" w:color="000000"/>
            </w:tcBorders>
            <w:shd w:val="clear" w:color="auto" w:fill="auto"/>
            <w:vAlign w:val="bottom"/>
          </w:tcPr>
          <w:p w14:paraId="0B40E303"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5351A4E8"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36 682,1</w:t>
            </w:r>
          </w:p>
        </w:tc>
        <w:tc>
          <w:tcPr>
            <w:tcW w:w="1350" w:type="dxa"/>
            <w:tcBorders>
              <w:left w:val="single" w:sz="8" w:space="0" w:color="000000"/>
              <w:bottom w:val="single" w:sz="8" w:space="0" w:color="000000"/>
            </w:tcBorders>
            <w:shd w:val="clear" w:color="auto" w:fill="auto"/>
            <w:vAlign w:val="bottom"/>
          </w:tcPr>
          <w:p w14:paraId="7E3048AC"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3 045,4</w:t>
            </w:r>
          </w:p>
        </w:tc>
        <w:tc>
          <w:tcPr>
            <w:tcW w:w="1140" w:type="dxa"/>
            <w:tcBorders>
              <w:left w:val="single" w:sz="8" w:space="0" w:color="000000"/>
              <w:bottom w:val="single" w:sz="8" w:space="0" w:color="000000"/>
            </w:tcBorders>
            <w:shd w:val="clear" w:color="auto" w:fill="auto"/>
            <w:vAlign w:val="bottom"/>
          </w:tcPr>
          <w:p w14:paraId="1D60DA02"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27984B61"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0,8</w:t>
            </w:r>
          </w:p>
        </w:tc>
      </w:tr>
      <w:tr w:rsidR="00F0736F" w:rsidRPr="00F0736F" w14:paraId="54F617CE" w14:textId="77777777" w:rsidTr="00BE7690">
        <w:trPr>
          <w:trHeight w:val="255"/>
        </w:trPr>
        <w:tc>
          <w:tcPr>
            <w:tcW w:w="2040" w:type="dxa"/>
            <w:tcBorders>
              <w:left w:val="single" w:sz="4" w:space="0" w:color="000000"/>
              <w:bottom w:val="single" w:sz="4" w:space="0" w:color="000000"/>
            </w:tcBorders>
            <w:shd w:val="clear" w:color="auto" w:fill="auto"/>
            <w:vAlign w:val="bottom"/>
          </w:tcPr>
          <w:p w14:paraId="7E9B56F6"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Павлодарская</w:t>
            </w:r>
          </w:p>
        </w:tc>
        <w:tc>
          <w:tcPr>
            <w:tcW w:w="1245" w:type="dxa"/>
            <w:tcBorders>
              <w:left w:val="single" w:sz="4" w:space="0" w:color="000000"/>
              <w:bottom w:val="single" w:sz="4" w:space="0" w:color="000000"/>
            </w:tcBorders>
            <w:shd w:val="clear" w:color="auto" w:fill="auto"/>
            <w:vAlign w:val="bottom"/>
          </w:tcPr>
          <w:p w14:paraId="28641ABF"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2 633,3</w:t>
            </w:r>
          </w:p>
        </w:tc>
        <w:tc>
          <w:tcPr>
            <w:tcW w:w="1245" w:type="dxa"/>
            <w:tcBorders>
              <w:left w:val="single" w:sz="4" w:space="0" w:color="000000"/>
              <w:bottom w:val="single" w:sz="4" w:space="0" w:color="000000"/>
            </w:tcBorders>
            <w:shd w:val="clear" w:color="auto" w:fill="auto"/>
            <w:vAlign w:val="bottom"/>
          </w:tcPr>
          <w:p w14:paraId="2362E323"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23B06FB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2 624,5</w:t>
            </w:r>
          </w:p>
        </w:tc>
        <w:tc>
          <w:tcPr>
            <w:tcW w:w="1350" w:type="dxa"/>
            <w:tcBorders>
              <w:left w:val="single" w:sz="8" w:space="0" w:color="000000"/>
              <w:bottom w:val="single" w:sz="8" w:space="0" w:color="000000"/>
            </w:tcBorders>
            <w:shd w:val="clear" w:color="auto" w:fill="auto"/>
            <w:vAlign w:val="bottom"/>
          </w:tcPr>
          <w:p w14:paraId="42BA6339"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8,8</w:t>
            </w:r>
          </w:p>
        </w:tc>
        <w:tc>
          <w:tcPr>
            <w:tcW w:w="1140" w:type="dxa"/>
            <w:tcBorders>
              <w:left w:val="single" w:sz="8" w:space="0" w:color="000000"/>
              <w:bottom w:val="single" w:sz="8" w:space="0" w:color="000000"/>
            </w:tcBorders>
            <w:shd w:val="clear" w:color="auto" w:fill="auto"/>
            <w:vAlign w:val="bottom"/>
          </w:tcPr>
          <w:p w14:paraId="037D4DD7"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791FD332"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0,0</w:t>
            </w:r>
          </w:p>
        </w:tc>
      </w:tr>
      <w:tr w:rsidR="00F0736F" w:rsidRPr="00F0736F" w14:paraId="594AFACB" w14:textId="77777777" w:rsidTr="00BE7690">
        <w:trPr>
          <w:trHeight w:val="255"/>
        </w:trPr>
        <w:tc>
          <w:tcPr>
            <w:tcW w:w="2040" w:type="dxa"/>
            <w:tcBorders>
              <w:left w:val="single" w:sz="4" w:space="0" w:color="000000"/>
              <w:bottom w:val="single" w:sz="4" w:space="0" w:color="000000"/>
            </w:tcBorders>
            <w:shd w:val="clear" w:color="auto" w:fill="auto"/>
            <w:vAlign w:val="bottom"/>
          </w:tcPr>
          <w:p w14:paraId="7FFC1060"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СКО</w:t>
            </w:r>
          </w:p>
        </w:tc>
        <w:tc>
          <w:tcPr>
            <w:tcW w:w="1245" w:type="dxa"/>
            <w:tcBorders>
              <w:left w:val="single" w:sz="4" w:space="0" w:color="000000"/>
              <w:bottom w:val="single" w:sz="4" w:space="0" w:color="000000"/>
            </w:tcBorders>
            <w:shd w:val="clear" w:color="auto" w:fill="auto"/>
            <w:vAlign w:val="bottom"/>
          </w:tcPr>
          <w:p w14:paraId="040D2B37"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21 549,8</w:t>
            </w:r>
          </w:p>
        </w:tc>
        <w:tc>
          <w:tcPr>
            <w:tcW w:w="1245" w:type="dxa"/>
            <w:tcBorders>
              <w:left w:val="single" w:sz="4" w:space="0" w:color="000000"/>
              <w:bottom w:val="single" w:sz="4" w:space="0" w:color="000000"/>
            </w:tcBorders>
            <w:shd w:val="clear" w:color="auto" w:fill="auto"/>
            <w:vAlign w:val="bottom"/>
          </w:tcPr>
          <w:p w14:paraId="083F85AC"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16 827,0</w:t>
            </w:r>
          </w:p>
        </w:tc>
        <w:tc>
          <w:tcPr>
            <w:tcW w:w="1200" w:type="dxa"/>
            <w:tcBorders>
              <w:left w:val="single" w:sz="8" w:space="0" w:color="000000"/>
              <w:bottom w:val="single" w:sz="8" w:space="0" w:color="000000"/>
            </w:tcBorders>
            <w:shd w:val="clear" w:color="auto" w:fill="auto"/>
            <w:vAlign w:val="bottom"/>
          </w:tcPr>
          <w:p w14:paraId="07F7BCCD"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4 722,8</w:t>
            </w:r>
          </w:p>
        </w:tc>
        <w:tc>
          <w:tcPr>
            <w:tcW w:w="1350" w:type="dxa"/>
            <w:tcBorders>
              <w:left w:val="single" w:sz="8" w:space="0" w:color="000000"/>
              <w:bottom w:val="single" w:sz="8" w:space="0" w:color="000000"/>
            </w:tcBorders>
            <w:shd w:val="clear" w:color="auto" w:fill="auto"/>
            <w:vAlign w:val="bottom"/>
          </w:tcPr>
          <w:p w14:paraId="4612C97B"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59C858B0"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75FF2C14"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0,6</w:t>
            </w:r>
          </w:p>
        </w:tc>
      </w:tr>
      <w:tr w:rsidR="00F0736F" w:rsidRPr="00F0736F" w14:paraId="09F9304E" w14:textId="77777777" w:rsidTr="00BE7690">
        <w:trPr>
          <w:trHeight w:val="255"/>
        </w:trPr>
        <w:tc>
          <w:tcPr>
            <w:tcW w:w="2040" w:type="dxa"/>
            <w:tcBorders>
              <w:left w:val="single" w:sz="4" w:space="0" w:color="000000"/>
              <w:bottom w:val="single" w:sz="4" w:space="0" w:color="000000"/>
            </w:tcBorders>
            <w:shd w:val="clear" w:color="auto" w:fill="auto"/>
            <w:vAlign w:val="bottom"/>
          </w:tcPr>
          <w:p w14:paraId="2C841D95"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Туркестанская</w:t>
            </w:r>
          </w:p>
        </w:tc>
        <w:tc>
          <w:tcPr>
            <w:tcW w:w="1245" w:type="dxa"/>
            <w:tcBorders>
              <w:left w:val="single" w:sz="4" w:space="0" w:color="000000"/>
              <w:bottom w:val="single" w:sz="4" w:space="0" w:color="000000"/>
            </w:tcBorders>
            <w:shd w:val="clear" w:color="auto" w:fill="auto"/>
            <w:vAlign w:val="bottom"/>
          </w:tcPr>
          <w:p w14:paraId="636F9CD1"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505 020,2</w:t>
            </w:r>
          </w:p>
        </w:tc>
        <w:tc>
          <w:tcPr>
            <w:tcW w:w="1245" w:type="dxa"/>
            <w:tcBorders>
              <w:left w:val="single" w:sz="4" w:space="0" w:color="000000"/>
              <w:bottom w:val="single" w:sz="4" w:space="0" w:color="000000"/>
            </w:tcBorders>
            <w:shd w:val="clear" w:color="auto" w:fill="auto"/>
            <w:vAlign w:val="bottom"/>
          </w:tcPr>
          <w:p w14:paraId="4BDFE6E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495 565,6</w:t>
            </w:r>
          </w:p>
        </w:tc>
        <w:tc>
          <w:tcPr>
            <w:tcW w:w="1200" w:type="dxa"/>
            <w:tcBorders>
              <w:left w:val="single" w:sz="8" w:space="0" w:color="000000"/>
              <w:bottom w:val="single" w:sz="8" w:space="0" w:color="000000"/>
            </w:tcBorders>
            <w:shd w:val="clear" w:color="auto" w:fill="auto"/>
            <w:vAlign w:val="bottom"/>
          </w:tcPr>
          <w:p w14:paraId="67A9F1C0"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7DAC37AD"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9 454,6</w:t>
            </w:r>
          </w:p>
        </w:tc>
        <w:tc>
          <w:tcPr>
            <w:tcW w:w="1140" w:type="dxa"/>
            <w:tcBorders>
              <w:left w:val="single" w:sz="8" w:space="0" w:color="000000"/>
              <w:bottom w:val="single" w:sz="8" w:space="0" w:color="000000"/>
            </w:tcBorders>
            <w:shd w:val="clear" w:color="auto" w:fill="auto"/>
            <w:vAlign w:val="bottom"/>
          </w:tcPr>
          <w:p w14:paraId="52E0DB63"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174D4267"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96,6</w:t>
            </w:r>
          </w:p>
        </w:tc>
      </w:tr>
      <w:tr w:rsidR="00F0736F" w:rsidRPr="00F0736F" w14:paraId="50B0A615" w14:textId="77777777" w:rsidTr="00BE7690">
        <w:trPr>
          <w:trHeight w:val="255"/>
        </w:trPr>
        <w:tc>
          <w:tcPr>
            <w:tcW w:w="2040" w:type="dxa"/>
            <w:tcBorders>
              <w:left w:val="single" w:sz="4" w:space="0" w:color="000000"/>
              <w:bottom w:val="single" w:sz="4" w:space="0" w:color="000000"/>
            </w:tcBorders>
            <w:shd w:val="clear" w:color="auto" w:fill="auto"/>
            <w:vAlign w:val="bottom"/>
          </w:tcPr>
          <w:p w14:paraId="37BECD5E"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ВКО</w:t>
            </w:r>
          </w:p>
        </w:tc>
        <w:tc>
          <w:tcPr>
            <w:tcW w:w="1245" w:type="dxa"/>
            <w:tcBorders>
              <w:left w:val="single" w:sz="4" w:space="0" w:color="000000"/>
              <w:bottom w:val="single" w:sz="4" w:space="0" w:color="000000"/>
            </w:tcBorders>
            <w:shd w:val="clear" w:color="auto" w:fill="auto"/>
            <w:vAlign w:val="bottom"/>
          </w:tcPr>
          <w:p w14:paraId="2DD96F5C"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6 841 333,6</w:t>
            </w:r>
          </w:p>
        </w:tc>
        <w:tc>
          <w:tcPr>
            <w:tcW w:w="1245" w:type="dxa"/>
            <w:tcBorders>
              <w:left w:val="single" w:sz="4" w:space="0" w:color="000000"/>
              <w:bottom w:val="single" w:sz="4" w:space="0" w:color="000000"/>
            </w:tcBorders>
            <w:shd w:val="clear" w:color="auto" w:fill="auto"/>
            <w:vAlign w:val="bottom"/>
          </w:tcPr>
          <w:p w14:paraId="0991D898"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6 841 333,5</w:t>
            </w:r>
          </w:p>
        </w:tc>
        <w:tc>
          <w:tcPr>
            <w:tcW w:w="1200" w:type="dxa"/>
            <w:tcBorders>
              <w:left w:val="single" w:sz="8" w:space="0" w:color="000000"/>
              <w:bottom w:val="single" w:sz="8" w:space="0" w:color="000000"/>
            </w:tcBorders>
            <w:shd w:val="clear" w:color="auto" w:fill="auto"/>
            <w:vAlign w:val="bottom"/>
          </w:tcPr>
          <w:p w14:paraId="3B2EED3A"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124F91C8"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w:t>
            </w:r>
          </w:p>
        </w:tc>
        <w:tc>
          <w:tcPr>
            <w:tcW w:w="1140" w:type="dxa"/>
            <w:tcBorders>
              <w:left w:val="single" w:sz="8" w:space="0" w:color="000000"/>
              <w:bottom w:val="single" w:sz="8" w:space="0" w:color="000000"/>
            </w:tcBorders>
            <w:shd w:val="clear" w:color="auto" w:fill="auto"/>
            <w:vAlign w:val="bottom"/>
          </w:tcPr>
          <w:p w14:paraId="1198529E"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1BA62A47"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70,6</w:t>
            </w:r>
          </w:p>
        </w:tc>
      </w:tr>
      <w:tr w:rsidR="00F0736F" w:rsidRPr="00F0736F" w14:paraId="1F18B79E" w14:textId="77777777" w:rsidTr="00BE7690">
        <w:trPr>
          <w:trHeight w:val="255"/>
        </w:trPr>
        <w:tc>
          <w:tcPr>
            <w:tcW w:w="2040" w:type="dxa"/>
            <w:tcBorders>
              <w:left w:val="single" w:sz="4" w:space="0" w:color="000000"/>
              <w:bottom w:val="single" w:sz="4" w:space="0" w:color="000000"/>
            </w:tcBorders>
            <w:shd w:val="clear" w:color="auto" w:fill="auto"/>
            <w:vAlign w:val="bottom"/>
          </w:tcPr>
          <w:p w14:paraId="23E047A0"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г.Нур-Султан</w:t>
            </w:r>
          </w:p>
        </w:tc>
        <w:tc>
          <w:tcPr>
            <w:tcW w:w="1245" w:type="dxa"/>
            <w:tcBorders>
              <w:left w:val="single" w:sz="4" w:space="0" w:color="000000"/>
              <w:bottom w:val="single" w:sz="4" w:space="0" w:color="000000"/>
            </w:tcBorders>
            <w:shd w:val="clear" w:color="auto" w:fill="auto"/>
            <w:vAlign w:val="bottom"/>
          </w:tcPr>
          <w:p w14:paraId="6E28905A"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w:t>
            </w:r>
          </w:p>
        </w:tc>
        <w:tc>
          <w:tcPr>
            <w:tcW w:w="1245" w:type="dxa"/>
            <w:tcBorders>
              <w:left w:val="single" w:sz="4" w:space="0" w:color="000000"/>
              <w:bottom w:val="single" w:sz="4" w:space="0" w:color="000000"/>
            </w:tcBorders>
            <w:shd w:val="clear" w:color="auto" w:fill="auto"/>
            <w:vAlign w:val="bottom"/>
          </w:tcPr>
          <w:p w14:paraId="2536B49F"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200" w:type="dxa"/>
            <w:tcBorders>
              <w:left w:val="single" w:sz="8" w:space="0" w:color="000000"/>
              <w:bottom w:val="single" w:sz="8" w:space="0" w:color="000000"/>
            </w:tcBorders>
            <w:shd w:val="clear" w:color="auto" w:fill="auto"/>
            <w:vAlign w:val="bottom"/>
          </w:tcPr>
          <w:p w14:paraId="3EBC0F34"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w:t>
            </w:r>
          </w:p>
        </w:tc>
        <w:tc>
          <w:tcPr>
            <w:tcW w:w="1350" w:type="dxa"/>
            <w:tcBorders>
              <w:left w:val="single" w:sz="8" w:space="0" w:color="000000"/>
              <w:bottom w:val="single" w:sz="8" w:space="0" w:color="000000"/>
            </w:tcBorders>
            <w:shd w:val="clear" w:color="auto" w:fill="auto"/>
            <w:vAlign w:val="bottom"/>
          </w:tcPr>
          <w:p w14:paraId="4FA016C1"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w:t>
            </w:r>
          </w:p>
        </w:tc>
        <w:tc>
          <w:tcPr>
            <w:tcW w:w="1140" w:type="dxa"/>
            <w:tcBorders>
              <w:left w:val="single" w:sz="8" w:space="0" w:color="000000"/>
              <w:bottom w:val="single" w:sz="8" w:space="0" w:color="000000"/>
            </w:tcBorders>
            <w:shd w:val="clear" w:color="auto" w:fill="auto"/>
            <w:vAlign w:val="bottom"/>
          </w:tcPr>
          <w:p w14:paraId="4B95D449"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4DFDDD1E"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0,0</w:t>
            </w:r>
          </w:p>
        </w:tc>
      </w:tr>
      <w:tr w:rsidR="00F0736F" w:rsidRPr="00F0736F" w14:paraId="2CAB1141" w14:textId="77777777" w:rsidTr="00BE7690">
        <w:trPr>
          <w:trHeight w:val="255"/>
        </w:trPr>
        <w:tc>
          <w:tcPr>
            <w:tcW w:w="2040" w:type="dxa"/>
            <w:tcBorders>
              <w:left w:val="single" w:sz="4" w:space="0" w:color="000000"/>
              <w:bottom w:val="single" w:sz="4" w:space="0" w:color="000000"/>
            </w:tcBorders>
            <w:shd w:val="clear" w:color="auto" w:fill="auto"/>
            <w:vAlign w:val="bottom"/>
          </w:tcPr>
          <w:p w14:paraId="1248FB92"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Алматы</w:t>
            </w:r>
          </w:p>
        </w:tc>
        <w:tc>
          <w:tcPr>
            <w:tcW w:w="1245" w:type="dxa"/>
            <w:tcBorders>
              <w:left w:val="single" w:sz="4" w:space="0" w:color="000000"/>
              <w:bottom w:val="single" w:sz="4" w:space="0" w:color="000000"/>
            </w:tcBorders>
            <w:shd w:val="clear" w:color="auto" w:fill="auto"/>
            <w:vAlign w:val="bottom"/>
          </w:tcPr>
          <w:p w14:paraId="14E7DB58"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191 017,4</w:t>
            </w:r>
          </w:p>
        </w:tc>
        <w:tc>
          <w:tcPr>
            <w:tcW w:w="1245" w:type="dxa"/>
            <w:tcBorders>
              <w:left w:val="single" w:sz="4" w:space="0" w:color="000000"/>
              <w:bottom w:val="single" w:sz="4" w:space="0" w:color="000000"/>
            </w:tcBorders>
            <w:shd w:val="clear" w:color="auto" w:fill="auto"/>
            <w:vAlign w:val="bottom"/>
          </w:tcPr>
          <w:p w14:paraId="1DD68780"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191 016,4</w:t>
            </w:r>
          </w:p>
        </w:tc>
        <w:tc>
          <w:tcPr>
            <w:tcW w:w="1200" w:type="dxa"/>
            <w:tcBorders>
              <w:left w:val="single" w:sz="8" w:space="0" w:color="000000"/>
              <w:bottom w:val="single" w:sz="8" w:space="0" w:color="000000"/>
            </w:tcBorders>
            <w:shd w:val="clear" w:color="auto" w:fill="auto"/>
            <w:vAlign w:val="bottom"/>
          </w:tcPr>
          <w:p w14:paraId="4A190CBF"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c>
          <w:tcPr>
            <w:tcW w:w="1350" w:type="dxa"/>
            <w:tcBorders>
              <w:left w:val="single" w:sz="8" w:space="0" w:color="000000"/>
              <w:bottom w:val="single" w:sz="8" w:space="0" w:color="000000"/>
            </w:tcBorders>
            <w:shd w:val="clear" w:color="auto" w:fill="auto"/>
            <w:vAlign w:val="bottom"/>
          </w:tcPr>
          <w:p w14:paraId="3E0ACDA9"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140" w:type="dxa"/>
            <w:tcBorders>
              <w:left w:val="single" w:sz="8" w:space="0" w:color="000000"/>
              <w:bottom w:val="single" w:sz="8" w:space="0" w:color="000000"/>
            </w:tcBorders>
            <w:shd w:val="clear" w:color="auto" w:fill="auto"/>
            <w:vAlign w:val="bottom"/>
          </w:tcPr>
          <w:p w14:paraId="3F8090CE"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419" w:type="dxa"/>
            <w:tcBorders>
              <w:left w:val="single" w:sz="8" w:space="0" w:color="000000"/>
              <w:bottom w:val="single" w:sz="8" w:space="0" w:color="000000"/>
              <w:right w:val="single" w:sz="8" w:space="0" w:color="000000"/>
            </w:tcBorders>
            <w:shd w:val="clear" w:color="auto" w:fill="auto"/>
            <w:vAlign w:val="bottom"/>
          </w:tcPr>
          <w:p w14:paraId="42400275"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5,9</w:t>
            </w:r>
          </w:p>
        </w:tc>
      </w:tr>
      <w:tr w:rsidR="00F0736F" w:rsidRPr="00F0736F" w14:paraId="55C14DE4" w14:textId="77777777" w:rsidTr="00BE7690">
        <w:trPr>
          <w:trHeight w:val="255"/>
        </w:trPr>
        <w:tc>
          <w:tcPr>
            <w:tcW w:w="2040" w:type="dxa"/>
            <w:tcBorders>
              <w:left w:val="single" w:sz="4" w:space="0" w:color="000000"/>
              <w:bottom w:val="single" w:sz="4" w:space="0" w:color="000000"/>
            </w:tcBorders>
            <w:shd w:val="clear" w:color="auto" w:fill="auto"/>
            <w:vAlign w:val="bottom"/>
          </w:tcPr>
          <w:p w14:paraId="39C1C0C8" w14:textId="77777777" w:rsidR="00F674A4" w:rsidRPr="00F0736F" w:rsidRDefault="00F674A4" w:rsidP="00D2630D">
            <w:pPr>
              <w:tabs>
                <w:tab w:val="left" w:pos="709"/>
              </w:tabs>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Шымкент</w:t>
            </w:r>
          </w:p>
        </w:tc>
        <w:tc>
          <w:tcPr>
            <w:tcW w:w="1245" w:type="dxa"/>
            <w:tcBorders>
              <w:left w:val="single" w:sz="4" w:space="0" w:color="000000"/>
              <w:bottom w:val="single" w:sz="4" w:space="0" w:color="000000"/>
            </w:tcBorders>
            <w:shd w:val="clear" w:color="auto" w:fill="auto"/>
            <w:vAlign w:val="bottom"/>
          </w:tcPr>
          <w:p w14:paraId="590D8E2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4 164,4</w:t>
            </w:r>
          </w:p>
        </w:tc>
        <w:tc>
          <w:tcPr>
            <w:tcW w:w="1245" w:type="dxa"/>
            <w:tcBorders>
              <w:left w:val="single" w:sz="4" w:space="0" w:color="000000"/>
              <w:bottom w:val="single" w:sz="4" w:space="0" w:color="000000"/>
            </w:tcBorders>
            <w:shd w:val="clear" w:color="auto" w:fill="auto"/>
            <w:vAlign w:val="bottom"/>
          </w:tcPr>
          <w:p w14:paraId="78132B4E"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519,0</w:t>
            </w:r>
          </w:p>
        </w:tc>
        <w:tc>
          <w:tcPr>
            <w:tcW w:w="1200" w:type="dxa"/>
            <w:tcBorders>
              <w:left w:val="single" w:sz="8" w:space="0" w:color="000000"/>
              <w:bottom w:val="single" w:sz="8" w:space="0" w:color="000000"/>
            </w:tcBorders>
            <w:shd w:val="clear" w:color="auto" w:fill="auto"/>
            <w:vAlign w:val="bottom"/>
          </w:tcPr>
          <w:p w14:paraId="127157EF" w14:textId="77777777" w:rsidR="00F674A4" w:rsidRPr="00F0736F" w:rsidRDefault="00F674A4" w:rsidP="00D2630D">
            <w:pPr>
              <w:pStyle w:val="aff3"/>
              <w:snapToGrid w:val="0"/>
              <w:ind w:firstLine="709"/>
              <w:jc w:val="center"/>
              <w:rPr>
                <w:rFonts w:ascii="Times New Roman" w:hAnsi="Times New Roman" w:cs="Times New Roman"/>
                <w:color w:val="000000" w:themeColor="text1"/>
                <w:sz w:val="20"/>
                <w:szCs w:val="20"/>
              </w:rPr>
            </w:pPr>
          </w:p>
        </w:tc>
        <w:tc>
          <w:tcPr>
            <w:tcW w:w="1350" w:type="dxa"/>
            <w:tcBorders>
              <w:left w:val="single" w:sz="8" w:space="0" w:color="000000"/>
              <w:bottom w:val="single" w:sz="8" w:space="0" w:color="000000"/>
            </w:tcBorders>
            <w:shd w:val="clear" w:color="auto" w:fill="auto"/>
            <w:vAlign w:val="bottom"/>
          </w:tcPr>
          <w:p w14:paraId="21472466"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1 642,3</w:t>
            </w:r>
          </w:p>
        </w:tc>
        <w:tc>
          <w:tcPr>
            <w:tcW w:w="1140" w:type="dxa"/>
            <w:tcBorders>
              <w:left w:val="single" w:sz="8" w:space="0" w:color="000000"/>
              <w:bottom w:val="single" w:sz="8" w:space="0" w:color="000000"/>
            </w:tcBorders>
            <w:shd w:val="clear" w:color="auto" w:fill="auto"/>
            <w:vAlign w:val="bottom"/>
          </w:tcPr>
          <w:p w14:paraId="414C15DA" w14:textId="77777777" w:rsidR="00F674A4" w:rsidRPr="00F0736F" w:rsidRDefault="00F674A4" w:rsidP="00D2630D">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2 003,1</w:t>
            </w:r>
          </w:p>
        </w:tc>
        <w:tc>
          <w:tcPr>
            <w:tcW w:w="1419" w:type="dxa"/>
            <w:tcBorders>
              <w:left w:val="single" w:sz="8" w:space="0" w:color="000000"/>
              <w:bottom w:val="single" w:sz="8" w:space="0" w:color="000000"/>
              <w:right w:val="single" w:sz="8" w:space="0" w:color="000000"/>
            </w:tcBorders>
            <w:shd w:val="clear" w:color="auto" w:fill="auto"/>
            <w:vAlign w:val="bottom"/>
          </w:tcPr>
          <w:p w14:paraId="1EEF19E6" w14:textId="77777777" w:rsidR="00F674A4" w:rsidRPr="00F0736F" w:rsidRDefault="00F674A4" w:rsidP="00F678C2">
            <w:pPr>
              <w:pStyle w:val="aff3"/>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0,6</w:t>
            </w:r>
          </w:p>
        </w:tc>
      </w:tr>
    </w:tbl>
    <w:p w14:paraId="73D60CA6"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i/>
          <w:color w:val="000000" w:themeColor="text1"/>
          <w:sz w:val="20"/>
          <w:szCs w:val="20"/>
        </w:rPr>
        <w:t xml:space="preserve"> </w:t>
      </w:r>
      <w:r w:rsidR="00BA0F59" w:rsidRPr="00F0736F">
        <w:rPr>
          <w:rFonts w:ascii="Times New Roman" w:hAnsi="Times New Roman" w:cs="Times New Roman"/>
          <w:color w:val="000000" w:themeColor="text1"/>
          <w:sz w:val="20"/>
          <w:szCs w:val="20"/>
        </w:rPr>
        <w:t>Д</w:t>
      </w:r>
      <w:r w:rsidRPr="00F0736F">
        <w:rPr>
          <w:rFonts w:ascii="Times New Roman" w:hAnsi="Times New Roman" w:cs="Times New Roman"/>
          <w:color w:val="000000" w:themeColor="text1"/>
          <w:sz w:val="20"/>
          <w:szCs w:val="20"/>
        </w:rPr>
        <w:t>анные с учетом крупных гидроэлектростанций.</w:t>
      </w:r>
    </w:p>
    <w:p w14:paraId="75B040ED" w14:textId="77777777" w:rsidR="00F674A4" w:rsidRPr="00F0736F" w:rsidRDefault="00F674A4" w:rsidP="008727D9">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https://stat.gov.kz </w:t>
      </w:r>
      <w:r w:rsidR="000F2579" w:rsidRPr="00F0736F">
        <w:rPr>
          <w:rFonts w:ascii="Times New Roman" w:eastAsia="Calibri" w:hAnsi="Times New Roman" w:cs="Times New Roman"/>
          <w:i/>
          <w:color w:val="000000" w:themeColor="text1"/>
          <w:sz w:val="20"/>
          <w:szCs w:val="20"/>
        </w:rPr>
        <w:t xml:space="preserve"> Бюллетень «Топливно-энергетический баланс Республики Казахстан»</w:t>
      </w:r>
    </w:p>
    <w:p w14:paraId="05B7B16C" w14:textId="77777777" w:rsidR="00F674A4" w:rsidRPr="00F0736F" w:rsidRDefault="00F674A4" w:rsidP="008727D9">
      <w:pPr>
        <w:ind w:firstLine="709"/>
        <w:jc w:val="both"/>
        <w:rPr>
          <w:rFonts w:ascii="Times New Roman" w:eastAsia="Calibri" w:hAnsi="Times New Roman" w:cs="Times New Roman"/>
          <w:color w:val="000000" w:themeColor="text1"/>
          <w:sz w:val="20"/>
          <w:szCs w:val="20"/>
        </w:rPr>
      </w:pPr>
    </w:p>
    <w:p w14:paraId="731E304F" w14:textId="77777777" w:rsidR="003F2454" w:rsidRPr="00F0736F" w:rsidRDefault="003F2454" w:rsidP="008727D9">
      <w:pPr>
        <w:ind w:firstLine="709"/>
        <w:jc w:val="both"/>
        <w:rPr>
          <w:color w:val="000000" w:themeColor="text1"/>
        </w:rPr>
      </w:pPr>
      <w:r w:rsidRPr="00F0736F">
        <w:rPr>
          <w:rFonts w:ascii="Times New Roman" w:hAnsi="Times New Roman" w:cs="Times New Roman"/>
          <w:color w:val="000000" w:themeColor="text1"/>
        </w:rPr>
        <w:t>Покупка и продажа электроэнергии, производимой из возобновляемых источников энергии (ВИЭ) и поставляемой в электросеть Единой энергетической системы, осуществляется ТОО «Расчетно-финансовый центр по поддержке возобновляемых источников энергии». Центр был создан в соответствии с Законом «О внесении изменений и дополнений в некоторые законодательные акты Республики Казахстан по вопросам поддержки использования возобновляемых источников энергии» 2013 г.</w:t>
      </w:r>
    </w:p>
    <w:p w14:paraId="683029C1" w14:textId="77777777" w:rsidR="003F2454" w:rsidRPr="00F0736F" w:rsidRDefault="003F2454" w:rsidP="008727D9">
      <w:pPr>
        <w:ind w:firstLine="709"/>
        <w:jc w:val="both"/>
        <w:rPr>
          <w:color w:val="000000" w:themeColor="text1"/>
        </w:rPr>
      </w:pPr>
      <w:r w:rsidRPr="00F0736F">
        <w:rPr>
          <w:rFonts w:ascii="Times New Roman" w:hAnsi="Times New Roman" w:cs="Times New Roman"/>
          <w:color w:val="000000" w:themeColor="text1"/>
        </w:rPr>
        <w:t>Механизм фиксированных тарифов на начальном этапе развития ВИЭ позволил быстро запустить рынок ВИЭ и осуществить реализацию следующих видов ВИЭ: ветровая, солнечная, малая гидроэнергетика (станции менее 35 МВт) для производства электрической энергии.</w:t>
      </w:r>
    </w:p>
    <w:p w14:paraId="1ABEB00D" w14:textId="77777777" w:rsidR="003F2454" w:rsidRPr="00F0736F" w:rsidRDefault="003F2454" w:rsidP="008727D9">
      <w:pPr>
        <w:ind w:firstLine="709"/>
        <w:jc w:val="both"/>
        <w:rPr>
          <w:color w:val="000000" w:themeColor="text1"/>
        </w:rPr>
      </w:pPr>
      <w:r w:rsidRPr="00F0736F">
        <w:rPr>
          <w:rFonts w:ascii="Times New Roman" w:hAnsi="Times New Roman" w:cs="Times New Roman"/>
          <w:color w:val="000000" w:themeColor="text1"/>
        </w:rPr>
        <w:t>С 2017 года отбор для реализации проектов ВИЭ проходит по аукционному механизму. Это позволило</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 одной стороны</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сделать прозрачным и понятным процесс отбора проектов и инвесторов, с другой стороны</w:t>
      </w:r>
      <w:r w:rsidR="00BA0F5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сделать ставку на более эффективные технологии и проекты, позволяющие минимизировать влияние на тарифы у конечных потребителей от ввода мощностей ВИЭ.</w:t>
      </w:r>
    </w:p>
    <w:p w14:paraId="20749B85" w14:textId="77777777" w:rsidR="003F2454" w:rsidRPr="00F0736F" w:rsidRDefault="003F2454" w:rsidP="008727D9">
      <w:pPr>
        <w:ind w:firstLine="709"/>
        <w:jc w:val="both"/>
        <w:rPr>
          <w:rFonts w:ascii="Times New Roman" w:eastAsia="Calibri" w:hAnsi="Times New Roman" w:cs="Times New Roman"/>
          <w:color w:val="000000" w:themeColor="text1"/>
          <w:sz w:val="20"/>
          <w:szCs w:val="20"/>
        </w:rPr>
      </w:pPr>
    </w:p>
    <w:p w14:paraId="347F0B05" w14:textId="03DC7603" w:rsidR="00F674A4" w:rsidRPr="00F0736F" w:rsidRDefault="001747BE" w:rsidP="008727D9">
      <w:pPr>
        <w:ind w:firstLine="709"/>
        <w:jc w:val="both"/>
        <w:rPr>
          <w:color w:val="000000" w:themeColor="text1"/>
        </w:rPr>
      </w:pPr>
      <w:r w:rsidRPr="00F0736F">
        <w:rPr>
          <w:noProof/>
          <w:color w:val="000000" w:themeColor="text1"/>
        </w:rPr>
        <w:drawing>
          <wp:anchor distT="0" distB="0" distL="0" distR="0" simplePos="0" relativeHeight="251657728" behindDoc="0" locked="0" layoutInCell="1" allowOverlap="1" wp14:anchorId="0C51F7C7" wp14:editId="560E7647">
            <wp:simplePos x="0" y="0"/>
            <wp:positionH relativeFrom="column">
              <wp:align>left</wp:align>
            </wp:positionH>
            <wp:positionV relativeFrom="paragraph">
              <wp:posOffset>70485</wp:posOffset>
            </wp:positionV>
            <wp:extent cx="6229985" cy="3498215"/>
            <wp:effectExtent l="0" t="0" r="0" b="0"/>
            <wp:wrapSquare wrapText="largest"/>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1" t="-17" r="-11" b="-17"/>
                    <a:stretch>
                      <a:fillRect/>
                    </a:stretch>
                  </pic:blipFill>
                  <pic:spPr bwMode="auto">
                    <a:xfrm>
                      <a:off x="0" y="0"/>
                      <a:ext cx="6229985" cy="34982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674A4" w:rsidRPr="00F0736F">
        <w:rPr>
          <w:rFonts w:ascii="Times New Roman" w:hAnsi="Times New Roman" w:cs="Times New Roman"/>
          <w:color w:val="000000" w:themeColor="text1"/>
        </w:rPr>
        <w:t>Рис.1.4.1. Потребление и потери электроэнергии в Казахстане</w:t>
      </w:r>
    </w:p>
    <w:p w14:paraId="08D68028" w14:textId="4B9694F4" w:rsidR="00F674A4" w:rsidRPr="00F0736F" w:rsidRDefault="00F674A4" w:rsidP="008727D9">
      <w:pPr>
        <w:ind w:firstLine="709"/>
        <w:jc w:val="both"/>
        <w:rPr>
          <w:i/>
          <w:color w:val="000000" w:themeColor="text1"/>
          <w:sz w:val="20"/>
          <w:szCs w:val="20"/>
        </w:rPr>
      </w:pPr>
      <w:r w:rsidRPr="00F0736F">
        <w:rPr>
          <w:rStyle w:val="CharStyle374"/>
          <w:rFonts w:ascii="Times New Roman" w:hAnsi="Times New Roman" w:cs="Times New Roman"/>
          <w:i/>
          <w:color w:val="000000" w:themeColor="text1"/>
          <w:sz w:val="20"/>
          <w:szCs w:val="20"/>
          <w:lang w:val="ru-RU"/>
        </w:rPr>
        <w:t xml:space="preserve">Источник: Национальный энергетический доклад </w:t>
      </w:r>
      <w:r w:rsidRPr="00F0736F">
        <w:rPr>
          <w:rStyle w:val="CharStyle374"/>
          <w:rFonts w:ascii="Times New Roman" w:hAnsi="Times New Roman" w:cs="Times New Roman"/>
          <w:i/>
          <w:color w:val="000000" w:themeColor="text1"/>
          <w:sz w:val="20"/>
          <w:szCs w:val="20"/>
        </w:rPr>
        <w:t>Kazenergy</w:t>
      </w:r>
      <w:r w:rsidRPr="00F0736F">
        <w:rPr>
          <w:rStyle w:val="CharStyle374"/>
          <w:rFonts w:ascii="Times New Roman" w:hAnsi="Times New Roman" w:cs="Times New Roman"/>
          <w:i/>
          <w:color w:val="000000" w:themeColor="text1"/>
          <w:sz w:val="20"/>
          <w:szCs w:val="20"/>
          <w:lang w:val="ru-RU"/>
        </w:rPr>
        <w:t xml:space="preserve"> 2017 г</w:t>
      </w:r>
      <w:r w:rsidR="00BE7690" w:rsidRPr="00F0736F">
        <w:rPr>
          <w:rStyle w:val="CharStyle374"/>
          <w:rFonts w:ascii="Times New Roman" w:hAnsi="Times New Roman" w:cs="Times New Roman"/>
          <w:i/>
          <w:color w:val="000000" w:themeColor="text1"/>
          <w:sz w:val="20"/>
          <w:szCs w:val="20"/>
          <w:lang w:val="ru-RU"/>
        </w:rPr>
        <w:t>.</w:t>
      </w:r>
    </w:p>
    <w:p w14:paraId="27FF40FF" w14:textId="77777777" w:rsidR="00F674A4" w:rsidRPr="00F0736F" w:rsidRDefault="00F674A4" w:rsidP="008727D9">
      <w:pPr>
        <w:ind w:firstLine="709"/>
        <w:jc w:val="both"/>
        <w:rPr>
          <w:rFonts w:ascii="Times New Roman" w:hAnsi="Times New Roman" w:cs="Times New Roman"/>
          <w:color w:val="000000" w:themeColor="text1"/>
        </w:rPr>
      </w:pPr>
    </w:p>
    <w:p w14:paraId="066D2E8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реализацию внесенных в 2017 году изменений и дополнений в Закон РК «О поддержке использования возобновляемых источников энергии» в 2018 году утверждены предельные аукционные цены и график проведения аукционных торгов на 2018 год общей суммарной мощностью 1 Гвт.</w:t>
      </w:r>
    </w:p>
    <w:p w14:paraId="259F0494" w14:textId="651606B6" w:rsidR="00F674A4" w:rsidRPr="00F0736F" w:rsidRDefault="00DD0B62" w:rsidP="008727D9">
      <w:pPr>
        <w:ind w:firstLine="709"/>
        <w:jc w:val="both"/>
        <w:rPr>
          <w:color w:val="000000" w:themeColor="text1"/>
        </w:rPr>
      </w:pPr>
      <w:r w:rsidRPr="00F0736F">
        <w:rPr>
          <w:rFonts w:ascii="Times New Roman" w:hAnsi="Times New Roman" w:cs="Times New Roman"/>
          <w:color w:val="000000" w:themeColor="text1"/>
        </w:rPr>
        <w:t xml:space="preserve"> С</w:t>
      </w:r>
      <w:r w:rsidR="00F674A4" w:rsidRPr="00F0736F">
        <w:rPr>
          <w:rFonts w:ascii="Times New Roman" w:hAnsi="Times New Roman" w:cs="Times New Roman"/>
          <w:color w:val="000000" w:themeColor="text1"/>
        </w:rPr>
        <w:t xml:space="preserve"> учетом целевых индикаторов, максимально допустимых мощностей по зонам Единой электроэнергетической системы (ЕЭС), готовности инфраструктуры, потребности в электроэнергии, а также потенциала ВИЭ был разработан и утвержден (24 февраля 2017 года приказом Министра энергетики №</w:t>
      </w:r>
      <w:r w:rsidR="00BE7690"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rPr>
        <w:t>68) соответствующий План размещения объектов по использованию ВИЭ.</w:t>
      </w:r>
    </w:p>
    <w:p w14:paraId="607F6E31" w14:textId="190C703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целях снижения валютных рисков при реализации проектов ВИЭ принято постановление Правительства РК от 10 мая 2018 года №</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249 «О внесении изменения в постановление Правительства Республики Казахстан от 27 марта 2014 года №</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271 «Об утверждении Правил определения фиксированных тарифов и предельных аукционных цен».</w:t>
      </w:r>
    </w:p>
    <w:p w14:paraId="13B33222" w14:textId="19FE0CCF"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целях улучшения инвестиционного климата и создания благоприятных условий для инвесторов 11 сентября 2018 года утвержден приказ Министра энергетики РК №</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360, в рамках которого усовершенствованы правила организации и проведения аукционных торгов, правила централизованной покупки-продажи электроэнергии ВИЭ и соответствующие типовые договор</w:t>
      </w:r>
      <w:r w:rsidR="00BA0F59" w:rsidRPr="00F0736F">
        <w:rPr>
          <w:rFonts w:ascii="Times New Roman" w:hAnsi="Times New Roman" w:cs="Times New Roman"/>
          <w:color w:val="000000" w:themeColor="text1"/>
        </w:rPr>
        <w:t>ы</w:t>
      </w:r>
      <w:r w:rsidRPr="00F0736F">
        <w:rPr>
          <w:rFonts w:ascii="Times New Roman" w:hAnsi="Times New Roman" w:cs="Times New Roman"/>
          <w:color w:val="000000" w:themeColor="text1"/>
        </w:rPr>
        <w:t>.</w:t>
      </w:r>
    </w:p>
    <w:p w14:paraId="5C96FE25" w14:textId="1700EFD9" w:rsidR="00A465FA" w:rsidRPr="00F0736F" w:rsidRDefault="00A465FA"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Аукционные международные торги 2018 - 2019 годов проведены в электронном формате</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для проектов ВИЭ с</w:t>
      </w:r>
      <w:r w:rsidR="00BA0F59" w:rsidRPr="00F0736F">
        <w:rPr>
          <w:rFonts w:ascii="Times New Roman" w:hAnsi="Times New Roman" w:cs="Times New Roman"/>
          <w:color w:val="000000" w:themeColor="text1"/>
        </w:rPr>
        <w:t>уммарной мощностью 1</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205 </w:t>
      </w:r>
      <w:r w:rsidRPr="00F0736F">
        <w:rPr>
          <w:rFonts w:ascii="Times New Roman" w:hAnsi="Times New Roman" w:cs="Times New Roman"/>
          <w:color w:val="000000" w:themeColor="text1"/>
          <w:lang w:val="kk-KZ"/>
        </w:rPr>
        <w:t>М</w:t>
      </w:r>
      <w:r w:rsidRPr="00F0736F">
        <w:rPr>
          <w:rFonts w:ascii="Times New Roman" w:hAnsi="Times New Roman" w:cs="Times New Roman"/>
          <w:color w:val="000000" w:themeColor="text1"/>
        </w:rPr>
        <w:t>Вт. В торгах приняли участие 138 компаний из 12 стран: Казахстан, Китай, Россия, Турция, Германия, Франция, Болгария, Италия, ОАЭ, Нидерланды, Малайзия, Испания. Участниками аукционных торгов на выставленные 1</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205 МВт был</w:t>
      </w:r>
      <w:r w:rsidR="00F04171" w:rsidRPr="00F0736F">
        <w:rPr>
          <w:rFonts w:ascii="Times New Roman" w:hAnsi="Times New Roman" w:cs="Times New Roman"/>
          <w:color w:val="000000" w:themeColor="text1"/>
        </w:rPr>
        <w:t>и</w:t>
      </w:r>
      <w:r w:rsidRPr="00F0736F">
        <w:rPr>
          <w:rFonts w:ascii="Times New Roman" w:hAnsi="Times New Roman" w:cs="Times New Roman"/>
          <w:color w:val="000000" w:themeColor="text1"/>
        </w:rPr>
        <w:t xml:space="preserve"> предложен</w:t>
      </w:r>
      <w:r w:rsidR="00F04171" w:rsidRPr="00F0736F">
        <w:rPr>
          <w:rFonts w:ascii="Times New Roman" w:hAnsi="Times New Roman" w:cs="Times New Roman"/>
          <w:color w:val="000000" w:themeColor="text1"/>
        </w:rPr>
        <w:t>ы</w:t>
      </w:r>
      <w:r w:rsidRPr="00F0736F">
        <w:rPr>
          <w:rFonts w:ascii="Times New Roman" w:hAnsi="Times New Roman" w:cs="Times New Roman"/>
          <w:color w:val="000000" w:themeColor="text1"/>
        </w:rPr>
        <w:t xml:space="preserve"> заяв</w:t>
      </w:r>
      <w:r w:rsidR="00F04171" w:rsidRPr="00F0736F">
        <w:rPr>
          <w:rFonts w:ascii="Times New Roman" w:hAnsi="Times New Roman" w:cs="Times New Roman"/>
          <w:color w:val="000000" w:themeColor="text1"/>
        </w:rPr>
        <w:t>ки</w:t>
      </w:r>
      <w:r w:rsidRPr="00F0736F">
        <w:rPr>
          <w:rFonts w:ascii="Times New Roman" w:hAnsi="Times New Roman" w:cs="Times New Roman"/>
          <w:color w:val="000000" w:themeColor="text1"/>
        </w:rPr>
        <w:t xml:space="preserve"> на реализацию проектов установленной мощностью 3</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893,52 МВт, что превысило спрос в 3,2 раза.</w:t>
      </w:r>
    </w:p>
    <w:p w14:paraId="27A0A956" w14:textId="0D392694" w:rsidR="00A465FA" w:rsidRPr="00F0736F" w:rsidRDefault="00A465FA" w:rsidP="008727D9">
      <w:pPr>
        <w:ind w:firstLine="709"/>
        <w:jc w:val="both"/>
        <w:rPr>
          <w:color w:val="000000" w:themeColor="text1"/>
        </w:rPr>
      </w:pPr>
      <w:r w:rsidRPr="00F0736F">
        <w:rPr>
          <w:rFonts w:ascii="Times New Roman" w:hAnsi="Times New Roman" w:cs="Times New Roman"/>
          <w:color w:val="000000" w:themeColor="text1"/>
        </w:rPr>
        <w:t>По проектам БиоЭС, ГЭС и ВЭС объем спроса превысил объем предложения примерно в 2 раза, наибольший интерес среди участников аукционных торгов был к реализации проектов СЭС, по которым объем спроса превысил объем предложения в 7 раз (при объеме аукциона СЭС – 290 МВт предложение участников – 2</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023,1 МВт).</w:t>
      </w:r>
    </w:p>
    <w:p w14:paraId="598CFE30" w14:textId="77777777" w:rsidR="00A465FA" w:rsidRPr="00F0736F" w:rsidRDefault="00A465FA"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аукционных торгов 30 компаний подписали контракты с единым закупщиком электроэнергии ВИЭ (РФЦ)  на 15 лет на суммарную мощность 804,3 МВт и 12 компаний на стадии подписания контрактов с РФЦ на суммарную мощность 162,89 МВт.</w:t>
      </w:r>
    </w:p>
    <w:p w14:paraId="11006F40" w14:textId="77777777" w:rsidR="00A465FA" w:rsidRPr="00F0736F" w:rsidRDefault="00A465FA"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Кроме того, необходимо отметить, что произошло снижение тарифов на электроэнергию ветровых электрических станций (ВЭС) в среднем по заявкам участников аукциона на 10,6%, малых гидроэлектростанций (ГЭС) на 14,5%, солнечных электрических станций (СЭС) на 36%. При этом максимальное снижение тарифов по отдельным проектам составили для СЭС – 51%, ВЭС и ГЭС – 23%.</w:t>
      </w:r>
    </w:p>
    <w:p w14:paraId="58B8AEBC" w14:textId="77777777" w:rsidR="00675B39" w:rsidRPr="00F0736F" w:rsidRDefault="00675B39"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Мера поддержки ВИЭ в виде гарантированной покупки электроэнергии ВИЭ единым закупщиком электроэнергии ВИЭ - Расчетно-финансовым центром по 15-летнему договору по аукционному тарифу, а также ежегодная индексация тарифов, позволит продолжить развитие сектора ВИЭ, а также достичь принятые конкретные целевые индикаторы развития ВИЭ, которые предусматривают достижение к 2020 году дол</w:t>
      </w:r>
      <w:r w:rsidR="00E86E40" w:rsidRPr="00F0736F">
        <w:rPr>
          <w:rFonts w:ascii="Times New Roman" w:hAnsi="Times New Roman" w:cs="Times New Roman"/>
          <w:color w:val="000000" w:themeColor="text1"/>
        </w:rPr>
        <w:t>и</w:t>
      </w:r>
      <w:r w:rsidRPr="00F0736F">
        <w:rPr>
          <w:rFonts w:ascii="Times New Roman" w:hAnsi="Times New Roman" w:cs="Times New Roman"/>
          <w:color w:val="000000" w:themeColor="text1"/>
        </w:rPr>
        <w:t xml:space="preserve"> ВИЭ в общем объеме производства электроэнергии 3%, к 2030 году уже 10%. Целевой индикатор до 2020 года планируе</w:t>
      </w:r>
      <w:r w:rsidR="00E86E40" w:rsidRPr="00F0736F">
        <w:rPr>
          <w:rFonts w:ascii="Times New Roman" w:hAnsi="Times New Roman" w:cs="Times New Roman"/>
          <w:color w:val="000000" w:themeColor="text1"/>
        </w:rPr>
        <w:t>тся</w:t>
      </w:r>
      <w:r w:rsidRPr="00F0736F">
        <w:rPr>
          <w:rFonts w:ascii="Times New Roman" w:hAnsi="Times New Roman" w:cs="Times New Roman"/>
          <w:color w:val="000000" w:themeColor="text1"/>
        </w:rPr>
        <w:t xml:space="preserve"> достичь через реализацию проектов инвесторов, которые уже заключили контракты на покупку электрической энергии ВИЭ. </w:t>
      </w:r>
    </w:p>
    <w:p w14:paraId="40143CE3" w14:textId="0CFDFE5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соответствии с Правилами организации и проведения аукционных торгов, включающими квалификационные требования, предъявляемые к участникам аукциона, на официальном сайте Министерства энергетики РК постоянно размещается график проведения</w:t>
      </w:r>
      <w:r w:rsidR="00BE769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аукционных торгов. </w:t>
      </w:r>
    </w:p>
    <w:p w14:paraId="63709B17"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Построение рынка ВИЭ осуществляется путем взаимодействия с Международными финансовыми институтами и организациями, такими как Европейский Банк Реконструкции и Развития (ЕБРР), Азиатский Банк Развития, Международное агентство по возобновляемой энергии IRENA (IRENA), Всемирный Банк, Программа развития ООН, USAID, Американская национальная лаборатория NREL, компании Eni, General Electric, Shell и др.</w:t>
      </w:r>
    </w:p>
    <w:p w14:paraId="71FABE42"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Министерство энергетики РК, совместно с ПРООН, в конце 2017 года разработало интерактивный солнечный атлас</w:t>
      </w:r>
      <w:r w:rsidRPr="00F0736F">
        <w:rPr>
          <w:rFonts w:ascii="Times New Roman" w:hAnsi="Times New Roman" w:cs="Times New Roman"/>
          <w:bCs/>
          <w:iCs/>
          <w:color w:val="000000" w:themeColor="text1"/>
        </w:rPr>
        <w:t xml:space="preserve"> для планирования и внедрения солнечной энергетики в Казахстане</w:t>
      </w:r>
      <w:r w:rsidRPr="00F0736F">
        <w:rPr>
          <w:rFonts w:ascii="Times New Roman" w:hAnsi="Times New Roman" w:cs="Times New Roman"/>
          <w:color w:val="000000" w:themeColor="text1"/>
        </w:rPr>
        <w:t xml:space="preserve">. </w:t>
      </w:r>
      <w:r w:rsidRPr="00F0736F">
        <w:rPr>
          <w:rFonts w:ascii="Times New Roman" w:hAnsi="Times New Roman" w:cs="Times New Roman"/>
          <w:bCs/>
          <w:iCs/>
          <w:color w:val="000000" w:themeColor="text1"/>
        </w:rPr>
        <w:t xml:space="preserve">В 2018 году Атлас солнечных ресурсов РК передан в Расчетно-финансовый центр по ВИЭ. В настоящее время обеспечивается бесплатный, открытый доступ к Атласу посредством интернет-сайта ТОО «РФЦ по ВИЭ» (rfc.kegoc.kz). </w:t>
      </w:r>
      <w:r w:rsidR="006A1316" w:rsidRPr="00F0736F">
        <w:rPr>
          <w:rFonts w:ascii="Times New Roman" w:hAnsi="Times New Roman" w:cs="Times New Roman"/>
          <w:bCs/>
          <w:iCs/>
          <w:color w:val="000000" w:themeColor="text1"/>
        </w:rPr>
        <w:t xml:space="preserve"> </w:t>
      </w:r>
    </w:p>
    <w:p w14:paraId="3B61E25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Помимо активного развития ВИЭ, в числе первоочередных мероприятий Министерства энергетики находится дальнейшее </w:t>
      </w:r>
      <w:r w:rsidRPr="00F0736F">
        <w:rPr>
          <w:rFonts w:ascii="Times New Roman" w:hAnsi="Times New Roman" w:cs="Times New Roman"/>
          <w:b/>
          <w:color w:val="000000" w:themeColor="text1"/>
        </w:rPr>
        <w:t>развитие газовой сферы</w:t>
      </w:r>
      <w:r w:rsidRPr="00F0736F">
        <w:rPr>
          <w:rFonts w:ascii="Times New Roman" w:hAnsi="Times New Roman" w:cs="Times New Roman"/>
          <w:color w:val="000000" w:themeColor="text1"/>
        </w:rPr>
        <w:t>. Прогнозы международных экспертов говорят о высокой перспективности этого вопроса в долгосрочной перспективе. Постепенное замещение угля газовым топливом позволяет снижать не только уровень воздействия на окружающую среду, но снизить выбросы парниковых газов.</w:t>
      </w:r>
    </w:p>
    <w:p w14:paraId="3533E61D" w14:textId="02A0D132"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rPr>
        <w:t>Активно ведется газификация страны</w:t>
      </w:r>
      <w:r w:rsidR="00E86E40" w:rsidRPr="00F0736F">
        <w:rPr>
          <w:rFonts w:ascii="Times New Roman" w:eastAsia="Times New Roman" w:hAnsi="Times New Roman" w:cs="Times New Roman"/>
          <w:color w:val="000000" w:themeColor="text1"/>
        </w:rPr>
        <w:t>. Т</w:t>
      </w:r>
      <w:r w:rsidRPr="00F0736F">
        <w:rPr>
          <w:rFonts w:ascii="Times New Roman" w:eastAsia="Times New Roman" w:hAnsi="Times New Roman" w:cs="Times New Roman"/>
          <w:color w:val="000000" w:themeColor="text1"/>
        </w:rPr>
        <w:t>ак</w:t>
      </w:r>
      <w:r w:rsidR="00E86E40" w:rsidRPr="00F0736F">
        <w:rPr>
          <w:rFonts w:ascii="Times New Roman" w:eastAsia="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по сведениям Министерства энергетики</w:t>
      </w:r>
      <w:r w:rsidR="00BE7690" w:rsidRPr="00F0736F">
        <w:rPr>
          <w:rFonts w:ascii="Times New Roman" w:eastAsia="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по итогам 2018 года уровень газификации населения достиг </w:t>
      </w:r>
      <w:r w:rsidR="00E86E40" w:rsidRPr="00F0736F">
        <w:rPr>
          <w:rFonts w:ascii="Times New Roman" w:eastAsia="Times New Roman" w:hAnsi="Times New Roman" w:cs="Times New Roman"/>
          <w:color w:val="000000" w:themeColor="text1"/>
        </w:rPr>
        <w:t xml:space="preserve">49,68% (около 9 млн. человек), </w:t>
      </w:r>
      <w:r w:rsidRPr="00F0736F">
        <w:rPr>
          <w:rFonts w:ascii="Times New Roman" w:eastAsia="Times New Roman" w:hAnsi="Times New Roman" w:cs="Times New Roman"/>
          <w:color w:val="000000" w:themeColor="text1"/>
        </w:rPr>
        <w:t>до 2020 года планировалось перейти 50% рубеж по уровню газификации. Фактически о</w:t>
      </w:r>
      <w:r w:rsidRPr="00F0736F">
        <w:rPr>
          <w:rFonts w:ascii="Times New Roman" w:hAnsi="Times New Roman" w:cs="Times New Roman"/>
          <w:color w:val="000000" w:themeColor="text1"/>
        </w:rPr>
        <w:t>бщий уровень газификации страны</w:t>
      </w:r>
      <w:r w:rsidR="006A7F2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данны</w:t>
      </w:r>
      <w:r w:rsidR="00E86E40" w:rsidRPr="00F0736F">
        <w:rPr>
          <w:rFonts w:ascii="Times New Roman" w:hAnsi="Times New Roman" w:cs="Times New Roman"/>
          <w:color w:val="000000" w:themeColor="text1"/>
        </w:rPr>
        <w:t>м а</w:t>
      </w:r>
      <w:r w:rsidRPr="00F0736F">
        <w:rPr>
          <w:rFonts w:ascii="Times New Roman" w:hAnsi="Times New Roman" w:cs="Times New Roman"/>
          <w:color w:val="000000" w:themeColor="text1"/>
        </w:rPr>
        <w:t>киматов областей</w:t>
      </w:r>
      <w:r w:rsidR="00E86E4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2019 году составил 51,47% (9,5 млн. человек) от общей численности населения (таблица 1.4.3).</w:t>
      </w:r>
    </w:p>
    <w:p w14:paraId="230FB237" w14:textId="77777777" w:rsidR="00F674A4" w:rsidRPr="00F0736F" w:rsidRDefault="00F674A4" w:rsidP="008727D9">
      <w:pPr>
        <w:ind w:firstLine="709"/>
        <w:jc w:val="both"/>
        <w:rPr>
          <w:rFonts w:ascii="Times New Roman" w:hAnsi="Times New Roman" w:cs="Times New Roman"/>
          <w:color w:val="000000" w:themeColor="text1"/>
        </w:rPr>
      </w:pPr>
    </w:p>
    <w:p w14:paraId="2C34ACFE" w14:textId="77777777" w:rsidR="00F674A4" w:rsidRPr="00F0736F" w:rsidRDefault="00F674A4" w:rsidP="008727D9">
      <w:pPr>
        <w:tabs>
          <w:tab w:val="left" w:pos="709"/>
        </w:tabs>
        <w:ind w:firstLine="709"/>
        <w:jc w:val="both"/>
        <w:rPr>
          <w:color w:val="000000" w:themeColor="text1"/>
        </w:rPr>
      </w:pPr>
      <w:r w:rsidRPr="00F0736F">
        <w:rPr>
          <w:rFonts w:ascii="Times New Roman" w:hAnsi="Times New Roman" w:cs="Times New Roman"/>
          <w:color w:val="000000" w:themeColor="text1"/>
        </w:rPr>
        <w:t>Таблица 1.4.3. Уровень газификации в разрезе регионов</w:t>
      </w:r>
    </w:p>
    <w:p w14:paraId="7BDD4AE9" w14:textId="77777777" w:rsidR="00F674A4" w:rsidRPr="00F0736F" w:rsidRDefault="00F674A4" w:rsidP="008727D9">
      <w:pPr>
        <w:tabs>
          <w:tab w:val="left" w:pos="709"/>
        </w:tabs>
        <w:ind w:firstLine="709"/>
        <w:jc w:val="both"/>
        <w:rPr>
          <w:rFonts w:ascii="Times New Roman" w:hAnsi="Times New Roman" w:cs="Times New Roman"/>
          <w:color w:val="000000" w:themeColor="text1"/>
        </w:rPr>
      </w:pPr>
    </w:p>
    <w:tbl>
      <w:tblPr>
        <w:tblW w:w="0" w:type="auto"/>
        <w:tblInd w:w="-27" w:type="dxa"/>
        <w:tblLayout w:type="fixed"/>
        <w:tblLook w:val="0000" w:firstRow="0" w:lastRow="0" w:firstColumn="0" w:lastColumn="0" w:noHBand="0" w:noVBand="0"/>
      </w:tblPr>
      <w:tblGrid>
        <w:gridCol w:w="2262"/>
        <w:gridCol w:w="1653"/>
        <w:gridCol w:w="1470"/>
        <w:gridCol w:w="1590"/>
        <w:gridCol w:w="1365"/>
        <w:gridCol w:w="1590"/>
      </w:tblGrid>
      <w:tr w:rsidR="00F0736F" w:rsidRPr="00F0736F" w14:paraId="6C35B82D" w14:textId="77777777" w:rsidTr="00E86E40">
        <w:trPr>
          <w:trHeight w:val="375"/>
        </w:trPr>
        <w:tc>
          <w:tcPr>
            <w:tcW w:w="2262" w:type="dxa"/>
            <w:vMerge w:val="restart"/>
            <w:tcBorders>
              <w:top w:val="single" w:sz="4" w:space="0" w:color="000000"/>
              <w:left w:val="single" w:sz="4" w:space="0" w:color="000000"/>
              <w:bottom w:val="single" w:sz="4" w:space="0" w:color="000000"/>
            </w:tcBorders>
            <w:shd w:val="clear" w:color="auto" w:fill="auto"/>
          </w:tcPr>
          <w:p w14:paraId="738FC726"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Всего по областям</w:t>
            </w:r>
          </w:p>
        </w:tc>
        <w:tc>
          <w:tcPr>
            <w:tcW w:w="1653" w:type="dxa"/>
            <w:vMerge w:val="restart"/>
            <w:tcBorders>
              <w:top w:val="single" w:sz="4" w:space="0" w:color="000000"/>
              <w:left w:val="single" w:sz="4" w:space="0" w:color="000000"/>
              <w:bottom w:val="single" w:sz="4" w:space="0" w:color="000000"/>
            </w:tcBorders>
            <w:shd w:val="clear" w:color="auto" w:fill="auto"/>
          </w:tcPr>
          <w:p w14:paraId="6DD7FC6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Общая протяженност</w:t>
            </w:r>
            <w:r w:rsidR="00E86E40" w:rsidRPr="00F0736F">
              <w:rPr>
                <w:rFonts w:ascii="Times New Roman" w:hAnsi="Times New Roman" w:cs="Times New Roman"/>
                <w:color w:val="000000" w:themeColor="text1"/>
                <w:sz w:val="20"/>
                <w:szCs w:val="20"/>
              </w:rPr>
              <w:t>ь</w:t>
            </w:r>
            <w:r w:rsidR="008B1FDA"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 xml:space="preserve">газопроводов </w:t>
            </w:r>
            <w:r w:rsidRPr="00F0736F">
              <w:rPr>
                <w:rFonts w:ascii="Times New Roman" w:hAnsi="Times New Roman" w:cs="Times New Roman"/>
                <w:color w:val="000000" w:themeColor="text1"/>
                <w:sz w:val="20"/>
                <w:szCs w:val="20"/>
              </w:rPr>
              <w:br/>
              <w:t>по области, км</w:t>
            </w:r>
          </w:p>
        </w:tc>
        <w:tc>
          <w:tcPr>
            <w:tcW w:w="1470" w:type="dxa"/>
            <w:vMerge w:val="restart"/>
            <w:tcBorders>
              <w:top w:val="single" w:sz="4" w:space="0" w:color="000000"/>
              <w:left w:val="single" w:sz="4" w:space="0" w:color="000000"/>
              <w:bottom w:val="single" w:sz="4" w:space="0" w:color="000000"/>
            </w:tcBorders>
            <w:shd w:val="clear" w:color="auto" w:fill="auto"/>
          </w:tcPr>
          <w:p w14:paraId="11FB0883"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Числ</w:t>
            </w:r>
            <w:r w:rsidRPr="00F0736F">
              <w:rPr>
                <w:rFonts w:ascii="Times New Roman" w:hAnsi="Times New Roman" w:cs="Times New Roman"/>
                <w:color w:val="000000" w:themeColor="text1"/>
                <w:sz w:val="20"/>
                <w:szCs w:val="20"/>
                <w:lang w:val="kk-KZ"/>
              </w:rPr>
              <w:t>енность</w:t>
            </w:r>
            <w:r w:rsidRPr="00F0736F">
              <w:rPr>
                <w:rFonts w:ascii="Times New Roman" w:hAnsi="Times New Roman" w:cs="Times New Roman"/>
                <w:color w:val="000000" w:themeColor="text1"/>
                <w:sz w:val="20"/>
                <w:szCs w:val="20"/>
              </w:rPr>
              <w:t xml:space="preserve"> населения области</w:t>
            </w:r>
          </w:p>
          <w:p w14:paraId="66823E43" w14:textId="013EACF0"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01.01.2020г</w:t>
            </w:r>
          </w:p>
        </w:tc>
        <w:tc>
          <w:tcPr>
            <w:tcW w:w="1590" w:type="dxa"/>
            <w:vMerge w:val="restart"/>
            <w:tcBorders>
              <w:top w:val="single" w:sz="4" w:space="0" w:color="000000"/>
              <w:left w:val="single" w:sz="4" w:space="0" w:color="000000"/>
              <w:bottom w:val="single" w:sz="4" w:space="0" w:color="000000"/>
            </w:tcBorders>
            <w:shd w:val="clear" w:color="auto" w:fill="auto"/>
          </w:tcPr>
          <w:p w14:paraId="2D9B84C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Числ</w:t>
            </w:r>
            <w:r w:rsidRPr="00F0736F">
              <w:rPr>
                <w:rFonts w:ascii="Times New Roman" w:hAnsi="Times New Roman" w:cs="Times New Roman"/>
                <w:color w:val="000000" w:themeColor="text1"/>
                <w:sz w:val="20"/>
                <w:szCs w:val="20"/>
                <w:lang w:val="kk-KZ"/>
              </w:rPr>
              <w:t>енность</w:t>
            </w:r>
            <w:r w:rsidRPr="00F0736F">
              <w:rPr>
                <w:rFonts w:ascii="Times New Roman" w:hAnsi="Times New Roman" w:cs="Times New Roman"/>
                <w:color w:val="000000" w:themeColor="text1"/>
                <w:sz w:val="20"/>
                <w:szCs w:val="20"/>
              </w:rPr>
              <w:t xml:space="preserve"> газифицированного населения на 01.01.2020г.</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tcPr>
          <w:p w14:paraId="4241AA79" w14:textId="77777777" w:rsidR="00F674A4" w:rsidRPr="00F0736F" w:rsidRDefault="00F674A4" w:rsidP="006A7F28">
            <w:pPr>
              <w:tabs>
                <w:tab w:val="left" w:pos="709"/>
              </w:tabs>
              <w:ind w:hanging="2"/>
              <w:jc w:val="center"/>
              <w:rPr>
                <w:color w:val="000000" w:themeColor="text1"/>
              </w:rPr>
            </w:pPr>
            <w:r w:rsidRPr="00F0736F">
              <w:rPr>
                <w:rFonts w:ascii="Times New Roman" w:hAnsi="Times New Roman" w:cs="Times New Roman"/>
                <w:color w:val="000000" w:themeColor="text1"/>
                <w:sz w:val="20"/>
                <w:szCs w:val="20"/>
              </w:rPr>
              <w:t>Уровень газификации населения области (города), %</w:t>
            </w:r>
          </w:p>
        </w:tc>
      </w:tr>
      <w:tr w:rsidR="00F0736F" w:rsidRPr="00F0736F" w14:paraId="1AFFB6B5" w14:textId="77777777" w:rsidTr="00E86E40">
        <w:trPr>
          <w:trHeight w:val="149"/>
        </w:trPr>
        <w:tc>
          <w:tcPr>
            <w:tcW w:w="2262" w:type="dxa"/>
            <w:vMerge/>
            <w:tcBorders>
              <w:top w:val="single" w:sz="4" w:space="0" w:color="000000"/>
              <w:left w:val="single" w:sz="4" w:space="0" w:color="000000"/>
              <w:bottom w:val="single" w:sz="4" w:space="0" w:color="000000"/>
            </w:tcBorders>
            <w:shd w:val="clear" w:color="auto" w:fill="auto"/>
          </w:tcPr>
          <w:p w14:paraId="63E7767B" w14:textId="77777777" w:rsidR="00F674A4" w:rsidRPr="00F0736F" w:rsidRDefault="00F674A4" w:rsidP="008727D9">
            <w:pPr>
              <w:tabs>
                <w:tab w:val="left" w:pos="709"/>
              </w:tabs>
              <w:snapToGrid w:val="0"/>
              <w:ind w:firstLine="709"/>
              <w:jc w:val="both"/>
              <w:rPr>
                <w:rFonts w:ascii="Times New Roman" w:hAnsi="Times New Roman" w:cs="Times New Roman"/>
                <w:color w:val="000000" w:themeColor="text1"/>
                <w:sz w:val="20"/>
                <w:szCs w:val="20"/>
              </w:rPr>
            </w:pPr>
          </w:p>
        </w:tc>
        <w:tc>
          <w:tcPr>
            <w:tcW w:w="1653" w:type="dxa"/>
            <w:vMerge/>
            <w:tcBorders>
              <w:top w:val="single" w:sz="4" w:space="0" w:color="000000"/>
              <w:left w:val="single" w:sz="4" w:space="0" w:color="000000"/>
              <w:bottom w:val="single" w:sz="4" w:space="0" w:color="000000"/>
            </w:tcBorders>
            <w:shd w:val="clear" w:color="auto" w:fill="auto"/>
          </w:tcPr>
          <w:p w14:paraId="41B92852" w14:textId="77777777" w:rsidR="00F674A4" w:rsidRPr="00F0736F" w:rsidRDefault="00F674A4" w:rsidP="008727D9">
            <w:pPr>
              <w:tabs>
                <w:tab w:val="left" w:pos="709"/>
              </w:tabs>
              <w:snapToGrid w:val="0"/>
              <w:ind w:firstLine="709"/>
              <w:jc w:val="both"/>
              <w:rPr>
                <w:rFonts w:ascii="Times New Roman" w:hAnsi="Times New Roman" w:cs="Times New Roman"/>
                <w:color w:val="000000" w:themeColor="text1"/>
                <w:sz w:val="20"/>
                <w:szCs w:val="20"/>
              </w:rPr>
            </w:pPr>
          </w:p>
        </w:tc>
        <w:tc>
          <w:tcPr>
            <w:tcW w:w="1470" w:type="dxa"/>
            <w:vMerge/>
            <w:tcBorders>
              <w:top w:val="single" w:sz="4" w:space="0" w:color="000000"/>
              <w:left w:val="single" w:sz="4" w:space="0" w:color="000000"/>
              <w:bottom w:val="single" w:sz="4" w:space="0" w:color="000000"/>
            </w:tcBorders>
            <w:shd w:val="clear" w:color="auto" w:fill="auto"/>
          </w:tcPr>
          <w:p w14:paraId="774CB13F" w14:textId="77777777" w:rsidR="00F674A4" w:rsidRPr="00F0736F" w:rsidRDefault="00F674A4" w:rsidP="008727D9">
            <w:pPr>
              <w:tabs>
                <w:tab w:val="left" w:pos="709"/>
              </w:tabs>
              <w:snapToGrid w:val="0"/>
              <w:ind w:firstLine="709"/>
              <w:jc w:val="both"/>
              <w:rPr>
                <w:rFonts w:ascii="Times New Roman" w:hAnsi="Times New Roman" w:cs="Times New Roman"/>
                <w:color w:val="000000" w:themeColor="text1"/>
                <w:sz w:val="20"/>
                <w:szCs w:val="20"/>
              </w:rPr>
            </w:pPr>
          </w:p>
        </w:tc>
        <w:tc>
          <w:tcPr>
            <w:tcW w:w="1590" w:type="dxa"/>
            <w:vMerge/>
            <w:tcBorders>
              <w:top w:val="single" w:sz="4" w:space="0" w:color="000000"/>
              <w:left w:val="single" w:sz="4" w:space="0" w:color="000000"/>
              <w:bottom w:val="single" w:sz="4" w:space="0" w:color="000000"/>
            </w:tcBorders>
            <w:shd w:val="clear" w:color="auto" w:fill="auto"/>
          </w:tcPr>
          <w:p w14:paraId="5438A776" w14:textId="77777777" w:rsidR="00F674A4" w:rsidRPr="00F0736F" w:rsidRDefault="00F674A4" w:rsidP="008727D9">
            <w:pPr>
              <w:tabs>
                <w:tab w:val="left" w:pos="709"/>
              </w:tabs>
              <w:snapToGrid w:val="0"/>
              <w:ind w:firstLine="709"/>
              <w:jc w:val="both"/>
              <w:rPr>
                <w:rFonts w:ascii="Times New Roman" w:hAnsi="Times New Roman" w:cs="Times New Roman"/>
                <w:color w:val="000000" w:themeColor="text1"/>
                <w:sz w:val="20"/>
                <w:szCs w:val="20"/>
              </w:rPr>
            </w:pPr>
          </w:p>
        </w:tc>
        <w:tc>
          <w:tcPr>
            <w:tcW w:w="1365" w:type="dxa"/>
            <w:tcBorders>
              <w:left w:val="single" w:sz="4" w:space="0" w:color="000000"/>
              <w:bottom w:val="single" w:sz="4" w:space="0" w:color="000000"/>
            </w:tcBorders>
            <w:shd w:val="clear" w:color="auto" w:fill="auto"/>
          </w:tcPr>
          <w:p w14:paraId="1C7D3129"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н</w:t>
            </w:r>
            <w:r w:rsidRPr="00F0736F">
              <w:rPr>
                <w:rFonts w:ascii="Times New Roman" w:hAnsi="Times New Roman" w:cs="Times New Roman"/>
                <w:color w:val="000000" w:themeColor="text1"/>
                <w:sz w:val="20"/>
                <w:szCs w:val="20"/>
              </w:rPr>
              <w:t>а 1.01.2019</w:t>
            </w:r>
          </w:p>
        </w:tc>
        <w:tc>
          <w:tcPr>
            <w:tcW w:w="1590" w:type="dxa"/>
            <w:tcBorders>
              <w:left w:val="single" w:sz="4" w:space="0" w:color="000000"/>
              <w:bottom w:val="single" w:sz="4" w:space="0" w:color="000000"/>
              <w:right w:val="single" w:sz="4" w:space="0" w:color="000000"/>
            </w:tcBorders>
            <w:shd w:val="clear" w:color="auto" w:fill="auto"/>
          </w:tcPr>
          <w:p w14:paraId="09D3BCD4"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н</w:t>
            </w:r>
            <w:r w:rsidRPr="00F0736F">
              <w:rPr>
                <w:rFonts w:ascii="Times New Roman" w:hAnsi="Times New Roman" w:cs="Times New Roman"/>
                <w:color w:val="000000" w:themeColor="text1"/>
                <w:sz w:val="20"/>
                <w:szCs w:val="20"/>
              </w:rPr>
              <w:t xml:space="preserve">а </w:t>
            </w:r>
            <w:r w:rsidRPr="00F0736F">
              <w:rPr>
                <w:rFonts w:ascii="Times New Roman" w:hAnsi="Times New Roman" w:cs="Times New Roman"/>
                <w:color w:val="000000" w:themeColor="text1"/>
                <w:sz w:val="20"/>
                <w:szCs w:val="20"/>
                <w:lang w:val="kk-KZ"/>
              </w:rPr>
              <w:t xml:space="preserve"> </w:t>
            </w:r>
            <w:r w:rsidRPr="00F0736F">
              <w:rPr>
                <w:rFonts w:ascii="Times New Roman" w:hAnsi="Times New Roman" w:cs="Times New Roman"/>
                <w:color w:val="000000" w:themeColor="text1"/>
                <w:sz w:val="20"/>
                <w:szCs w:val="20"/>
              </w:rPr>
              <w:t>1.01.2020</w:t>
            </w:r>
          </w:p>
        </w:tc>
      </w:tr>
      <w:tr w:rsidR="00F0736F" w:rsidRPr="00F0736F" w14:paraId="784FA3A1" w14:textId="77777777" w:rsidTr="00E86E40">
        <w:trPr>
          <w:trHeight w:val="197"/>
        </w:trPr>
        <w:tc>
          <w:tcPr>
            <w:tcW w:w="2262" w:type="dxa"/>
            <w:tcBorders>
              <w:left w:val="single" w:sz="4" w:space="0" w:color="000000"/>
              <w:bottom w:val="single" w:sz="4" w:space="0" w:color="000000"/>
            </w:tcBorders>
            <w:shd w:val="clear" w:color="auto" w:fill="auto"/>
          </w:tcPr>
          <w:p w14:paraId="5F10FF3D" w14:textId="77777777" w:rsidR="00F674A4" w:rsidRPr="00F0736F" w:rsidRDefault="00F674A4" w:rsidP="00D2630D">
            <w:pPr>
              <w:tabs>
                <w:tab w:val="left" w:pos="709"/>
              </w:tabs>
              <w:jc w:val="both"/>
              <w:rPr>
                <w:color w:val="000000" w:themeColor="text1"/>
              </w:rPr>
            </w:pPr>
            <w:r w:rsidRPr="00F0736F">
              <w:rPr>
                <w:rFonts w:ascii="Times New Roman" w:hAnsi="Times New Roman" w:cs="Times New Roman"/>
                <w:color w:val="000000" w:themeColor="text1"/>
                <w:sz w:val="20"/>
                <w:szCs w:val="20"/>
              </w:rPr>
              <w:t>Республика</w:t>
            </w:r>
            <w:r w:rsidRPr="00F0736F">
              <w:rPr>
                <w:rFonts w:ascii="Times New Roman" w:hAnsi="Times New Roman" w:cs="Times New Roman"/>
                <w:color w:val="000000" w:themeColor="text1"/>
                <w:sz w:val="20"/>
                <w:szCs w:val="20"/>
                <w:lang w:val="kk-KZ"/>
              </w:rPr>
              <w:t xml:space="preserve"> Казахстан</w:t>
            </w:r>
          </w:p>
        </w:tc>
        <w:tc>
          <w:tcPr>
            <w:tcW w:w="1653" w:type="dxa"/>
            <w:tcBorders>
              <w:left w:val="single" w:sz="4" w:space="0" w:color="000000"/>
              <w:bottom w:val="single" w:sz="4" w:space="0" w:color="000000"/>
            </w:tcBorders>
            <w:shd w:val="clear" w:color="auto" w:fill="auto"/>
          </w:tcPr>
          <w:p w14:paraId="2A1CBDEC" w14:textId="5C7D2FBA"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51 561</w:t>
            </w:r>
          </w:p>
        </w:tc>
        <w:tc>
          <w:tcPr>
            <w:tcW w:w="1470" w:type="dxa"/>
            <w:tcBorders>
              <w:left w:val="single" w:sz="4" w:space="0" w:color="000000"/>
              <w:bottom w:val="single" w:sz="4" w:space="0" w:color="000000"/>
            </w:tcBorders>
            <w:shd w:val="clear" w:color="auto" w:fill="auto"/>
          </w:tcPr>
          <w:p w14:paraId="2BAEDCC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18 632 169</w:t>
            </w:r>
          </w:p>
        </w:tc>
        <w:tc>
          <w:tcPr>
            <w:tcW w:w="1590" w:type="dxa"/>
            <w:tcBorders>
              <w:left w:val="single" w:sz="4" w:space="0" w:color="000000"/>
              <w:bottom w:val="single" w:sz="4" w:space="0" w:color="000000"/>
            </w:tcBorders>
            <w:shd w:val="clear" w:color="auto" w:fill="auto"/>
            <w:vAlign w:val="center"/>
          </w:tcPr>
          <w:p w14:paraId="6E579FAB" w14:textId="499CE9C8"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9 539 721</w:t>
            </w:r>
          </w:p>
        </w:tc>
        <w:tc>
          <w:tcPr>
            <w:tcW w:w="1365" w:type="dxa"/>
            <w:tcBorders>
              <w:left w:val="single" w:sz="4" w:space="0" w:color="000000"/>
              <w:bottom w:val="single" w:sz="4" w:space="0" w:color="000000"/>
            </w:tcBorders>
            <w:shd w:val="clear" w:color="auto" w:fill="auto"/>
            <w:vAlign w:val="center"/>
          </w:tcPr>
          <w:p w14:paraId="32954EDE" w14:textId="23C18296"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49,68</w:t>
            </w:r>
          </w:p>
        </w:tc>
        <w:tc>
          <w:tcPr>
            <w:tcW w:w="1590" w:type="dxa"/>
            <w:tcBorders>
              <w:left w:val="single" w:sz="4" w:space="0" w:color="000000"/>
              <w:bottom w:val="single" w:sz="4" w:space="0" w:color="000000"/>
              <w:right w:val="single" w:sz="4" w:space="0" w:color="000000"/>
            </w:tcBorders>
            <w:shd w:val="clear" w:color="auto" w:fill="auto"/>
            <w:vAlign w:val="center"/>
          </w:tcPr>
          <w:p w14:paraId="24FF7C4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51,</w:t>
            </w:r>
            <w:r w:rsidRPr="00F0736F">
              <w:rPr>
                <w:rFonts w:ascii="Times New Roman" w:hAnsi="Times New Roman" w:cs="Times New Roman"/>
                <w:color w:val="000000" w:themeColor="text1"/>
                <w:sz w:val="20"/>
                <w:szCs w:val="20"/>
                <w:lang w:val="kk-KZ"/>
              </w:rPr>
              <w:t>20</w:t>
            </w:r>
          </w:p>
        </w:tc>
      </w:tr>
      <w:tr w:rsidR="00F0736F" w:rsidRPr="00F0736F" w14:paraId="0D9ADCBD" w14:textId="77777777" w:rsidTr="00E86E40">
        <w:trPr>
          <w:trHeight w:val="154"/>
        </w:trPr>
        <w:tc>
          <w:tcPr>
            <w:tcW w:w="2262" w:type="dxa"/>
            <w:tcBorders>
              <w:left w:val="single" w:sz="4" w:space="0" w:color="000000"/>
              <w:bottom w:val="single" w:sz="4" w:space="0" w:color="000000"/>
            </w:tcBorders>
            <w:shd w:val="clear" w:color="auto" w:fill="auto"/>
            <w:vAlign w:val="center"/>
          </w:tcPr>
          <w:p w14:paraId="224550A6"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Акмолинская</w:t>
            </w:r>
          </w:p>
        </w:tc>
        <w:tc>
          <w:tcPr>
            <w:tcW w:w="1653" w:type="dxa"/>
            <w:tcBorders>
              <w:left w:val="single" w:sz="4" w:space="0" w:color="000000"/>
              <w:bottom w:val="single" w:sz="4" w:space="0" w:color="000000"/>
            </w:tcBorders>
            <w:shd w:val="clear" w:color="auto" w:fill="auto"/>
          </w:tcPr>
          <w:p w14:paraId="5833BF34"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470" w:type="dxa"/>
            <w:tcBorders>
              <w:left w:val="single" w:sz="4" w:space="0" w:color="000000"/>
              <w:bottom w:val="single" w:sz="4" w:space="0" w:color="000000"/>
            </w:tcBorders>
            <w:shd w:val="clear" w:color="auto" w:fill="auto"/>
            <w:vAlign w:val="bottom"/>
          </w:tcPr>
          <w:p w14:paraId="543B11FE"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736 682</w:t>
            </w:r>
          </w:p>
        </w:tc>
        <w:tc>
          <w:tcPr>
            <w:tcW w:w="1590" w:type="dxa"/>
            <w:tcBorders>
              <w:left w:val="single" w:sz="4" w:space="0" w:color="000000"/>
              <w:bottom w:val="single" w:sz="4" w:space="0" w:color="000000"/>
            </w:tcBorders>
            <w:shd w:val="clear" w:color="auto" w:fill="auto"/>
            <w:vAlign w:val="center"/>
          </w:tcPr>
          <w:p w14:paraId="792E30E2"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365" w:type="dxa"/>
            <w:tcBorders>
              <w:left w:val="single" w:sz="4" w:space="0" w:color="000000"/>
              <w:bottom w:val="single" w:sz="4" w:space="0" w:color="000000"/>
            </w:tcBorders>
            <w:shd w:val="clear" w:color="auto" w:fill="auto"/>
            <w:vAlign w:val="center"/>
          </w:tcPr>
          <w:p w14:paraId="7C1658B7"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590" w:type="dxa"/>
            <w:tcBorders>
              <w:left w:val="single" w:sz="4" w:space="0" w:color="000000"/>
              <w:bottom w:val="single" w:sz="4" w:space="0" w:color="000000"/>
              <w:right w:val="single" w:sz="4" w:space="0" w:color="000000"/>
            </w:tcBorders>
            <w:shd w:val="clear" w:color="auto" w:fill="auto"/>
            <w:vAlign w:val="center"/>
          </w:tcPr>
          <w:p w14:paraId="00566630"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r>
      <w:tr w:rsidR="00F0736F" w:rsidRPr="00F0736F" w14:paraId="08E810BA" w14:textId="77777777" w:rsidTr="00E86E40">
        <w:trPr>
          <w:trHeight w:val="63"/>
        </w:trPr>
        <w:tc>
          <w:tcPr>
            <w:tcW w:w="2262" w:type="dxa"/>
            <w:tcBorders>
              <w:left w:val="single" w:sz="4" w:space="0" w:color="000000"/>
              <w:bottom w:val="single" w:sz="4" w:space="0" w:color="000000"/>
            </w:tcBorders>
            <w:shd w:val="clear" w:color="auto" w:fill="auto"/>
            <w:vAlign w:val="center"/>
          </w:tcPr>
          <w:p w14:paraId="0912F2F7"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Актюбинская</w:t>
            </w:r>
          </w:p>
        </w:tc>
        <w:tc>
          <w:tcPr>
            <w:tcW w:w="1653" w:type="dxa"/>
            <w:tcBorders>
              <w:left w:val="single" w:sz="4" w:space="0" w:color="000000"/>
              <w:bottom w:val="single" w:sz="4" w:space="0" w:color="000000"/>
            </w:tcBorders>
            <w:shd w:val="clear" w:color="auto" w:fill="auto"/>
          </w:tcPr>
          <w:p w14:paraId="36FFA75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6 720</w:t>
            </w:r>
          </w:p>
        </w:tc>
        <w:tc>
          <w:tcPr>
            <w:tcW w:w="1470" w:type="dxa"/>
            <w:tcBorders>
              <w:left w:val="single" w:sz="4" w:space="0" w:color="000000"/>
              <w:bottom w:val="single" w:sz="4" w:space="0" w:color="000000"/>
            </w:tcBorders>
            <w:shd w:val="clear" w:color="auto" w:fill="auto"/>
            <w:vAlign w:val="bottom"/>
          </w:tcPr>
          <w:p w14:paraId="08C33D5B"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881 728</w:t>
            </w:r>
          </w:p>
        </w:tc>
        <w:tc>
          <w:tcPr>
            <w:tcW w:w="1590" w:type="dxa"/>
            <w:tcBorders>
              <w:left w:val="single" w:sz="4" w:space="0" w:color="000000"/>
              <w:bottom w:val="single" w:sz="4" w:space="0" w:color="000000"/>
            </w:tcBorders>
            <w:shd w:val="clear" w:color="auto" w:fill="auto"/>
            <w:vAlign w:val="center"/>
          </w:tcPr>
          <w:p w14:paraId="4515911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792 472</w:t>
            </w:r>
          </w:p>
        </w:tc>
        <w:tc>
          <w:tcPr>
            <w:tcW w:w="1365" w:type="dxa"/>
            <w:tcBorders>
              <w:left w:val="single" w:sz="4" w:space="0" w:color="000000"/>
              <w:bottom w:val="single" w:sz="4" w:space="0" w:color="000000"/>
            </w:tcBorders>
            <w:shd w:val="clear" w:color="auto" w:fill="auto"/>
            <w:vAlign w:val="center"/>
          </w:tcPr>
          <w:p w14:paraId="676B1E2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88,5</w:t>
            </w:r>
          </w:p>
        </w:tc>
        <w:tc>
          <w:tcPr>
            <w:tcW w:w="1590" w:type="dxa"/>
            <w:tcBorders>
              <w:left w:val="single" w:sz="4" w:space="0" w:color="000000"/>
              <w:bottom w:val="single" w:sz="4" w:space="0" w:color="000000"/>
              <w:right w:val="single" w:sz="4" w:space="0" w:color="000000"/>
            </w:tcBorders>
            <w:shd w:val="clear" w:color="auto" w:fill="auto"/>
            <w:vAlign w:val="center"/>
          </w:tcPr>
          <w:p w14:paraId="13719EDC"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89,9</w:t>
            </w:r>
          </w:p>
        </w:tc>
      </w:tr>
      <w:tr w:rsidR="00F0736F" w:rsidRPr="00F0736F" w14:paraId="17CDE057" w14:textId="77777777" w:rsidTr="00E86E40">
        <w:trPr>
          <w:trHeight w:val="209"/>
        </w:trPr>
        <w:tc>
          <w:tcPr>
            <w:tcW w:w="2262" w:type="dxa"/>
            <w:tcBorders>
              <w:left w:val="single" w:sz="4" w:space="0" w:color="000000"/>
              <w:bottom w:val="single" w:sz="4" w:space="0" w:color="000000"/>
            </w:tcBorders>
            <w:shd w:val="clear" w:color="auto" w:fill="auto"/>
            <w:vAlign w:val="center"/>
          </w:tcPr>
          <w:p w14:paraId="49D668E4"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 xml:space="preserve">Алматинская </w:t>
            </w:r>
          </w:p>
        </w:tc>
        <w:tc>
          <w:tcPr>
            <w:tcW w:w="1653" w:type="dxa"/>
            <w:tcBorders>
              <w:left w:val="single" w:sz="4" w:space="0" w:color="000000"/>
              <w:bottom w:val="single" w:sz="4" w:space="0" w:color="000000"/>
            </w:tcBorders>
            <w:shd w:val="clear" w:color="auto" w:fill="auto"/>
          </w:tcPr>
          <w:p w14:paraId="4182CAF2"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4 161</w:t>
            </w:r>
          </w:p>
        </w:tc>
        <w:tc>
          <w:tcPr>
            <w:tcW w:w="1470" w:type="dxa"/>
            <w:tcBorders>
              <w:left w:val="single" w:sz="4" w:space="0" w:color="000000"/>
              <w:bottom w:val="single" w:sz="4" w:space="0" w:color="000000"/>
            </w:tcBorders>
            <w:shd w:val="clear" w:color="auto" w:fill="auto"/>
            <w:vAlign w:val="bottom"/>
          </w:tcPr>
          <w:p w14:paraId="51B070C4"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2 055 651</w:t>
            </w:r>
          </w:p>
        </w:tc>
        <w:tc>
          <w:tcPr>
            <w:tcW w:w="1590" w:type="dxa"/>
            <w:tcBorders>
              <w:left w:val="single" w:sz="4" w:space="0" w:color="000000"/>
              <w:bottom w:val="single" w:sz="4" w:space="0" w:color="000000"/>
            </w:tcBorders>
            <w:shd w:val="clear" w:color="auto" w:fill="auto"/>
            <w:vAlign w:val="center"/>
          </w:tcPr>
          <w:p w14:paraId="78E2FAA6"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801 564</w:t>
            </w:r>
          </w:p>
        </w:tc>
        <w:tc>
          <w:tcPr>
            <w:tcW w:w="1365" w:type="dxa"/>
            <w:tcBorders>
              <w:left w:val="single" w:sz="4" w:space="0" w:color="000000"/>
              <w:bottom w:val="single" w:sz="4" w:space="0" w:color="000000"/>
            </w:tcBorders>
            <w:shd w:val="clear" w:color="auto" w:fill="auto"/>
            <w:vAlign w:val="center"/>
          </w:tcPr>
          <w:p w14:paraId="36B69E47"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39,2</w:t>
            </w:r>
          </w:p>
        </w:tc>
        <w:tc>
          <w:tcPr>
            <w:tcW w:w="1590" w:type="dxa"/>
            <w:tcBorders>
              <w:left w:val="single" w:sz="4" w:space="0" w:color="000000"/>
              <w:bottom w:val="single" w:sz="4" w:space="0" w:color="000000"/>
              <w:right w:val="single" w:sz="4" w:space="0" w:color="000000"/>
            </w:tcBorders>
            <w:shd w:val="clear" w:color="auto" w:fill="auto"/>
            <w:vAlign w:val="center"/>
          </w:tcPr>
          <w:p w14:paraId="16E2D9E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39,0</w:t>
            </w:r>
          </w:p>
        </w:tc>
      </w:tr>
      <w:tr w:rsidR="00F0736F" w:rsidRPr="00F0736F" w14:paraId="24F1EB97" w14:textId="77777777" w:rsidTr="00E86E40">
        <w:trPr>
          <w:trHeight w:val="85"/>
        </w:trPr>
        <w:tc>
          <w:tcPr>
            <w:tcW w:w="2262" w:type="dxa"/>
            <w:tcBorders>
              <w:left w:val="single" w:sz="4" w:space="0" w:color="000000"/>
              <w:bottom w:val="single" w:sz="4" w:space="0" w:color="000000"/>
            </w:tcBorders>
            <w:shd w:val="clear" w:color="auto" w:fill="auto"/>
            <w:vAlign w:val="center"/>
          </w:tcPr>
          <w:p w14:paraId="50241B48"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Атырауская</w:t>
            </w:r>
          </w:p>
        </w:tc>
        <w:tc>
          <w:tcPr>
            <w:tcW w:w="1653" w:type="dxa"/>
            <w:tcBorders>
              <w:left w:val="single" w:sz="4" w:space="0" w:color="000000"/>
              <w:bottom w:val="single" w:sz="4" w:space="0" w:color="000000"/>
            </w:tcBorders>
            <w:shd w:val="clear" w:color="auto" w:fill="auto"/>
          </w:tcPr>
          <w:p w14:paraId="1437836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5 921</w:t>
            </w:r>
          </w:p>
        </w:tc>
        <w:tc>
          <w:tcPr>
            <w:tcW w:w="1470" w:type="dxa"/>
            <w:tcBorders>
              <w:left w:val="single" w:sz="4" w:space="0" w:color="000000"/>
              <w:bottom w:val="single" w:sz="4" w:space="0" w:color="000000"/>
            </w:tcBorders>
            <w:shd w:val="clear" w:color="auto" w:fill="auto"/>
            <w:vAlign w:val="bottom"/>
          </w:tcPr>
          <w:p w14:paraId="30B8F5FD"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645 371</w:t>
            </w:r>
          </w:p>
        </w:tc>
        <w:tc>
          <w:tcPr>
            <w:tcW w:w="1590" w:type="dxa"/>
            <w:tcBorders>
              <w:left w:val="single" w:sz="4" w:space="0" w:color="000000"/>
              <w:bottom w:val="single" w:sz="4" w:space="0" w:color="000000"/>
            </w:tcBorders>
            <w:shd w:val="clear" w:color="auto" w:fill="auto"/>
            <w:vAlign w:val="center"/>
          </w:tcPr>
          <w:p w14:paraId="42C1B02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634 635</w:t>
            </w:r>
          </w:p>
        </w:tc>
        <w:tc>
          <w:tcPr>
            <w:tcW w:w="1365" w:type="dxa"/>
            <w:tcBorders>
              <w:left w:val="single" w:sz="4" w:space="0" w:color="000000"/>
              <w:bottom w:val="single" w:sz="4" w:space="0" w:color="000000"/>
            </w:tcBorders>
            <w:shd w:val="clear" w:color="auto" w:fill="auto"/>
            <w:vAlign w:val="center"/>
          </w:tcPr>
          <w:p w14:paraId="1B8F4EF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98,4</w:t>
            </w:r>
          </w:p>
        </w:tc>
        <w:tc>
          <w:tcPr>
            <w:tcW w:w="1590" w:type="dxa"/>
            <w:tcBorders>
              <w:left w:val="single" w:sz="4" w:space="0" w:color="000000"/>
              <w:bottom w:val="single" w:sz="4" w:space="0" w:color="000000"/>
              <w:right w:val="single" w:sz="4" w:space="0" w:color="000000"/>
            </w:tcBorders>
            <w:shd w:val="clear" w:color="auto" w:fill="auto"/>
            <w:vAlign w:val="center"/>
          </w:tcPr>
          <w:p w14:paraId="63D607B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98,3</w:t>
            </w:r>
          </w:p>
        </w:tc>
      </w:tr>
      <w:tr w:rsidR="00F0736F" w:rsidRPr="00F0736F" w14:paraId="28577845" w14:textId="77777777" w:rsidTr="00E86E40">
        <w:trPr>
          <w:trHeight w:val="207"/>
        </w:trPr>
        <w:tc>
          <w:tcPr>
            <w:tcW w:w="2262" w:type="dxa"/>
            <w:tcBorders>
              <w:left w:val="single" w:sz="4" w:space="0" w:color="000000"/>
              <w:bottom w:val="single" w:sz="4" w:space="0" w:color="000000"/>
            </w:tcBorders>
            <w:shd w:val="clear" w:color="auto" w:fill="auto"/>
            <w:vAlign w:val="center"/>
          </w:tcPr>
          <w:p w14:paraId="6FE7D4F9"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ЗКО</w:t>
            </w:r>
          </w:p>
        </w:tc>
        <w:tc>
          <w:tcPr>
            <w:tcW w:w="1653" w:type="dxa"/>
            <w:tcBorders>
              <w:left w:val="single" w:sz="4" w:space="0" w:color="000000"/>
              <w:bottom w:val="single" w:sz="4" w:space="0" w:color="000000"/>
            </w:tcBorders>
            <w:shd w:val="clear" w:color="auto" w:fill="auto"/>
          </w:tcPr>
          <w:p w14:paraId="2BE23B7C"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7 614</w:t>
            </w:r>
          </w:p>
        </w:tc>
        <w:tc>
          <w:tcPr>
            <w:tcW w:w="1470" w:type="dxa"/>
            <w:tcBorders>
              <w:left w:val="single" w:sz="4" w:space="0" w:color="000000"/>
              <w:bottom w:val="single" w:sz="4" w:space="0" w:color="000000"/>
            </w:tcBorders>
            <w:shd w:val="clear" w:color="auto" w:fill="auto"/>
            <w:vAlign w:val="bottom"/>
          </w:tcPr>
          <w:p w14:paraId="2110D499"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656 974</w:t>
            </w:r>
          </w:p>
        </w:tc>
        <w:tc>
          <w:tcPr>
            <w:tcW w:w="1590" w:type="dxa"/>
            <w:tcBorders>
              <w:left w:val="single" w:sz="4" w:space="0" w:color="000000"/>
              <w:bottom w:val="single" w:sz="4" w:space="0" w:color="000000"/>
            </w:tcBorders>
            <w:shd w:val="clear" w:color="auto" w:fill="auto"/>
            <w:vAlign w:val="center"/>
          </w:tcPr>
          <w:p w14:paraId="1DB8AF2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627 300</w:t>
            </w:r>
          </w:p>
        </w:tc>
        <w:tc>
          <w:tcPr>
            <w:tcW w:w="1365" w:type="dxa"/>
            <w:tcBorders>
              <w:left w:val="single" w:sz="4" w:space="0" w:color="000000"/>
              <w:bottom w:val="single" w:sz="4" w:space="0" w:color="000000"/>
            </w:tcBorders>
            <w:shd w:val="clear" w:color="auto" w:fill="auto"/>
            <w:vAlign w:val="center"/>
          </w:tcPr>
          <w:p w14:paraId="512510A9"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95,5</w:t>
            </w:r>
          </w:p>
        </w:tc>
        <w:tc>
          <w:tcPr>
            <w:tcW w:w="1590" w:type="dxa"/>
            <w:tcBorders>
              <w:left w:val="single" w:sz="4" w:space="0" w:color="000000"/>
              <w:bottom w:val="single" w:sz="4" w:space="0" w:color="000000"/>
              <w:right w:val="single" w:sz="4" w:space="0" w:color="000000"/>
            </w:tcBorders>
            <w:shd w:val="clear" w:color="auto" w:fill="auto"/>
            <w:vAlign w:val="center"/>
          </w:tcPr>
          <w:p w14:paraId="15FD0FE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95,5</w:t>
            </w:r>
          </w:p>
        </w:tc>
      </w:tr>
      <w:tr w:rsidR="00F0736F" w:rsidRPr="00F0736F" w14:paraId="38082AE5" w14:textId="77777777" w:rsidTr="00E86E40">
        <w:trPr>
          <w:trHeight w:val="211"/>
        </w:trPr>
        <w:tc>
          <w:tcPr>
            <w:tcW w:w="2262" w:type="dxa"/>
            <w:tcBorders>
              <w:left w:val="single" w:sz="4" w:space="0" w:color="000000"/>
              <w:bottom w:val="single" w:sz="4" w:space="0" w:color="000000"/>
            </w:tcBorders>
            <w:shd w:val="clear" w:color="auto" w:fill="auto"/>
            <w:vAlign w:val="center"/>
          </w:tcPr>
          <w:p w14:paraId="3EADABC2"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Жамбылская</w:t>
            </w:r>
          </w:p>
        </w:tc>
        <w:tc>
          <w:tcPr>
            <w:tcW w:w="1653" w:type="dxa"/>
            <w:tcBorders>
              <w:left w:val="single" w:sz="4" w:space="0" w:color="000000"/>
              <w:bottom w:val="single" w:sz="4" w:space="0" w:color="000000"/>
            </w:tcBorders>
            <w:shd w:val="clear" w:color="auto" w:fill="auto"/>
          </w:tcPr>
          <w:p w14:paraId="27A31043"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4 745</w:t>
            </w:r>
          </w:p>
        </w:tc>
        <w:tc>
          <w:tcPr>
            <w:tcW w:w="1470" w:type="dxa"/>
            <w:tcBorders>
              <w:left w:val="single" w:sz="4" w:space="0" w:color="000000"/>
              <w:bottom w:val="single" w:sz="4" w:space="0" w:color="000000"/>
            </w:tcBorders>
            <w:shd w:val="clear" w:color="auto" w:fill="auto"/>
            <w:vAlign w:val="bottom"/>
          </w:tcPr>
          <w:p w14:paraId="35B3AB90"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1 130 276</w:t>
            </w:r>
          </w:p>
        </w:tc>
        <w:tc>
          <w:tcPr>
            <w:tcW w:w="1590" w:type="dxa"/>
            <w:tcBorders>
              <w:left w:val="single" w:sz="4" w:space="0" w:color="000000"/>
              <w:bottom w:val="single" w:sz="4" w:space="0" w:color="000000"/>
            </w:tcBorders>
            <w:shd w:val="clear" w:color="auto" w:fill="auto"/>
            <w:vAlign w:val="center"/>
          </w:tcPr>
          <w:p w14:paraId="48C9894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1 000 400</w:t>
            </w:r>
          </w:p>
        </w:tc>
        <w:tc>
          <w:tcPr>
            <w:tcW w:w="1365" w:type="dxa"/>
            <w:tcBorders>
              <w:left w:val="single" w:sz="4" w:space="0" w:color="000000"/>
              <w:bottom w:val="single" w:sz="4" w:space="0" w:color="000000"/>
            </w:tcBorders>
            <w:shd w:val="clear" w:color="auto" w:fill="auto"/>
            <w:vAlign w:val="center"/>
          </w:tcPr>
          <w:p w14:paraId="76A36990"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75,3</w:t>
            </w:r>
          </w:p>
        </w:tc>
        <w:tc>
          <w:tcPr>
            <w:tcW w:w="1590" w:type="dxa"/>
            <w:tcBorders>
              <w:left w:val="single" w:sz="4" w:space="0" w:color="000000"/>
              <w:bottom w:val="single" w:sz="4" w:space="0" w:color="000000"/>
              <w:right w:val="single" w:sz="4" w:space="0" w:color="000000"/>
            </w:tcBorders>
            <w:shd w:val="clear" w:color="auto" w:fill="auto"/>
            <w:vAlign w:val="center"/>
          </w:tcPr>
          <w:p w14:paraId="7615A92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88,</w:t>
            </w:r>
            <w:r w:rsidRPr="00F0736F">
              <w:rPr>
                <w:rFonts w:ascii="Times New Roman" w:hAnsi="Times New Roman" w:cs="Times New Roman"/>
                <w:color w:val="000000" w:themeColor="text1"/>
                <w:sz w:val="20"/>
                <w:szCs w:val="20"/>
                <w:lang w:val="kk-KZ"/>
              </w:rPr>
              <w:t>8</w:t>
            </w:r>
          </w:p>
        </w:tc>
      </w:tr>
      <w:tr w:rsidR="00F0736F" w:rsidRPr="00F0736F" w14:paraId="08288D98" w14:textId="77777777" w:rsidTr="00E86E40">
        <w:trPr>
          <w:trHeight w:val="127"/>
        </w:trPr>
        <w:tc>
          <w:tcPr>
            <w:tcW w:w="2262" w:type="dxa"/>
            <w:tcBorders>
              <w:left w:val="single" w:sz="4" w:space="0" w:color="000000"/>
              <w:bottom w:val="single" w:sz="4" w:space="0" w:color="000000"/>
            </w:tcBorders>
            <w:shd w:val="clear" w:color="auto" w:fill="auto"/>
            <w:vAlign w:val="center"/>
          </w:tcPr>
          <w:p w14:paraId="2C625D4C"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Карагандинская</w:t>
            </w:r>
          </w:p>
        </w:tc>
        <w:tc>
          <w:tcPr>
            <w:tcW w:w="1653" w:type="dxa"/>
            <w:tcBorders>
              <w:left w:val="single" w:sz="4" w:space="0" w:color="000000"/>
              <w:bottom w:val="single" w:sz="4" w:space="0" w:color="000000"/>
            </w:tcBorders>
            <w:shd w:val="clear" w:color="auto" w:fill="auto"/>
          </w:tcPr>
          <w:p w14:paraId="54A1F8BC"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470" w:type="dxa"/>
            <w:tcBorders>
              <w:left w:val="single" w:sz="4" w:space="0" w:color="000000"/>
              <w:bottom w:val="single" w:sz="4" w:space="0" w:color="000000"/>
            </w:tcBorders>
            <w:shd w:val="clear" w:color="auto" w:fill="auto"/>
            <w:vAlign w:val="bottom"/>
          </w:tcPr>
          <w:p w14:paraId="64D0331D"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1 376 827</w:t>
            </w:r>
          </w:p>
        </w:tc>
        <w:tc>
          <w:tcPr>
            <w:tcW w:w="1590" w:type="dxa"/>
            <w:tcBorders>
              <w:left w:val="single" w:sz="4" w:space="0" w:color="000000"/>
              <w:bottom w:val="single" w:sz="4" w:space="0" w:color="000000"/>
            </w:tcBorders>
            <w:shd w:val="clear" w:color="auto" w:fill="auto"/>
            <w:vAlign w:val="center"/>
          </w:tcPr>
          <w:p w14:paraId="2245D22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365" w:type="dxa"/>
            <w:tcBorders>
              <w:left w:val="single" w:sz="4" w:space="0" w:color="000000"/>
              <w:bottom w:val="single" w:sz="4" w:space="0" w:color="000000"/>
            </w:tcBorders>
            <w:shd w:val="clear" w:color="auto" w:fill="auto"/>
            <w:vAlign w:val="center"/>
          </w:tcPr>
          <w:p w14:paraId="6B9CDEB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590" w:type="dxa"/>
            <w:tcBorders>
              <w:left w:val="single" w:sz="4" w:space="0" w:color="000000"/>
              <w:bottom w:val="single" w:sz="4" w:space="0" w:color="000000"/>
              <w:right w:val="single" w:sz="4" w:space="0" w:color="000000"/>
            </w:tcBorders>
            <w:shd w:val="clear" w:color="auto" w:fill="auto"/>
            <w:vAlign w:val="center"/>
          </w:tcPr>
          <w:p w14:paraId="7C19E30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r>
      <w:tr w:rsidR="00F0736F" w:rsidRPr="00F0736F" w14:paraId="75AB4865" w14:textId="77777777" w:rsidTr="00E86E40">
        <w:trPr>
          <w:trHeight w:val="173"/>
        </w:trPr>
        <w:tc>
          <w:tcPr>
            <w:tcW w:w="2262" w:type="dxa"/>
            <w:tcBorders>
              <w:left w:val="single" w:sz="4" w:space="0" w:color="000000"/>
              <w:bottom w:val="single" w:sz="4" w:space="0" w:color="000000"/>
            </w:tcBorders>
            <w:shd w:val="clear" w:color="auto" w:fill="auto"/>
            <w:vAlign w:val="center"/>
          </w:tcPr>
          <w:p w14:paraId="16CCBD4A"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Костанайская</w:t>
            </w:r>
          </w:p>
        </w:tc>
        <w:tc>
          <w:tcPr>
            <w:tcW w:w="1653" w:type="dxa"/>
            <w:tcBorders>
              <w:left w:val="single" w:sz="4" w:space="0" w:color="000000"/>
              <w:bottom w:val="single" w:sz="4" w:space="0" w:color="000000"/>
            </w:tcBorders>
            <w:shd w:val="clear" w:color="auto" w:fill="auto"/>
          </w:tcPr>
          <w:p w14:paraId="478674C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3 908</w:t>
            </w:r>
          </w:p>
        </w:tc>
        <w:tc>
          <w:tcPr>
            <w:tcW w:w="1470" w:type="dxa"/>
            <w:tcBorders>
              <w:left w:val="single" w:sz="4" w:space="0" w:color="000000"/>
              <w:bottom w:val="single" w:sz="4" w:space="0" w:color="000000"/>
            </w:tcBorders>
            <w:shd w:val="clear" w:color="auto" w:fill="auto"/>
            <w:vAlign w:val="bottom"/>
          </w:tcPr>
          <w:p w14:paraId="0C3AFFA4"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868 524</w:t>
            </w:r>
          </w:p>
        </w:tc>
        <w:tc>
          <w:tcPr>
            <w:tcW w:w="1590" w:type="dxa"/>
            <w:tcBorders>
              <w:left w:val="single" w:sz="4" w:space="0" w:color="000000"/>
              <w:bottom w:val="single" w:sz="4" w:space="0" w:color="000000"/>
            </w:tcBorders>
            <w:shd w:val="clear" w:color="auto" w:fill="auto"/>
            <w:vAlign w:val="center"/>
          </w:tcPr>
          <w:p w14:paraId="4E6DE80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487 185</w:t>
            </w:r>
          </w:p>
        </w:tc>
        <w:tc>
          <w:tcPr>
            <w:tcW w:w="1365" w:type="dxa"/>
            <w:tcBorders>
              <w:left w:val="single" w:sz="4" w:space="0" w:color="000000"/>
              <w:bottom w:val="single" w:sz="4" w:space="0" w:color="000000"/>
            </w:tcBorders>
            <w:shd w:val="clear" w:color="auto" w:fill="auto"/>
            <w:vAlign w:val="center"/>
          </w:tcPr>
          <w:p w14:paraId="696B503F"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55,2</w:t>
            </w:r>
          </w:p>
        </w:tc>
        <w:tc>
          <w:tcPr>
            <w:tcW w:w="1590" w:type="dxa"/>
            <w:tcBorders>
              <w:left w:val="single" w:sz="4" w:space="0" w:color="000000"/>
              <w:bottom w:val="single" w:sz="4" w:space="0" w:color="000000"/>
              <w:right w:val="single" w:sz="4" w:space="0" w:color="000000"/>
            </w:tcBorders>
            <w:shd w:val="clear" w:color="auto" w:fill="auto"/>
            <w:vAlign w:val="center"/>
          </w:tcPr>
          <w:p w14:paraId="54F27CD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56,1</w:t>
            </w:r>
          </w:p>
        </w:tc>
      </w:tr>
      <w:tr w:rsidR="00F0736F" w:rsidRPr="00F0736F" w14:paraId="34C9317D" w14:textId="77777777" w:rsidTr="00E86E40">
        <w:trPr>
          <w:trHeight w:val="219"/>
        </w:trPr>
        <w:tc>
          <w:tcPr>
            <w:tcW w:w="2262" w:type="dxa"/>
            <w:tcBorders>
              <w:left w:val="single" w:sz="4" w:space="0" w:color="000000"/>
              <w:bottom w:val="single" w:sz="4" w:space="0" w:color="000000"/>
            </w:tcBorders>
            <w:shd w:val="clear" w:color="auto" w:fill="auto"/>
            <w:vAlign w:val="center"/>
          </w:tcPr>
          <w:p w14:paraId="47054F2A"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Кызылординская</w:t>
            </w:r>
          </w:p>
        </w:tc>
        <w:tc>
          <w:tcPr>
            <w:tcW w:w="1653" w:type="dxa"/>
            <w:tcBorders>
              <w:left w:val="single" w:sz="4" w:space="0" w:color="000000"/>
              <w:bottom w:val="single" w:sz="4" w:space="0" w:color="000000"/>
            </w:tcBorders>
            <w:shd w:val="clear" w:color="auto" w:fill="auto"/>
          </w:tcPr>
          <w:p w14:paraId="31BADD7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2 710</w:t>
            </w:r>
          </w:p>
        </w:tc>
        <w:tc>
          <w:tcPr>
            <w:tcW w:w="1470" w:type="dxa"/>
            <w:tcBorders>
              <w:left w:val="single" w:sz="4" w:space="0" w:color="000000"/>
              <w:bottom w:val="single" w:sz="4" w:space="0" w:color="000000"/>
            </w:tcBorders>
            <w:shd w:val="clear" w:color="auto" w:fill="auto"/>
            <w:vAlign w:val="bottom"/>
          </w:tcPr>
          <w:p w14:paraId="68CFFF71"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803 545</w:t>
            </w:r>
          </w:p>
        </w:tc>
        <w:tc>
          <w:tcPr>
            <w:tcW w:w="1590" w:type="dxa"/>
            <w:tcBorders>
              <w:left w:val="single" w:sz="4" w:space="0" w:color="000000"/>
              <w:bottom w:val="single" w:sz="4" w:space="0" w:color="000000"/>
            </w:tcBorders>
            <w:shd w:val="clear" w:color="auto" w:fill="auto"/>
            <w:vAlign w:val="center"/>
          </w:tcPr>
          <w:p w14:paraId="0E8775A2"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517 325</w:t>
            </w:r>
          </w:p>
        </w:tc>
        <w:tc>
          <w:tcPr>
            <w:tcW w:w="1365" w:type="dxa"/>
            <w:tcBorders>
              <w:left w:val="single" w:sz="4" w:space="0" w:color="000000"/>
              <w:bottom w:val="single" w:sz="4" w:space="0" w:color="000000"/>
            </w:tcBorders>
            <w:shd w:val="clear" w:color="auto" w:fill="auto"/>
            <w:vAlign w:val="center"/>
          </w:tcPr>
          <w:p w14:paraId="7DB88AAF"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64,2</w:t>
            </w:r>
          </w:p>
        </w:tc>
        <w:tc>
          <w:tcPr>
            <w:tcW w:w="1590" w:type="dxa"/>
            <w:tcBorders>
              <w:left w:val="single" w:sz="4" w:space="0" w:color="000000"/>
              <w:bottom w:val="single" w:sz="4" w:space="0" w:color="000000"/>
              <w:right w:val="single" w:sz="4" w:space="0" w:color="000000"/>
            </w:tcBorders>
            <w:shd w:val="clear" w:color="auto" w:fill="auto"/>
            <w:vAlign w:val="center"/>
          </w:tcPr>
          <w:p w14:paraId="2BAD5CA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64,4</w:t>
            </w:r>
          </w:p>
        </w:tc>
      </w:tr>
      <w:tr w:rsidR="00F0736F" w:rsidRPr="00F0736F" w14:paraId="1C2096D1" w14:textId="77777777" w:rsidTr="00E86E40">
        <w:trPr>
          <w:trHeight w:val="123"/>
        </w:trPr>
        <w:tc>
          <w:tcPr>
            <w:tcW w:w="2262" w:type="dxa"/>
            <w:tcBorders>
              <w:left w:val="single" w:sz="4" w:space="0" w:color="000000"/>
              <w:bottom w:val="single" w:sz="4" w:space="0" w:color="000000"/>
            </w:tcBorders>
            <w:shd w:val="clear" w:color="auto" w:fill="auto"/>
            <w:vAlign w:val="center"/>
          </w:tcPr>
          <w:p w14:paraId="257C5DAE"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 xml:space="preserve">Мангистауская </w:t>
            </w:r>
          </w:p>
        </w:tc>
        <w:tc>
          <w:tcPr>
            <w:tcW w:w="1653" w:type="dxa"/>
            <w:tcBorders>
              <w:left w:val="single" w:sz="4" w:space="0" w:color="000000"/>
              <w:bottom w:val="single" w:sz="4" w:space="0" w:color="000000"/>
            </w:tcBorders>
            <w:shd w:val="clear" w:color="auto" w:fill="auto"/>
          </w:tcPr>
          <w:p w14:paraId="2F22AAD0"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4 499</w:t>
            </w:r>
          </w:p>
        </w:tc>
        <w:tc>
          <w:tcPr>
            <w:tcW w:w="1470" w:type="dxa"/>
            <w:tcBorders>
              <w:left w:val="single" w:sz="4" w:space="0" w:color="000000"/>
              <w:bottom w:val="single" w:sz="4" w:space="0" w:color="000000"/>
            </w:tcBorders>
            <w:shd w:val="clear" w:color="auto" w:fill="auto"/>
            <w:vAlign w:val="bottom"/>
          </w:tcPr>
          <w:p w14:paraId="5FFFB5CB"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698 919</w:t>
            </w:r>
          </w:p>
        </w:tc>
        <w:tc>
          <w:tcPr>
            <w:tcW w:w="1590" w:type="dxa"/>
            <w:tcBorders>
              <w:left w:val="single" w:sz="4" w:space="0" w:color="000000"/>
              <w:bottom w:val="single" w:sz="4" w:space="0" w:color="000000"/>
            </w:tcBorders>
            <w:shd w:val="clear" w:color="auto" w:fill="auto"/>
            <w:vAlign w:val="center"/>
          </w:tcPr>
          <w:p w14:paraId="6FEE0A7B"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688 776</w:t>
            </w:r>
          </w:p>
        </w:tc>
        <w:tc>
          <w:tcPr>
            <w:tcW w:w="1365" w:type="dxa"/>
            <w:tcBorders>
              <w:left w:val="single" w:sz="4" w:space="0" w:color="000000"/>
              <w:bottom w:val="single" w:sz="4" w:space="0" w:color="000000"/>
            </w:tcBorders>
            <w:shd w:val="clear" w:color="auto" w:fill="auto"/>
            <w:vAlign w:val="center"/>
          </w:tcPr>
          <w:p w14:paraId="1A14F371"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99,0</w:t>
            </w:r>
          </w:p>
        </w:tc>
        <w:tc>
          <w:tcPr>
            <w:tcW w:w="1590" w:type="dxa"/>
            <w:tcBorders>
              <w:left w:val="single" w:sz="4" w:space="0" w:color="000000"/>
              <w:bottom w:val="single" w:sz="4" w:space="0" w:color="000000"/>
              <w:right w:val="single" w:sz="4" w:space="0" w:color="000000"/>
            </w:tcBorders>
            <w:shd w:val="clear" w:color="auto" w:fill="auto"/>
            <w:vAlign w:val="center"/>
          </w:tcPr>
          <w:p w14:paraId="30CBF91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98,6</w:t>
            </w:r>
          </w:p>
        </w:tc>
      </w:tr>
      <w:tr w:rsidR="00F0736F" w:rsidRPr="00F0736F" w14:paraId="01757C6D" w14:textId="77777777" w:rsidTr="00E86E40">
        <w:trPr>
          <w:trHeight w:val="183"/>
        </w:trPr>
        <w:tc>
          <w:tcPr>
            <w:tcW w:w="2262" w:type="dxa"/>
            <w:tcBorders>
              <w:left w:val="single" w:sz="4" w:space="0" w:color="000000"/>
              <w:bottom w:val="single" w:sz="4" w:space="0" w:color="000000"/>
            </w:tcBorders>
            <w:shd w:val="clear" w:color="auto" w:fill="auto"/>
            <w:vAlign w:val="center"/>
          </w:tcPr>
          <w:p w14:paraId="29469C21"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Павлодарская</w:t>
            </w:r>
          </w:p>
        </w:tc>
        <w:tc>
          <w:tcPr>
            <w:tcW w:w="1653" w:type="dxa"/>
            <w:tcBorders>
              <w:left w:val="single" w:sz="4" w:space="0" w:color="000000"/>
              <w:bottom w:val="single" w:sz="4" w:space="0" w:color="000000"/>
            </w:tcBorders>
            <w:shd w:val="clear" w:color="auto" w:fill="auto"/>
          </w:tcPr>
          <w:p w14:paraId="14E06D6A"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470" w:type="dxa"/>
            <w:tcBorders>
              <w:left w:val="single" w:sz="4" w:space="0" w:color="000000"/>
              <w:bottom w:val="single" w:sz="4" w:space="0" w:color="000000"/>
            </w:tcBorders>
            <w:shd w:val="clear" w:color="auto" w:fill="auto"/>
            <w:vAlign w:val="bottom"/>
          </w:tcPr>
          <w:p w14:paraId="00D243AB"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752 252</w:t>
            </w:r>
          </w:p>
        </w:tc>
        <w:tc>
          <w:tcPr>
            <w:tcW w:w="1590" w:type="dxa"/>
            <w:tcBorders>
              <w:left w:val="single" w:sz="4" w:space="0" w:color="000000"/>
              <w:bottom w:val="single" w:sz="4" w:space="0" w:color="000000"/>
            </w:tcBorders>
            <w:shd w:val="clear" w:color="auto" w:fill="auto"/>
            <w:vAlign w:val="center"/>
          </w:tcPr>
          <w:p w14:paraId="1D7AA787"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365" w:type="dxa"/>
            <w:tcBorders>
              <w:left w:val="single" w:sz="4" w:space="0" w:color="000000"/>
              <w:bottom w:val="single" w:sz="4" w:space="0" w:color="000000"/>
            </w:tcBorders>
            <w:shd w:val="clear" w:color="auto" w:fill="auto"/>
            <w:vAlign w:val="center"/>
          </w:tcPr>
          <w:p w14:paraId="0579A690"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590" w:type="dxa"/>
            <w:tcBorders>
              <w:left w:val="single" w:sz="4" w:space="0" w:color="000000"/>
              <w:bottom w:val="single" w:sz="4" w:space="0" w:color="000000"/>
              <w:right w:val="single" w:sz="4" w:space="0" w:color="000000"/>
            </w:tcBorders>
            <w:shd w:val="clear" w:color="auto" w:fill="auto"/>
            <w:vAlign w:val="center"/>
          </w:tcPr>
          <w:p w14:paraId="26F789F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r>
      <w:tr w:rsidR="00F0736F" w:rsidRPr="00F0736F" w14:paraId="5BA62A72" w14:textId="77777777" w:rsidTr="00E86E40">
        <w:trPr>
          <w:trHeight w:val="177"/>
        </w:trPr>
        <w:tc>
          <w:tcPr>
            <w:tcW w:w="2262" w:type="dxa"/>
            <w:tcBorders>
              <w:left w:val="single" w:sz="4" w:space="0" w:color="000000"/>
              <w:bottom w:val="single" w:sz="4" w:space="0" w:color="000000"/>
            </w:tcBorders>
            <w:shd w:val="clear" w:color="auto" w:fill="auto"/>
            <w:vAlign w:val="center"/>
          </w:tcPr>
          <w:p w14:paraId="133324B3"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СКО</w:t>
            </w:r>
          </w:p>
        </w:tc>
        <w:tc>
          <w:tcPr>
            <w:tcW w:w="1653" w:type="dxa"/>
            <w:tcBorders>
              <w:left w:val="single" w:sz="4" w:space="0" w:color="000000"/>
              <w:bottom w:val="single" w:sz="4" w:space="0" w:color="000000"/>
            </w:tcBorders>
            <w:shd w:val="clear" w:color="auto" w:fill="auto"/>
          </w:tcPr>
          <w:p w14:paraId="2C13A09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470" w:type="dxa"/>
            <w:tcBorders>
              <w:left w:val="single" w:sz="4" w:space="0" w:color="000000"/>
              <w:bottom w:val="single" w:sz="4" w:space="0" w:color="000000"/>
            </w:tcBorders>
            <w:shd w:val="clear" w:color="auto" w:fill="auto"/>
            <w:vAlign w:val="bottom"/>
          </w:tcPr>
          <w:p w14:paraId="08056980"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548 751</w:t>
            </w:r>
          </w:p>
        </w:tc>
        <w:tc>
          <w:tcPr>
            <w:tcW w:w="1590" w:type="dxa"/>
            <w:tcBorders>
              <w:left w:val="single" w:sz="4" w:space="0" w:color="000000"/>
              <w:bottom w:val="single" w:sz="4" w:space="0" w:color="000000"/>
            </w:tcBorders>
            <w:shd w:val="clear" w:color="auto" w:fill="auto"/>
            <w:vAlign w:val="center"/>
          </w:tcPr>
          <w:p w14:paraId="52AD0B6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365" w:type="dxa"/>
            <w:tcBorders>
              <w:left w:val="single" w:sz="4" w:space="0" w:color="000000"/>
              <w:bottom w:val="single" w:sz="4" w:space="0" w:color="000000"/>
            </w:tcBorders>
            <w:shd w:val="clear" w:color="auto" w:fill="auto"/>
            <w:vAlign w:val="center"/>
          </w:tcPr>
          <w:p w14:paraId="539B0EDC"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590" w:type="dxa"/>
            <w:tcBorders>
              <w:left w:val="single" w:sz="4" w:space="0" w:color="000000"/>
              <w:bottom w:val="single" w:sz="4" w:space="0" w:color="000000"/>
              <w:right w:val="single" w:sz="4" w:space="0" w:color="000000"/>
            </w:tcBorders>
            <w:shd w:val="clear" w:color="auto" w:fill="auto"/>
            <w:vAlign w:val="center"/>
          </w:tcPr>
          <w:p w14:paraId="7E9600B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r>
      <w:tr w:rsidR="00F0736F" w:rsidRPr="00F0736F" w14:paraId="6194B8E4" w14:textId="77777777" w:rsidTr="00E86E40">
        <w:trPr>
          <w:trHeight w:val="67"/>
        </w:trPr>
        <w:tc>
          <w:tcPr>
            <w:tcW w:w="2262" w:type="dxa"/>
            <w:tcBorders>
              <w:left w:val="single" w:sz="4" w:space="0" w:color="000000"/>
              <w:bottom w:val="single" w:sz="4" w:space="0" w:color="000000"/>
            </w:tcBorders>
            <w:shd w:val="clear" w:color="auto" w:fill="auto"/>
            <w:vAlign w:val="center"/>
          </w:tcPr>
          <w:p w14:paraId="10B739A6"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Туркестанская</w:t>
            </w:r>
          </w:p>
        </w:tc>
        <w:tc>
          <w:tcPr>
            <w:tcW w:w="1653" w:type="dxa"/>
            <w:tcBorders>
              <w:left w:val="single" w:sz="4" w:space="0" w:color="000000"/>
              <w:bottom w:val="single" w:sz="4" w:space="0" w:color="000000"/>
            </w:tcBorders>
            <w:shd w:val="clear" w:color="auto" w:fill="auto"/>
          </w:tcPr>
          <w:p w14:paraId="602B4DC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9 411</w:t>
            </w:r>
          </w:p>
        </w:tc>
        <w:tc>
          <w:tcPr>
            <w:tcW w:w="1470" w:type="dxa"/>
            <w:tcBorders>
              <w:left w:val="single" w:sz="4" w:space="0" w:color="000000"/>
              <w:bottom w:val="single" w:sz="4" w:space="0" w:color="000000"/>
            </w:tcBorders>
            <w:shd w:val="clear" w:color="auto" w:fill="auto"/>
            <w:vAlign w:val="bottom"/>
          </w:tcPr>
          <w:p w14:paraId="785489A9"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2 018 100</w:t>
            </w:r>
          </w:p>
        </w:tc>
        <w:tc>
          <w:tcPr>
            <w:tcW w:w="1590" w:type="dxa"/>
            <w:tcBorders>
              <w:left w:val="single" w:sz="4" w:space="0" w:color="000000"/>
              <w:bottom w:val="single" w:sz="4" w:space="0" w:color="000000"/>
            </w:tcBorders>
            <w:shd w:val="clear" w:color="auto" w:fill="auto"/>
            <w:vAlign w:val="center"/>
          </w:tcPr>
          <w:p w14:paraId="5E321094" w14:textId="51BB81AB"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1 152 672</w:t>
            </w:r>
          </w:p>
        </w:tc>
        <w:tc>
          <w:tcPr>
            <w:tcW w:w="1365" w:type="dxa"/>
            <w:tcBorders>
              <w:left w:val="single" w:sz="4" w:space="0" w:color="000000"/>
              <w:bottom w:val="single" w:sz="4" w:space="0" w:color="000000"/>
            </w:tcBorders>
            <w:shd w:val="clear" w:color="auto" w:fill="auto"/>
            <w:vAlign w:val="center"/>
          </w:tcPr>
          <w:p w14:paraId="41B2E51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54,7</w:t>
            </w:r>
          </w:p>
        </w:tc>
        <w:tc>
          <w:tcPr>
            <w:tcW w:w="1590" w:type="dxa"/>
            <w:tcBorders>
              <w:left w:val="single" w:sz="4" w:space="0" w:color="000000"/>
              <w:bottom w:val="single" w:sz="4" w:space="0" w:color="000000"/>
              <w:right w:val="single" w:sz="4" w:space="0" w:color="000000"/>
            </w:tcBorders>
            <w:shd w:val="clear" w:color="auto" w:fill="auto"/>
            <w:vAlign w:val="center"/>
          </w:tcPr>
          <w:p w14:paraId="070B8FB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57,1</w:t>
            </w:r>
          </w:p>
        </w:tc>
      </w:tr>
      <w:tr w:rsidR="00F0736F" w:rsidRPr="00F0736F" w14:paraId="23EA68EF" w14:textId="77777777" w:rsidTr="00E86E40">
        <w:trPr>
          <w:trHeight w:val="72"/>
        </w:trPr>
        <w:tc>
          <w:tcPr>
            <w:tcW w:w="2262" w:type="dxa"/>
            <w:tcBorders>
              <w:left w:val="single" w:sz="4" w:space="0" w:color="000000"/>
              <w:bottom w:val="single" w:sz="4" w:space="0" w:color="000000"/>
            </w:tcBorders>
            <w:shd w:val="clear" w:color="auto" w:fill="auto"/>
            <w:vAlign w:val="center"/>
          </w:tcPr>
          <w:p w14:paraId="2185EE21"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ВКО</w:t>
            </w:r>
          </w:p>
        </w:tc>
        <w:tc>
          <w:tcPr>
            <w:tcW w:w="1653" w:type="dxa"/>
            <w:tcBorders>
              <w:left w:val="single" w:sz="4" w:space="0" w:color="000000"/>
              <w:bottom w:val="single" w:sz="4" w:space="0" w:color="000000"/>
            </w:tcBorders>
            <w:shd w:val="clear" w:color="auto" w:fill="auto"/>
          </w:tcPr>
          <w:p w14:paraId="2A0D1FA9"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224</w:t>
            </w:r>
          </w:p>
        </w:tc>
        <w:tc>
          <w:tcPr>
            <w:tcW w:w="1470" w:type="dxa"/>
            <w:tcBorders>
              <w:left w:val="single" w:sz="4" w:space="0" w:color="000000"/>
              <w:bottom w:val="single" w:sz="4" w:space="0" w:color="000000"/>
            </w:tcBorders>
            <w:shd w:val="clear" w:color="auto" w:fill="auto"/>
            <w:vAlign w:val="bottom"/>
          </w:tcPr>
          <w:p w14:paraId="54846EA9"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1 369 635</w:t>
            </w:r>
          </w:p>
        </w:tc>
        <w:tc>
          <w:tcPr>
            <w:tcW w:w="1590" w:type="dxa"/>
            <w:tcBorders>
              <w:left w:val="single" w:sz="4" w:space="0" w:color="000000"/>
              <w:bottom w:val="single" w:sz="4" w:space="0" w:color="000000"/>
            </w:tcBorders>
            <w:shd w:val="clear" w:color="auto" w:fill="auto"/>
            <w:vAlign w:val="center"/>
          </w:tcPr>
          <w:p w14:paraId="7796222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16 362</w:t>
            </w:r>
          </w:p>
        </w:tc>
        <w:tc>
          <w:tcPr>
            <w:tcW w:w="1365" w:type="dxa"/>
            <w:tcBorders>
              <w:left w:val="single" w:sz="4" w:space="0" w:color="000000"/>
              <w:bottom w:val="single" w:sz="4" w:space="0" w:color="000000"/>
            </w:tcBorders>
            <w:shd w:val="clear" w:color="auto" w:fill="auto"/>
            <w:vAlign w:val="center"/>
          </w:tcPr>
          <w:p w14:paraId="55AA4847"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0,7</w:t>
            </w:r>
          </w:p>
        </w:tc>
        <w:tc>
          <w:tcPr>
            <w:tcW w:w="1590" w:type="dxa"/>
            <w:tcBorders>
              <w:left w:val="single" w:sz="4" w:space="0" w:color="000000"/>
              <w:bottom w:val="single" w:sz="4" w:space="0" w:color="000000"/>
              <w:right w:val="single" w:sz="4" w:space="0" w:color="000000"/>
            </w:tcBorders>
            <w:shd w:val="clear" w:color="auto" w:fill="auto"/>
            <w:vAlign w:val="center"/>
          </w:tcPr>
          <w:p w14:paraId="00A3B885"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1,2</w:t>
            </w:r>
          </w:p>
        </w:tc>
      </w:tr>
      <w:tr w:rsidR="00F0736F" w:rsidRPr="00F0736F" w14:paraId="041C5E30" w14:textId="77777777" w:rsidTr="00E86E40">
        <w:trPr>
          <w:trHeight w:val="63"/>
        </w:trPr>
        <w:tc>
          <w:tcPr>
            <w:tcW w:w="2262" w:type="dxa"/>
            <w:tcBorders>
              <w:left w:val="single" w:sz="4" w:space="0" w:color="000000"/>
              <w:bottom w:val="single" w:sz="4" w:space="0" w:color="000000"/>
            </w:tcBorders>
            <w:shd w:val="clear" w:color="auto" w:fill="auto"/>
            <w:vAlign w:val="bottom"/>
          </w:tcPr>
          <w:p w14:paraId="72C86F84"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г.Нур-Султан</w:t>
            </w:r>
          </w:p>
        </w:tc>
        <w:tc>
          <w:tcPr>
            <w:tcW w:w="1653" w:type="dxa"/>
            <w:tcBorders>
              <w:left w:val="single" w:sz="4" w:space="0" w:color="000000"/>
              <w:bottom w:val="single" w:sz="4" w:space="0" w:color="000000"/>
            </w:tcBorders>
            <w:shd w:val="clear" w:color="auto" w:fill="auto"/>
          </w:tcPr>
          <w:p w14:paraId="0E6B065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470" w:type="dxa"/>
            <w:tcBorders>
              <w:left w:val="single" w:sz="4" w:space="0" w:color="000000"/>
              <w:bottom w:val="single" w:sz="4" w:space="0" w:color="000000"/>
            </w:tcBorders>
            <w:shd w:val="clear" w:color="auto" w:fill="auto"/>
            <w:vAlign w:val="bottom"/>
          </w:tcPr>
          <w:p w14:paraId="3ADFF321"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1 136 008</w:t>
            </w:r>
          </w:p>
        </w:tc>
        <w:tc>
          <w:tcPr>
            <w:tcW w:w="1590" w:type="dxa"/>
            <w:tcBorders>
              <w:left w:val="single" w:sz="4" w:space="0" w:color="000000"/>
              <w:bottom w:val="single" w:sz="4" w:space="0" w:color="000000"/>
            </w:tcBorders>
            <w:shd w:val="clear" w:color="auto" w:fill="auto"/>
            <w:vAlign w:val="center"/>
          </w:tcPr>
          <w:p w14:paraId="3C7F0E8F"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365" w:type="dxa"/>
            <w:tcBorders>
              <w:left w:val="single" w:sz="4" w:space="0" w:color="000000"/>
              <w:bottom w:val="single" w:sz="4" w:space="0" w:color="000000"/>
            </w:tcBorders>
            <w:shd w:val="clear" w:color="auto" w:fill="auto"/>
            <w:vAlign w:val="center"/>
          </w:tcPr>
          <w:p w14:paraId="715E480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c>
          <w:tcPr>
            <w:tcW w:w="1590" w:type="dxa"/>
            <w:tcBorders>
              <w:left w:val="single" w:sz="4" w:space="0" w:color="000000"/>
              <w:bottom w:val="single" w:sz="4" w:space="0" w:color="000000"/>
              <w:right w:val="single" w:sz="4" w:space="0" w:color="000000"/>
            </w:tcBorders>
            <w:shd w:val="clear" w:color="auto" w:fill="auto"/>
            <w:vAlign w:val="center"/>
          </w:tcPr>
          <w:p w14:paraId="48FF458F"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0</w:t>
            </w:r>
          </w:p>
        </w:tc>
      </w:tr>
      <w:tr w:rsidR="00F0736F" w:rsidRPr="00F0736F" w14:paraId="4B126E84" w14:textId="77777777" w:rsidTr="00E86E40">
        <w:trPr>
          <w:trHeight w:val="63"/>
        </w:trPr>
        <w:tc>
          <w:tcPr>
            <w:tcW w:w="2262" w:type="dxa"/>
            <w:tcBorders>
              <w:left w:val="single" w:sz="4" w:space="0" w:color="000000"/>
              <w:bottom w:val="single" w:sz="4" w:space="0" w:color="000000"/>
            </w:tcBorders>
            <w:shd w:val="clear" w:color="auto" w:fill="auto"/>
            <w:vAlign w:val="center"/>
          </w:tcPr>
          <w:p w14:paraId="4F5605BE"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г. Алматы</w:t>
            </w:r>
          </w:p>
        </w:tc>
        <w:tc>
          <w:tcPr>
            <w:tcW w:w="1653" w:type="dxa"/>
            <w:tcBorders>
              <w:left w:val="single" w:sz="4" w:space="0" w:color="000000"/>
              <w:bottom w:val="single" w:sz="4" w:space="0" w:color="000000"/>
            </w:tcBorders>
            <w:shd w:val="clear" w:color="auto" w:fill="auto"/>
          </w:tcPr>
          <w:p w14:paraId="32272D9B"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5 309</w:t>
            </w:r>
          </w:p>
        </w:tc>
        <w:tc>
          <w:tcPr>
            <w:tcW w:w="1470" w:type="dxa"/>
            <w:tcBorders>
              <w:left w:val="single" w:sz="4" w:space="0" w:color="000000"/>
              <w:bottom w:val="single" w:sz="4" w:space="0" w:color="000000"/>
            </w:tcBorders>
            <w:shd w:val="clear" w:color="auto" w:fill="auto"/>
            <w:vAlign w:val="bottom"/>
          </w:tcPr>
          <w:p w14:paraId="240D5626"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1 916 782</w:t>
            </w:r>
          </w:p>
        </w:tc>
        <w:tc>
          <w:tcPr>
            <w:tcW w:w="1590" w:type="dxa"/>
            <w:tcBorders>
              <w:left w:val="single" w:sz="4" w:space="0" w:color="000000"/>
              <w:bottom w:val="single" w:sz="4" w:space="0" w:color="000000"/>
            </w:tcBorders>
            <w:shd w:val="clear" w:color="auto" w:fill="auto"/>
            <w:vAlign w:val="center"/>
          </w:tcPr>
          <w:p w14:paraId="2EAEA42E" w14:textId="216A5A69"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1 869 197</w:t>
            </w:r>
          </w:p>
        </w:tc>
        <w:tc>
          <w:tcPr>
            <w:tcW w:w="1365" w:type="dxa"/>
            <w:tcBorders>
              <w:left w:val="single" w:sz="4" w:space="0" w:color="000000"/>
              <w:bottom w:val="single" w:sz="4" w:space="0" w:color="000000"/>
            </w:tcBorders>
            <w:shd w:val="clear" w:color="auto" w:fill="auto"/>
            <w:vAlign w:val="center"/>
          </w:tcPr>
          <w:p w14:paraId="7CDD5146"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98,2</w:t>
            </w:r>
          </w:p>
        </w:tc>
        <w:tc>
          <w:tcPr>
            <w:tcW w:w="1590" w:type="dxa"/>
            <w:tcBorders>
              <w:left w:val="single" w:sz="4" w:space="0" w:color="000000"/>
              <w:bottom w:val="single" w:sz="4" w:space="0" w:color="000000"/>
              <w:right w:val="single" w:sz="4" w:space="0" w:color="000000"/>
            </w:tcBorders>
            <w:shd w:val="clear" w:color="auto" w:fill="auto"/>
            <w:vAlign w:val="center"/>
          </w:tcPr>
          <w:p w14:paraId="5183DF1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97,5</w:t>
            </w:r>
          </w:p>
        </w:tc>
      </w:tr>
      <w:tr w:rsidR="00F0736F" w:rsidRPr="00F0736F" w14:paraId="5A1214C5" w14:textId="77777777" w:rsidTr="00E86E40">
        <w:trPr>
          <w:trHeight w:val="58"/>
        </w:trPr>
        <w:tc>
          <w:tcPr>
            <w:tcW w:w="2262" w:type="dxa"/>
            <w:tcBorders>
              <w:left w:val="single" w:sz="4" w:space="0" w:color="000000"/>
              <w:bottom w:val="single" w:sz="4" w:space="0" w:color="000000"/>
            </w:tcBorders>
            <w:shd w:val="clear" w:color="auto" w:fill="auto"/>
            <w:vAlign w:val="bottom"/>
          </w:tcPr>
          <w:p w14:paraId="1D268CC8" w14:textId="77777777" w:rsidR="00F674A4" w:rsidRPr="00F0736F" w:rsidRDefault="00F674A4" w:rsidP="00D2630D">
            <w:pPr>
              <w:jc w:val="both"/>
              <w:rPr>
                <w:color w:val="000000" w:themeColor="text1"/>
              </w:rPr>
            </w:pPr>
            <w:r w:rsidRPr="00F0736F">
              <w:rPr>
                <w:rFonts w:ascii="Times New Roman" w:hAnsi="Times New Roman" w:cs="Times New Roman"/>
                <w:color w:val="000000" w:themeColor="text1"/>
                <w:sz w:val="20"/>
                <w:szCs w:val="20"/>
              </w:rPr>
              <w:t>г. Шымкент</w:t>
            </w:r>
          </w:p>
        </w:tc>
        <w:tc>
          <w:tcPr>
            <w:tcW w:w="1653" w:type="dxa"/>
            <w:tcBorders>
              <w:left w:val="single" w:sz="4" w:space="0" w:color="000000"/>
              <w:bottom w:val="single" w:sz="4" w:space="0" w:color="000000"/>
            </w:tcBorders>
            <w:shd w:val="clear" w:color="auto" w:fill="auto"/>
          </w:tcPr>
          <w:p w14:paraId="6AF38B6D"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6 340</w:t>
            </w:r>
          </w:p>
        </w:tc>
        <w:tc>
          <w:tcPr>
            <w:tcW w:w="1470" w:type="dxa"/>
            <w:tcBorders>
              <w:left w:val="single" w:sz="4" w:space="0" w:color="000000"/>
              <w:bottom w:val="single" w:sz="4" w:space="0" w:color="000000"/>
            </w:tcBorders>
            <w:shd w:val="clear" w:color="auto" w:fill="auto"/>
            <w:vAlign w:val="bottom"/>
          </w:tcPr>
          <w:p w14:paraId="1C38CC56" w14:textId="77777777" w:rsidR="00F674A4" w:rsidRPr="00F0736F" w:rsidRDefault="00F674A4" w:rsidP="006A7F28">
            <w:pPr>
              <w:jc w:val="center"/>
              <w:rPr>
                <w:color w:val="000000" w:themeColor="text1"/>
              </w:rPr>
            </w:pPr>
            <w:r w:rsidRPr="00F0736F">
              <w:rPr>
                <w:rFonts w:ascii="Times New Roman" w:hAnsi="Times New Roman" w:cs="Times New Roman"/>
                <w:color w:val="000000" w:themeColor="text1"/>
                <w:sz w:val="20"/>
                <w:szCs w:val="20"/>
              </w:rPr>
              <w:t>1 036 144</w:t>
            </w:r>
          </w:p>
        </w:tc>
        <w:tc>
          <w:tcPr>
            <w:tcW w:w="1590" w:type="dxa"/>
            <w:tcBorders>
              <w:left w:val="single" w:sz="4" w:space="0" w:color="000000"/>
              <w:bottom w:val="single" w:sz="4" w:space="0" w:color="000000"/>
            </w:tcBorders>
            <w:shd w:val="clear" w:color="auto" w:fill="auto"/>
            <w:vAlign w:val="center"/>
          </w:tcPr>
          <w:p w14:paraId="4A03BCE8"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951 833</w:t>
            </w:r>
          </w:p>
        </w:tc>
        <w:tc>
          <w:tcPr>
            <w:tcW w:w="1365" w:type="dxa"/>
            <w:tcBorders>
              <w:left w:val="single" w:sz="4" w:space="0" w:color="000000"/>
              <w:bottom w:val="single" w:sz="4" w:space="0" w:color="000000"/>
            </w:tcBorders>
            <w:shd w:val="clear" w:color="auto" w:fill="auto"/>
            <w:vAlign w:val="center"/>
          </w:tcPr>
          <w:p w14:paraId="0C72FCEE"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rPr>
              <w:t>92,0</w:t>
            </w:r>
          </w:p>
        </w:tc>
        <w:tc>
          <w:tcPr>
            <w:tcW w:w="1590" w:type="dxa"/>
            <w:tcBorders>
              <w:left w:val="single" w:sz="4" w:space="0" w:color="000000"/>
              <w:bottom w:val="single" w:sz="4" w:space="0" w:color="000000"/>
              <w:right w:val="single" w:sz="4" w:space="0" w:color="000000"/>
            </w:tcBorders>
            <w:shd w:val="clear" w:color="auto" w:fill="auto"/>
            <w:vAlign w:val="center"/>
          </w:tcPr>
          <w:p w14:paraId="325DF879" w14:textId="77777777" w:rsidR="00F674A4" w:rsidRPr="00F0736F" w:rsidRDefault="00F674A4" w:rsidP="006A7F28">
            <w:pPr>
              <w:tabs>
                <w:tab w:val="left" w:pos="709"/>
              </w:tabs>
              <w:jc w:val="center"/>
              <w:rPr>
                <w:color w:val="000000" w:themeColor="text1"/>
              </w:rPr>
            </w:pPr>
            <w:r w:rsidRPr="00F0736F">
              <w:rPr>
                <w:rFonts w:ascii="Times New Roman" w:hAnsi="Times New Roman" w:cs="Times New Roman"/>
                <w:color w:val="000000" w:themeColor="text1"/>
                <w:sz w:val="20"/>
                <w:szCs w:val="20"/>
                <w:lang w:val="kk-KZ"/>
              </w:rPr>
              <w:t>91,9</w:t>
            </w:r>
          </w:p>
        </w:tc>
      </w:tr>
    </w:tbl>
    <w:p w14:paraId="02B3A91B" w14:textId="77777777" w:rsidR="00F674A4" w:rsidRPr="00F0736F" w:rsidRDefault="00F674A4" w:rsidP="008727D9">
      <w:pPr>
        <w:tabs>
          <w:tab w:val="left" w:pos="709"/>
        </w:tabs>
        <w:ind w:firstLine="709"/>
        <w:jc w:val="both"/>
        <w:rPr>
          <w:i/>
          <w:color w:val="000000" w:themeColor="text1"/>
        </w:rPr>
      </w:pPr>
      <w:r w:rsidRPr="00F0736F">
        <w:rPr>
          <w:rFonts w:ascii="Times New Roman" w:eastAsia="Times New Roman" w:hAnsi="Times New Roman" w:cs="Times New Roman"/>
          <w:i/>
          <w:color w:val="000000" w:themeColor="text1"/>
          <w:spacing w:val="2"/>
          <w:sz w:val="20"/>
          <w:szCs w:val="20"/>
          <w:lang w:val="kk-KZ" w:eastAsia="ru-RU"/>
        </w:rPr>
        <w:t>Источник: данные Министерства энергетики РК</w:t>
      </w:r>
    </w:p>
    <w:p w14:paraId="416B14A0" w14:textId="77777777" w:rsidR="00F674A4" w:rsidRPr="00F0736F" w:rsidRDefault="00F674A4" w:rsidP="008727D9">
      <w:pPr>
        <w:tabs>
          <w:tab w:val="left" w:pos="709"/>
        </w:tabs>
        <w:ind w:firstLine="709"/>
        <w:jc w:val="both"/>
        <w:rPr>
          <w:rFonts w:ascii="Times New Roman" w:eastAsia="Times New Roman" w:hAnsi="Times New Roman" w:cs="Times New Roman"/>
          <w:color w:val="000000" w:themeColor="text1"/>
          <w:spacing w:val="2"/>
          <w:sz w:val="20"/>
          <w:szCs w:val="20"/>
          <w:lang w:val="kk-KZ" w:eastAsia="ru-RU"/>
        </w:rPr>
      </w:pPr>
    </w:p>
    <w:p w14:paraId="44031139" w14:textId="4BC8FA82" w:rsidR="00F674A4" w:rsidRPr="00F0736F" w:rsidRDefault="00F674A4" w:rsidP="008727D9">
      <w:pPr>
        <w:tabs>
          <w:tab w:val="left" w:pos="709"/>
        </w:tabs>
        <w:ind w:firstLine="709"/>
        <w:jc w:val="both"/>
        <w:rPr>
          <w:color w:val="000000" w:themeColor="text1"/>
        </w:rPr>
      </w:pPr>
      <w:r w:rsidRPr="00F0736F">
        <w:rPr>
          <w:rFonts w:ascii="Times New Roman" w:hAnsi="Times New Roman" w:cs="Times New Roman"/>
          <w:color w:val="000000" w:themeColor="text1"/>
        </w:rPr>
        <w:t>На газификацию страны из РБ в 2019 году на реализацию 88 проектов, из которых 16 – продолжающихся и 72 – новых проекта в Алматинской, Актюбинской, Жамбылской, Западно-Казахстанской, Мангистауской, Костанайской, Кызылординской, Восточно-Казахстанской, Карагандинской, Туркестанской областях и г. Нур-Султан</w:t>
      </w:r>
      <w:r w:rsidR="006A7F2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выделено 39,3 млрд. тенге. Всего за 2019 год завершено 36 проектов на сумму 15,4 млрд. тенге. За 2019 год дополнительно проведены 663,8 км газовых сетей. Количество газорегуляторных пунктов составило 1380 единиц, количество установленных приборов учета природного газа – 25</w:t>
      </w:r>
      <w:r w:rsidR="006A7F2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937 единиц. </w:t>
      </w:r>
      <w:r w:rsidRPr="00F0736F">
        <w:rPr>
          <w:rFonts w:ascii="Times New Roman" w:hAnsi="Times New Roman" w:cs="Times New Roman"/>
          <w:color w:val="000000" w:themeColor="text1"/>
          <w:lang w:eastAsia="ru-RU"/>
        </w:rPr>
        <w:t>По завершенным в 2019 году проектам более 100 тыс. населени</w:t>
      </w:r>
      <w:r w:rsidR="006A7F28" w:rsidRPr="00F0736F">
        <w:rPr>
          <w:rFonts w:ascii="Times New Roman" w:hAnsi="Times New Roman" w:cs="Times New Roman"/>
          <w:color w:val="000000" w:themeColor="text1"/>
          <w:lang w:eastAsia="ru-RU"/>
        </w:rPr>
        <w:t>я</w:t>
      </w:r>
      <w:r w:rsidRPr="00F0736F">
        <w:rPr>
          <w:rFonts w:ascii="Times New Roman" w:hAnsi="Times New Roman" w:cs="Times New Roman"/>
          <w:color w:val="000000" w:themeColor="text1"/>
          <w:lang w:eastAsia="ru-RU"/>
        </w:rPr>
        <w:t xml:space="preserve"> получило возможность подключиться к газу.</w:t>
      </w:r>
    </w:p>
    <w:p w14:paraId="44B8930B" w14:textId="77777777" w:rsidR="00F674A4" w:rsidRPr="00F0736F" w:rsidRDefault="00F674A4" w:rsidP="008B1FDA">
      <w:pPr>
        <w:ind w:firstLine="709"/>
        <w:jc w:val="both"/>
        <w:rPr>
          <w:color w:val="000000" w:themeColor="text1"/>
        </w:rPr>
      </w:pPr>
      <w:r w:rsidRPr="00F0736F">
        <w:rPr>
          <w:rFonts w:ascii="Times New Roman" w:hAnsi="Times New Roman" w:cs="Times New Roman"/>
          <w:color w:val="000000" w:themeColor="text1"/>
        </w:rPr>
        <w:t>Наибольший уровень газификации населения достигнут в Мангистауской, Атырауской областях и г. Алматы (почти 100%). Полностью остаются негазифицированными СКО, Карагандинская, Акмолинская, Павлодарская области и г. Нур-Султан (таблица 1.4.3., рис.1.4.2</w:t>
      </w:r>
      <w:r w:rsidR="00E86E4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p>
    <w:p w14:paraId="77EDF6F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2017 г</w:t>
      </w:r>
      <w:r w:rsidR="00E86E40"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ресурсы газа природного обеспечивались на 32,4% собственной добычей и на 16,1% импортом газа из стран СНГ. Наблюдалась тенденция увеличения доли природного газа в общем объеме природных ресурсов (от 19,3% в 2012 г. до 26% в 2017 г.). В 2017 году было добыто 52,9 млрд.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газа, а на 2018 год – 55,5 млрд.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spacing w:val="2"/>
        </w:rPr>
        <w:t>Внутреннее п</w:t>
      </w:r>
      <w:r w:rsidRPr="00F0736F">
        <w:rPr>
          <w:rFonts w:ascii="Times New Roman" w:hAnsi="Times New Roman" w:cs="Times New Roman"/>
          <w:color w:val="000000" w:themeColor="text1"/>
          <w:spacing w:val="2"/>
          <w:lang w:val="kk-KZ"/>
        </w:rPr>
        <w:t xml:space="preserve">отребление природного газа </w:t>
      </w:r>
      <w:r w:rsidRPr="00F0736F">
        <w:rPr>
          <w:rFonts w:ascii="Times New Roman" w:hAnsi="Times New Roman" w:cs="Times New Roman"/>
          <w:color w:val="000000" w:themeColor="text1"/>
          <w:spacing w:val="2"/>
        </w:rPr>
        <w:t>выросло</w:t>
      </w:r>
      <w:r w:rsidRPr="00F0736F">
        <w:rPr>
          <w:rFonts w:ascii="Times New Roman" w:hAnsi="Times New Roman" w:cs="Times New Roman"/>
          <w:color w:val="000000" w:themeColor="text1"/>
          <w:spacing w:val="2"/>
          <w:lang w:val="kk-KZ"/>
        </w:rPr>
        <w:t xml:space="preserve"> с </w:t>
      </w:r>
      <w:r w:rsidRPr="00F0736F">
        <w:rPr>
          <w:rFonts w:ascii="Times New Roman" w:hAnsi="Times New Roman" w:cs="Times New Roman"/>
          <w:color w:val="000000" w:themeColor="text1"/>
          <w:spacing w:val="2"/>
        </w:rPr>
        <w:t>13,2</w:t>
      </w:r>
      <w:r w:rsidRPr="00F0736F">
        <w:rPr>
          <w:rFonts w:ascii="Times New Roman" w:hAnsi="Times New Roman" w:cs="Times New Roman"/>
          <w:color w:val="000000" w:themeColor="text1"/>
          <w:spacing w:val="2"/>
          <w:lang w:val="kk-KZ"/>
        </w:rPr>
        <w:t xml:space="preserve"> млрд. м</w:t>
      </w:r>
      <w:r w:rsidRPr="00F0736F">
        <w:rPr>
          <w:rFonts w:ascii="Times New Roman" w:hAnsi="Times New Roman" w:cs="Times New Roman"/>
          <w:color w:val="000000" w:themeColor="text1"/>
          <w:spacing w:val="2"/>
          <w:vertAlign w:val="superscript"/>
          <w:lang w:val="kk-KZ"/>
        </w:rPr>
        <w:t>3</w:t>
      </w:r>
      <w:r w:rsidRPr="00F0736F">
        <w:rPr>
          <w:rFonts w:ascii="Times New Roman" w:hAnsi="Times New Roman" w:cs="Times New Roman"/>
          <w:color w:val="000000" w:themeColor="text1"/>
          <w:spacing w:val="2"/>
          <w:lang w:val="kk-KZ"/>
        </w:rPr>
        <w:t xml:space="preserve"> в 201</w:t>
      </w:r>
      <w:r w:rsidRPr="00F0736F">
        <w:rPr>
          <w:rFonts w:ascii="Times New Roman" w:hAnsi="Times New Roman" w:cs="Times New Roman"/>
          <w:color w:val="000000" w:themeColor="text1"/>
          <w:spacing w:val="2"/>
        </w:rPr>
        <w:t>6</w:t>
      </w:r>
      <w:r w:rsidRPr="00F0736F">
        <w:rPr>
          <w:rFonts w:ascii="Times New Roman" w:hAnsi="Times New Roman" w:cs="Times New Roman"/>
          <w:color w:val="000000" w:themeColor="text1"/>
          <w:spacing w:val="2"/>
          <w:lang w:val="kk-KZ"/>
        </w:rPr>
        <w:t xml:space="preserve"> году до 1</w:t>
      </w:r>
      <w:r w:rsidRPr="00F0736F">
        <w:rPr>
          <w:rFonts w:ascii="Times New Roman" w:hAnsi="Times New Roman" w:cs="Times New Roman"/>
          <w:color w:val="000000" w:themeColor="text1"/>
          <w:spacing w:val="2"/>
        </w:rPr>
        <w:t>4,8</w:t>
      </w:r>
      <w:r w:rsidRPr="00F0736F">
        <w:rPr>
          <w:rFonts w:ascii="Times New Roman" w:hAnsi="Times New Roman" w:cs="Times New Roman"/>
          <w:color w:val="000000" w:themeColor="text1"/>
          <w:spacing w:val="2"/>
          <w:lang w:val="kk-KZ"/>
        </w:rPr>
        <w:t xml:space="preserve"> млрд. м</w:t>
      </w:r>
      <w:r w:rsidRPr="00F0736F">
        <w:rPr>
          <w:rFonts w:ascii="Times New Roman" w:hAnsi="Times New Roman" w:cs="Times New Roman"/>
          <w:color w:val="000000" w:themeColor="text1"/>
          <w:spacing w:val="2"/>
          <w:vertAlign w:val="superscript"/>
          <w:lang w:val="kk-KZ"/>
        </w:rPr>
        <w:t>3</w:t>
      </w:r>
      <w:r w:rsidRPr="00F0736F">
        <w:rPr>
          <w:rFonts w:ascii="Times New Roman" w:hAnsi="Times New Roman" w:cs="Times New Roman"/>
          <w:color w:val="000000" w:themeColor="text1"/>
          <w:spacing w:val="2"/>
          <w:lang w:val="kk-KZ"/>
        </w:rPr>
        <w:t xml:space="preserve"> в 201</w:t>
      </w:r>
      <w:r w:rsidRPr="00F0736F">
        <w:rPr>
          <w:rFonts w:ascii="Times New Roman" w:hAnsi="Times New Roman" w:cs="Times New Roman"/>
          <w:color w:val="000000" w:themeColor="text1"/>
          <w:spacing w:val="2"/>
        </w:rPr>
        <w:t>8</w:t>
      </w:r>
      <w:r w:rsidRPr="00F0736F">
        <w:rPr>
          <w:rFonts w:ascii="Times New Roman" w:hAnsi="Times New Roman" w:cs="Times New Roman"/>
          <w:color w:val="000000" w:themeColor="text1"/>
          <w:spacing w:val="2"/>
          <w:lang w:val="kk-KZ"/>
        </w:rPr>
        <w:t xml:space="preserve"> году (рост на </w:t>
      </w:r>
      <w:r w:rsidRPr="00F0736F">
        <w:rPr>
          <w:rFonts w:ascii="Times New Roman" w:hAnsi="Times New Roman" w:cs="Times New Roman"/>
          <w:color w:val="000000" w:themeColor="text1"/>
          <w:spacing w:val="2"/>
        </w:rPr>
        <w:t>12</w:t>
      </w:r>
      <w:r w:rsidRPr="00F0736F">
        <w:rPr>
          <w:rFonts w:ascii="Times New Roman" w:hAnsi="Times New Roman" w:cs="Times New Roman"/>
          <w:color w:val="000000" w:themeColor="text1"/>
          <w:spacing w:val="2"/>
          <w:lang w:val="kk-KZ"/>
        </w:rPr>
        <w:t>%).</w:t>
      </w:r>
      <w:r w:rsidRPr="00F0736F">
        <w:rPr>
          <w:rFonts w:ascii="Times New Roman" w:hAnsi="Times New Roman" w:cs="Times New Roman"/>
          <w:color w:val="000000" w:themeColor="text1"/>
        </w:rPr>
        <w:t xml:space="preserve"> Основной задачей для газовой отрасли остается газификация населенных пунктов и объектов энергетики.</w:t>
      </w:r>
    </w:p>
    <w:p w14:paraId="27D7B777" w14:textId="3F1EB5C5" w:rsidR="00F674A4" w:rsidRPr="00F0736F" w:rsidRDefault="00F674A4" w:rsidP="006A7F28">
      <w:pPr>
        <w:ind w:firstLine="709"/>
        <w:jc w:val="both"/>
        <w:rPr>
          <w:rFonts w:asciiTheme="minorHAnsi" w:hAnsiTheme="minorHAnsi"/>
          <w:color w:val="000000" w:themeColor="text1"/>
        </w:rPr>
      </w:pPr>
      <w:r w:rsidRPr="00F0736F">
        <w:rPr>
          <w:rFonts w:ascii="Times New Roman" w:eastAsia="SimSun" w:hAnsi="Times New Roman" w:cs="Times New Roman"/>
          <w:iCs/>
          <w:color w:val="000000" w:themeColor="text1"/>
          <w:spacing w:val="2"/>
          <w:lang w:eastAsia="ru-RU"/>
        </w:rPr>
        <w:t>В ходе реализации недропользователями Программ</w:t>
      </w:r>
      <w:r w:rsidR="00E86E40" w:rsidRPr="00F0736F">
        <w:rPr>
          <w:rFonts w:ascii="Times New Roman" w:eastAsia="SimSun" w:hAnsi="Times New Roman" w:cs="Times New Roman"/>
          <w:iCs/>
          <w:color w:val="000000" w:themeColor="text1"/>
          <w:spacing w:val="2"/>
          <w:lang w:eastAsia="ru-RU"/>
        </w:rPr>
        <w:t>ы</w:t>
      </w:r>
      <w:r w:rsidRPr="00F0736F">
        <w:rPr>
          <w:rFonts w:ascii="Times New Roman" w:eastAsia="SimSun" w:hAnsi="Times New Roman" w:cs="Times New Roman"/>
          <w:iCs/>
          <w:color w:val="000000" w:themeColor="text1"/>
          <w:spacing w:val="2"/>
          <w:lang w:eastAsia="ru-RU"/>
        </w:rPr>
        <w:t xml:space="preserve"> развития </w:t>
      </w:r>
      <w:r w:rsidRPr="00F0736F">
        <w:rPr>
          <w:rFonts w:ascii="Times New Roman" w:eastAsia="SimSun" w:hAnsi="Times New Roman" w:cs="Times New Roman"/>
          <w:b/>
          <w:iCs/>
          <w:color w:val="000000" w:themeColor="text1"/>
          <w:spacing w:val="2"/>
          <w:lang w:eastAsia="ru-RU"/>
        </w:rPr>
        <w:t>переработки сырого газа</w:t>
      </w:r>
      <w:r w:rsidRPr="00F0736F">
        <w:rPr>
          <w:rFonts w:ascii="Times New Roman" w:eastAsia="SimSun" w:hAnsi="Times New Roman" w:cs="Times New Roman"/>
          <w:iCs/>
          <w:color w:val="000000" w:themeColor="text1"/>
          <w:spacing w:val="2"/>
          <w:lang w:eastAsia="ru-RU"/>
        </w:rPr>
        <w:t>, объем сжигаемого попутного газа при добыче нефти за 2018 год снизился на 30% в сравнении с прошлым 2017 годом (1043,5 млн. м</w:t>
      </w:r>
      <w:r w:rsidRPr="00F0736F">
        <w:rPr>
          <w:rFonts w:ascii="Times New Roman" w:eastAsia="SimSun" w:hAnsi="Times New Roman" w:cs="Times New Roman"/>
          <w:iCs/>
          <w:color w:val="000000" w:themeColor="text1"/>
          <w:spacing w:val="2"/>
          <w:vertAlign w:val="superscript"/>
          <w:lang w:eastAsia="ru-RU"/>
        </w:rPr>
        <w:t>3</w:t>
      </w:r>
      <w:r w:rsidRPr="00F0736F">
        <w:rPr>
          <w:rFonts w:ascii="Times New Roman" w:eastAsia="SimSun" w:hAnsi="Times New Roman" w:cs="Times New Roman"/>
          <w:iCs/>
          <w:color w:val="000000" w:themeColor="text1"/>
          <w:spacing w:val="2"/>
          <w:lang w:eastAsia="ru-RU"/>
        </w:rPr>
        <w:t>) и составил 731,5 млн. м</w:t>
      </w:r>
      <w:r w:rsidRPr="00F0736F">
        <w:rPr>
          <w:rFonts w:ascii="Times New Roman" w:eastAsia="SimSun" w:hAnsi="Times New Roman" w:cs="Times New Roman"/>
          <w:iCs/>
          <w:color w:val="000000" w:themeColor="text1"/>
          <w:spacing w:val="2"/>
          <w:vertAlign w:val="superscript"/>
          <w:lang w:eastAsia="ru-RU"/>
        </w:rPr>
        <w:t>3</w:t>
      </w:r>
      <w:r w:rsidRPr="00F0736F">
        <w:rPr>
          <w:rFonts w:ascii="Times New Roman" w:eastAsia="SimSun" w:hAnsi="Times New Roman" w:cs="Times New Roman"/>
          <w:iCs/>
          <w:color w:val="000000" w:themeColor="text1"/>
          <w:spacing w:val="2"/>
          <w:lang w:eastAsia="ru-RU"/>
        </w:rPr>
        <w:t xml:space="preserve">, при увеличении добычи нефти с </w:t>
      </w:r>
      <w:r w:rsidRPr="00F0736F">
        <w:rPr>
          <w:rFonts w:ascii="Times New Roman" w:eastAsia="SimSun" w:hAnsi="Times New Roman" w:cs="Times New Roman"/>
          <w:bCs/>
          <w:iCs/>
          <w:color w:val="000000" w:themeColor="text1"/>
          <w:spacing w:val="2"/>
          <w:lang w:eastAsia="ru-RU"/>
        </w:rPr>
        <w:t>86,2</w:t>
      </w:r>
      <w:r w:rsidRPr="00F0736F">
        <w:rPr>
          <w:rFonts w:ascii="Times New Roman" w:eastAsia="SimSun" w:hAnsi="Times New Roman" w:cs="Times New Roman"/>
          <w:iCs/>
          <w:color w:val="000000" w:themeColor="text1"/>
          <w:spacing w:val="2"/>
          <w:lang w:eastAsia="ru-RU"/>
        </w:rPr>
        <w:t xml:space="preserve"> </w:t>
      </w:r>
      <w:r w:rsidRPr="00F0736F">
        <w:rPr>
          <w:rFonts w:ascii="Times New Roman" w:eastAsia="SimSun" w:hAnsi="Times New Roman" w:cs="Times New Roman"/>
          <w:bCs/>
          <w:iCs/>
          <w:color w:val="000000" w:themeColor="text1"/>
          <w:spacing w:val="2"/>
          <w:lang w:eastAsia="ru-RU"/>
        </w:rPr>
        <w:t xml:space="preserve">млн. </w:t>
      </w:r>
      <w:r w:rsidR="00AC18E0" w:rsidRPr="00F0736F">
        <w:rPr>
          <w:rFonts w:ascii="Times New Roman" w:eastAsia="SimSun" w:hAnsi="Times New Roman" w:cs="Times New Roman"/>
          <w:bCs/>
          <w:iCs/>
          <w:color w:val="000000" w:themeColor="text1"/>
          <w:spacing w:val="2"/>
          <w:lang w:eastAsia="ru-RU"/>
        </w:rPr>
        <w:t>т.</w:t>
      </w:r>
      <w:r w:rsidRPr="00F0736F">
        <w:rPr>
          <w:rFonts w:ascii="Times New Roman" w:eastAsia="SimSun" w:hAnsi="Times New Roman" w:cs="Times New Roman"/>
          <w:iCs/>
          <w:color w:val="000000" w:themeColor="text1"/>
          <w:spacing w:val="2"/>
          <w:lang w:eastAsia="ru-RU"/>
        </w:rPr>
        <w:t xml:space="preserve"> в 2017 году до </w:t>
      </w:r>
      <w:r w:rsidRPr="00F0736F">
        <w:rPr>
          <w:rFonts w:ascii="Times New Roman" w:eastAsia="SimSun" w:hAnsi="Times New Roman" w:cs="Times New Roman"/>
          <w:bCs/>
          <w:iCs/>
          <w:color w:val="000000" w:themeColor="text1"/>
          <w:spacing w:val="2"/>
          <w:lang w:eastAsia="ru-RU"/>
        </w:rPr>
        <w:t xml:space="preserve">90,36 млн. </w:t>
      </w:r>
      <w:r w:rsidR="00AC18E0" w:rsidRPr="00F0736F">
        <w:rPr>
          <w:rFonts w:ascii="Times New Roman" w:eastAsia="SimSun" w:hAnsi="Times New Roman" w:cs="Times New Roman"/>
          <w:bCs/>
          <w:iCs/>
          <w:color w:val="000000" w:themeColor="text1"/>
          <w:spacing w:val="2"/>
          <w:lang w:eastAsia="ru-RU"/>
        </w:rPr>
        <w:t>т.</w:t>
      </w:r>
      <w:r w:rsidRPr="00F0736F">
        <w:rPr>
          <w:rFonts w:ascii="Times New Roman" w:eastAsia="SimSun" w:hAnsi="Times New Roman" w:cs="Times New Roman"/>
          <w:iCs/>
          <w:color w:val="000000" w:themeColor="text1"/>
          <w:spacing w:val="2"/>
          <w:lang w:eastAsia="ru-RU"/>
        </w:rPr>
        <w:t xml:space="preserve"> в 2018 году и газа с </w:t>
      </w:r>
      <w:r w:rsidRPr="00F0736F">
        <w:rPr>
          <w:rFonts w:ascii="Times New Roman" w:eastAsia="SimSun" w:hAnsi="Times New Roman" w:cs="Times New Roman"/>
          <w:bCs/>
          <w:iCs/>
          <w:color w:val="000000" w:themeColor="text1"/>
          <w:spacing w:val="2"/>
          <w:lang w:eastAsia="ru-RU"/>
        </w:rPr>
        <w:t>52,9</w:t>
      </w:r>
      <w:r w:rsidRPr="00F0736F">
        <w:rPr>
          <w:rFonts w:ascii="Times New Roman" w:eastAsia="SimSun" w:hAnsi="Times New Roman" w:cs="Times New Roman"/>
          <w:iCs/>
          <w:color w:val="000000" w:themeColor="text1"/>
          <w:spacing w:val="2"/>
          <w:lang w:eastAsia="ru-RU"/>
        </w:rPr>
        <w:t xml:space="preserve"> до </w:t>
      </w:r>
      <w:r w:rsidRPr="00F0736F">
        <w:rPr>
          <w:rFonts w:ascii="Times New Roman" w:eastAsia="SimSun" w:hAnsi="Times New Roman" w:cs="Times New Roman"/>
          <w:bCs/>
          <w:iCs/>
          <w:color w:val="000000" w:themeColor="text1"/>
          <w:spacing w:val="2"/>
          <w:lang w:eastAsia="ru-RU"/>
        </w:rPr>
        <w:t>55,5 млрд. м</w:t>
      </w:r>
      <w:r w:rsidRPr="00F0736F">
        <w:rPr>
          <w:rFonts w:ascii="Times New Roman" w:eastAsia="SimSun" w:hAnsi="Times New Roman" w:cs="Times New Roman"/>
          <w:bCs/>
          <w:iCs/>
          <w:color w:val="000000" w:themeColor="text1"/>
          <w:spacing w:val="2"/>
          <w:vertAlign w:val="superscript"/>
          <w:lang w:eastAsia="ru-RU"/>
        </w:rPr>
        <w:t>3</w:t>
      </w:r>
      <w:r w:rsidRPr="00F0736F">
        <w:rPr>
          <w:rFonts w:ascii="Times New Roman" w:eastAsia="SimSun" w:hAnsi="Times New Roman" w:cs="Times New Roman"/>
          <w:iCs/>
          <w:color w:val="000000" w:themeColor="text1"/>
          <w:spacing w:val="2"/>
          <w:lang w:eastAsia="ru-RU"/>
        </w:rPr>
        <w:t xml:space="preserve"> соответственно. При этом объем утилизированного газа увеличился с 51,9 млрд. м</w:t>
      </w:r>
      <w:r w:rsidRPr="00F0736F">
        <w:rPr>
          <w:rFonts w:ascii="Times New Roman" w:eastAsia="SimSun" w:hAnsi="Times New Roman" w:cs="Times New Roman"/>
          <w:iCs/>
          <w:color w:val="000000" w:themeColor="text1"/>
          <w:spacing w:val="2"/>
          <w:vertAlign w:val="superscript"/>
          <w:lang w:eastAsia="ru-RU"/>
        </w:rPr>
        <w:t>3</w:t>
      </w:r>
      <w:r w:rsidRPr="00F0736F">
        <w:rPr>
          <w:rFonts w:ascii="Times New Roman" w:eastAsia="SimSun" w:hAnsi="Times New Roman" w:cs="Times New Roman"/>
          <w:iCs/>
          <w:color w:val="000000" w:themeColor="text1"/>
          <w:spacing w:val="2"/>
          <w:lang w:eastAsia="ru-RU"/>
        </w:rPr>
        <w:t xml:space="preserve"> до 54,7 млрд. м</w:t>
      </w:r>
      <w:r w:rsidRPr="00F0736F">
        <w:rPr>
          <w:rFonts w:ascii="Times New Roman" w:eastAsia="SimSun" w:hAnsi="Times New Roman" w:cs="Times New Roman"/>
          <w:iCs/>
          <w:color w:val="000000" w:themeColor="text1"/>
          <w:spacing w:val="2"/>
          <w:vertAlign w:val="superscript"/>
          <w:lang w:eastAsia="ru-RU"/>
        </w:rPr>
        <w:t>3</w:t>
      </w:r>
      <w:r w:rsidR="00E86E40" w:rsidRPr="00F0736F">
        <w:rPr>
          <w:rFonts w:ascii="Times New Roman" w:eastAsia="SimSun" w:hAnsi="Times New Roman" w:cs="Times New Roman"/>
          <w:iCs/>
          <w:color w:val="000000" w:themeColor="text1"/>
          <w:spacing w:val="2"/>
          <w:lang w:eastAsia="ru-RU"/>
        </w:rPr>
        <w:t>, т.</w:t>
      </w:r>
      <w:r w:rsidRPr="00F0736F">
        <w:rPr>
          <w:rFonts w:ascii="Times New Roman" w:eastAsia="SimSun" w:hAnsi="Times New Roman" w:cs="Times New Roman"/>
          <w:iCs/>
          <w:color w:val="000000" w:themeColor="text1"/>
          <w:spacing w:val="2"/>
          <w:lang w:eastAsia="ru-RU"/>
        </w:rPr>
        <w:t>е. на 2,8 млрд. м</w:t>
      </w:r>
      <w:r w:rsidRPr="00F0736F">
        <w:rPr>
          <w:rFonts w:ascii="Times New Roman" w:eastAsia="SimSun" w:hAnsi="Times New Roman" w:cs="Times New Roman"/>
          <w:iCs/>
          <w:color w:val="000000" w:themeColor="text1"/>
          <w:spacing w:val="2"/>
          <w:vertAlign w:val="superscript"/>
          <w:lang w:eastAsia="ru-RU"/>
        </w:rPr>
        <w:t>3</w:t>
      </w:r>
      <w:r w:rsidRPr="00F0736F">
        <w:rPr>
          <w:rFonts w:ascii="Times New Roman" w:eastAsia="SimSun" w:hAnsi="Times New Roman" w:cs="Times New Roman"/>
          <w:iCs/>
          <w:color w:val="000000" w:themeColor="text1"/>
          <w:spacing w:val="2"/>
          <w:lang w:eastAsia="ru-RU"/>
        </w:rPr>
        <w:t>, что в целом положительно влияет на экологическую ситуацию в регионах страны и способствует рациональному использованию ресурсов газа.</w:t>
      </w:r>
    </w:p>
    <w:p w14:paraId="183022CE" w14:textId="77777777" w:rsidR="006A7F28" w:rsidRPr="00F0736F" w:rsidRDefault="006A7F28" w:rsidP="006A7F28">
      <w:pPr>
        <w:ind w:firstLine="709"/>
        <w:jc w:val="both"/>
        <w:rPr>
          <w:rFonts w:asciiTheme="minorHAnsi" w:hAnsiTheme="minorHAnsi"/>
          <w:color w:val="000000" w:themeColor="text1"/>
        </w:rPr>
      </w:pPr>
    </w:p>
    <w:p w14:paraId="19A62953" w14:textId="77777777" w:rsidR="00F674A4" w:rsidRPr="00F0736F" w:rsidRDefault="00797A05" w:rsidP="006A7F28">
      <w:pPr>
        <w:jc w:val="both"/>
        <w:rPr>
          <w:rFonts w:ascii="Times New Roman" w:hAnsi="Times New Roman" w:cs="Times New Roman"/>
          <w:color w:val="000000" w:themeColor="text1"/>
        </w:rPr>
      </w:pPr>
      <w:r w:rsidRPr="00F0736F">
        <w:rPr>
          <w:noProof/>
          <w:color w:val="000000" w:themeColor="text1"/>
          <w:lang w:eastAsia="ru-RU" w:bidi="ar-SA"/>
        </w:rPr>
        <w:drawing>
          <wp:anchor distT="0" distB="0" distL="0" distR="0" simplePos="0" relativeHeight="251654656" behindDoc="0" locked="0" layoutInCell="1" allowOverlap="1" wp14:anchorId="3F9B32FB" wp14:editId="474C4AFF">
            <wp:simplePos x="0" y="0"/>
            <wp:positionH relativeFrom="column">
              <wp:posOffset>841375</wp:posOffset>
            </wp:positionH>
            <wp:positionV relativeFrom="paragraph">
              <wp:posOffset>5080</wp:posOffset>
            </wp:positionV>
            <wp:extent cx="4752975" cy="3175635"/>
            <wp:effectExtent l="1905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1144" t="-1830" r="-1144" b="-1830"/>
                    <a:stretch>
                      <a:fillRect/>
                    </a:stretch>
                  </pic:blipFill>
                  <pic:spPr bwMode="auto">
                    <a:xfrm>
                      <a:off x="0" y="0"/>
                      <a:ext cx="4752975" cy="3175635"/>
                    </a:xfrm>
                    <a:prstGeom prst="rect">
                      <a:avLst/>
                    </a:prstGeom>
                    <a:solidFill>
                      <a:srgbClr val="FFFFFF"/>
                    </a:solidFill>
                    <a:ln w="9525">
                      <a:noFill/>
                      <a:miter lim="800000"/>
                      <a:headEnd/>
                      <a:tailEnd/>
                    </a:ln>
                  </pic:spPr>
                </pic:pic>
              </a:graphicData>
            </a:graphic>
          </wp:anchor>
        </w:drawing>
      </w:r>
    </w:p>
    <w:p w14:paraId="168C0782" w14:textId="77777777" w:rsidR="00F674A4" w:rsidRPr="00F0736F" w:rsidRDefault="00F674A4" w:rsidP="008727D9">
      <w:pPr>
        <w:ind w:firstLine="709"/>
        <w:jc w:val="both"/>
        <w:rPr>
          <w:rFonts w:ascii="Times New Roman" w:hAnsi="Times New Roman" w:cs="Times New Roman"/>
          <w:color w:val="000000" w:themeColor="text1"/>
        </w:rPr>
      </w:pPr>
    </w:p>
    <w:p w14:paraId="1508BC1A" w14:textId="77777777" w:rsidR="00F674A4" w:rsidRPr="00F0736F" w:rsidRDefault="00F674A4" w:rsidP="008727D9">
      <w:pPr>
        <w:ind w:firstLine="709"/>
        <w:jc w:val="both"/>
        <w:rPr>
          <w:rFonts w:ascii="Times New Roman" w:hAnsi="Times New Roman" w:cs="Times New Roman"/>
          <w:color w:val="000000" w:themeColor="text1"/>
        </w:rPr>
      </w:pPr>
    </w:p>
    <w:p w14:paraId="0B24FBED" w14:textId="77777777" w:rsidR="00F674A4" w:rsidRPr="00F0736F" w:rsidRDefault="00F674A4" w:rsidP="008727D9">
      <w:pPr>
        <w:ind w:firstLine="709"/>
        <w:jc w:val="both"/>
        <w:rPr>
          <w:rFonts w:ascii="Times New Roman" w:hAnsi="Times New Roman" w:cs="Times New Roman"/>
          <w:color w:val="000000" w:themeColor="text1"/>
        </w:rPr>
      </w:pPr>
    </w:p>
    <w:p w14:paraId="24E17BB5" w14:textId="77777777" w:rsidR="00F674A4" w:rsidRPr="00F0736F" w:rsidRDefault="00F674A4" w:rsidP="008727D9">
      <w:pPr>
        <w:ind w:firstLine="709"/>
        <w:jc w:val="both"/>
        <w:rPr>
          <w:rFonts w:ascii="Times New Roman" w:hAnsi="Times New Roman" w:cs="Times New Roman"/>
          <w:color w:val="000000" w:themeColor="text1"/>
        </w:rPr>
      </w:pPr>
    </w:p>
    <w:p w14:paraId="7953829A" w14:textId="77777777" w:rsidR="00F674A4" w:rsidRPr="00F0736F" w:rsidRDefault="00F674A4" w:rsidP="008727D9">
      <w:pPr>
        <w:ind w:firstLine="709"/>
        <w:jc w:val="both"/>
        <w:rPr>
          <w:rFonts w:ascii="Times New Roman" w:hAnsi="Times New Roman" w:cs="Times New Roman"/>
          <w:color w:val="000000" w:themeColor="text1"/>
        </w:rPr>
      </w:pPr>
    </w:p>
    <w:p w14:paraId="13C64276" w14:textId="77777777" w:rsidR="00F674A4" w:rsidRPr="00F0736F" w:rsidRDefault="00F674A4" w:rsidP="008727D9">
      <w:pPr>
        <w:ind w:firstLine="709"/>
        <w:jc w:val="both"/>
        <w:rPr>
          <w:rFonts w:ascii="Times New Roman" w:hAnsi="Times New Roman" w:cs="Times New Roman"/>
          <w:color w:val="000000" w:themeColor="text1"/>
        </w:rPr>
      </w:pPr>
    </w:p>
    <w:p w14:paraId="37F06DBA" w14:textId="77777777" w:rsidR="00F674A4" w:rsidRPr="00F0736F" w:rsidRDefault="00F674A4" w:rsidP="008727D9">
      <w:pPr>
        <w:ind w:firstLine="709"/>
        <w:jc w:val="both"/>
        <w:rPr>
          <w:rFonts w:ascii="Times New Roman" w:hAnsi="Times New Roman" w:cs="Times New Roman"/>
          <w:color w:val="000000" w:themeColor="text1"/>
        </w:rPr>
      </w:pPr>
    </w:p>
    <w:p w14:paraId="1DAE4FA4" w14:textId="77777777" w:rsidR="00F674A4" w:rsidRPr="00F0736F" w:rsidRDefault="00F674A4" w:rsidP="008727D9">
      <w:pPr>
        <w:ind w:firstLine="709"/>
        <w:jc w:val="both"/>
        <w:rPr>
          <w:rFonts w:ascii="Times New Roman" w:hAnsi="Times New Roman" w:cs="Times New Roman"/>
          <w:color w:val="000000" w:themeColor="text1"/>
        </w:rPr>
      </w:pPr>
    </w:p>
    <w:p w14:paraId="4331FC9A" w14:textId="77777777" w:rsidR="00F674A4" w:rsidRPr="00F0736F" w:rsidRDefault="00F674A4" w:rsidP="008727D9">
      <w:pPr>
        <w:ind w:firstLine="709"/>
        <w:jc w:val="both"/>
        <w:rPr>
          <w:rFonts w:ascii="Times New Roman" w:hAnsi="Times New Roman" w:cs="Times New Roman"/>
          <w:color w:val="000000" w:themeColor="text1"/>
        </w:rPr>
      </w:pPr>
    </w:p>
    <w:p w14:paraId="6FB4785C" w14:textId="77777777" w:rsidR="00F674A4" w:rsidRPr="00F0736F" w:rsidRDefault="00F674A4" w:rsidP="008727D9">
      <w:pPr>
        <w:ind w:firstLine="709"/>
        <w:jc w:val="both"/>
        <w:rPr>
          <w:rFonts w:ascii="Times New Roman" w:hAnsi="Times New Roman" w:cs="Times New Roman"/>
          <w:color w:val="000000" w:themeColor="text1"/>
        </w:rPr>
      </w:pPr>
    </w:p>
    <w:p w14:paraId="797A4825" w14:textId="77777777" w:rsidR="00F674A4" w:rsidRPr="00F0736F" w:rsidRDefault="00F674A4" w:rsidP="008727D9">
      <w:pPr>
        <w:ind w:firstLine="709"/>
        <w:jc w:val="both"/>
        <w:rPr>
          <w:rFonts w:ascii="Times New Roman" w:hAnsi="Times New Roman" w:cs="Times New Roman"/>
          <w:color w:val="000000" w:themeColor="text1"/>
        </w:rPr>
      </w:pPr>
    </w:p>
    <w:p w14:paraId="632EB4D7" w14:textId="77777777" w:rsidR="00F674A4" w:rsidRPr="00F0736F" w:rsidRDefault="00F674A4" w:rsidP="008727D9">
      <w:pPr>
        <w:ind w:firstLine="709"/>
        <w:jc w:val="both"/>
        <w:rPr>
          <w:rFonts w:ascii="Times New Roman" w:hAnsi="Times New Roman" w:cs="Times New Roman"/>
          <w:color w:val="000000" w:themeColor="text1"/>
        </w:rPr>
      </w:pPr>
    </w:p>
    <w:p w14:paraId="11DC909F" w14:textId="77777777" w:rsidR="00F674A4" w:rsidRPr="00F0736F" w:rsidRDefault="00F674A4" w:rsidP="008727D9">
      <w:pPr>
        <w:ind w:firstLine="709"/>
        <w:jc w:val="both"/>
        <w:rPr>
          <w:rFonts w:ascii="Times New Roman" w:hAnsi="Times New Roman" w:cs="Times New Roman"/>
          <w:color w:val="000000" w:themeColor="text1"/>
        </w:rPr>
      </w:pPr>
    </w:p>
    <w:p w14:paraId="55A4E88B" w14:textId="77777777" w:rsidR="00F674A4" w:rsidRPr="00F0736F" w:rsidRDefault="00F674A4" w:rsidP="008727D9">
      <w:pPr>
        <w:ind w:firstLine="709"/>
        <w:jc w:val="both"/>
        <w:rPr>
          <w:rFonts w:ascii="Times New Roman" w:hAnsi="Times New Roman" w:cs="Times New Roman"/>
          <w:color w:val="000000" w:themeColor="text1"/>
        </w:rPr>
      </w:pPr>
    </w:p>
    <w:p w14:paraId="327A12F5" w14:textId="77777777" w:rsidR="00F674A4" w:rsidRPr="00F0736F" w:rsidRDefault="00F674A4" w:rsidP="008727D9">
      <w:pPr>
        <w:ind w:firstLine="709"/>
        <w:jc w:val="both"/>
        <w:rPr>
          <w:rFonts w:ascii="Times New Roman" w:hAnsi="Times New Roman" w:cs="Times New Roman"/>
          <w:color w:val="000000" w:themeColor="text1"/>
        </w:rPr>
      </w:pPr>
    </w:p>
    <w:p w14:paraId="10362184" w14:textId="77777777" w:rsidR="00F674A4" w:rsidRPr="00F0736F" w:rsidRDefault="00F674A4" w:rsidP="008727D9">
      <w:pPr>
        <w:ind w:firstLine="709"/>
        <w:jc w:val="both"/>
        <w:rPr>
          <w:rFonts w:ascii="Times New Roman" w:hAnsi="Times New Roman" w:cs="Times New Roman"/>
          <w:color w:val="000000" w:themeColor="text1"/>
        </w:rPr>
      </w:pPr>
    </w:p>
    <w:p w14:paraId="07B076A2" w14:textId="77777777" w:rsidR="00F674A4" w:rsidRPr="00F0736F" w:rsidRDefault="00F674A4" w:rsidP="008727D9">
      <w:pPr>
        <w:ind w:firstLine="709"/>
        <w:jc w:val="both"/>
        <w:rPr>
          <w:rFonts w:ascii="Times New Roman" w:hAnsi="Times New Roman" w:cs="Times New Roman"/>
          <w:color w:val="000000" w:themeColor="text1"/>
        </w:rPr>
      </w:pPr>
    </w:p>
    <w:p w14:paraId="17C3E8BD" w14:textId="77777777" w:rsidR="00F674A4" w:rsidRPr="00F0736F" w:rsidRDefault="00F674A4" w:rsidP="008727D9">
      <w:pPr>
        <w:ind w:firstLine="709"/>
        <w:jc w:val="both"/>
        <w:rPr>
          <w:rFonts w:ascii="Times New Roman" w:hAnsi="Times New Roman" w:cs="Times New Roman"/>
          <w:color w:val="000000" w:themeColor="text1"/>
        </w:rPr>
      </w:pPr>
    </w:p>
    <w:p w14:paraId="51C463D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w:t>
      </w:r>
      <w:r w:rsidR="00E86E4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1.4.2. Уровень газификации населения Казахстана</w:t>
      </w:r>
    </w:p>
    <w:p w14:paraId="763800E1" w14:textId="77777777" w:rsidR="00F674A4" w:rsidRPr="00F0736F" w:rsidRDefault="00F674A4" w:rsidP="008727D9">
      <w:pPr>
        <w:ind w:firstLine="709"/>
        <w:jc w:val="both"/>
        <w:rPr>
          <w:rFonts w:ascii="Times New Roman" w:hAnsi="Times New Roman" w:cs="Times New Roman"/>
          <w:color w:val="000000" w:themeColor="text1"/>
        </w:rPr>
      </w:pPr>
    </w:p>
    <w:p w14:paraId="5D86B1A5" w14:textId="6D19D7C3" w:rsidR="00896E59" w:rsidRPr="00F0736F" w:rsidRDefault="00896E59" w:rsidP="008727D9">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 xml:space="preserve">Производство </w:t>
      </w:r>
      <w:r w:rsidRPr="00F0736F">
        <w:rPr>
          <w:rFonts w:ascii="Times New Roman" w:hAnsi="Times New Roman" w:cs="Times New Roman"/>
          <w:color w:val="000000" w:themeColor="text1"/>
        </w:rPr>
        <w:t>электроэнерги</w:t>
      </w:r>
      <w:r w:rsidR="00E86E40" w:rsidRPr="00F0736F">
        <w:rPr>
          <w:rFonts w:ascii="Times New Roman" w:hAnsi="Times New Roman" w:cs="Times New Roman"/>
          <w:color w:val="000000" w:themeColor="text1"/>
        </w:rPr>
        <w:t xml:space="preserve">и в стране за 2019 год </w:t>
      </w:r>
      <w:r w:rsidR="00E86E40" w:rsidRPr="00F0736F">
        <w:rPr>
          <w:rFonts w:ascii="Times New Roman" w:hAnsi="Times New Roman" w:cs="Times New Roman"/>
          <w:color w:val="000000" w:themeColor="text1"/>
          <w:lang w:val="kk-KZ"/>
        </w:rPr>
        <w:t>составило</w:t>
      </w:r>
      <w:r w:rsidRPr="00F0736F">
        <w:rPr>
          <w:rFonts w:ascii="Times New Roman" w:hAnsi="Times New Roman" w:cs="Times New Roman"/>
          <w:color w:val="000000" w:themeColor="text1"/>
          <w:lang w:val="kk-KZ"/>
        </w:rPr>
        <w:t xml:space="preserve"> 106,5 млрд. </w:t>
      </w:r>
      <w:r w:rsidR="00E86E40" w:rsidRPr="00F0736F">
        <w:rPr>
          <w:rFonts w:ascii="Times New Roman" w:hAnsi="Times New Roman" w:cs="Times New Roman"/>
          <w:color w:val="000000" w:themeColor="text1"/>
          <w:lang w:val="kk-KZ"/>
        </w:rPr>
        <w:t>кВт*ч</w:t>
      </w:r>
      <w:r w:rsidR="006A7F28"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 xml:space="preserve"> или 99,3% к 2018 году. Доля газовых электростанций в выработке электроэнергии за 2019 г. составила 19 309,8 млрд. </w:t>
      </w:r>
      <w:r w:rsidR="00E86E40" w:rsidRPr="00F0736F">
        <w:rPr>
          <w:rFonts w:ascii="Times New Roman" w:hAnsi="Times New Roman" w:cs="Times New Roman"/>
          <w:color w:val="000000" w:themeColor="text1"/>
          <w:lang w:val="kk-KZ"/>
        </w:rPr>
        <w:t xml:space="preserve">кВт*ч </w:t>
      </w:r>
      <w:r w:rsidRPr="00F0736F">
        <w:rPr>
          <w:rFonts w:ascii="Times New Roman" w:hAnsi="Times New Roman" w:cs="Times New Roman"/>
          <w:color w:val="000000" w:themeColor="text1"/>
          <w:lang w:val="kk-KZ"/>
        </w:rPr>
        <w:t>или 20,2%.</w:t>
      </w:r>
    </w:p>
    <w:p w14:paraId="1359F52A" w14:textId="77777777" w:rsidR="00896E59" w:rsidRPr="00F0736F" w:rsidRDefault="00E86E40" w:rsidP="008727D9">
      <w:pPr>
        <w:widowControl w:val="0"/>
        <w:pBdr>
          <w:bottom w:val="single" w:sz="4" w:space="0" w:color="FFFFFF"/>
        </w:pBdr>
        <w:ind w:firstLine="709"/>
        <w:contextualSpacing/>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В 2017</w:t>
      </w:r>
      <w:r w:rsidR="00896E59" w:rsidRPr="00F0736F">
        <w:rPr>
          <w:rFonts w:ascii="Times New Roman" w:hAnsi="Times New Roman" w:cs="Times New Roman"/>
          <w:color w:val="000000" w:themeColor="text1"/>
          <w:lang w:val="kk-KZ"/>
        </w:rPr>
        <w:t xml:space="preserve"> году выбросы углекислого газа в электроэнергетике от уровня 2012 года увеличились на 6,9%.  </w:t>
      </w:r>
    </w:p>
    <w:p w14:paraId="7D1F0726" w14:textId="77777777" w:rsidR="00896E59" w:rsidRPr="00F0736F" w:rsidRDefault="00896E59" w:rsidP="008727D9">
      <w:pPr>
        <w:widowControl w:val="0"/>
        <w:pBdr>
          <w:bottom w:val="single" w:sz="4" w:space="0" w:color="FFFFFF"/>
        </w:pBdr>
        <w:ind w:firstLine="709"/>
        <w:contextualSpacing/>
        <w:jc w:val="both"/>
        <w:rPr>
          <w:rFonts w:ascii="Times New Roman" w:eastAsia="Calibri" w:hAnsi="Times New Roman" w:cs="Times New Roman"/>
          <w:color w:val="000000" w:themeColor="text1"/>
          <w:lang w:eastAsia="ru-RU"/>
        </w:rPr>
      </w:pPr>
      <w:r w:rsidRPr="00F0736F">
        <w:rPr>
          <w:rFonts w:ascii="Times New Roman" w:hAnsi="Times New Roman" w:cs="Times New Roman"/>
          <w:i/>
          <w:color w:val="000000" w:themeColor="text1"/>
          <w:sz w:val="22"/>
          <w:szCs w:val="22"/>
        </w:rPr>
        <w:t>*</w:t>
      </w:r>
      <w:r w:rsidRPr="00F0736F">
        <w:rPr>
          <w:rFonts w:ascii="Times New Roman" w:eastAsia="Calibri" w:hAnsi="Times New Roman" w:cs="Times New Roman"/>
          <w:i/>
          <w:color w:val="000000" w:themeColor="text1"/>
          <w:sz w:val="22"/>
          <w:szCs w:val="22"/>
          <w:lang w:eastAsia="ru-RU"/>
        </w:rPr>
        <w:t>В соответствии с Решением Конференции Сторон Рамочной Конвенции ООН об изменении климата (РКИК ООН) от 2 июня 1995 года (FCCC/CP/1995/7/Add.1), данные по показателю представляются ежегодно со сдвигом на два года назад</w:t>
      </w:r>
      <w:r w:rsidRPr="00F0736F">
        <w:rPr>
          <w:rFonts w:ascii="Times New Roman" w:eastAsia="Calibri" w:hAnsi="Times New Roman" w:cs="Times New Roman"/>
          <w:color w:val="000000" w:themeColor="text1"/>
          <w:lang w:eastAsia="ru-RU"/>
        </w:rPr>
        <w:t>.</w:t>
      </w:r>
    </w:p>
    <w:p w14:paraId="2A62342B" w14:textId="77777777" w:rsidR="00F674A4" w:rsidRPr="00F0736F" w:rsidRDefault="00F674A4" w:rsidP="008727D9">
      <w:pPr>
        <w:ind w:firstLine="709"/>
        <w:jc w:val="both"/>
        <w:rPr>
          <w:color w:val="000000" w:themeColor="text1"/>
          <w:lang w:val="kk-KZ"/>
        </w:rPr>
      </w:pPr>
    </w:p>
    <w:p w14:paraId="147816BD" w14:textId="137752C5" w:rsidR="00F674A4" w:rsidRPr="00F0736F" w:rsidRDefault="00E86E40" w:rsidP="008727D9">
      <w:pPr>
        <w:ind w:firstLine="709"/>
        <w:jc w:val="both"/>
        <w:rPr>
          <w:color w:val="000000" w:themeColor="text1"/>
        </w:rPr>
      </w:pPr>
      <w:r w:rsidRPr="00F0736F">
        <w:rPr>
          <w:rFonts w:ascii="Times New Roman" w:hAnsi="Times New Roman" w:cs="Times New Roman"/>
          <w:b/>
          <w:bCs/>
          <w:i/>
          <w:iCs/>
          <w:color w:val="000000" w:themeColor="text1"/>
        </w:rPr>
        <w:t>Международный опыт</w:t>
      </w:r>
    </w:p>
    <w:p w14:paraId="5E0CFE37" w14:textId="501F601C" w:rsidR="00F674A4" w:rsidRPr="00F0736F" w:rsidRDefault="00F674A4" w:rsidP="008727D9">
      <w:pPr>
        <w:ind w:firstLine="709"/>
        <w:jc w:val="both"/>
        <w:rPr>
          <w:color w:val="000000" w:themeColor="text1"/>
        </w:rPr>
      </w:pPr>
      <w:r w:rsidRPr="00F0736F">
        <w:rPr>
          <w:rStyle w:val="CharStyle62"/>
          <w:rFonts w:ascii="Times New Roman" w:hAnsi="Times New Roman" w:cs="Times New Roman"/>
          <w:color w:val="000000" w:themeColor="text1"/>
          <w:sz w:val="24"/>
          <w:szCs w:val="24"/>
        </w:rPr>
        <w:t>Значимым аспектом глобальных тенденций инвестирования в энергетику является резкий рост мощностей ВИЭ. В 2016 г</w:t>
      </w:r>
      <w:r w:rsidR="00E86E40" w:rsidRPr="00F0736F">
        <w:rPr>
          <w:rStyle w:val="CharStyle62"/>
          <w:rFonts w:ascii="Times New Roman" w:hAnsi="Times New Roman" w:cs="Times New Roman"/>
          <w:color w:val="000000" w:themeColor="text1"/>
          <w:sz w:val="24"/>
          <w:szCs w:val="24"/>
        </w:rPr>
        <w:t>оду</w:t>
      </w:r>
      <w:r w:rsidRPr="00F0736F">
        <w:rPr>
          <w:rStyle w:val="CharStyle62"/>
          <w:rFonts w:ascii="Times New Roman" w:hAnsi="Times New Roman" w:cs="Times New Roman"/>
          <w:color w:val="000000" w:themeColor="text1"/>
          <w:sz w:val="24"/>
          <w:szCs w:val="24"/>
        </w:rPr>
        <w:t xml:space="preserve"> произошло их рекордное увеличение (на 150 ГВт за год, причем доля ВЭС и СЭС 87%) в общемировом масштабе, которое превысило аналогичный показатель для всех остальных источников энергии, составив более половины от совокупного объема введённых новых мощностей, вследствие сильной политической поддержки строительства солнечных фотоэлектрических установок и наземных ВЭС и снижения капитальных затрат, особенно для СЭС (</w:t>
      </w:r>
      <w:r w:rsidR="00E86E40" w:rsidRPr="00F0736F">
        <w:rPr>
          <w:rStyle w:val="CharStyle62"/>
          <w:rFonts w:ascii="Times New Roman" w:hAnsi="Times New Roman" w:cs="Times New Roman"/>
          <w:color w:val="000000" w:themeColor="text1"/>
          <w:sz w:val="24"/>
          <w:szCs w:val="24"/>
        </w:rPr>
        <w:t>р</w:t>
      </w:r>
      <w:r w:rsidRPr="00F0736F">
        <w:rPr>
          <w:rStyle w:val="CharStyle62"/>
          <w:rFonts w:ascii="Times New Roman" w:hAnsi="Times New Roman" w:cs="Times New Roman"/>
          <w:color w:val="000000" w:themeColor="text1"/>
          <w:sz w:val="24"/>
          <w:szCs w:val="24"/>
        </w:rPr>
        <w:t>ис. 1.4.3</w:t>
      </w:r>
      <w:r w:rsidR="009C6503" w:rsidRPr="00F0736F">
        <w:rPr>
          <w:rStyle w:val="CharStyle62"/>
          <w:rFonts w:ascii="Times New Roman" w:hAnsi="Times New Roman" w:cs="Times New Roman"/>
          <w:color w:val="000000" w:themeColor="text1"/>
          <w:sz w:val="24"/>
          <w:szCs w:val="24"/>
        </w:rPr>
        <w:t>.</w:t>
      </w:r>
      <w:r w:rsidRPr="00F0736F">
        <w:rPr>
          <w:rStyle w:val="CharStyle62"/>
          <w:rFonts w:ascii="Times New Roman" w:hAnsi="Times New Roman" w:cs="Times New Roman"/>
          <w:color w:val="000000" w:themeColor="text1"/>
          <w:sz w:val="24"/>
          <w:szCs w:val="24"/>
        </w:rPr>
        <w:t>)</w:t>
      </w:r>
      <w:r w:rsidRPr="00F0736F">
        <w:rPr>
          <w:rStyle w:val="a4"/>
          <w:rFonts w:ascii="Times New Roman" w:eastAsia="Tahoma" w:hAnsi="Times New Roman" w:cs="Times New Roman"/>
          <w:color w:val="000000" w:themeColor="text1"/>
        </w:rPr>
        <w:footnoteReference w:id="51"/>
      </w:r>
      <w:r w:rsidRPr="00F0736F">
        <w:rPr>
          <w:rStyle w:val="CharStyle62"/>
          <w:rFonts w:ascii="Times New Roman" w:hAnsi="Times New Roman" w:cs="Times New Roman"/>
          <w:color w:val="000000" w:themeColor="text1"/>
          <w:sz w:val="24"/>
          <w:szCs w:val="24"/>
        </w:rPr>
        <w:t xml:space="preserve">. </w:t>
      </w:r>
    </w:p>
    <w:p w14:paraId="33816E9B" w14:textId="4D7D2899" w:rsidR="00F674A4" w:rsidRPr="00F0736F" w:rsidRDefault="00F674A4" w:rsidP="008727D9">
      <w:pPr>
        <w:ind w:firstLine="709"/>
        <w:jc w:val="both"/>
        <w:rPr>
          <w:color w:val="000000" w:themeColor="text1"/>
        </w:rPr>
      </w:pPr>
      <w:r w:rsidRPr="00F0736F">
        <w:rPr>
          <w:rStyle w:val="CharStyle62"/>
          <w:rFonts w:ascii="Times New Roman" w:hAnsi="Times New Roman" w:cs="Times New Roman"/>
          <w:color w:val="000000" w:themeColor="text1"/>
          <w:sz w:val="24"/>
          <w:szCs w:val="24"/>
        </w:rPr>
        <w:t xml:space="preserve">Ожидалось, что такая тенденция сохранится и далее. Однако </w:t>
      </w:r>
      <w:r w:rsidRPr="00F0736F">
        <w:rPr>
          <w:rStyle w:val="CharStyle62"/>
          <w:rFonts w:ascii="Times New Roman" w:eastAsia="Times New Roman" w:hAnsi="Times New Roman" w:cs="Times New Roman"/>
          <w:color w:val="000000" w:themeColor="text1"/>
          <w:kern w:val="0"/>
          <w:sz w:val="24"/>
          <w:szCs w:val="24"/>
          <w:lang w:eastAsia="ru-RU" w:bidi="ar-SA"/>
        </w:rPr>
        <w:t>в 2018 году инвестиции в сфере возобновляемых источников энергии в мире снизились по сравнению с показателе</w:t>
      </w:r>
      <w:r w:rsidR="00E86E40" w:rsidRPr="00F0736F">
        <w:rPr>
          <w:rStyle w:val="CharStyle62"/>
          <w:rFonts w:ascii="Times New Roman" w:eastAsia="Times New Roman" w:hAnsi="Times New Roman" w:cs="Times New Roman"/>
          <w:color w:val="000000" w:themeColor="text1"/>
          <w:kern w:val="0"/>
          <w:sz w:val="24"/>
          <w:szCs w:val="24"/>
          <w:lang w:eastAsia="ru-RU" w:bidi="ar-SA"/>
        </w:rPr>
        <w:t xml:space="preserve">м 2017 года на 11%, до 288,9 млрд. </w:t>
      </w:r>
      <w:r w:rsidRPr="00F0736F">
        <w:rPr>
          <w:rStyle w:val="CharStyle62"/>
          <w:rFonts w:ascii="Times New Roman" w:eastAsia="Times New Roman" w:hAnsi="Times New Roman" w:cs="Times New Roman"/>
          <w:color w:val="000000" w:themeColor="text1"/>
          <w:kern w:val="0"/>
          <w:sz w:val="24"/>
          <w:szCs w:val="24"/>
          <w:lang w:eastAsia="ru-RU" w:bidi="ar-SA"/>
        </w:rPr>
        <w:t>долл</w:t>
      </w:r>
      <w:r w:rsidR="00E86E40" w:rsidRPr="00F0736F">
        <w:rPr>
          <w:rStyle w:val="CharStyle62"/>
          <w:rFonts w:ascii="Times New Roman" w:eastAsia="Times New Roman" w:hAnsi="Times New Roman" w:cs="Times New Roman"/>
          <w:color w:val="000000" w:themeColor="text1"/>
          <w:kern w:val="0"/>
          <w:sz w:val="24"/>
          <w:szCs w:val="24"/>
          <w:lang w:eastAsia="ru-RU" w:bidi="ar-SA"/>
        </w:rPr>
        <w:t xml:space="preserve">. </w:t>
      </w:r>
      <w:r w:rsidRPr="00F0736F">
        <w:rPr>
          <w:rStyle w:val="CharStyle62"/>
          <w:rFonts w:ascii="Times New Roman" w:eastAsia="Times New Roman" w:hAnsi="Times New Roman" w:cs="Times New Roman"/>
          <w:color w:val="000000" w:themeColor="text1"/>
          <w:kern w:val="0"/>
          <w:sz w:val="24"/>
          <w:szCs w:val="24"/>
          <w:lang w:eastAsia="ru-RU" w:bidi="ar-SA"/>
        </w:rPr>
        <w:t xml:space="preserve">говорится в докладе международной глобальной сети поддержки возобновляемой энергетики </w:t>
      </w:r>
      <w:r w:rsidRPr="00F0736F">
        <w:rPr>
          <w:rStyle w:val="CharStyle62"/>
          <w:rFonts w:ascii="Times New Roman" w:eastAsia="Times New Roman" w:hAnsi="Times New Roman" w:cs="Times New Roman"/>
          <w:color w:val="000000" w:themeColor="text1"/>
          <w:kern w:val="0"/>
          <w:sz w:val="24"/>
          <w:szCs w:val="24"/>
          <w:lang w:val="en-US" w:eastAsia="ru-RU" w:bidi="ar-SA"/>
        </w:rPr>
        <w:t>I</w:t>
      </w:r>
      <w:r w:rsidRPr="00F0736F">
        <w:rPr>
          <w:rStyle w:val="CharStyle62"/>
          <w:rFonts w:ascii="Times New Roman" w:eastAsia="Times New Roman" w:hAnsi="Times New Roman" w:cs="Times New Roman"/>
          <w:color w:val="000000" w:themeColor="text1"/>
          <w:kern w:val="0"/>
          <w:sz w:val="24"/>
          <w:szCs w:val="24"/>
          <w:lang w:eastAsia="ru-RU" w:bidi="ar-SA"/>
        </w:rPr>
        <w:t>REN</w:t>
      </w:r>
      <w:r w:rsidRPr="00F0736F">
        <w:rPr>
          <w:rStyle w:val="CharStyle62"/>
          <w:rFonts w:ascii="Times New Roman" w:eastAsia="Times New Roman" w:hAnsi="Times New Roman" w:cs="Times New Roman"/>
          <w:color w:val="000000" w:themeColor="text1"/>
          <w:kern w:val="0"/>
          <w:sz w:val="24"/>
          <w:szCs w:val="24"/>
          <w:lang w:val="en-US" w:eastAsia="ru-RU" w:bidi="ar-SA"/>
        </w:rPr>
        <w:t>A</w:t>
      </w:r>
      <w:r w:rsidRPr="00F0736F">
        <w:rPr>
          <w:rStyle w:val="CharStyle62"/>
          <w:rFonts w:ascii="Times New Roman" w:eastAsia="Times New Roman" w:hAnsi="Times New Roman" w:cs="Times New Roman"/>
          <w:color w:val="000000" w:themeColor="text1"/>
          <w:kern w:val="0"/>
          <w:sz w:val="24"/>
          <w:szCs w:val="24"/>
          <w:lang w:eastAsia="ru-RU" w:bidi="ar-SA"/>
        </w:rPr>
        <w:t xml:space="preserve"> (</w:t>
      </w:r>
      <w:r w:rsidRPr="00F0736F">
        <w:rPr>
          <w:rStyle w:val="CharStyle62"/>
          <w:rFonts w:ascii="Times New Roman" w:hAnsi="Times New Roman" w:cs="Times New Roman"/>
          <w:color w:val="000000" w:themeColor="text1"/>
          <w:sz w:val="24"/>
          <w:szCs w:val="24"/>
        </w:rPr>
        <w:t>International Renewable Energy Agency).</w:t>
      </w:r>
      <w:r w:rsidRPr="00F0736F">
        <w:rPr>
          <w:rStyle w:val="CharStyle62"/>
          <w:rFonts w:ascii="Times New Roman" w:eastAsia="Times New Roman" w:hAnsi="Times New Roman" w:cs="Times New Roman"/>
          <w:color w:val="000000" w:themeColor="text1"/>
          <w:kern w:val="0"/>
          <w:sz w:val="24"/>
          <w:szCs w:val="24"/>
          <w:lang w:eastAsia="ru-RU" w:bidi="ar-SA"/>
        </w:rPr>
        <w:t xml:space="preserve"> «Глобальные инвестиции в возобновляемую энергетику и топливо в 2018 году составили 288,9 м</w:t>
      </w:r>
      <w:r w:rsidR="009C6503" w:rsidRPr="00F0736F">
        <w:rPr>
          <w:rStyle w:val="CharStyle62"/>
          <w:rFonts w:ascii="Times New Roman" w:eastAsia="Times New Roman" w:hAnsi="Times New Roman" w:cs="Times New Roman"/>
          <w:color w:val="000000" w:themeColor="text1"/>
          <w:kern w:val="0"/>
          <w:sz w:val="24"/>
          <w:szCs w:val="24"/>
          <w:lang w:eastAsia="ru-RU" w:bidi="ar-SA"/>
        </w:rPr>
        <w:t>лрд.</w:t>
      </w:r>
      <w:r w:rsidRPr="00F0736F">
        <w:rPr>
          <w:rStyle w:val="CharStyle62"/>
          <w:rFonts w:ascii="Times New Roman" w:eastAsia="Times New Roman" w:hAnsi="Times New Roman" w:cs="Times New Roman"/>
          <w:color w:val="000000" w:themeColor="text1"/>
          <w:kern w:val="0"/>
          <w:sz w:val="24"/>
          <w:szCs w:val="24"/>
          <w:lang w:eastAsia="ru-RU" w:bidi="ar-SA"/>
        </w:rPr>
        <w:t xml:space="preserve"> долл</w:t>
      </w:r>
      <w:r w:rsidR="009C6503" w:rsidRPr="00F0736F">
        <w:rPr>
          <w:rStyle w:val="CharStyle62"/>
          <w:rFonts w:ascii="Times New Roman" w:eastAsia="Times New Roman" w:hAnsi="Times New Roman" w:cs="Times New Roman"/>
          <w:color w:val="000000" w:themeColor="text1"/>
          <w:kern w:val="0"/>
          <w:sz w:val="24"/>
          <w:szCs w:val="24"/>
          <w:lang w:eastAsia="ru-RU" w:bidi="ar-SA"/>
        </w:rPr>
        <w:t>.</w:t>
      </w:r>
      <w:r w:rsidRPr="00F0736F">
        <w:rPr>
          <w:rStyle w:val="CharStyle62"/>
          <w:rFonts w:ascii="Times New Roman" w:eastAsia="Times New Roman" w:hAnsi="Times New Roman" w:cs="Times New Roman"/>
          <w:color w:val="000000" w:themeColor="text1"/>
          <w:kern w:val="0"/>
          <w:sz w:val="24"/>
          <w:szCs w:val="24"/>
          <w:lang w:eastAsia="ru-RU" w:bidi="ar-SA"/>
        </w:rPr>
        <w:t xml:space="preserve"> США (340,9 </w:t>
      </w:r>
      <w:r w:rsidR="00E86E40" w:rsidRPr="00F0736F">
        <w:rPr>
          <w:rStyle w:val="CharStyle62"/>
          <w:rFonts w:ascii="Times New Roman" w:eastAsia="Times New Roman" w:hAnsi="Times New Roman" w:cs="Times New Roman"/>
          <w:color w:val="000000" w:themeColor="text1"/>
          <w:kern w:val="0"/>
          <w:sz w:val="24"/>
          <w:szCs w:val="24"/>
          <w:lang w:eastAsia="ru-RU" w:bidi="ar-SA"/>
        </w:rPr>
        <w:t>млрд</w:t>
      </w:r>
      <w:r w:rsidR="009C6503" w:rsidRPr="00F0736F">
        <w:rPr>
          <w:rStyle w:val="CharStyle62"/>
          <w:rFonts w:ascii="Times New Roman" w:eastAsia="Times New Roman" w:hAnsi="Times New Roman" w:cs="Times New Roman"/>
          <w:color w:val="000000" w:themeColor="text1"/>
          <w:kern w:val="0"/>
          <w:sz w:val="24"/>
          <w:szCs w:val="24"/>
          <w:lang w:eastAsia="ru-RU" w:bidi="ar-SA"/>
        </w:rPr>
        <w:t>.</w:t>
      </w:r>
      <w:r w:rsidRPr="00F0736F">
        <w:rPr>
          <w:rStyle w:val="CharStyle62"/>
          <w:rFonts w:ascii="Times New Roman" w:eastAsia="Times New Roman" w:hAnsi="Times New Roman" w:cs="Times New Roman"/>
          <w:color w:val="000000" w:themeColor="text1"/>
          <w:kern w:val="0"/>
          <w:sz w:val="24"/>
          <w:szCs w:val="24"/>
          <w:lang w:eastAsia="ru-RU" w:bidi="ar-SA"/>
        </w:rPr>
        <w:t xml:space="preserve"> с учетом строительства гидростанций мощностью более 50 МВт). Это на 11% меньше, чем в предыдущем году (в основном из-за значительного падения инвестиций в Китае)», – говорится в докладе. При этом больше всего инвестиций получила солнечная и ветряная энергетика. На развивающие страны пришлось 53% от общего объема инвестиций в ВИЭ, причем 32% относятся к Китаю. Между тем, доля традиционных источников энергии в мировом энергетическом балансе выросла на 0,2%</w:t>
      </w:r>
      <w:r w:rsidRPr="00F0736F">
        <w:rPr>
          <w:rStyle w:val="a4"/>
          <w:rFonts w:ascii="Times New Roman" w:eastAsia="Times New Roman" w:hAnsi="Times New Roman" w:cs="Times New Roman"/>
          <w:color w:val="000000" w:themeColor="text1"/>
          <w:kern w:val="0"/>
          <w:lang w:eastAsia="ru-RU" w:bidi="ar-SA"/>
        </w:rPr>
        <w:footnoteReference w:id="52"/>
      </w:r>
      <w:r w:rsidRPr="00F0736F">
        <w:rPr>
          <w:rStyle w:val="CharStyle62"/>
          <w:rFonts w:ascii="Times New Roman" w:eastAsia="Times New Roman" w:hAnsi="Times New Roman" w:cs="Times New Roman"/>
          <w:color w:val="000000" w:themeColor="text1"/>
          <w:kern w:val="0"/>
          <w:sz w:val="24"/>
          <w:szCs w:val="24"/>
          <w:lang w:eastAsia="ru-RU" w:bidi="ar-SA"/>
        </w:rPr>
        <w:t>.</w:t>
      </w:r>
      <w:r w:rsidRPr="00F0736F">
        <w:rPr>
          <w:rStyle w:val="CharStyle62"/>
          <w:rFonts w:ascii="Times New Roman" w:hAnsi="Times New Roman" w:cs="Times New Roman"/>
          <w:color w:val="000000" w:themeColor="text1"/>
          <w:sz w:val="24"/>
          <w:szCs w:val="24"/>
        </w:rPr>
        <w:t xml:space="preserve"> </w:t>
      </w:r>
    </w:p>
    <w:p w14:paraId="077CF5FF" w14:textId="77777777" w:rsidR="00F674A4" w:rsidRPr="00F0736F" w:rsidRDefault="00F674A4" w:rsidP="008727D9">
      <w:pPr>
        <w:ind w:firstLine="709"/>
        <w:jc w:val="both"/>
        <w:rPr>
          <w:color w:val="000000" w:themeColor="text1"/>
        </w:rPr>
      </w:pPr>
    </w:p>
    <w:p w14:paraId="5FF5E843" w14:textId="72EB3AC2" w:rsidR="00F674A4" w:rsidRPr="00F0736F" w:rsidRDefault="001747BE" w:rsidP="009C6503">
      <w:pPr>
        <w:jc w:val="center"/>
        <w:rPr>
          <w:rStyle w:val="CharStyle123"/>
          <w:rFonts w:ascii="Times New Roman" w:hAnsi="Times New Roman" w:cs="Times New Roman"/>
          <w:b w:val="0"/>
          <w:color w:val="000000" w:themeColor="text1"/>
          <w:sz w:val="24"/>
          <w:szCs w:val="24"/>
        </w:rPr>
      </w:pPr>
      <w:r w:rsidRPr="00F0736F">
        <w:rPr>
          <w:noProof/>
          <w:color w:val="000000" w:themeColor="text1"/>
        </w:rPr>
        <w:drawing>
          <wp:inline distT="0" distB="0" distL="0" distR="0" wp14:anchorId="4EEABCAB" wp14:editId="2B839B58">
            <wp:extent cx="5124450" cy="28098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12" t="-21" r="-12" b="-21"/>
                    <a:stretch>
                      <a:fillRect/>
                    </a:stretch>
                  </pic:blipFill>
                  <pic:spPr bwMode="auto">
                    <a:xfrm>
                      <a:off x="0" y="0"/>
                      <a:ext cx="5124450" cy="2809875"/>
                    </a:xfrm>
                    <a:prstGeom prst="rect">
                      <a:avLst/>
                    </a:prstGeom>
                    <a:solidFill>
                      <a:srgbClr val="FFFFFF"/>
                    </a:solidFill>
                    <a:ln>
                      <a:noFill/>
                    </a:ln>
                  </pic:spPr>
                </pic:pic>
              </a:graphicData>
            </a:graphic>
          </wp:inline>
        </w:drawing>
      </w:r>
    </w:p>
    <w:p w14:paraId="77DC4E1E" w14:textId="77777777" w:rsidR="00E86E40" w:rsidRPr="00F0736F" w:rsidRDefault="00F674A4" w:rsidP="008727D9">
      <w:pPr>
        <w:ind w:firstLine="709"/>
        <w:jc w:val="both"/>
        <w:rPr>
          <w:rStyle w:val="CharStyle124"/>
          <w:rFonts w:ascii="Times New Roman" w:hAnsi="Times New Roman" w:cs="Times New Roman"/>
          <w:color w:val="000000" w:themeColor="text1"/>
          <w:sz w:val="24"/>
          <w:szCs w:val="24"/>
        </w:rPr>
      </w:pPr>
      <w:r w:rsidRPr="00F0736F">
        <w:rPr>
          <w:rStyle w:val="CharStyle123"/>
          <w:rFonts w:ascii="Times New Roman" w:hAnsi="Times New Roman" w:cs="Times New Roman"/>
          <w:b w:val="0"/>
          <w:color w:val="000000" w:themeColor="text1"/>
          <w:sz w:val="24"/>
          <w:szCs w:val="24"/>
        </w:rPr>
        <w:t>Рис.</w:t>
      </w:r>
      <w:r w:rsidRPr="00F0736F">
        <w:rPr>
          <w:rStyle w:val="CharStyle123"/>
          <w:rFonts w:ascii="Times New Roman" w:hAnsi="Times New Roman" w:cs="Times New Roman"/>
          <w:color w:val="000000" w:themeColor="text1"/>
          <w:sz w:val="24"/>
          <w:szCs w:val="24"/>
        </w:rPr>
        <w:t xml:space="preserve"> </w:t>
      </w:r>
      <w:r w:rsidRPr="00F0736F">
        <w:rPr>
          <w:rStyle w:val="CharStyle123"/>
          <w:rFonts w:ascii="Times New Roman" w:hAnsi="Times New Roman" w:cs="Times New Roman"/>
          <w:b w:val="0"/>
          <w:color w:val="000000" w:themeColor="text1"/>
          <w:sz w:val="24"/>
          <w:szCs w:val="24"/>
        </w:rPr>
        <w:t>1.4.3.</w:t>
      </w:r>
      <w:r w:rsidRPr="00F0736F">
        <w:rPr>
          <w:rStyle w:val="CharStyle123"/>
          <w:rFonts w:ascii="Times New Roman" w:hAnsi="Times New Roman" w:cs="Times New Roman"/>
          <w:color w:val="000000" w:themeColor="text1"/>
          <w:sz w:val="24"/>
          <w:szCs w:val="24"/>
        </w:rPr>
        <w:t xml:space="preserve"> </w:t>
      </w:r>
      <w:r w:rsidRPr="00F0736F">
        <w:rPr>
          <w:rStyle w:val="CharStyle124"/>
          <w:rFonts w:ascii="Times New Roman" w:hAnsi="Times New Roman" w:cs="Times New Roman"/>
          <w:color w:val="000000" w:themeColor="text1"/>
          <w:sz w:val="24"/>
          <w:szCs w:val="24"/>
        </w:rPr>
        <w:t>Совокупные установленные мощности возобновляемой энергетики в мире по видам технологий (2000 - 2040 гг.)</w:t>
      </w:r>
    </w:p>
    <w:p w14:paraId="59ADD7CC" w14:textId="3C730706" w:rsidR="00F674A4" w:rsidRPr="00F0736F" w:rsidRDefault="00F674A4" w:rsidP="008727D9">
      <w:pPr>
        <w:ind w:firstLine="709"/>
        <w:jc w:val="both"/>
        <w:rPr>
          <w:i/>
          <w:color w:val="000000" w:themeColor="text1"/>
        </w:rPr>
      </w:pPr>
      <w:r w:rsidRPr="00F0736F">
        <w:rPr>
          <w:rStyle w:val="CharStyle124"/>
          <w:rFonts w:ascii="Times New Roman" w:hAnsi="Times New Roman" w:cs="Times New Roman"/>
          <w:color w:val="000000" w:themeColor="text1"/>
          <w:sz w:val="24"/>
          <w:szCs w:val="24"/>
        </w:rPr>
        <w:t xml:space="preserve"> </w:t>
      </w:r>
      <w:r w:rsidRPr="00F0736F">
        <w:rPr>
          <w:rStyle w:val="CharStyle151"/>
          <w:rFonts w:ascii="Times New Roman" w:hAnsi="Times New Roman" w:cs="Times New Roman"/>
          <w:b w:val="0"/>
          <w:i/>
          <w:iCs/>
          <w:color w:val="000000" w:themeColor="text1"/>
          <w:sz w:val="20"/>
          <w:szCs w:val="20"/>
        </w:rPr>
        <w:t xml:space="preserve">Источник: </w:t>
      </w:r>
      <w:r w:rsidRPr="00F0736F">
        <w:rPr>
          <w:rStyle w:val="CharStyle374"/>
          <w:rFonts w:ascii="Times New Roman" w:hAnsi="Times New Roman" w:cs="Times New Roman"/>
          <w:i/>
          <w:color w:val="000000" w:themeColor="text1"/>
          <w:sz w:val="20"/>
          <w:szCs w:val="20"/>
          <w:lang w:val="ru-RU"/>
        </w:rPr>
        <w:t xml:space="preserve">Национальный энергетический доклад </w:t>
      </w:r>
      <w:r w:rsidRPr="00F0736F">
        <w:rPr>
          <w:rStyle w:val="CharStyle374"/>
          <w:rFonts w:ascii="Times New Roman" w:hAnsi="Times New Roman" w:cs="Times New Roman"/>
          <w:i/>
          <w:color w:val="000000" w:themeColor="text1"/>
          <w:sz w:val="20"/>
          <w:szCs w:val="20"/>
        </w:rPr>
        <w:t>Kazenergy</w:t>
      </w:r>
      <w:r w:rsidRPr="00F0736F">
        <w:rPr>
          <w:rStyle w:val="CharStyle374"/>
          <w:rFonts w:ascii="Times New Roman" w:hAnsi="Times New Roman" w:cs="Times New Roman"/>
          <w:i/>
          <w:color w:val="000000" w:themeColor="text1"/>
          <w:sz w:val="20"/>
          <w:szCs w:val="20"/>
          <w:lang w:val="ru-RU"/>
        </w:rPr>
        <w:t xml:space="preserve"> 2017 г</w:t>
      </w:r>
      <w:r w:rsidR="009C6503" w:rsidRPr="00F0736F">
        <w:rPr>
          <w:rStyle w:val="CharStyle374"/>
          <w:rFonts w:ascii="Times New Roman" w:hAnsi="Times New Roman" w:cs="Times New Roman"/>
          <w:i/>
          <w:color w:val="000000" w:themeColor="text1"/>
          <w:sz w:val="20"/>
          <w:szCs w:val="20"/>
          <w:lang w:val="ru-RU"/>
        </w:rPr>
        <w:t>.</w:t>
      </w:r>
    </w:p>
    <w:p w14:paraId="7D3C9388" w14:textId="77777777" w:rsidR="00F674A4" w:rsidRPr="00F0736F" w:rsidRDefault="00F674A4" w:rsidP="008727D9">
      <w:pPr>
        <w:ind w:firstLine="709"/>
        <w:jc w:val="both"/>
        <w:rPr>
          <w:rFonts w:ascii="Times New Roman" w:hAnsi="Times New Roman" w:cs="Times New Roman"/>
          <w:color w:val="000000" w:themeColor="text1"/>
        </w:rPr>
      </w:pPr>
    </w:p>
    <w:p w14:paraId="17F4D43A" w14:textId="77777777" w:rsidR="00F674A4" w:rsidRPr="00F0736F" w:rsidRDefault="00F674A4" w:rsidP="008727D9">
      <w:pPr>
        <w:ind w:firstLine="709"/>
        <w:jc w:val="both"/>
        <w:rPr>
          <w:color w:val="000000" w:themeColor="text1"/>
        </w:rPr>
      </w:pPr>
      <w:r w:rsidRPr="00F0736F">
        <w:rPr>
          <w:rStyle w:val="CharStyle62"/>
          <w:rFonts w:ascii="Times New Roman" w:hAnsi="Times New Roman" w:cs="Times New Roman"/>
          <w:color w:val="000000" w:themeColor="text1"/>
          <w:sz w:val="24"/>
          <w:szCs w:val="24"/>
        </w:rPr>
        <w:t xml:space="preserve">По данным IRENA, глобальная установленная мощность ВИЭ увеличилась на 7,4% в 2019 году, в котором были введены в эксплуатацию </w:t>
      </w:r>
      <w:r w:rsidRPr="00F0736F">
        <w:rPr>
          <w:rStyle w:val="af1"/>
          <w:rFonts w:ascii="Times New Roman" w:hAnsi="Times New Roman" w:cs="Times New Roman"/>
          <w:b w:val="0"/>
          <w:bCs w:val="0"/>
          <w:color w:val="000000" w:themeColor="text1"/>
        </w:rPr>
        <w:t>176 ГВт новых электростанций</w:t>
      </w:r>
      <w:r w:rsidRPr="00F0736F">
        <w:rPr>
          <w:rStyle w:val="CharStyle62"/>
          <w:rFonts w:ascii="Times New Roman" w:hAnsi="Times New Roman" w:cs="Times New Roman"/>
          <w:color w:val="000000" w:themeColor="text1"/>
          <w:sz w:val="24"/>
          <w:szCs w:val="24"/>
        </w:rPr>
        <w:t xml:space="preserve">, работающих на основе возобновляемых источников энергии. В результате мощности ВИЭ по итогам года выросли до 2537 Гвт. По оценке IRENA, </w:t>
      </w:r>
      <w:r w:rsidRPr="00F0736F">
        <w:rPr>
          <w:rStyle w:val="af1"/>
          <w:rFonts w:ascii="Times New Roman" w:hAnsi="Times New Roman" w:cs="Times New Roman"/>
          <w:b w:val="0"/>
          <w:bCs w:val="0"/>
          <w:color w:val="000000" w:themeColor="text1"/>
        </w:rPr>
        <w:t>доля ВИЭ в установленной мощности мировой электроэнергетики по итогам 2019 года достигла 34,7%</w:t>
      </w:r>
      <w:r w:rsidRPr="00F0736F">
        <w:rPr>
          <w:rStyle w:val="a4"/>
          <w:rFonts w:ascii="Times New Roman" w:hAnsi="Times New Roman" w:cs="Times New Roman"/>
          <w:color w:val="000000" w:themeColor="text1"/>
        </w:rPr>
        <w:footnoteReference w:id="53"/>
      </w:r>
      <w:r w:rsidRPr="00F0736F">
        <w:rPr>
          <w:rStyle w:val="CharStyle62"/>
          <w:rFonts w:ascii="Times New Roman" w:hAnsi="Times New Roman" w:cs="Times New Roman"/>
          <w:color w:val="000000" w:themeColor="text1"/>
          <w:sz w:val="24"/>
          <w:szCs w:val="24"/>
        </w:rPr>
        <w:t>. Китай лидирует в использовании солнечной энергии, производя более трети мирового объема данного источника энергии. К концу 2018 года в КНР было выработано более 175 ГВт энергии за год, а в 2019 году более 195 ГВт.  2/3 всех мировых производств солнечных модулей располагались в Китае. Доля солнечной энергии в общем энергобалансе КНР к концу 2018 года составляла 3%, в 2019 г</w:t>
      </w:r>
      <w:r w:rsidR="007F7FD3" w:rsidRPr="00F0736F">
        <w:rPr>
          <w:rStyle w:val="CharStyle62"/>
          <w:rFonts w:ascii="Times New Roman" w:hAnsi="Times New Roman" w:cs="Times New Roman"/>
          <w:color w:val="000000" w:themeColor="text1"/>
          <w:sz w:val="24"/>
          <w:szCs w:val="24"/>
        </w:rPr>
        <w:t>оду эта цифра составила уже 4,5</w:t>
      </w:r>
      <w:r w:rsidRPr="00F0736F">
        <w:rPr>
          <w:rStyle w:val="CharStyle62"/>
          <w:rFonts w:ascii="Times New Roman" w:hAnsi="Times New Roman" w:cs="Times New Roman"/>
          <w:color w:val="000000" w:themeColor="text1"/>
          <w:sz w:val="24"/>
          <w:szCs w:val="24"/>
        </w:rPr>
        <w:t xml:space="preserve">%. По плану 13-й пятилетки с 2016 по 2020 год </w:t>
      </w:r>
      <w:r w:rsidR="007F7FD3" w:rsidRPr="00F0736F">
        <w:rPr>
          <w:rStyle w:val="CharStyle62"/>
          <w:rFonts w:ascii="Times New Roman" w:hAnsi="Times New Roman" w:cs="Times New Roman"/>
          <w:color w:val="000000" w:themeColor="text1"/>
          <w:sz w:val="24"/>
          <w:szCs w:val="24"/>
        </w:rPr>
        <w:t xml:space="preserve">в </w:t>
      </w:r>
      <w:r w:rsidRPr="00F0736F">
        <w:rPr>
          <w:rStyle w:val="CharStyle62"/>
          <w:rFonts w:ascii="Times New Roman" w:hAnsi="Times New Roman" w:cs="Times New Roman"/>
          <w:color w:val="000000" w:themeColor="text1"/>
          <w:sz w:val="24"/>
          <w:szCs w:val="24"/>
        </w:rPr>
        <w:t>Кита</w:t>
      </w:r>
      <w:r w:rsidR="007F7FD3" w:rsidRPr="00F0736F">
        <w:rPr>
          <w:rStyle w:val="CharStyle62"/>
          <w:rFonts w:ascii="Times New Roman" w:hAnsi="Times New Roman" w:cs="Times New Roman"/>
          <w:color w:val="000000" w:themeColor="text1"/>
          <w:sz w:val="24"/>
          <w:szCs w:val="24"/>
        </w:rPr>
        <w:t>е</w:t>
      </w:r>
      <w:r w:rsidRPr="00F0736F">
        <w:rPr>
          <w:rStyle w:val="CharStyle62"/>
          <w:rFonts w:ascii="Times New Roman" w:hAnsi="Times New Roman" w:cs="Times New Roman"/>
          <w:color w:val="000000" w:themeColor="text1"/>
          <w:sz w:val="24"/>
          <w:szCs w:val="24"/>
        </w:rPr>
        <w:t xml:space="preserve"> доля возобновляемых источников энергии должна составить 15%, а угольных </w:t>
      </w:r>
      <w:r w:rsidR="007F7FD3" w:rsidRPr="00F0736F">
        <w:rPr>
          <w:rStyle w:val="CharStyle62"/>
          <w:rFonts w:ascii="Times New Roman" w:hAnsi="Times New Roman" w:cs="Times New Roman"/>
          <w:color w:val="000000" w:themeColor="text1"/>
          <w:sz w:val="24"/>
          <w:szCs w:val="24"/>
        </w:rPr>
        <w:t xml:space="preserve">- </w:t>
      </w:r>
      <w:r w:rsidRPr="00F0736F">
        <w:rPr>
          <w:rStyle w:val="CharStyle62"/>
          <w:rFonts w:ascii="Times New Roman" w:hAnsi="Times New Roman" w:cs="Times New Roman"/>
          <w:color w:val="000000" w:themeColor="text1"/>
          <w:sz w:val="24"/>
          <w:szCs w:val="24"/>
        </w:rPr>
        <w:t xml:space="preserve">сократиться до 58%. </w:t>
      </w:r>
    </w:p>
    <w:p w14:paraId="267E6673" w14:textId="77777777" w:rsidR="00F674A4" w:rsidRPr="00F0736F" w:rsidRDefault="00F674A4" w:rsidP="008727D9">
      <w:pPr>
        <w:ind w:firstLine="709"/>
        <w:jc w:val="both"/>
        <w:rPr>
          <w:rStyle w:val="CharStyle12"/>
          <w:rFonts w:ascii="Times New Roman" w:hAnsi="Times New Roman" w:cs="Times New Roman"/>
          <w:color w:val="000000" w:themeColor="text1"/>
          <w:sz w:val="24"/>
          <w:szCs w:val="24"/>
        </w:rPr>
      </w:pPr>
      <w:r w:rsidRPr="00F0736F">
        <w:rPr>
          <w:rStyle w:val="CharStyle62"/>
          <w:rFonts w:ascii="Times New Roman" w:hAnsi="Times New Roman" w:cs="Times New Roman"/>
          <w:color w:val="000000" w:themeColor="text1"/>
          <w:sz w:val="24"/>
          <w:szCs w:val="24"/>
        </w:rPr>
        <w:t>Во многих странах, и особенно в развивающихся государствах Азии, не менее важную роль в росте использования низкоуглеродных источников энергии играет борьба с опасным загрязнением воздуха в городах и стремление к диверсификации поставок энергоресурсов в целях повышения энергетической безопасности. Частично этот рост обеспечивается за счет ввода новых мощностей, работающих на природном газе. Но хотя газ обладает существенными преимуществами в том, что касается гибкости, надежности и, на некоторых рынках, цены, новые инвестиции в газовые мощности отстают от инвестиций в ВИЭ. Так, в США в 2016 г. 63% новых мощностей составляли объекты солнечной и ветровой энергетики, а на газ приходилось 29% от совокупного показателя.</w:t>
      </w:r>
      <w:r w:rsidRPr="00F0736F">
        <w:rPr>
          <w:rStyle w:val="a4"/>
          <w:rFonts w:ascii="Times New Roman" w:hAnsi="Times New Roman" w:cs="Times New Roman"/>
          <w:color w:val="000000" w:themeColor="text1"/>
        </w:rPr>
        <w:footnoteReference w:id="54"/>
      </w:r>
    </w:p>
    <w:p w14:paraId="5A2D1827" w14:textId="574D322C" w:rsidR="00F674A4" w:rsidRPr="00F0736F" w:rsidRDefault="00F674A4" w:rsidP="008727D9">
      <w:pPr>
        <w:ind w:firstLine="709"/>
        <w:jc w:val="both"/>
        <w:rPr>
          <w:color w:val="000000" w:themeColor="text1"/>
        </w:rPr>
      </w:pPr>
      <w:r w:rsidRPr="00F0736F">
        <w:rPr>
          <w:rStyle w:val="CharStyle12"/>
          <w:rFonts w:ascii="Times New Roman" w:hAnsi="Times New Roman" w:cs="Times New Roman"/>
          <w:color w:val="000000" w:themeColor="text1"/>
          <w:sz w:val="24"/>
          <w:szCs w:val="24"/>
        </w:rPr>
        <w:t>В конце 2019 года в России был принят закон о развитии микрогенерации (471-ФЗ). Благодаря этому закону владельцы микрогенерирующих установок в частных домах смогут подключать их к сети и продавать излишки электроэнергии по средневзвешенной оптовой цене сбытовым компаниям</w:t>
      </w:r>
      <w:r w:rsidR="009C6503" w:rsidRPr="00F0736F">
        <w:rPr>
          <w:rStyle w:val="a4"/>
          <w:rFonts w:ascii="Times New Roman" w:hAnsi="Times New Roman" w:cs="Times New Roman"/>
          <w:color w:val="000000" w:themeColor="text1"/>
        </w:rPr>
        <w:footnoteReference w:id="55"/>
      </w:r>
      <w:r w:rsidRPr="00F0736F">
        <w:rPr>
          <w:rStyle w:val="CharStyle12"/>
          <w:rFonts w:ascii="Times New Roman" w:hAnsi="Times New Roman" w:cs="Times New Roman"/>
          <w:color w:val="000000" w:themeColor="text1"/>
          <w:sz w:val="24"/>
          <w:szCs w:val="24"/>
        </w:rPr>
        <w:t xml:space="preserve">. </w:t>
      </w:r>
    </w:p>
    <w:p w14:paraId="0F0469DC"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Финляндия подготовила программу устойчивого развития для нашей планеты. Эксперты финского Технологического университета Лаппеэнранта и объединения Energy Watch Group уверены, что планета вполне может полностью перевести свой энергобаланс на возобновляемые ресурсы уже к 2050 году. Речь идет о выработке электроэнергии и тепла, транспорте и опреснении воды. Совместными усилиями они расписали «дорожную карту» этого процесса на 300 с лишним страниц, где подробно описали возможные последствия такого шага для человечества и конкретных регионов. По мнению финских специалистов, новая энергетическая система будет экономичнее и эффективнее существующей на данный момент</w:t>
      </w:r>
      <w:r w:rsidRPr="00F0736F">
        <w:rPr>
          <w:rStyle w:val="a4"/>
          <w:rFonts w:ascii="Times New Roman" w:eastAsia="Times New Roman" w:hAnsi="Times New Roman" w:cs="Times New Roman"/>
          <w:color w:val="000000" w:themeColor="text1"/>
          <w:lang w:eastAsia="ru-RU"/>
        </w:rPr>
        <w:footnoteReference w:id="56"/>
      </w:r>
      <w:r w:rsidRPr="00F0736F">
        <w:rPr>
          <w:rFonts w:ascii="Times New Roman" w:eastAsia="Times New Roman" w:hAnsi="Times New Roman" w:cs="Times New Roman"/>
          <w:color w:val="000000" w:themeColor="text1"/>
          <w:lang w:eastAsia="ru-RU"/>
        </w:rPr>
        <w:t>. Подстегнуть энергопереход помогут следующие меры:</w:t>
      </w:r>
    </w:p>
    <w:p w14:paraId="375DE0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введение зеленых тарифов, которые гарантируют минимальную цену за единицу электричества. Они позволят стимулировать местные и региональные, частные и государственные, небольшие и средние инвестиции;</w:t>
      </w:r>
    </w:p>
    <w:p w14:paraId="27806EA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конкурсные процедуры рекомендуется применять для сетевых проектов выше 40 МВт. Для проектов мощностью ниже 40 МВт зеленые тарифы должны поощрять распределенную генерацию;</w:t>
      </w:r>
    </w:p>
    <w:p w14:paraId="05223D3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налоговые льготы, прямые субсидии и юридические привилегии для ВИЭ-технологий;</w:t>
      </w:r>
    </w:p>
    <w:p w14:paraId="0D93F99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введение налогов на углерод, метан и радиацию;</w:t>
      </w:r>
    </w:p>
    <w:p w14:paraId="00DB0B0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нормативы и инфраструктурное планирование, которые требуют повышения энергоэффективности зданий, освещения, электроприборов и т.д.;</w:t>
      </w:r>
    </w:p>
    <w:p w14:paraId="6E43822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когенерация с полным использованием вторичного тепла;</w:t>
      </w:r>
    </w:p>
    <w:p w14:paraId="2EE423B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уравнивание возможностей по поставкам энергии;</w:t>
      </w:r>
    </w:p>
    <w:p w14:paraId="013B5FA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пропорциональное увеличение как частного, так и государственного финансирования;</w:t>
      </w:r>
    </w:p>
    <w:p w14:paraId="5DD05AC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регулярная финансовая поддержка со стороны местных, региональных и федеральных властей;</w:t>
      </w:r>
    </w:p>
    <w:p w14:paraId="1D37ACC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внедрение новых инновационных схем финансирования;</w:t>
      </w:r>
    </w:p>
    <w:p w14:paraId="7BED53B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кооперативное финансирование проектов с открытыми и доступными инструментами мониторинга расходов. Например, бюджетирование с общественным участием.</w:t>
      </w:r>
    </w:p>
    <w:p w14:paraId="5AB0ACFA"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Новые возможности развития ВИЭ появляются с развитием систем хранения электроэнергии. Так, а</w:t>
      </w:r>
      <w:r w:rsidRPr="00F0736F">
        <w:rPr>
          <w:rFonts w:ascii="Times New Roman" w:hAnsi="Times New Roman" w:cs="Times New Roman"/>
          <w:color w:val="000000" w:themeColor="text1"/>
        </w:rPr>
        <w:t>налитическая компания Bloomberg New Energy Finance обновила свой прогноз развития систем хранения энергии. Согласно новому отчету, к 2040 году по всему миру будет установлено 1095 ГВт аккумуляторов. Для сравнения, сегодня эта цифра составляет всего 9 ГВт. Это значит, что отрасль ожидает 122-кратный рост. Лидерами по объему установки станут США и Китай, за которыми последуют Германия и Индия. Многократное увеличение объемов хранения энергии будет означать революцию в возобновляемой энергетике. Выработка солнечных и ветровых установок сильно зависит от времени суток, однако эффективные аккумуляторы позволят накапливать энергию и использовать тогда, когда это необходимо. Это значительно увеличит популярность ВИЭ.</w:t>
      </w:r>
    </w:p>
    <w:p w14:paraId="46E8E071" w14:textId="5EA4198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США уже наблюдается бум установки систем хранения энергии домохозяйствами. За первый квартал 2018 года владельцы домов установили литий-ионных хранилищ больше, чем за предыдущие три квартала вместе взятые — на 36 МВт</w:t>
      </w:r>
      <w:r w:rsidR="007F7FD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ч.</w:t>
      </w:r>
    </w:p>
    <w:p w14:paraId="6EF71EE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Вместе с тем, вполне возможно, что дорогие и недолговечные литий-ионные аккумуляторы со временем будут заменяться более инновационными вариантами, включая батареи на основе цинка, гидроэнергетические хранилища энергии и системы на основе водорода</w:t>
      </w:r>
      <w:r w:rsidRPr="00F0736F">
        <w:rPr>
          <w:rStyle w:val="a4"/>
          <w:rFonts w:ascii="Times New Roman" w:hAnsi="Times New Roman" w:cs="Times New Roman"/>
          <w:color w:val="000000" w:themeColor="text1"/>
        </w:rPr>
        <w:footnoteReference w:id="57"/>
      </w:r>
      <w:r w:rsidRPr="00F0736F">
        <w:rPr>
          <w:rFonts w:ascii="Times New Roman" w:hAnsi="Times New Roman" w:cs="Times New Roman"/>
          <w:color w:val="000000" w:themeColor="text1"/>
        </w:rPr>
        <w:t>.</w:t>
      </w:r>
      <w:r w:rsidRPr="00F0736F">
        <w:rPr>
          <w:rFonts w:ascii="Times New Roman" w:eastAsia="SimSun" w:hAnsi="Times New Roman" w:cs="Times New Roman"/>
          <w:color w:val="000000" w:themeColor="text1"/>
          <w:spacing w:val="2"/>
          <w:szCs w:val="22"/>
          <w:lang w:eastAsia="en-US"/>
        </w:rPr>
        <w:t xml:space="preserve"> </w:t>
      </w:r>
    </w:p>
    <w:p w14:paraId="196A35B4"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spacing w:val="2"/>
          <w:szCs w:val="22"/>
          <w:lang w:eastAsia="en-US"/>
        </w:rPr>
        <w:t>Institute for Energy Economics and Financial Analysis — IEEFA в своем докладе сообщило, что в 2018 году в США будет выведено из эксплуатации 15,4 ГВт мощностей угольной энергетики – 44 энергоблока на 22 электростанциях в четырнадцати штатах. В период 2018-2024 в США запланировано закрытие 36,7 ГВт угольных электростанций. И это только то, что уже объявлено. Вероятно, их будет больше. Новые угольные электростанции в США не строятся. В 2017 году потребление угля в электроэнергетике США достигло самого низкого уровня с 1982 года</w:t>
      </w:r>
      <w:r w:rsidRPr="00F0736F">
        <w:rPr>
          <w:rStyle w:val="a4"/>
          <w:rFonts w:ascii="Times New Roman" w:eastAsia="SimSun" w:hAnsi="Times New Roman" w:cs="Times New Roman"/>
          <w:color w:val="000000" w:themeColor="text1"/>
          <w:spacing w:val="2"/>
          <w:szCs w:val="22"/>
          <w:lang w:eastAsia="en-US"/>
        </w:rPr>
        <w:footnoteReference w:id="58"/>
      </w:r>
      <w:r w:rsidRPr="00F0736F">
        <w:rPr>
          <w:rFonts w:ascii="Times New Roman" w:eastAsia="SimSun" w:hAnsi="Times New Roman" w:cs="Times New Roman"/>
          <w:color w:val="000000" w:themeColor="text1"/>
          <w:spacing w:val="2"/>
          <w:szCs w:val="22"/>
          <w:lang w:eastAsia="en-US"/>
        </w:rPr>
        <w:t>.</w:t>
      </w:r>
    </w:p>
    <w:p w14:paraId="1A9AF88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Южной Корее предполагается инвестировать порядка 36,6 млрд</w:t>
      </w:r>
      <w:r w:rsidR="007F7FD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долл. в область ВИЭ к 2020 году. В связи с этим закроют угольные электростанции с суммарной установленной мощностью порядка 3,3 ГВт, срок службы которых 30 лет и старше, сообщает информационное агентство Yonhap. В общей сложности 8,6 млрд</w:t>
      </w:r>
      <w:r w:rsidR="007F7FD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долл. будет инвестировано для осу</w:t>
      </w:r>
      <w:r w:rsidR="007F7FD3" w:rsidRPr="00F0736F">
        <w:rPr>
          <w:rFonts w:ascii="Times New Roman" w:hAnsi="Times New Roman" w:cs="Times New Roman"/>
          <w:color w:val="000000" w:themeColor="text1"/>
        </w:rPr>
        <w:t>ществления</w:t>
      </w:r>
      <w:r w:rsidRPr="00F0736F">
        <w:rPr>
          <w:rFonts w:ascii="Times New Roman" w:hAnsi="Times New Roman" w:cs="Times New Roman"/>
          <w:color w:val="000000" w:themeColor="text1"/>
        </w:rPr>
        <w:t xml:space="preserve"> предлагаемого плана поэтапного прекращения производства на десяти устаревших угольных электростанциях к 2030 году. Данный план уменьшит текущую долю угольной генерации в энергобалансе страны на 28% — до 26,2% к 2029 году</w:t>
      </w:r>
      <w:r w:rsidRPr="00F0736F">
        <w:rPr>
          <w:rStyle w:val="a4"/>
          <w:rFonts w:ascii="Times New Roman" w:hAnsi="Times New Roman" w:cs="Times New Roman"/>
          <w:color w:val="000000" w:themeColor="text1"/>
        </w:rPr>
        <w:footnoteReference w:id="59"/>
      </w:r>
      <w:r w:rsidRPr="00F0736F">
        <w:rPr>
          <w:rFonts w:ascii="Times New Roman" w:hAnsi="Times New Roman" w:cs="Times New Roman"/>
          <w:color w:val="000000" w:themeColor="text1"/>
        </w:rPr>
        <w:t>.</w:t>
      </w:r>
    </w:p>
    <w:p w14:paraId="463C5CF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spacing w:val="2"/>
        </w:rPr>
        <w:t>Полный отказ от угольных ТЭЦ в Великобритании запланирован на 2025-й год.</w:t>
      </w:r>
    </w:p>
    <w:p w14:paraId="14C6F2A8"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color w:val="000000" w:themeColor="text1"/>
          <w:spacing w:val="2"/>
        </w:rPr>
        <w:t>ЕС</w:t>
      </w:r>
      <w:r w:rsidRPr="00F0736F">
        <w:rPr>
          <w:rFonts w:ascii="Times New Roman" w:hAnsi="Times New Roman" w:cs="Times New Roman"/>
          <w:color w:val="000000" w:themeColor="text1"/>
          <w:spacing w:val="2"/>
        </w:rPr>
        <w:t xml:space="preserve"> стремится к климатической (углеродной) нейтральности к 2050 году. Водород является средством декарбонизации в ряде секторов (химическая промышленность, производство стали, транспорт).</w:t>
      </w:r>
    </w:p>
    <w:p w14:paraId="2F57CDBB" w14:textId="58734A4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Оборот «водородного сектора» может вырасти всего за одно десятилетие до 2030 года с 2 до 140 млрд</w:t>
      </w:r>
      <w:r w:rsidR="0097636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евро, а потенциал создания водородных рабочих мест оценивается в 140 тысяч.</w:t>
      </w:r>
    </w:p>
    <w:p w14:paraId="567C4956" w14:textId="77777777" w:rsidR="00F674A4" w:rsidRPr="00F0736F" w:rsidRDefault="00F674A4" w:rsidP="008727D9">
      <w:pPr>
        <w:pStyle w:val="afe"/>
        <w:spacing w:before="0" w:after="0"/>
        <w:ind w:firstLine="709"/>
        <w:jc w:val="both"/>
        <w:rPr>
          <w:rFonts w:ascii="Times New Roman" w:hAnsi="Times New Roman" w:cs="Times New Roman"/>
          <w:i w:val="0"/>
          <w:iCs w:val="0"/>
          <w:color w:val="000000" w:themeColor="text1"/>
        </w:rPr>
      </w:pPr>
      <w:r w:rsidRPr="00F0736F">
        <w:rPr>
          <w:rFonts w:ascii="Times New Roman" w:hAnsi="Times New Roman" w:cs="Times New Roman"/>
          <w:i w:val="0"/>
          <w:iCs w:val="0"/>
          <w:color w:val="000000" w:themeColor="text1"/>
        </w:rPr>
        <w:t>ЕС сегодня производит 9,8 млн</w:t>
      </w:r>
      <w:r w:rsidR="007F7FD3" w:rsidRPr="00F0736F">
        <w:rPr>
          <w:rFonts w:ascii="Times New Roman" w:hAnsi="Times New Roman" w:cs="Times New Roman"/>
          <w:i w:val="0"/>
          <w:iCs w:val="0"/>
          <w:color w:val="000000" w:themeColor="text1"/>
        </w:rPr>
        <w:t>.</w:t>
      </w:r>
      <w:r w:rsidRPr="00F0736F">
        <w:rPr>
          <w:rFonts w:ascii="Times New Roman" w:hAnsi="Times New Roman" w:cs="Times New Roman"/>
          <w:i w:val="0"/>
          <w:iCs w:val="0"/>
          <w:color w:val="000000" w:themeColor="text1"/>
        </w:rPr>
        <w:t xml:space="preserve"> </w:t>
      </w:r>
      <w:r w:rsidR="00AC18E0" w:rsidRPr="00F0736F">
        <w:rPr>
          <w:rFonts w:ascii="Times New Roman" w:hAnsi="Times New Roman" w:cs="Times New Roman"/>
          <w:i w:val="0"/>
          <w:iCs w:val="0"/>
          <w:color w:val="000000" w:themeColor="text1"/>
        </w:rPr>
        <w:t>т.</w:t>
      </w:r>
      <w:r w:rsidRPr="00F0736F">
        <w:rPr>
          <w:rFonts w:ascii="Times New Roman" w:hAnsi="Times New Roman" w:cs="Times New Roman"/>
          <w:i w:val="0"/>
          <w:iCs w:val="0"/>
          <w:color w:val="000000" w:themeColor="text1"/>
        </w:rPr>
        <w:t xml:space="preserve"> водорода (глобальное производство: 74 млн</w:t>
      </w:r>
      <w:r w:rsidR="007F7FD3" w:rsidRPr="00F0736F">
        <w:rPr>
          <w:rFonts w:ascii="Times New Roman" w:hAnsi="Times New Roman" w:cs="Times New Roman"/>
          <w:i w:val="0"/>
          <w:iCs w:val="0"/>
          <w:color w:val="000000" w:themeColor="text1"/>
        </w:rPr>
        <w:t>.</w:t>
      </w:r>
      <w:r w:rsidRPr="00F0736F">
        <w:rPr>
          <w:rFonts w:ascii="Times New Roman" w:hAnsi="Times New Roman" w:cs="Times New Roman"/>
          <w:i w:val="0"/>
          <w:iCs w:val="0"/>
          <w:color w:val="000000" w:themeColor="text1"/>
        </w:rPr>
        <w:t xml:space="preserve"> </w:t>
      </w:r>
      <w:r w:rsidR="00AC18E0" w:rsidRPr="00F0736F">
        <w:rPr>
          <w:rFonts w:ascii="Times New Roman" w:hAnsi="Times New Roman" w:cs="Times New Roman"/>
          <w:i w:val="0"/>
          <w:iCs w:val="0"/>
          <w:color w:val="000000" w:themeColor="text1"/>
        </w:rPr>
        <w:t>т.</w:t>
      </w:r>
      <w:r w:rsidRPr="00F0736F">
        <w:rPr>
          <w:rFonts w:ascii="Times New Roman" w:hAnsi="Times New Roman" w:cs="Times New Roman"/>
          <w:i w:val="0"/>
          <w:iCs w:val="0"/>
          <w:color w:val="000000" w:themeColor="text1"/>
        </w:rPr>
        <w:t xml:space="preserve">), из которых только 4% — это зеленый водород. Политические действия будут направлены на то, чтобы позволить «зеленому водороду» достичь конкурентоспособного уровня цен </w:t>
      </w:r>
      <w:r w:rsidRPr="00F0736F">
        <w:rPr>
          <w:rStyle w:val="a5"/>
          <w:rFonts w:ascii="Times New Roman" w:hAnsi="Times New Roman" w:cs="Times New Roman"/>
          <w:color w:val="000000" w:themeColor="text1"/>
        </w:rPr>
        <w:t>уже через пару лет</w:t>
      </w:r>
      <w:r w:rsidRPr="00F0736F">
        <w:rPr>
          <w:rFonts w:ascii="Times New Roman" w:hAnsi="Times New Roman" w:cs="Times New Roman"/>
          <w:i w:val="0"/>
          <w:iCs w:val="0"/>
          <w:color w:val="000000" w:themeColor="text1"/>
        </w:rPr>
        <w:t>. Для этого требуются заводы по производству зеленого водорода гигаваттного масштаба. Необходимо в короткие сроки увеличить объёмы зеленого водорода и снизить его стоимость до 1-2 евро за килограмм «так быстро, как это возможно»</w:t>
      </w:r>
      <w:r w:rsidRPr="00F0736F">
        <w:rPr>
          <w:rStyle w:val="a4"/>
          <w:rFonts w:ascii="Times New Roman" w:hAnsi="Times New Roman" w:cs="Times New Roman"/>
          <w:i w:val="0"/>
          <w:iCs w:val="0"/>
          <w:color w:val="000000" w:themeColor="text1"/>
        </w:rPr>
        <w:footnoteReference w:id="60"/>
      </w:r>
      <w:r w:rsidRPr="00F0736F">
        <w:rPr>
          <w:rFonts w:ascii="Times New Roman" w:hAnsi="Times New Roman" w:cs="Times New Roman"/>
          <w:i w:val="0"/>
          <w:iCs w:val="0"/>
          <w:color w:val="000000" w:themeColor="text1"/>
        </w:rPr>
        <w:t>.</w:t>
      </w:r>
    </w:p>
    <w:p w14:paraId="7916503D" w14:textId="77777777" w:rsidR="00423D1A" w:rsidRPr="00F0736F" w:rsidRDefault="00423D1A" w:rsidP="00423D1A">
      <w:pPr>
        <w:autoSpaceDE w:val="0"/>
        <w:autoSpaceDN w:val="0"/>
        <w:adjustRightInd w:val="0"/>
        <w:ind w:firstLine="709"/>
        <w:jc w:val="both"/>
        <w:textAlignment w:val="center"/>
        <w:rPr>
          <w:rFonts w:ascii="Times New Roman" w:eastAsia="SimSun" w:hAnsi="Times New Roman" w:cs="Times New Roman"/>
          <w:i/>
          <w:iCs/>
          <w:color w:val="000000" w:themeColor="text1"/>
          <w:kern w:val="3"/>
          <w:lang w:eastAsia="en-US"/>
        </w:rPr>
      </w:pPr>
      <w:r w:rsidRPr="00F0736F">
        <w:rPr>
          <w:rFonts w:ascii="Times New Roman" w:eastAsia="SimSun" w:hAnsi="Times New Roman" w:cs="Times New Roman"/>
          <w:bCs/>
          <w:color w:val="000000" w:themeColor="text1"/>
          <w:lang w:eastAsia="en-US"/>
        </w:rPr>
        <w:t xml:space="preserve">По ожиданиям международных </w:t>
      </w:r>
      <w:r w:rsidRPr="00F0736F">
        <w:rPr>
          <w:rFonts w:ascii="Times New Roman" w:hAnsi="Times New Roman" w:cs="Times New Roman"/>
          <w:color w:val="000000" w:themeColor="text1"/>
        </w:rPr>
        <w:t>экспертов</w:t>
      </w:r>
      <w:r w:rsidRPr="00F0736F">
        <w:rPr>
          <w:rStyle w:val="a4"/>
          <w:rFonts w:ascii="Times New Roman" w:hAnsi="Times New Roman" w:cs="Times New Roman"/>
          <w:color w:val="000000" w:themeColor="text1"/>
        </w:rPr>
        <w:footnoteReference w:id="61"/>
      </w:r>
      <w:r w:rsidRPr="00F0736F">
        <w:rPr>
          <w:rFonts w:ascii="Times New Roman" w:eastAsia="SimSun" w:hAnsi="Times New Roman" w:cs="Times New Roman"/>
          <w:bCs/>
          <w:color w:val="000000" w:themeColor="text1"/>
          <w:lang w:eastAsia="en-US"/>
        </w:rPr>
        <w:t xml:space="preserve"> в Казахстане основные изменения в энергетическом секторе произойдут за счет развития возобновляемых источников энергии. Однако на нынешнем этапе существенное расширение электрогенерации на основе ВИЭ имеет ресурсные и технологические ограничения. Для развития возобновляемой энергетики необходим значительный уровень государственной поддержки в течение длительного периода времени. В этой связи Правительству Казахстана</w:t>
      </w:r>
      <w:r w:rsidRPr="00F0736F">
        <w:rPr>
          <w:rFonts w:ascii="Times New Roman" w:eastAsia="SimSun" w:hAnsi="Times New Roman" w:cs="Times New Roman"/>
          <w:i/>
          <w:iCs/>
          <w:color w:val="000000" w:themeColor="text1"/>
          <w:kern w:val="3"/>
          <w:lang w:eastAsia="en-US"/>
        </w:rPr>
        <w:t xml:space="preserve"> следует:</w:t>
      </w:r>
    </w:p>
    <w:p w14:paraId="681138DB" w14:textId="0148D27E" w:rsidR="00423D1A" w:rsidRPr="00F0736F" w:rsidRDefault="00976365" w:rsidP="00423D1A">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п</w:t>
      </w:r>
      <w:r w:rsidR="00423D1A" w:rsidRPr="00F0736F">
        <w:rPr>
          <w:rFonts w:ascii="Times New Roman" w:eastAsia="SimSun" w:hAnsi="Times New Roman" w:cs="Times New Roman"/>
          <w:i/>
          <w:iCs/>
          <w:color w:val="000000" w:themeColor="text1"/>
          <w:lang w:eastAsia="en-US"/>
        </w:rPr>
        <w:t>ри разработке национальных стратегических документов, направленных на достижение ЦУР 7, провести всеобъемлющее исследование по вопросам развития технологий, основанных на использовании ВИЭ, с учетом их статуса, тенденций, экономического анализа, а также институциональных и законодательных барьеров в области технологий использования ВИЭ в стране;</w:t>
      </w:r>
    </w:p>
    <w:p w14:paraId="77BF1DC5" w14:textId="16301063" w:rsidR="00423D1A" w:rsidRPr="00F0736F" w:rsidRDefault="00976365" w:rsidP="00423D1A">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т</w:t>
      </w:r>
      <w:r w:rsidR="00423D1A" w:rsidRPr="00F0736F">
        <w:rPr>
          <w:rFonts w:ascii="Times New Roman" w:eastAsia="SimSun" w:hAnsi="Times New Roman" w:cs="Times New Roman"/>
          <w:i/>
          <w:iCs/>
          <w:color w:val="000000" w:themeColor="text1"/>
          <w:lang w:eastAsia="en-US"/>
        </w:rPr>
        <w:t>щательно проработать и внедрить систему торговли квотами на выбросы углерода, которая могла бы повысить конкурентоспособность ВИЭ по сравнению с ископаемыми видами топлива;</w:t>
      </w:r>
    </w:p>
    <w:p w14:paraId="79E60433" w14:textId="44925949" w:rsidR="00423D1A" w:rsidRPr="00F0736F" w:rsidRDefault="00976365" w:rsidP="00423D1A">
      <w:pPr>
        <w:autoSpaceDE w:val="0"/>
        <w:autoSpaceDN w:val="0"/>
        <w:adjustRightInd w:val="0"/>
        <w:ind w:firstLine="709"/>
        <w:jc w:val="both"/>
        <w:textAlignment w:val="center"/>
        <w:rPr>
          <w:rFonts w:ascii="Times New Roman" w:eastAsia="SimSun" w:hAnsi="Times New Roman" w:cs="Times New Roman"/>
          <w:i/>
          <w:iCs/>
          <w:color w:val="000000" w:themeColor="text1"/>
          <w:lang w:eastAsia="en-US"/>
        </w:rPr>
      </w:pPr>
      <w:r w:rsidRPr="00F0736F">
        <w:rPr>
          <w:rFonts w:ascii="Times New Roman" w:eastAsia="SimSun" w:hAnsi="Times New Roman" w:cs="Times New Roman"/>
          <w:i/>
          <w:iCs/>
          <w:color w:val="000000" w:themeColor="text1"/>
          <w:lang w:eastAsia="en-US"/>
        </w:rPr>
        <w:t>р</w:t>
      </w:r>
      <w:r w:rsidR="00423D1A" w:rsidRPr="00F0736F">
        <w:rPr>
          <w:rFonts w:ascii="Times New Roman" w:eastAsia="SimSun" w:hAnsi="Times New Roman" w:cs="Times New Roman"/>
          <w:i/>
          <w:iCs/>
          <w:color w:val="000000" w:themeColor="text1"/>
          <w:lang w:eastAsia="en-US"/>
        </w:rPr>
        <w:t>азработать «дорожную карту» для развития ВИЭ в</w:t>
      </w:r>
      <w:r w:rsidR="007F7FD3" w:rsidRPr="00F0736F">
        <w:rPr>
          <w:rFonts w:ascii="Times New Roman" w:eastAsia="SimSun" w:hAnsi="Times New Roman" w:cs="Times New Roman"/>
          <w:i/>
          <w:iCs/>
          <w:color w:val="000000" w:themeColor="text1"/>
          <w:lang w:eastAsia="en-US"/>
        </w:rPr>
        <w:t xml:space="preserve"> рамках пересмотренной Концепции</w:t>
      </w:r>
      <w:r w:rsidR="00423D1A" w:rsidRPr="00F0736F">
        <w:rPr>
          <w:rFonts w:ascii="Times New Roman" w:eastAsia="SimSun" w:hAnsi="Times New Roman" w:cs="Times New Roman"/>
          <w:i/>
          <w:iCs/>
          <w:color w:val="000000" w:themeColor="text1"/>
          <w:lang w:eastAsia="en-US"/>
        </w:rPr>
        <w:t xml:space="preserve"> развития сектора электроэнергетики до 2035</w:t>
      </w:r>
      <w:r w:rsidR="00423D1A" w:rsidRPr="00F0736F">
        <w:rPr>
          <w:rFonts w:ascii="Times New Roman" w:eastAsia="SimSun" w:hAnsi="Times New Roman" w:cs="Times New Roman"/>
          <w:i/>
          <w:iCs/>
          <w:color w:val="000000" w:themeColor="text1"/>
          <w:lang w:val="fr-CH" w:eastAsia="en-US"/>
        </w:rPr>
        <w:t> </w:t>
      </w:r>
      <w:r w:rsidR="00423D1A" w:rsidRPr="00F0736F">
        <w:rPr>
          <w:rFonts w:ascii="Times New Roman" w:eastAsia="SimSun" w:hAnsi="Times New Roman" w:cs="Times New Roman"/>
          <w:i/>
          <w:iCs/>
          <w:color w:val="000000" w:themeColor="text1"/>
          <w:lang w:eastAsia="en-US"/>
        </w:rPr>
        <w:t>г. с перспективой на 2050</w:t>
      </w:r>
      <w:r w:rsidR="00423D1A" w:rsidRPr="00F0736F">
        <w:rPr>
          <w:rFonts w:ascii="Times New Roman" w:eastAsia="SimSun" w:hAnsi="Times New Roman" w:cs="Times New Roman"/>
          <w:i/>
          <w:iCs/>
          <w:color w:val="000000" w:themeColor="text1"/>
          <w:lang w:val="fr-CH" w:eastAsia="en-US"/>
        </w:rPr>
        <w:t> </w:t>
      </w:r>
      <w:r w:rsidR="00423D1A" w:rsidRPr="00F0736F">
        <w:rPr>
          <w:rFonts w:ascii="Times New Roman" w:eastAsia="SimSun" w:hAnsi="Times New Roman" w:cs="Times New Roman"/>
          <w:i/>
          <w:iCs/>
          <w:color w:val="000000" w:themeColor="text1"/>
          <w:lang w:eastAsia="en-US"/>
        </w:rPr>
        <w:t>г.</w:t>
      </w:r>
    </w:p>
    <w:p w14:paraId="083C1FA0" w14:textId="77777777" w:rsidR="00B8452D" w:rsidRPr="00F0736F" w:rsidRDefault="00B8452D" w:rsidP="00B8452D">
      <w:pPr>
        <w:pStyle w:val="1LTGliederung1"/>
        <w:rPr>
          <w:rFonts w:ascii="Calibri" w:hAnsi="Calibri"/>
          <w:color w:val="000000" w:themeColor="text1"/>
          <w:sz w:val="24"/>
        </w:rPr>
      </w:pPr>
    </w:p>
    <w:p w14:paraId="059603C9"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671BF482"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Казахстан входит в число лидеров в обеспечении всеобщего доступа к энергетическим услугам в соответствии с Целью устойчивого развития 7 (таблица 1.4.4). Тем не менее, в стране еще не урегулированы вопросы, связанные с аспектами обеспечения бесперебойного энергоснабжения и использования чистых видов топлива и технологий.</w:t>
      </w:r>
    </w:p>
    <w:p w14:paraId="36800BCC" w14:textId="51DD4E28"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lang w:eastAsia="en-GB"/>
        </w:rPr>
        <w:t>Количественная оценка выполнения задачи 7.1 осуществляется, в первую очередь, с помощью показателя «Доля населения, имеющего доступ к электроэнергии». С 2006</w:t>
      </w:r>
      <w:r w:rsidRPr="00F0736F">
        <w:rPr>
          <w:rFonts w:ascii="Times New Roman" w:eastAsia="SimSun" w:hAnsi="Times New Roman" w:cs="Times New Roman"/>
          <w:color w:val="000000" w:themeColor="text1"/>
          <w:lang w:val="fr-CH" w:eastAsia="en-GB"/>
        </w:rPr>
        <w:t xml:space="preserve"> </w:t>
      </w:r>
      <w:r w:rsidRPr="00F0736F">
        <w:rPr>
          <w:rFonts w:ascii="Times New Roman" w:eastAsia="SimSun" w:hAnsi="Times New Roman" w:cs="Times New Roman"/>
          <w:color w:val="000000" w:themeColor="text1"/>
          <w:lang w:eastAsia="en-GB"/>
        </w:rPr>
        <w:t>г</w:t>
      </w:r>
      <w:r w:rsidR="007F7FD3" w:rsidRPr="00F0736F">
        <w:rPr>
          <w:rFonts w:ascii="Times New Roman" w:eastAsia="SimSun" w:hAnsi="Times New Roman" w:cs="Times New Roman"/>
          <w:color w:val="000000" w:themeColor="text1"/>
          <w:lang w:eastAsia="en-GB"/>
        </w:rPr>
        <w:t>ода</w:t>
      </w:r>
      <w:r w:rsidRPr="00F0736F">
        <w:rPr>
          <w:rFonts w:ascii="Times New Roman" w:eastAsia="SimSun" w:hAnsi="Times New Roman" w:cs="Times New Roman"/>
          <w:color w:val="000000" w:themeColor="text1"/>
          <w:lang w:eastAsia="en-GB"/>
        </w:rPr>
        <w:t xml:space="preserve"> 100% городского населения Казахстана имеет доступ к электроэнергии. Однако уровень электрификации сельских районов достиг 100% в 2009</w:t>
      </w:r>
      <w:r w:rsidRPr="00F0736F">
        <w:rPr>
          <w:rFonts w:ascii="Times New Roman" w:eastAsia="SimSun" w:hAnsi="Times New Roman" w:cs="Times New Roman"/>
          <w:color w:val="000000" w:themeColor="text1"/>
          <w:lang w:val="fr-CH" w:eastAsia="en-GB"/>
        </w:rPr>
        <w:t xml:space="preserve"> </w:t>
      </w:r>
      <w:r w:rsidRPr="00F0736F">
        <w:rPr>
          <w:rFonts w:ascii="Times New Roman" w:eastAsia="SimSun" w:hAnsi="Times New Roman" w:cs="Times New Roman"/>
          <w:color w:val="000000" w:themeColor="text1"/>
          <w:lang w:eastAsia="en-GB"/>
        </w:rPr>
        <w:t>г., после чего несколько снизился и колебался в пределах от 99 до 100%, пока снова не достиг 100% в 2014</w:t>
      </w:r>
      <w:r w:rsidRPr="00F0736F">
        <w:rPr>
          <w:rFonts w:ascii="Times New Roman" w:eastAsia="SimSun" w:hAnsi="Times New Roman" w:cs="Times New Roman"/>
          <w:color w:val="000000" w:themeColor="text1"/>
          <w:lang w:val="fr-CH" w:eastAsia="en-GB"/>
        </w:rPr>
        <w:t xml:space="preserve"> </w:t>
      </w:r>
      <w:r w:rsidRPr="00F0736F">
        <w:rPr>
          <w:rFonts w:ascii="Times New Roman" w:eastAsia="SimSun" w:hAnsi="Times New Roman" w:cs="Times New Roman"/>
          <w:color w:val="000000" w:themeColor="text1"/>
          <w:lang w:eastAsia="en-GB"/>
        </w:rPr>
        <w:t>г</w:t>
      </w:r>
      <w:r w:rsidR="007F7FD3" w:rsidRPr="00F0736F">
        <w:rPr>
          <w:rFonts w:ascii="Times New Roman" w:eastAsia="SimSun" w:hAnsi="Times New Roman" w:cs="Times New Roman"/>
          <w:color w:val="000000" w:themeColor="text1"/>
          <w:lang w:eastAsia="en-GB"/>
        </w:rPr>
        <w:t>оду</w:t>
      </w:r>
      <w:r w:rsidRPr="00F0736F">
        <w:rPr>
          <w:rFonts w:ascii="Times New Roman" w:eastAsia="SimSun" w:hAnsi="Times New Roman" w:cs="Times New Roman"/>
          <w:color w:val="000000" w:themeColor="text1"/>
          <w:lang w:eastAsia="en-GB"/>
        </w:rPr>
        <w:t xml:space="preserve">. Таким образом, всеобщий доступ к энергетическим услугам практически обеспечен. Уровень электрификации в Казахстане достиг 100%, но в некоторых сельских районах система электроснабжения является ненадежной. Однако в данной статистике не учитываются отдельно стоящие крестьянские и фермерские хозяйства, отгонные пункты и т.п., не обеспеченные электричеством вообще или в необходимом объеме. Зачастую инфраструктура общих электросетей находится в запущенном состоянии и требует ремонта и восстановления. </w:t>
      </w:r>
    </w:p>
    <w:p w14:paraId="69517284"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bCs/>
          <w:color w:val="000000" w:themeColor="text1"/>
          <w:lang w:eastAsia="en-GB"/>
        </w:rPr>
        <w:t>Выполнение этой задачи также оценивается на основе Показателя 7.1.2. Согласно данным, содержащимся в докладе ВОЗ «Возможности сжигания: чистая бытовая энергия для здоровья, устойчивого развития и благополучия женщин и детей» 2016</w:t>
      </w:r>
      <w:r w:rsidRPr="00F0736F">
        <w:rPr>
          <w:rFonts w:ascii="Times New Roman" w:eastAsia="SimSun" w:hAnsi="Times New Roman" w:cs="Times New Roman"/>
          <w:bCs/>
          <w:color w:val="000000" w:themeColor="text1"/>
          <w:lang w:val="fr-CH" w:eastAsia="en-GB"/>
        </w:rPr>
        <w:t xml:space="preserve"> </w:t>
      </w:r>
      <w:r w:rsidRPr="00F0736F">
        <w:rPr>
          <w:rFonts w:ascii="Times New Roman" w:eastAsia="SimSun" w:hAnsi="Times New Roman" w:cs="Times New Roman"/>
          <w:bCs/>
          <w:color w:val="000000" w:themeColor="text1"/>
          <w:lang w:eastAsia="en-GB"/>
        </w:rPr>
        <w:t>г., 92% населения Казахстана используют в основном чистые виды топлива для приготовления пищи. В то же время свыше 1</w:t>
      </w:r>
      <w:r w:rsidR="007F7FD3" w:rsidRPr="00F0736F">
        <w:rPr>
          <w:rFonts w:ascii="Times New Roman" w:eastAsia="SimSun" w:hAnsi="Times New Roman" w:cs="Times New Roman"/>
          <w:bCs/>
          <w:color w:val="000000" w:themeColor="text1"/>
          <w:lang w:eastAsia="en-GB"/>
        </w:rPr>
        <w:t xml:space="preserve"> </w:t>
      </w:r>
      <w:r w:rsidRPr="00F0736F">
        <w:rPr>
          <w:rFonts w:ascii="Times New Roman" w:eastAsia="SimSun" w:hAnsi="Times New Roman" w:cs="Times New Roman"/>
          <w:bCs/>
          <w:color w:val="000000" w:themeColor="text1"/>
          <w:lang w:eastAsia="en-GB"/>
        </w:rPr>
        <w:t>400</w:t>
      </w:r>
      <w:r w:rsidR="007F7FD3" w:rsidRPr="00F0736F">
        <w:rPr>
          <w:rFonts w:ascii="Times New Roman" w:eastAsia="SimSun" w:hAnsi="Times New Roman" w:cs="Times New Roman"/>
          <w:bCs/>
          <w:color w:val="000000" w:themeColor="text1"/>
          <w:lang w:eastAsia="en-GB"/>
        </w:rPr>
        <w:t xml:space="preserve"> </w:t>
      </w:r>
      <w:r w:rsidRPr="00F0736F">
        <w:rPr>
          <w:rFonts w:ascii="Times New Roman" w:eastAsia="SimSun" w:hAnsi="Times New Roman" w:cs="Times New Roman"/>
          <w:bCs/>
          <w:color w:val="000000" w:themeColor="text1"/>
          <w:lang w:eastAsia="en-GB"/>
        </w:rPr>
        <w:t>000 человек в Казахстане используют для приготовления пищи загрязняющие виды топлива. Кроме того, Казахстан является одной из немногих стран Европейского региона ВОЗ, где небольшая часть населения (5% или менее) использует уголь для приготовления пищи. Для того чтобы расширить применение чистых видов топлива, Казахстану в первую очередь необходимо и впредь прилагать усилия для развития газовой инфраструктуры страны</w:t>
      </w:r>
      <w:r w:rsidRPr="00F0736F">
        <w:rPr>
          <w:rStyle w:val="a4"/>
          <w:rFonts w:ascii="Times New Roman" w:eastAsia="SimSun" w:hAnsi="Times New Roman" w:cs="Times New Roman"/>
          <w:bCs/>
          <w:color w:val="000000" w:themeColor="text1"/>
          <w:lang w:eastAsia="en-GB"/>
        </w:rPr>
        <w:footnoteReference w:id="62"/>
      </w:r>
      <w:r w:rsidRPr="00F0736F">
        <w:rPr>
          <w:rFonts w:ascii="Times New Roman" w:eastAsia="SimSun" w:hAnsi="Times New Roman" w:cs="Times New Roman"/>
          <w:bCs/>
          <w:color w:val="000000" w:themeColor="text1"/>
          <w:lang w:eastAsia="en-GB"/>
        </w:rPr>
        <w:t>.</w:t>
      </w:r>
    </w:p>
    <w:p w14:paraId="74A310E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Прогресс в достижении Задачи 7.2 имеется, но Казахстану необходимо активизировать свои усилия по увеличению доли ВИЭ, чтобы соответствовать мировым трендам прогресса в данной области.</w:t>
      </w:r>
    </w:p>
    <w:p w14:paraId="2ECBB3A0" w14:textId="77777777"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lang w:eastAsia="en-GB"/>
        </w:rPr>
        <w:t>Решение задачи 7.</w:t>
      </w:r>
      <w:r w:rsidRPr="00F0736F">
        <w:rPr>
          <w:rFonts w:ascii="Times New Roman" w:eastAsia="SimSun" w:hAnsi="Times New Roman" w:cs="Times New Roman"/>
          <w:color w:val="000000" w:themeColor="text1"/>
          <w:lang w:val="en-GB" w:eastAsia="en-GB"/>
        </w:rPr>
        <w:t>b</w:t>
      </w:r>
      <w:r w:rsidRPr="00F0736F">
        <w:rPr>
          <w:rFonts w:ascii="Times New Roman" w:eastAsia="SimSun" w:hAnsi="Times New Roman" w:cs="Times New Roman"/>
          <w:color w:val="000000" w:themeColor="text1"/>
          <w:lang w:eastAsia="en-GB"/>
        </w:rPr>
        <w:t xml:space="preserve"> отслеживается по национальному индикатору «И</w:t>
      </w:r>
      <w:r w:rsidRPr="00F0736F">
        <w:rPr>
          <w:rFonts w:ascii="Times New Roman" w:hAnsi="Times New Roman" w:cs="Times New Roman"/>
          <w:color w:val="000000" w:themeColor="text1"/>
        </w:rPr>
        <w:t>нвестиции в основной капитал в ВИЭ (по формам собственности)», но его</w:t>
      </w:r>
      <w:r w:rsidR="007F7FD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по-видимому</w:t>
      </w:r>
      <w:r w:rsidR="007F7FD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недостаточно для полной оценки решения данной задачи. Необходимо отслеживание инвестиций в развитие всей инфраструктуры энергоснабжения. </w:t>
      </w:r>
    </w:p>
    <w:p w14:paraId="57B6CEF9" w14:textId="77777777" w:rsidR="00F674A4" w:rsidRPr="00F0736F" w:rsidRDefault="00F674A4" w:rsidP="008727D9">
      <w:pPr>
        <w:ind w:firstLine="709"/>
        <w:jc w:val="both"/>
        <w:rPr>
          <w:rFonts w:ascii="Times New Roman" w:hAnsi="Times New Roman" w:cs="Times New Roman"/>
          <w:color w:val="000000" w:themeColor="text1"/>
        </w:rPr>
      </w:pPr>
    </w:p>
    <w:p w14:paraId="1B2F1C1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1.4.4. Проблемы достижения ЦУР, связанных с энергообеспечением</w:t>
      </w:r>
    </w:p>
    <w:p w14:paraId="7955A54C" w14:textId="77777777" w:rsidR="00F674A4" w:rsidRPr="00F0736F" w:rsidRDefault="00F674A4" w:rsidP="008727D9">
      <w:pPr>
        <w:ind w:firstLine="709"/>
        <w:jc w:val="both"/>
        <w:rPr>
          <w:rFonts w:ascii="Times New Roman" w:hAnsi="Times New Roman" w:cs="Times New Roman"/>
          <w:color w:val="000000" w:themeColor="text1"/>
        </w:rPr>
      </w:pPr>
    </w:p>
    <w:tbl>
      <w:tblPr>
        <w:tblW w:w="9668" w:type="dxa"/>
        <w:tblInd w:w="108" w:type="dxa"/>
        <w:tblLayout w:type="fixed"/>
        <w:tblLook w:val="0000" w:firstRow="0" w:lastRow="0" w:firstColumn="0" w:lastColumn="0" w:noHBand="0" w:noVBand="0"/>
      </w:tblPr>
      <w:tblGrid>
        <w:gridCol w:w="2422"/>
        <w:gridCol w:w="2224"/>
        <w:gridCol w:w="1762"/>
        <w:gridCol w:w="1617"/>
        <w:gridCol w:w="1643"/>
      </w:tblGrid>
      <w:tr w:rsidR="00F0736F" w:rsidRPr="00F0736F" w14:paraId="2F9A421D" w14:textId="77777777" w:rsidTr="00766D8F">
        <w:tc>
          <w:tcPr>
            <w:tcW w:w="2422" w:type="dxa"/>
            <w:tcBorders>
              <w:top w:val="single" w:sz="4" w:space="0" w:color="000000"/>
              <w:left w:val="single" w:sz="4" w:space="0" w:color="000000"/>
              <w:bottom w:val="single" w:sz="4" w:space="0" w:color="000000"/>
            </w:tcBorders>
            <w:shd w:val="clear" w:color="auto" w:fill="auto"/>
          </w:tcPr>
          <w:p w14:paraId="65B359FB"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24" w:type="dxa"/>
            <w:tcBorders>
              <w:top w:val="single" w:sz="4" w:space="0" w:color="000000"/>
              <w:left w:val="single" w:sz="4" w:space="0" w:color="000000"/>
              <w:bottom w:val="single" w:sz="4" w:space="0" w:color="000000"/>
            </w:tcBorders>
            <w:shd w:val="clear" w:color="auto" w:fill="auto"/>
          </w:tcPr>
          <w:p w14:paraId="2C8FD850"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762" w:type="dxa"/>
            <w:tcBorders>
              <w:top w:val="single" w:sz="4" w:space="0" w:color="000000"/>
              <w:left w:val="single" w:sz="4" w:space="0" w:color="000000"/>
              <w:bottom w:val="single" w:sz="4" w:space="0" w:color="000000"/>
            </w:tcBorders>
            <w:shd w:val="clear" w:color="auto" w:fill="auto"/>
          </w:tcPr>
          <w:p w14:paraId="256A3EA5"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617" w:type="dxa"/>
            <w:tcBorders>
              <w:top w:val="single" w:sz="4" w:space="0" w:color="000000"/>
              <w:left w:val="single" w:sz="4" w:space="0" w:color="000000"/>
              <w:bottom w:val="single" w:sz="4" w:space="0" w:color="000000"/>
            </w:tcBorders>
            <w:shd w:val="clear" w:color="auto" w:fill="auto"/>
          </w:tcPr>
          <w:p w14:paraId="77F201A7"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1A3648F9"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7C0BEE29" w14:textId="77777777" w:rsidTr="00766D8F">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14:paraId="4BE71B37" w14:textId="77777777" w:rsidR="00F674A4" w:rsidRPr="00F0736F" w:rsidRDefault="00F674A4" w:rsidP="00CA56D4">
            <w:pPr>
              <w:jc w:val="center"/>
              <w:rPr>
                <w:color w:val="000000" w:themeColor="text1"/>
              </w:rPr>
            </w:pPr>
            <w:r w:rsidRPr="00F0736F">
              <w:rPr>
                <w:rFonts w:ascii="Times New Roman" w:hAnsi="Times New Roman" w:cs="Times New Roman"/>
                <w:color w:val="000000" w:themeColor="text1"/>
                <w:sz w:val="20"/>
                <w:szCs w:val="20"/>
              </w:rPr>
              <w:t>ЦУР 7. Обеспечение доступа к недорогим, надежным, устойчивым и современным источникам энергии для всех</w:t>
            </w:r>
          </w:p>
        </w:tc>
      </w:tr>
      <w:tr w:rsidR="00F0736F" w:rsidRPr="00F0736F" w14:paraId="45405997" w14:textId="77777777" w:rsidTr="00766D8F">
        <w:tc>
          <w:tcPr>
            <w:tcW w:w="2422" w:type="dxa"/>
            <w:tcBorders>
              <w:top w:val="single" w:sz="4" w:space="0" w:color="000000"/>
              <w:left w:val="single" w:sz="4" w:space="0" w:color="000000"/>
              <w:bottom w:val="single" w:sz="4" w:space="0" w:color="000000"/>
            </w:tcBorders>
            <w:shd w:val="clear" w:color="auto" w:fill="auto"/>
          </w:tcPr>
          <w:p w14:paraId="70BC8B49"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Задача 7.1. К 2030 году обеспечить всеобщий доступ к недорогому, надежному и современному энергоснабжению</w:t>
            </w:r>
          </w:p>
        </w:tc>
        <w:tc>
          <w:tcPr>
            <w:tcW w:w="2224" w:type="dxa"/>
            <w:tcBorders>
              <w:top w:val="single" w:sz="4" w:space="0" w:color="000000"/>
              <w:left w:val="single" w:sz="4" w:space="0" w:color="000000"/>
              <w:bottom w:val="single" w:sz="4" w:space="0" w:color="000000"/>
            </w:tcBorders>
            <w:shd w:val="clear" w:color="auto" w:fill="auto"/>
          </w:tcPr>
          <w:p w14:paraId="0C385B0C"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7.1.1 Доля населения, имеющего доступ к электроэнергии</w:t>
            </w:r>
          </w:p>
          <w:p w14:paraId="690981A5"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7.1.2 Доля населения, использующего в основном чистые виды топлива и технологии</w:t>
            </w:r>
          </w:p>
        </w:tc>
        <w:tc>
          <w:tcPr>
            <w:tcW w:w="1762" w:type="dxa"/>
            <w:tcBorders>
              <w:top w:val="single" w:sz="4" w:space="0" w:color="000000"/>
              <w:left w:val="single" w:sz="4" w:space="0" w:color="000000"/>
              <w:bottom w:val="single" w:sz="4" w:space="0" w:color="000000"/>
            </w:tcBorders>
            <w:shd w:val="clear" w:color="auto" w:fill="auto"/>
          </w:tcPr>
          <w:p w14:paraId="2CBF902D"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Доля населения, имеющего доступ к электроэнергии</w:t>
            </w:r>
          </w:p>
          <w:p w14:paraId="4C0AE424"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отсутствует</w:t>
            </w:r>
          </w:p>
        </w:tc>
        <w:tc>
          <w:tcPr>
            <w:tcW w:w="1617" w:type="dxa"/>
            <w:tcBorders>
              <w:top w:val="single" w:sz="4" w:space="0" w:color="000000"/>
              <w:left w:val="single" w:sz="4" w:space="0" w:color="000000"/>
              <w:bottom w:val="single" w:sz="4" w:space="0" w:color="000000"/>
            </w:tcBorders>
            <w:shd w:val="clear" w:color="auto" w:fill="auto"/>
          </w:tcPr>
          <w:p w14:paraId="58DF1217"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00C5F478"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Доля населения, использующего в основном чистые виды топлива и технологии</w:t>
            </w:r>
          </w:p>
        </w:tc>
      </w:tr>
      <w:tr w:rsidR="00F0736F" w:rsidRPr="00F0736F" w14:paraId="7ED9961B" w14:textId="77777777" w:rsidTr="00766D8F">
        <w:trPr>
          <w:trHeight w:val="1973"/>
        </w:trPr>
        <w:tc>
          <w:tcPr>
            <w:tcW w:w="2422" w:type="dxa"/>
            <w:tcBorders>
              <w:top w:val="single" w:sz="4" w:space="0" w:color="000000"/>
              <w:left w:val="single" w:sz="4" w:space="0" w:color="000000"/>
              <w:bottom w:val="single" w:sz="4" w:space="0" w:color="000000"/>
            </w:tcBorders>
            <w:shd w:val="clear" w:color="auto" w:fill="auto"/>
          </w:tcPr>
          <w:p w14:paraId="50B9BFF6"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Задача 7.2. К 2030 году значительно увеличить долю энергии из возобновляемых источников в мировом энергетическом балансе</w:t>
            </w:r>
          </w:p>
        </w:tc>
        <w:tc>
          <w:tcPr>
            <w:tcW w:w="2224" w:type="dxa"/>
            <w:tcBorders>
              <w:top w:val="single" w:sz="4" w:space="0" w:color="000000"/>
              <w:left w:val="single" w:sz="4" w:space="0" w:color="000000"/>
              <w:bottom w:val="single" w:sz="4" w:space="0" w:color="000000"/>
            </w:tcBorders>
            <w:shd w:val="clear" w:color="auto" w:fill="auto"/>
          </w:tcPr>
          <w:p w14:paraId="010617F6"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7.2.1</w:t>
            </w:r>
            <w:r w:rsidR="007F7FD3"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Доля возобновляемых источников энергии в общем объеме конечного энергопотребления</w:t>
            </w:r>
          </w:p>
        </w:tc>
        <w:tc>
          <w:tcPr>
            <w:tcW w:w="1762" w:type="dxa"/>
            <w:tcBorders>
              <w:top w:val="single" w:sz="4" w:space="0" w:color="000000"/>
              <w:left w:val="single" w:sz="4" w:space="0" w:color="000000"/>
              <w:bottom w:val="single" w:sz="4" w:space="0" w:color="000000"/>
            </w:tcBorders>
            <w:shd w:val="clear" w:color="auto" w:fill="auto"/>
          </w:tcPr>
          <w:p w14:paraId="61D1F8CE"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Доля возобновляемых и альтернативных источников энергии в общем объеме производства электроэнергии</w:t>
            </w:r>
          </w:p>
        </w:tc>
        <w:tc>
          <w:tcPr>
            <w:tcW w:w="1617" w:type="dxa"/>
            <w:tcBorders>
              <w:top w:val="single" w:sz="4" w:space="0" w:color="000000"/>
              <w:left w:val="single" w:sz="4" w:space="0" w:color="000000"/>
              <w:bottom w:val="single" w:sz="4" w:space="0" w:color="000000"/>
            </w:tcBorders>
            <w:shd w:val="clear" w:color="auto" w:fill="auto"/>
          </w:tcPr>
          <w:p w14:paraId="4F42D8C5"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Необходимо активизировать усилия по увеличению доли ВИЭ и альтернативных источников энергии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5282CC04"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r>
      <w:tr w:rsidR="00F674A4" w:rsidRPr="00F0736F" w14:paraId="53C36C32" w14:textId="77777777" w:rsidTr="00766D8F">
        <w:tc>
          <w:tcPr>
            <w:tcW w:w="2422" w:type="dxa"/>
            <w:tcBorders>
              <w:top w:val="single" w:sz="4" w:space="0" w:color="000000"/>
              <w:left w:val="single" w:sz="4" w:space="0" w:color="000000"/>
              <w:bottom w:val="single" w:sz="4" w:space="0" w:color="000000"/>
            </w:tcBorders>
            <w:shd w:val="clear" w:color="auto" w:fill="auto"/>
          </w:tcPr>
          <w:p w14:paraId="7C609625" w14:textId="7D3BF8A1"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Задача 7.b. К 2030 году расширить инфраструктуру и модернизировать технологии для современного и устойчивого энергоснабжения всех в развивающихся странах, в частности</w:t>
            </w:r>
            <w:r w:rsidR="00CA56D4" w:rsidRPr="00F0736F">
              <w:rPr>
                <w:rFonts w:ascii="Times New Roman" w:hAnsi="Times New Roman" w:cs="Times New Roman"/>
                <w:color w:val="000000" w:themeColor="text1"/>
                <w:sz w:val="20"/>
                <w:szCs w:val="20"/>
              </w:rPr>
              <w:t>,</w:t>
            </w:r>
            <w:r w:rsidRPr="00F0736F">
              <w:rPr>
                <w:rFonts w:ascii="Times New Roman" w:hAnsi="Times New Roman" w:cs="Times New Roman"/>
                <w:color w:val="000000" w:themeColor="text1"/>
                <w:sz w:val="20"/>
                <w:szCs w:val="20"/>
              </w:rPr>
              <w:t xml:space="preserve"> в наименее развитых странах, малых островных развивающихся государствах и развивающихся странах, не имеющих выхода к морю, с учетом их соответствующих программ поддержки</w:t>
            </w:r>
          </w:p>
        </w:tc>
        <w:tc>
          <w:tcPr>
            <w:tcW w:w="2224" w:type="dxa"/>
            <w:tcBorders>
              <w:top w:val="single" w:sz="4" w:space="0" w:color="000000"/>
              <w:left w:val="single" w:sz="4" w:space="0" w:color="000000"/>
              <w:bottom w:val="single" w:sz="4" w:space="0" w:color="000000"/>
            </w:tcBorders>
            <w:shd w:val="clear" w:color="auto" w:fill="auto"/>
          </w:tcPr>
          <w:p w14:paraId="206D11E3"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7.b.1 Капиталовложения в обеспечение энергоэффективности в процентном отношении к ВВП и доля прямых иностранных инвестиций в финансовых средствах, поступающих в отрасли обслуживания, обеспечивающие устойчивое развитие, на цели расширения их инфраструктуры и модернизации технологии</w:t>
            </w:r>
          </w:p>
        </w:tc>
        <w:tc>
          <w:tcPr>
            <w:tcW w:w="1762" w:type="dxa"/>
            <w:tcBorders>
              <w:top w:val="single" w:sz="4" w:space="0" w:color="000000"/>
              <w:left w:val="single" w:sz="4" w:space="0" w:color="000000"/>
              <w:bottom w:val="single" w:sz="4" w:space="0" w:color="000000"/>
            </w:tcBorders>
            <w:shd w:val="clear" w:color="auto" w:fill="auto"/>
          </w:tcPr>
          <w:p w14:paraId="13540277" w14:textId="77777777" w:rsidR="00F674A4" w:rsidRPr="00F0736F" w:rsidRDefault="00F674A4" w:rsidP="00CA56D4">
            <w:pPr>
              <w:ind w:firstLine="34"/>
              <w:jc w:val="both"/>
              <w:rPr>
                <w:color w:val="000000" w:themeColor="text1"/>
              </w:rPr>
            </w:pPr>
            <w:r w:rsidRPr="00F0736F">
              <w:rPr>
                <w:rFonts w:ascii="Times New Roman" w:eastAsia="SimSun" w:hAnsi="Times New Roman" w:cs="Times New Roman"/>
                <w:color w:val="000000" w:themeColor="text1"/>
                <w:sz w:val="20"/>
                <w:szCs w:val="20"/>
                <w:lang w:eastAsia="en-GB"/>
              </w:rPr>
              <w:t xml:space="preserve">Нет </w:t>
            </w:r>
          </w:p>
        </w:tc>
        <w:tc>
          <w:tcPr>
            <w:tcW w:w="1617" w:type="dxa"/>
            <w:tcBorders>
              <w:top w:val="single" w:sz="4" w:space="0" w:color="000000"/>
              <w:left w:val="single" w:sz="4" w:space="0" w:color="000000"/>
              <w:bottom w:val="single" w:sz="4" w:space="0" w:color="000000"/>
            </w:tcBorders>
            <w:shd w:val="clear" w:color="auto" w:fill="auto"/>
          </w:tcPr>
          <w:p w14:paraId="18EF5045"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2FE73405" w14:textId="77777777" w:rsidR="00F674A4" w:rsidRPr="00F0736F" w:rsidRDefault="00F674A4" w:rsidP="00CA56D4">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r>
    </w:tbl>
    <w:p w14:paraId="0B1AA5D7" w14:textId="77777777" w:rsidR="00F674A4" w:rsidRPr="00F0736F" w:rsidRDefault="00F674A4" w:rsidP="008727D9">
      <w:pPr>
        <w:ind w:firstLine="709"/>
        <w:jc w:val="both"/>
        <w:rPr>
          <w:rFonts w:ascii="Times New Roman" w:hAnsi="Times New Roman" w:cs="Times New Roman"/>
          <w:color w:val="000000" w:themeColor="text1"/>
        </w:rPr>
      </w:pPr>
    </w:p>
    <w:p w14:paraId="1858DD42" w14:textId="00BE291C"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242CF0A4" w14:textId="6F535128"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val="kk-KZ" w:eastAsia="ru-RU"/>
        </w:rPr>
        <w:t xml:space="preserve">Согласно </w:t>
      </w:r>
      <w:r w:rsidRPr="00F0736F">
        <w:rPr>
          <w:rFonts w:ascii="Times New Roman" w:eastAsia="Times New Roman" w:hAnsi="Times New Roman" w:cs="Times New Roman"/>
          <w:bCs/>
          <w:color w:val="000000" w:themeColor="text1"/>
          <w:spacing w:val="2"/>
          <w:lang w:val="kk-KZ" w:eastAsia="ru-RU"/>
        </w:rPr>
        <w:t>прогнозному балансу</w:t>
      </w:r>
      <w:r w:rsidRPr="00F0736F">
        <w:rPr>
          <w:rFonts w:ascii="Times New Roman" w:eastAsia="Times New Roman" w:hAnsi="Times New Roman" w:cs="Times New Roman"/>
          <w:color w:val="000000" w:themeColor="text1"/>
          <w:spacing w:val="2"/>
          <w:lang w:val="kk-KZ" w:eastAsia="ru-RU"/>
        </w:rPr>
        <w:t xml:space="preserve"> (таблица 1.4.5.) потребление электрической мощности в 2025 году прогнозируется на уровне 18</w:t>
      </w:r>
      <w:r w:rsidR="007F7FD3"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260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т (прирост 3</w:t>
      </w:r>
      <w:r w:rsidR="00CA56D4"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566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т по отношению к факту 2018 года). При этом даже с учетом необходимого нормативного резерва мощности (в объеме около 2</w:t>
      </w:r>
      <w:r w:rsidR="00CA56D4"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000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т) к 2025 году по ЕЭС Казахстана прогнозируется избыток мощности в объеме 966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т</w:t>
      </w:r>
      <w:r w:rsidRPr="00F0736F">
        <w:rPr>
          <w:rStyle w:val="a4"/>
          <w:rFonts w:ascii="Times New Roman" w:eastAsia="Times New Roman" w:hAnsi="Times New Roman" w:cs="Times New Roman"/>
          <w:color w:val="000000" w:themeColor="text1"/>
          <w:spacing w:val="2"/>
          <w:lang w:val="kk-KZ" w:eastAsia="ru-RU"/>
        </w:rPr>
        <w:footnoteReference w:id="63"/>
      </w:r>
      <w:r w:rsidRPr="00F0736F">
        <w:rPr>
          <w:rFonts w:ascii="Times New Roman" w:eastAsia="Times New Roman" w:hAnsi="Times New Roman" w:cs="Times New Roman"/>
          <w:color w:val="000000" w:themeColor="text1"/>
          <w:spacing w:val="2"/>
          <w:lang w:val="kk-KZ" w:eastAsia="ru-RU"/>
        </w:rPr>
        <w:t>. Для обеспечения спроса на электрическую мощность в прогнозном балансе учтены вводы дополнительных электрических мощностей на существующих станциях в объеме 3</w:t>
      </w:r>
      <w:r w:rsidR="00CA56D4"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567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 xml:space="preserve">т и строительство новых станций, в том числе объектов ВИЭ мощностью </w:t>
      </w:r>
      <w:r w:rsidR="00CA56D4"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1</w:t>
      </w:r>
      <w:r w:rsidR="00CA56D4" w:rsidRPr="00F0736F">
        <w:rPr>
          <w:rFonts w:ascii="Times New Roman" w:eastAsia="Times New Roman" w:hAnsi="Times New Roman" w:cs="Times New Roman"/>
          <w:color w:val="000000" w:themeColor="text1"/>
          <w:spacing w:val="2"/>
          <w:lang w:val="kk-KZ" w:eastAsia="ru-RU"/>
        </w:rPr>
        <w:t xml:space="preserve"> </w:t>
      </w:r>
      <w:r w:rsidRPr="00F0736F">
        <w:rPr>
          <w:rFonts w:ascii="Times New Roman" w:eastAsia="Times New Roman" w:hAnsi="Times New Roman" w:cs="Times New Roman"/>
          <w:color w:val="000000" w:themeColor="text1"/>
          <w:spacing w:val="2"/>
          <w:lang w:val="kk-KZ" w:eastAsia="ru-RU"/>
        </w:rPr>
        <w:t>296 МВ</w:t>
      </w:r>
      <w:r w:rsidR="007F7FD3" w:rsidRPr="00F0736F">
        <w:rPr>
          <w:rFonts w:ascii="Times New Roman" w:eastAsia="Times New Roman" w:hAnsi="Times New Roman" w:cs="Times New Roman"/>
          <w:color w:val="000000" w:themeColor="text1"/>
          <w:spacing w:val="2"/>
          <w:lang w:val="kk-KZ" w:eastAsia="ru-RU"/>
        </w:rPr>
        <w:t>*</w:t>
      </w:r>
      <w:r w:rsidRPr="00F0736F">
        <w:rPr>
          <w:rFonts w:ascii="Times New Roman" w:eastAsia="Times New Roman" w:hAnsi="Times New Roman" w:cs="Times New Roman"/>
          <w:color w:val="000000" w:themeColor="text1"/>
          <w:spacing w:val="2"/>
          <w:lang w:val="kk-KZ" w:eastAsia="ru-RU"/>
        </w:rPr>
        <w:t>т</w:t>
      </w:r>
      <w:r w:rsidRPr="00F0736F">
        <w:rPr>
          <w:rFonts w:ascii="Times New Roman" w:eastAsia="Times New Roman" w:hAnsi="Times New Roman" w:cs="Times New Roman"/>
          <w:color w:val="000000" w:themeColor="text1"/>
          <w:spacing w:val="2"/>
          <w:sz w:val="26"/>
          <w:szCs w:val="26"/>
          <w:lang w:val="kk-KZ" w:eastAsia="ru-RU"/>
        </w:rPr>
        <w:t>.</w:t>
      </w:r>
    </w:p>
    <w:p w14:paraId="6B1877E0" w14:textId="77777777" w:rsidR="00F674A4" w:rsidRPr="00F0736F" w:rsidRDefault="00F674A4" w:rsidP="008727D9">
      <w:pPr>
        <w:ind w:firstLine="709"/>
        <w:jc w:val="both"/>
        <w:rPr>
          <w:rFonts w:ascii="Times New Roman" w:hAnsi="Times New Roman" w:cs="Times New Roman"/>
          <w:color w:val="000000" w:themeColor="text1"/>
        </w:rPr>
      </w:pPr>
    </w:p>
    <w:p w14:paraId="24BBC456"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val="kk-KZ" w:eastAsia="ru-RU"/>
        </w:rPr>
        <w:t xml:space="preserve">Таблица 1.4.5. Прогнозный баланс электрической мощности, </w:t>
      </w:r>
      <w:r w:rsidRPr="00F0736F">
        <w:rPr>
          <w:rFonts w:ascii="Times New Roman" w:hAnsi="Times New Roman" w:cs="Times New Roman"/>
          <w:color w:val="000000" w:themeColor="text1"/>
          <w:lang w:val="kk-KZ"/>
        </w:rPr>
        <w:t>Мв</w:t>
      </w:r>
      <w:r w:rsidR="007F7FD3"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т.</w:t>
      </w:r>
    </w:p>
    <w:p w14:paraId="5267E9BD" w14:textId="77777777" w:rsidR="00F674A4" w:rsidRPr="00F0736F" w:rsidRDefault="00F674A4" w:rsidP="008727D9">
      <w:pPr>
        <w:ind w:firstLine="709"/>
        <w:jc w:val="both"/>
        <w:rPr>
          <w:color w:val="000000" w:themeColor="text1"/>
        </w:rPr>
      </w:pPr>
    </w:p>
    <w:tbl>
      <w:tblPr>
        <w:tblW w:w="0" w:type="auto"/>
        <w:tblInd w:w="108" w:type="dxa"/>
        <w:tblLayout w:type="fixed"/>
        <w:tblLook w:val="0000" w:firstRow="0" w:lastRow="0" w:firstColumn="0" w:lastColumn="0" w:noHBand="0" w:noVBand="0"/>
      </w:tblPr>
      <w:tblGrid>
        <w:gridCol w:w="2556"/>
        <w:gridCol w:w="1089"/>
        <w:gridCol w:w="844"/>
        <w:gridCol w:w="993"/>
        <w:gridCol w:w="993"/>
        <w:gridCol w:w="993"/>
        <w:gridCol w:w="1123"/>
        <w:gridCol w:w="1077"/>
      </w:tblGrid>
      <w:tr w:rsidR="00F0736F" w:rsidRPr="00F0736F" w14:paraId="13A5A538" w14:textId="77777777" w:rsidTr="00766D8F">
        <w:trPr>
          <w:cantSplit/>
          <w:trHeight w:val="125"/>
        </w:trPr>
        <w:tc>
          <w:tcPr>
            <w:tcW w:w="2556" w:type="dxa"/>
            <w:vMerge w:val="restart"/>
            <w:tcBorders>
              <w:top w:val="single" w:sz="4" w:space="0" w:color="000000"/>
              <w:left w:val="single" w:sz="4" w:space="0" w:color="000000"/>
              <w:bottom w:val="single" w:sz="4" w:space="0" w:color="000000"/>
            </w:tcBorders>
            <w:shd w:val="clear" w:color="auto" w:fill="auto"/>
            <w:vAlign w:val="center"/>
          </w:tcPr>
          <w:p w14:paraId="777ED0F9"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Наименование</w:t>
            </w:r>
          </w:p>
        </w:tc>
        <w:tc>
          <w:tcPr>
            <w:tcW w:w="711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723CE1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прогноз</w:t>
            </w:r>
          </w:p>
        </w:tc>
      </w:tr>
      <w:tr w:rsidR="00F0736F" w:rsidRPr="00F0736F" w14:paraId="06106E1C" w14:textId="77777777" w:rsidTr="00766D8F">
        <w:trPr>
          <w:cantSplit/>
          <w:trHeight w:val="115"/>
        </w:trPr>
        <w:tc>
          <w:tcPr>
            <w:tcW w:w="2556" w:type="dxa"/>
            <w:vMerge/>
            <w:tcBorders>
              <w:top w:val="single" w:sz="4" w:space="0" w:color="000000"/>
              <w:left w:val="single" w:sz="4" w:space="0" w:color="000000"/>
              <w:bottom w:val="single" w:sz="4" w:space="0" w:color="000000"/>
            </w:tcBorders>
            <w:shd w:val="clear" w:color="auto" w:fill="auto"/>
            <w:vAlign w:val="center"/>
          </w:tcPr>
          <w:p w14:paraId="54C0018D" w14:textId="77777777" w:rsidR="00F674A4" w:rsidRPr="00F0736F" w:rsidRDefault="00F674A4" w:rsidP="00BB73C0">
            <w:pPr>
              <w:snapToGrid w:val="0"/>
              <w:ind w:firstLine="34"/>
              <w:jc w:val="both"/>
              <w:rPr>
                <w:rFonts w:ascii="Times New Roman" w:hAnsi="Times New Roman" w:cs="Times New Roman"/>
                <w:color w:val="000000" w:themeColor="text1"/>
                <w:sz w:val="20"/>
                <w:szCs w:val="20"/>
              </w:rPr>
            </w:pPr>
          </w:p>
        </w:tc>
        <w:tc>
          <w:tcPr>
            <w:tcW w:w="1089" w:type="dxa"/>
            <w:tcBorders>
              <w:top w:val="single" w:sz="4" w:space="0" w:color="000000"/>
              <w:left w:val="single" w:sz="4" w:space="0" w:color="000000"/>
              <w:bottom w:val="single" w:sz="4" w:space="0" w:color="000000"/>
            </w:tcBorders>
            <w:shd w:val="clear" w:color="auto" w:fill="auto"/>
            <w:vAlign w:val="center"/>
          </w:tcPr>
          <w:p w14:paraId="65085E81"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201</w:t>
            </w:r>
            <w:r w:rsidRPr="00F0736F">
              <w:rPr>
                <w:rFonts w:ascii="Times New Roman" w:eastAsia="Times New Roman" w:hAnsi="Times New Roman" w:cs="Times New Roman"/>
                <w:color w:val="000000" w:themeColor="text1"/>
                <w:sz w:val="20"/>
                <w:szCs w:val="20"/>
                <w:lang w:val="kk-KZ" w:eastAsia="ru-RU"/>
              </w:rPr>
              <w:t>9</w:t>
            </w:r>
          </w:p>
        </w:tc>
        <w:tc>
          <w:tcPr>
            <w:tcW w:w="844" w:type="dxa"/>
            <w:tcBorders>
              <w:top w:val="single" w:sz="4" w:space="0" w:color="000000"/>
              <w:left w:val="single" w:sz="4" w:space="0" w:color="000000"/>
              <w:bottom w:val="single" w:sz="4" w:space="0" w:color="000000"/>
            </w:tcBorders>
            <w:shd w:val="clear" w:color="auto" w:fill="auto"/>
            <w:vAlign w:val="center"/>
          </w:tcPr>
          <w:p w14:paraId="0D1E645E"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w:t>
            </w:r>
            <w:r w:rsidRPr="00F0736F">
              <w:rPr>
                <w:rFonts w:ascii="Times New Roman" w:eastAsia="Times New Roman" w:hAnsi="Times New Roman" w:cs="Times New Roman"/>
                <w:color w:val="000000" w:themeColor="text1"/>
                <w:sz w:val="20"/>
                <w:szCs w:val="20"/>
                <w:lang w:val="kk-KZ" w:eastAsia="ru-RU"/>
              </w:rPr>
              <w:t>20</w:t>
            </w:r>
          </w:p>
        </w:tc>
        <w:tc>
          <w:tcPr>
            <w:tcW w:w="993" w:type="dxa"/>
            <w:tcBorders>
              <w:top w:val="single" w:sz="4" w:space="0" w:color="000000"/>
              <w:left w:val="single" w:sz="4" w:space="0" w:color="000000"/>
              <w:bottom w:val="single" w:sz="4" w:space="0" w:color="000000"/>
            </w:tcBorders>
            <w:shd w:val="clear" w:color="auto" w:fill="auto"/>
            <w:vAlign w:val="center"/>
          </w:tcPr>
          <w:p w14:paraId="61FD1408"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202</w:t>
            </w:r>
            <w:r w:rsidRPr="00F0736F">
              <w:rPr>
                <w:rFonts w:ascii="Times New Roman" w:eastAsia="Times New Roman" w:hAnsi="Times New Roman" w:cs="Times New Roman"/>
                <w:color w:val="000000" w:themeColor="text1"/>
                <w:sz w:val="20"/>
                <w:szCs w:val="20"/>
                <w:lang w:val="kk-KZ" w:eastAsia="ru-RU"/>
              </w:rPr>
              <w:t>1</w:t>
            </w:r>
          </w:p>
        </w:tc>
        <w:tc>
          <w:tcPr>
            <w:tcW w:w="993" w:type="dxa"/>
            <w:tcBorders>
              <w:top w:val="single" w:sz="4" w:space="0" w:color="000000"/>
              <w:left w:val="single" w:sz="4" w:space="0" w:color="000000"/>
              <w:bottom w:val="single" w:sz="4" w:space="0" w:color="000000"/>
            </w:tcBorders>
            <w:shd w:val="clear" w:color="auto" w:fill="auto"/>
            <w:vAlign w:val="center"/>
          </w:tcPr>
          <w:p w14:paraId="44F6655A"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202</w:t>
            </w:r>
            <w:r w:rsidRPr="00F0736F">
              <w:rPr>
                <w:rFonts w:ascii="Times New Roman" w:eastAsia="Times New Roman" w:hAnsi="Times New Roman" w:cs="Times New Roman"/>
                <w:color w:val="000000" w:themeColor="text1"/>
                <w:sz w:val="20"/>
                <w:szCs w:val="20"/>
                <w:lang w:val="kk-KZ" w:eastAsia="ru-RU"/>
              </w:rPr>
              <w:t>2</w:t>
            </w:r>
          </w:p>
        </w:tc>
        <w:tc>
          <w:tcPr>
            <w:tcW w:w="993" w:type="dxa"/>
            <w:tcBorders>
              <w:top w:val="single" w:sz="4" w:space="0" w:color="000000"/>
              <w:left w:val="single" w:sz="4" w:space="0" w:color="000000"/>
              <w:bottom w:val="single" w:sz="4" w:space="0" w:color="000000"/>
            </w:tcBorders>
            <w:shd w:val="clear" w:color="auto" w:fill="auto"/>
            <w:vAlign w:val="center"/>
          </w:tcPr>
          <w:p w14:paraId="3B9AFD7F"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202</w:t>
            </w:r>
            <w:r w:rsidRPr="00F0736F">
              <w:rPr>
                <w:rFonts w:ascii="Times New Roman" w:eastAsia="Times New Roman" w:hAnsi="Times New Roman" w:cs="Times New Roman"/>
                <w:color w:val="000000" w:themeColor="text1"/>
                <w:sz w:val="20"/>
                <w:szCs w:val="20"/>
                <w:lang w:val="kk-KZ" w:eastAsia="ru-RU"/>
              </w:rPr>
              <w:t>3</w:t>
            </w:r>
          </w:p>
        </w:tc>
        <w:tc>
          <w:tcPr>
            <w:tcW w:w="1123" w:type="dxa"/>
            <w:tcBorders>
              <w:top w:val="single" w:sz="4" w:space="0" w:color="000000"/>
              <w:left w:val="single" w:sz="4" w:space="0" w:color="000000"/>
              <w:bottom w:val="single" w:sz="4" w:space="0" w:color="000000"/>
            </w:tcBorders>
            <w:shd w:val="clear" w:color="auto" w:fill="auto"/>
            <w:vAlign w:val="center"/>
          </w:tcPr>
          <w:p w14:paraId="43FBB5C5"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202</w:t>
            </w:r>
            <w:r w:rsidRPr="00F0736F">
              <w:rPr>
                <w:rFonts w:ascii="Times New Roman" w:eastAsia="Times New Roman" w:hAnsi="Times New Roman" w:cs="Times New Roman"/>
                <w:color w:val="000000" w:themeColor="text1"/>
                <w:sz w:val="20"/>
                <w:szCs w:val="20"/>
                <w:lang w:val="kk-KZ" w:eastAsia="ru-RU"/>
              </w:rPr>
              <w:t>4</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92F18" w14:textId="77777777" w:rsidR="00F674A4" w:rsidRPr="00F0736F" w:rsidRDefault="00F674A4" w:rsidP="00766D8F">
            <w:pPr>
              <w:ind w:firstLine="34"/>
              <w:jc w:val="center"/>
              <w:rPr>
                <w:color w:val="000000" w:themeColor="text1"/>
              </w:rPr>
            </w:pPr>
            <w:r w:rsidRPr="00F0736F">
              <w:rPr>
                <w:rFonts w:ascii="Times New Roman" w:eastAsia="Times New Roman" w:hAnsi="Times New Roman" w:cs="Times New Roman"/>
                <w:color w:val="000000" w:themeColor="text1"/>
                <w:sz w:val="20"/>
                <w:szCs w:val="20"/>
                <w:lang w:eastAsia="ru-RU"/>
              </w:rPr>
              <w:t>202</w:t>
            </w:r>
            <w:r w:rsidRPr="00F0736F">
              <w:rPr>
                <w:rFonts w:ascii="Times New Roman" w:eastAsia="Times New Roman" w:hAnsi="Times New Roman" w:cs="Times New Roman"/>
                <w:color w:val="000000" w:themeColor="text1"/>
                <w:sz w:val="20"/>
                <w:szCs w:val="20"/>
                <w:lang w:val="kk-KZ" w:eastAsia="ru-RU"/>
              </w:rPr>
              <w:t>5</w:t>
            </w:r>
          </w:p>
        </w:tc>
      </w:tr>
      <w:tr w:rsidR="00F0736F" w:rsidRPr="00F0736F" w14:paraId="0FF3DDB5" w14:textId="77777777" w:rsidTr="00766D8F">
        <w:trPr>
          <w:cantSplit/>
          <w:trHeight w:val="261"/>
        </w:trPr>
        <w:tc>
          <w:tcPr>
            <w:tcW w:w="2556" w:type="dxa"/>
            <w:tcBorders>
              <w:top w:val="single" w:sz="4" w:space="0" w:color="000000"/>
              <w:left w:val="single" w:sz="4" w:space="0" w:color="000000"/>
              <w:bottom w:val="single" w:sz="4" w:space="0" w:color="000000"/>
            </w:tcBorders>
            <w:shd w:val="clear" w:color="auto" w:fill="auto"/>
          </w:tcPr>
          <w:p w14:paraId="3F5CD91A"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Потребность</w:t>
            </w:r>
          </w:p>
        </w:tc>
        <w:tc>
          <w:tcPr>
            <w:tcW w:w="1089" w:type="dxa"/>
            <w:tcBorders>
              <w:top w:val="single" w:sz="4" w:space="0" w:color="000000"/>
              <w:left w:val="single" w:sz="4" w:space="0" w:color="000000"/>
              <w:bottom w:val="single" w:sz="4" w:space="0" w:color="000000"/>
            </w:tcBorders>
            <w:shd w:val="clear" w:color="auto" w:fill="auto"/>
            <w:vAlign w:val="center"/>
          </w:tcPr>
          <w:p w14:paraId="6801855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17094</w:t>
            </w:r>
          </w:p>
        </w:tc>
        <w:tc>
          <w:tcPr>
            <w:tcW w:w="844" w:type="dxa"/>
            <w:tcBorders>
              <w:top w:val="single" w:sz="4" w:space="0" w:color="000000"/>
              <w:left w:val="single" w:sz="4" w:space="0" w:color="000000"/>
              <w:bottom w:val="single" w:sz="4" w:space="0" w:color="000000"/>
            </w:tcBorders>
            <w:shd w:val="clear" w:color="auto" w:fill="auto"/>
            <w:vAlign w:val="center"/>
          </w:tcPr>
          <w:p w14:paraId="1D667FEE"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18205</w:t>
            </w:r>
          </w:p>
        </w:tc>
        <w:tc>
          <w:tcPr>
            <w:tcW w:w="993" w:type="dxa"/>
            <w:tcBorders>
              <w:top w:val="single" w:sz="4" w:space="0" w:color="000000"/>
              <w:left w:val="single" w:sz="4" w:space="0" w:color="000000"/>
              <w:bottom w:val="single" w:sz="4" w:space="0" w:color="000000"/>
            </w:tcBorders>
            <w:shd w:val="clear" w:color="auto" w:fill="auto"/>
            <w:vAlign w:val="center"/>
          </w:tcPr>
          <w:p w14:paraId="00468EF4"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18523</w:t>
            </w:r>
          </w:p>
        </w:tc>
        <w:tc>
          <w:tcPr>
            <w:tcW w:w="993" w:type="dxa"/>
            <w:tcBorders>
              <w:top w:val="single" w:sz="4" w:space="0" w:color="000000"/>
              <w:left w:val="single" w:sz="4" w:space="0" w:color="000000"/>
              <w:bottom w:val="single" w:sz="4" w:space="0" w:color="000000"/>
            </w:tcBorders>
            <w:shd w:val="clear" w:color="auto" w:fill="auto"/>
            <w:vAlign w:val="center"/>
          </w:tcPr>
          <w:p w14:paraId="2DE6D0AD"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18809</w:t>
            </w:r>
          </w:p>
        </w:tc>
        <w:tc>
          <w:tcPr>
            <w:tcW w:w="993" w:type="dxa"/>
            <w:tcBorders>
              <w:top w:val="single" w:sz="4" w:space="0" w:color="000000"/>
              <w:left w:val="single" w:sz="4" w:space="0" w:color="000000"/>
              <w:bottom w:val="single" w:sz="4" w:space="0" w:color="000000"/>
            </w:tcBorders>
            <w:shd w:val="clear" w:color="auto" w:fill="auto"/>
            <w:vAlign w:val="center"/>
          </w:tcPr>
          <w:p w14:paraId="0AE052D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19237</w:t>
            </w:r>
          </w:p>
        </w:tc>
        <w:tc>
          <w:tcPr>
            <w:tcW w:w="1123" w:type="dxa"/>
            <w:tcBorders>
              <w:top w:val="single" w:sz="4" w:space="0" w:color="000000"/>
              <w:left w:val="single" w:sz="4" w:space="0" w:color="000000"/>
              <w:bottom w:val="single" w:sz="4" w:space="0" w:color="000000"/>
            </w:tcBorders>
            <w:shd w:val="clear" w:color="auto" w:fill="auto"/>
            <w:vAlign w:val="center"/>
          </w:tcPr>
          <w:p w14:paraId="5AD7E497"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19656</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5BC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20262</w:t>
            </w:r>
          </w:p>
        </w:tc>
      </w:tr>
      <w:tr w:rsidR="00F0736F" w:rsidRPr="00F0736F" w14:paraId="5697A88F" w14:textId="77777777" w:rsidTr="00766D8F">
        <w:trPr>
          <w:cantSplit/>
          <w:trHeight w:val="253"/>
        </w:trPr>
        <w:tc>
          <w:tcPr>
            <w:tcW w:w="9668" w:type="dxa"/>
            <w:gridSpan w:val="8"/>
            <w:tcBorders>
              <w:top w:val="single" w:sz="4" w:space="0" w:color="000000"/>
              <w:left w:val="single" w:sz="4" w:space="0" w:color="000000"/>
              <w:bottom w:val="single" w:sz="4" w:space="0" w:color="000000"/>
              <w:right w:val="single" w:sz="4" w:space="0" w:color="000000"/>
            </w:tcBorders>
            <w:shd w:val="clear" w:color="auto" w:fill="auto"/>
          </w:tcPr>
          <w:p w14:paraId="198D2380"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Генерация</w:t>
            </w:r>
          </w:p>
        </w:tc>
      </w:tr>
      <w:tr w:rsidR="00F0736F" w:rsidRPr="00F0736F" w14:paraId="5C88446B" w14:textId="77777777" w:rsidTr="00766D8F">
        <w:trPr>
          <w:cantSplit/>
          <w:trHeight w:val="243"/>
        </w:trPr>
        <w:tc>
          <w:tcPr>
            <w:tcW w:w="9668" w:type="dxa"/>
            <w:gridSpan w:val="8"/>
            <w:tcBorders>
              <w:top w:val="single" w:sz="4" w:space="0" w:color="000000"/>
              <w:left w:val="single" w:sz="4" w:space="0" w:color="000000"/>
              <w:bottom w:val="single" w:sz="4" w:space="0" w:color="000000"/>
              <w:right w:val="single" w:sz="4" w:space="0" w:color="000000"/>
            </w:tcBorders>
            <w:shd w:val="clear" w:color="auto" w:fill="auto"/>
          </w:tcPr>
          <w:p w14:paraId="132A6598"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Существующие станции, с учетом выбытия мощностей</w:t>
            </w:r>
          </w:p>
        </w:tc>
      </w:tr>
      <w:tr w:rsidR="00F0736F" w:rsidRPr="00F0736F" w14:paraId="3669FFD5" w14:textId="77777777" w:rsidTr="00766D8F">
        <w:trPr>
          <w:cantSplit/>
          <w:trHeight w:val="251"/>
        </w:trPr>
        <w:tc>
          <w:tcPr>
            <w:tcW w:w="2556" w:type="dxa"/>
            <w:tcBorders>
              <w:top w:val="single" w:sz="4" w:space="0" w:color="000000"/>
              <w:left w:val="single" w:sz="4" w:space="0" w:color="000000"/>
              <w:bottom w:val="single" w:sz="4" w:space="0" w:color="000000"/>
            </w:tcBorders>
            <w:shd w:val="clear" w:color="auto" w:fill="auto"/>
          </w:tcPr>
          <w:p w14:paraId="72B5B2A8"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Располагаемая мощность</w:t>
            </w:r>
          </w:p>
        </w:tc>
        <w:tc>
          <w:tcPr>
            <w:tcW w:w="1089" w:type="dxa"/>
            <w:tcBorders>
              <w:top w:val="single" w:sz="4" w:space="0" w:color="000000"/>
              <w:left w:val="single" w:sz="4" w:space="0" w:color="000000"/>
              <w:bottom w:val="single" w:sz="4" w:space="0" w:color="000000"/>
            </w:tcBorders>
            <w:shd w:val="clear" w:color="auto" w:fill="auto"/>
            <w:vAlign w:val="center"/>
          </w:tcPr>
          <w:p w14:paraId="3F93C58D"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17797</w:t>
            </w:r>
          </w:p>
        </w:tc>
        <w:tc>
          <w:tcPr>
            <w:tcW w:w="844" w:type="dxa"/>
            <w:tcBorders>
              <w:top w:val="single" w:sz="4" w:space="0" w:color="000000"/>
              <w:left w:val="single" w:sz="4" w:space="0" w:color="000000"/>
              <w:bottom w:val="single" w:sz="4" w:space="0" w:color="000000"/>
            </w:tcBorders>
            <w:shd w:val="clear" w:color="auto" w:fill="auto"/>
            <w:vAlign w:val="center"/>
          </w:tcPr>
          <w:p w14:paraId="230E8911"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17695</w:t>
            </w:r>
          </w:p>
        </w:tc>
        <w:tc>
          <w:tcPr>
            <w:tcW w:w="993" w:type="dxa"/>
            <w:tcBorders>
              <w:top w:val="single" w:sz="4" w:space="0" w:color="000000"/>
              <w:left w:val="single" w:sz="4" w:space="0" w:color="000000"/>
              <w:bottom w:val="single" w:sz="4" w:space="0" w:color="000000"/>
            </w:tcBorders>
            <w:shd w:val="clear" w:color="auto" w:fill="auto"/>
            <w:vAlign w:val="center"/>
          </w:tcPr>
          <w:p w14:paraId="7FAD18A7"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17414</w:t>
            </w:r>
          </w:p>
        </w:tc>
        <w:tc>
          <w:tcPr>
            <w:tcW w:w="993" w:type="dxa"/>
            <w:tcBorders>
              <w:top w:val="single" w:sz="4" w:space="0" w:color="000000"/>
              <w:left w:val="single" w:sz="4" w:space="0" w:color="000000"/>
              <w:bottom w:val="single" w:sz="4" w:space="0" w:color="000000"/>
            </w:tcBorders>
            <w:shd w:val="clear" w:color="auto" w:fill="auto"/>
            <w:vAlign w:val="center"/>
          </w:tcPr>
          <w:p w14:paraId="2E97C9D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17219</w:t>
            </w:r>
          </w:p>
        </w:tc>
        <w:tc>
          <w:tcPr>
            <w:tcW w:w="993" w:type="dxa"/>
            <w:tcBorders>
              <w:top w:val="single" w:sz="4" w:space="0" w:color="000000"/>
              <w:left w:val="single" w:sz="4" w:space="0" w:color="000000"/>
              <w:bottom w:val="single" w:sz="4" w:space="0" w:color="000000"/>
            </w:tcBorders>
            <w:shd w:val="clear" w:color="auto" w:fill="auto"/>
            <w:vAlign w:val="center"/>
          </w:tcPr>
          <w:p w14:paraId="1025EFE1"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17179</w:t>
            </w:r>
          </w:p>
        </w:tc>
        <w:tc>
          <w:tcPr>
            <w:tcW w:w="1123" w:type="dxa"/>
            <w:tcBorders>
              <w:top w:val="single" w:sz="4" w:space="0" w:color="000000"/>
              <w:left w:val="single" w:sz="4" w:space="0" w:color="000000"/>
              <w:bottom w:val="single" w:sz="4" w:space="0" w:color="000000"/>
            </w:tcBorders>
            <w:shd w:val="clear" w:color="auto" w:fill="auto"/>
            <w:vAlign w:val="center"/>
          </w:tcPr>
          <w:p w14:paraId="1A7050E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16836</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B557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16794</w:t>
            </w:r>
          </w:p>
        </w:tc>
      </w:tr>
      <w:tr w:rsidR="00F0736F" w:rsidRPr="00F0736F" w14:paraId="2F707D0A" w14:textId="77777777" w:rsidTr="00766D8F">
        <w:trPr>
          <w:cantSplit/>
          <w:trHeight w:val="235"/>
        </w:trPr>
        <w:tc>
          <w:tcPr>
            <w:tcW w:w="2556" w:type="dxa"/>
            <w:tcBorders>
              <w:top w:val="single" w:sz="4" w:space="0" w:color="000000"/>
              <w:left w:val="single" w:sz="4" w:space="0" w:color="000000"/>
              <w:bottom w:val="single" w:sz="4" w:space="0" w:color="000000"/>
            </w:tcBorders>
            <w:shd w:val="clear" w:color="auto" w:fill="auto"/>
          </w:tcPr>
          <w:p w14:paraId="1B886D2A"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Дефицит (+),</w:t>
            </w:r>
            <w:r w:rsidRPr="00F0736F">
              <w:rPr>
                <w:rFonts w:ascii="Times New Roman" w:hAnsi="Times New Roman" w:cs="Times New Roman"/>
                <w:color w:val="000000" w:themeColor="text1"/>
                <w:sz w:val="20"/>
                <w:szCs w:val="20"/>
              </w:rPr>
              <w:br/>
              <w:t xml:space="preserve">избыток (-) </w:t>
            </w:r>
          </w:p>
        </w:tc>
        <w:tc>
          <w:tcPr>
            <w:tcW w:w="1089" w:type="dxa"/>
            <w:tcBorders>
              <w:top w:val="single" w:sz="4" w:space="0" w:color="000000"/>
              <w:left w:val="single" w:sz="4" w:space="0" w:color="000000"/>
              <w:bottom w:val="single" w:sz="4" w:space="0" w:color="000000"/>
            </w:tcBorders>
            <w:shd w:val="clear" w:color="auto" w:fill="auto"/>
            <w:vAlign w:val="center"/>
          </w:tcPr>
          <w:p w14:paraId="5BD0B57B"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-332</w:t>
            </w:r>
          </w:p>
        </w:tc>
        <w:tc>
          <w:tcPr>
            <w:tcW w:w="844" w:type="dxa"/>
            <w:tcBorders>
              <w:top w:val="single" w:sz="4" w:space="0" w:color="000000"/>
              <w:left w:val="single" w:sz="4" w:space="0" w:color="000000"/>
              <w:bottom w:val="single" w:sz="4" w:space="0" w:color="000000"/>
            </w:tcBorders>
            <w:shd w:val="clear" w:color="auto" w:fill="auto"/>
            <w:vAlign w:val="center"/>
          </w:tcPr>
          <w:p w14:paraId="70CF05A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879</w:t>
            </w:r>
          </w:p>
        </w:tc>
        <w:tc>
          <w:tcPr>
            <w:tcW w:w="993" w:type="dxa"/>
            <w:tcBorders>
              <w:top w:val="single" w:sz="4" w:space="0" w:color="000000"/>
              <w:left w:val="single" w:sz="4" w:space="0" w:color="000000"/>
              <w:bottom w:val="single" w:sz="4" w:space="0" w:color="000000"/>
            </w:tcBorders>
            <w:shd w:val="clear" w:color="auto" w:fill="auto"/>
            <w:vAlign w:val="center"/>
          </w:tcPr>
          <w:p w14:paraId="5117B21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1473</w:t>
            </w:r>
          </w:p>
        </w:tc>
        <w:tc>
          <w:tcPr>
            <w:tcW w:w="993" w:type="dxa"/>
            <w:tcBorders>
              <w:top w:val="single" w:sz="4" w:space="0" w:color="000000"/>
              <w:left w:val="single" w:sz="4" w:space="0" w:color="000000"/>
              <w:bottom w:val="single" w:sz="4" w:space="0" w:color="000000"/>
            </w:tcBorders>
            <w:shd w:val="clear" w:color="auto" w:fill="auto"/>
            <w:vAlign w:val="center"/>
          </w:tcPr>
          <w:p w14:paraId="151772EC"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2076</w:t>
            </w:r>
          </w:p>
        </w:tc>
        <w:tc>
          <w:tcPr>
            <w:tcW w:w="993" w:type="dxa"/>
            <w:tcBorders>
              <w:top w:val="single" w:sz="4" w:space="0" w:color="000000"/>
              <w:left w:val="single" w:sz="4" w:space="0" w:color="000000"/>
              <w:bottom w:val="single" w:sz="4" w:space="0" w:color="000000"/>
            </w:tcBorders>
            <w:shd w:val="clear" w:color="auto" w:fill="auto"/>
            <w:vAlign w:val="center"/>
          </w:tcPr>
          <w:p w14:paraId="3FA0906A"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2540</w:t>
            </w:r>
          </w:p>
        </w:tc>
        <w:tc>
          <w:tcPr>
            <w:tcW w:w="1123" w:type="dxa"/>
            <w:tcBorders>
              <w:top w:val="single" w:sz="4" w:space="0" w:color="000000"/>
              <w:left w:val="single" w:sz="4" w:space="0" w:color="000000"/>
              <w:bottom w:val="single" w:sz="4" w:space="0" w:color="000000"/>
            </w:tcBorders>
            <w:shd w:val="clear" w:color="auto" w:fill="auto"/>
            <w:vAlign w:val="center"/>
          </w:tcPr>
          <w:p w14:paraId="0DD113B1"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3298</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3755"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3942</w:t>
            </w:r>
          </w:p>
        </w:tc>
      </w:tr>
      <w:tr w:rsidR="00F0736F" w:rsidRPr="00F0736F" w14:paraId="1D29A486" w14:textId="77777777" w:rsidTr="00766D8F">
        <w:trPr>
          <w:cantSplit/>
          <w:trHeight w:val="225"/>
        </w:trPr>
        <w:tc>
          <w:tcPr>
            <w:tcW w:w="9668" w:type="dxa"/>
            <w:gridSpan w:val="8"/>
            <w:tcBorders>
              <w:top w:val="single" w:sz="4" w:space="0" w:color="000000"/>
              <w:left w:val="single" w:sz="4" w:space="0" w:color="000000"/>
              <w:bottom w:val="single" w:sz="4" w:space="0" w:color="000000"/>
              <w:right w:val="single" w:sz="4" w:space="0" w:color="000000"/>
            </w:tcBorders>
            <w:shd w:val="clear" w:color="auto" w:fill="auto"/>
          </w:tcPr>
          <w:p w14:paraId="0979B537"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Планируемый ввод мощностей</w:t>
            </w:r>
          </w:p>
        </w:tc>
      </w:tr>
      <w:tr w:rsidR="00F0736F" w:rsidRPr="00F0736F" w14:paraId="2F8A1F1F" w14:textId="77777777" w:rsidTr="00766D8F">
        <w:trPr>
          <w:cantSplit/>
          <w:trHeight w:val="233"/>
        </w:trPr>
        <w:tc>
          <w:tcPr>
            <w:tcW w:w="2556" w:type="dxa"/>
            <w:tcBorders>
              <w:top w:val="single" w:sz="4" w:space="0" w:color="000000"/>
              <w:left w:val="single" w:sz="4" w:space="0" w:color="000000"/>
              <w:bottom w:val="single" w:sz="4" w:space="0" w:color="000000"/>
            </w:tcBorders>
            <w:shd w:val="clear" w:color="auto" w:fill="auto"/>
          </w:tcPr>
          <w:p w14:paraId="61995C3B"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Располагаемая мощность</w:t>
            </w:r>
          </w:p>
        </w:tc>
        <w:tc>
          <w:tcPr>
            <w:tcW w:w="1089" w:type="dxa"/>
            <w:tcBorders>
              <w:top w:val="single" w:sz="4" w:space="0" w:color="000000"/>
              <w:left w:val="single" w:sz="4" w:space="0" w:color="000000"/>
              <w:bottom w:val="single" w:sz="4" w:space="0" w:color="000000"/>
            </w:tcBorders>
            <w:shd w:val="clear" w:color="auto" w:fill="auto"/>
            <w:vAlign w:val="center"/>
          </w:tcPr>
          <w:p w14:paraId="53741C1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1670</w:t>
            </w:r>
          </w:p>
        </w:tc>
        <w:tc>
          <w:tcPr>
            <w:tcW w:w="844" w:type="dxa"/>
            <w:tcBorders>
              <w:top w:val="single" w:sz="4" w:space="0" w:color="000000"/>
              <w:left w:val="single" w:sz="4" w:space="0" w:color="000000"/>
              <w:bottom w:val="single" w:sz="4" w:space="0" w:color="000000"/>
            </w:tcBorders>
            <w:shd w:val="clear" w:color="auto" w:fill="auto"/>
            <w:vAlign w:val="center"/>
          </w:tcPr>
          <w:p w14:paraId="2865DA2C"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2863</w:t>
            </w:r>
          </w:p>
        </w:tc>
        <w:tc>
          <w:tcPr>
            <w:tcW w:w="993" w:type="dxa"/>
            <w:tcBorders>
              <w:top w:val="single" w:sz="4" w:space="0" w:color="000000"/>
              <w:left w:val="single" w:sz="4" w:space="0" w:color="000000"/>
              <w:bottom w:val="single" w:sz="4" w:space="0" w:color="000000"/>
            </w:tcBorders>
            <w:shd w:val="clear" w:color="auto" w:fill="auto"/>
            <w:vAlign w:val="center"/>
          </w:tcPr>
          <w:p w14:paraId="666F9895"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4014</w:t>
            </w:r>
          </w:p>
        </w:tc>
        <w:tc>
          <w:tcPr>
            <w:tcW w:w="993" w:type="dxa"/>
            <w:tcBorders>
              <w:top w:val="single" w:sz="4" w:space="0" w:color="000000"/>
              <w:left w:val="single" w:sz="4" w:space="0" w:color="000000"/>
              <w:bottom w:val="single" w:sz="4" w:space="0" w:color="000000"/>
            </w:tcBorders>
            <w:shd w:val="clear" w:color="auto" w:fill="auto"/>
            <w:vAlign w:val="center"/>
          </w:tcPr>
          <w:p w14:paraId="623D7AB9"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4973</w:t>
            </w:r>
          </w:p>
        </w:tc>
        <w:tc>
          <w:tcPr>
            <w:tcW w:w="993" w:type="dxa"/>
            <w:tcBorders>
              <w:top w:val="single" w:sz="4" w:space="0" w:color="000000"/>
              <w:left w:val="single" w:sz="4" w:space="0" w:color="000000"/>
              <w:bottom w:val="single" w:sz="4" w:space="0" w:color="000000"/>
            </w:tcBorders>
            <w:shd w:val="clear" w:color="auto" w:fill="auto"/>
            <w:vAlign w:val="center"/>
          </w:tcPr>
          <w:p w14:paraId="6B99E8F1"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5076</w:t>
            </w:r>
          </w:p>
        </w:tc>
        <w:tc>
          <w:tcPr>
            <w:tcW w:w="1123" w:type="dxa"/>
            <w:tcBorders>
              <w:top w:val="single" w:sz="4" w:space="0" w:color="000000"/>
              <w:left w:val="single" w:sz="4" w:space="0" w:color="000000"/>
              <w:bottom w:val="single" w:sz="4" w:space="0" w:color="000000"/>
            </w:tcBorders>
            <w:shd w:val="clear" w:color="auto" w:fill="auto"/>
            <w:vAlign w:val="center"/>
          </w:tcPr>
          <w:p w14:paraId="0A8A484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6223</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4C1C2"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7043</w:t>
            </w:r>
          </w:p>
        </w:tc>
      </w:tr>
      <w:tr w:rsidR="00F0736F" w:rsidRPr="00F0736F" w14:paraId="7495C865" w14:textId="77777777" w:rsidTr="00766D8F">
        <w:trPr>
          <w:cantSplit/>
          <w:trHeight w:val="213"/>
        </w:trPr>
        <w:tc>
          <w:tcPr>
            <w:tcW w:w="9668" w:type="dxa"/>
            <w:gridSpan w:val="8"/>
            <w:tcBorders>
              <w:top w:val="single" w:sz="4" w:space="0" w:color="000000"/>
              <w:left w:val="single" w:sz="4" w:space="0" w:color="000000"/>
              <w:bottom w:val="single" w:sz="4" w:space="0" w:color="000000"/>
              <w:right w:val="single" w:sz="4" w:space="0" w:color="000000"/>
            </w:tcBorders>
            <w:shd w:val="clear" w:color="auto" w:fill="auto"/>
          </w:tcPr>
          <w:p w14:paraId="60D8B49D"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Итого (существующие и планируемые)</w:t>
            </w:r>
          </w:p>
        </w:tc>
      </w:tr>
      <w:tr w:rsidR="00F0736F" w:rsidRPr="00F0736F" w14:paraId="6CCF84AF" w14:textId="77777777" w:rsidTr="00766D8F">
        <w:trPr>
          <w:cantSplit/>
          <w:trHeight w:val="268"/>
        </w:trPr>
        <w:tc>
          <w:tcPr>
            <w:tcW w:w="2556" w:type="dxa"/>
            <w:tcBorders>
              <w:top w:val="single" w:sz="4" w:space="0" w:color="000000"/>
              <w:left w:val="single" w:sz="4" w:space="0" w:color="000000"/>
              <w:bottom w:val="single" w:sz="4" w:space="0" w:color="000000"/>
            </w:tcBorders>
            <w:shd w:val="clear" w:color="auto" w:fill="auto"/>
          </w:tcPr>
          <w:p w14:paraId="3135B0F8"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Располагаемая мощность</w:t>
            </w:r>
          </w:p>
        </w:tc>
        <w:tc>
          <w:tcPr>
            <w:tcW w:w="1089" w:type="dxa"/>
            <w:tcBorders>
              <w:top w:val="single" w:sz="4" w:space="0" w:color="000000"/>
              <w:left w:val="single" w:sz="4" w:space="0" w:color="000000"/>
              <w:bottom w:val="single" w:sz="4" w:space="0" w:color="000000"/>
            </w:tcBorders>
            <w:shd w:val="clear" w:color="auto" w:fill="auto"/>
            <w:vAlign w:val="center"/>
          </w:tcPr>
          <w:p w14:paraId="73D2F1A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19467</w:t>
            </w:r>
          </w:p>
        </w:tc>
        <w:tc>
          <w:tcPr>
            <w:tcW w:w="844" w:type="dxa"/>
            <w:tcBorders>
              <w:top w:val="single" w:sz="4" w:space="0" w:color="000000"/>
              <w:left w:val="single" w:sz="4" w:space="0" w:color="000000"/>
              <w:bottom w:val="single" w:sz="4" w:space="0" w:color="000000"/>
            </w:tcBorders>
            <w:shd w:val="clear" w:color="auto" w:fill="auto"/>
            <w:vAlign w:val="center"/>
          </w:tcPr>
          <w:p w14:paraId="7E8EAD5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20558</w:t>
            </w:r>
          </w:p>
        </w:tc>
        <w:tc>
          <w:tcPr>
            <w:tcW w:w="993" w:type="dxa"/>
            <w:tcBorders>
              <w:top w:val="single" w:sz="4" w:space="0" w:color="000000"/>
              <w:left w:val="single" w:sz="4" w:space="0" w:color="000000"/>
              <w:bottom w:val="single" w:sz="4" w:space="0" w:color="000000"/>
            </w:tcBorders>
            <w:shd w:val="clear" w:color="auto" w:fill="auto"/>
            <w:vAlign w:val="center"/>
          </w:tcPr>
          <w:p w14:paraId="429E1DCE"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21428</w:t>
            </w:r>
          </w:p>
        </w:tc>
        <w:tc>
          <w:tcPr>
            <w:tcW w:w="993" w:type="dxa"/>
            <w:tcBorders>
              <w:top w:val="single" w:sz="4" w:space="0" w:color="000000"/>
              <w:left w:val="single" w:sz="4" w:space="0" w:color="000000"/>
              <w:bottom w:val="single" w:sz="4" w:space="0" w:color="000000"/>
            </w:tcBorders>
            <w:shd w:val="clear" w:color="auto" w:fill="auto"/>
            <w:vAlign w:val="center"/>
          </w:tcPr>
          <w:p w14:paraId="46EA514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22193</w:t>
            </w:r>
          </w:p>
        </w:tc>
        <w:tc>
          <w:tcPr>
            <w:tcW w:w="993" w:type="dxa"/>
            <w:tcBorders>
              <w:top w:val="single" w:sz="4" w:space="0" w:color="000000"/>
              <w:left w:val="single" w:sz="4" w:space="0" w:color="000000"/>
              <w:bottom w:val="single" w:sz="4" w:space="0" w:color="000000"/>
            </w:tcBorders>
            <w:shd w:val="clear" w:color="auto" w:fill="auto"/>
            <w:vAlign w:val="center"/>
          </w:tcPr>
          <w:p w14:paraId="263C409F"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22255</w:t>
            </w:r>
          </w:p>
        </w:tc>
        <w:tc>
          <w:tcPr>
            <w:tcW w:w="1123" w:type="dxa"/>
            <w:tcBorders>
              <w:top w:val="single" w:sz="4" w:space="0" w:color="000000"/>
              <w:left w:val="single" w:sz="4" w:space="0" w:color="000000"/>
              <w:bottom w:val="single" w:sz="4" w:space="0" w:color="000000"/>
            </w:tcBorders>
            <w:shd w:val="clear" w:color="auto" w:fill="auto"/>
            <w:vAlign w:val="center"/>
          </w:tcPr>
          <w:p w14:paraId="7087DFF6"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23060</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D628"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23838</w:t>
            </w:r>
          </w:p>
        </w:tc>
      </w:tr>
      <w:tr w:rsidR="00F0736F" w:rsidRPr="00F0736F" w14:paraId="04ED719C" w14:textId="77777777" w:rsidTr="00766D8F">
        <w:trPr>
          <w:cantSplit/>
          <w:trHeight w:val="268"/>
        </w:trPr>
        <w:tc>
          <w:tcPr>
            <w:tcW w:w="2556" w:type="dxa"/>
            <w:tcBorders>
              <w:top w:val="single" w:sz="4" w:space="0" w:color="000000"/>
              <w:left w:val="single" w:sz="4" w:space="0" w:color="000000"/>
              <w:bottom w:val="single" w:sz="4" w:space="0" w:color="000000"/>
            </w:tcBorders>
            <w:shd w:val="clear" w:color="auto" w:fill="auto"/>
          </w:tcPr>
          <w:p w14:paraId="70222AB4" w14:textId="69F57820"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Из</w:t>
            </w:r>
            <w:r w:rsidR="00766D8F"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них, неиспользуемая мощность</w:t>
            </w:r>
          </w:p>
        </w:tc>
        <w:tc>
          <w:tcPr>
            <w:tcW w:w="1089" w:type="dxa"/>
            <w:tcBorders>
              <w:top w:val="single" w:sz="4" w:space="0" w:color="000000"/>
              <w:left w:val="single" w:sz="4" w:space="0" w:color="000000"/>
              <w:bottom w:val="single" w:sz="4" w:space="0" w:color="000000"/>
            </w:tcBorders>
            <w:shd w:val="clear" w:color="auto" w:fill="auto"/>
            <w:vAlign w:val="center"/>
          </w:tcPr>
          <w:p w14:paraId="69CD226A"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1145</w:t>
            </w:r>
          </w:p>
        </w:tc>
        <w:tc>
          <w:tcPr>
            <w:tcW w:w="844" w:type="dxa"/>
            <w:tcBorders>
              <w:top w:val="single" w:sz="4" w:space="0" w:color="000000"/>
              <w:left w:val="single" w:sz="4" w:space="0" w:color="000000"/>
              <w:bottom w:val="single" w:sz="4" w:space="0" w:color="000000"/>
            </w:tcBorders>
            <w:shd w:val="clear" w:color="auto" w:fill="auto"/>
            <w:vAlign w:val="center"/>
          </w:tcPr>
          <w:p w14:paraId="7DAE336A"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1764</w:t>
            </w:r>
          </w:p>
        </w:tc>
        <w:tc>
          <w:tcPr>
            <w:tcW w:w="993" w:type="dxa"/>
            <w:tcBorders>
              <w:top w:val="single" w:sz="4" w:space="0" w:color="000000"/>
              <w:left w:val="single" w:sz="4" w:space="0" w:color="000000"/>
              <w:bottom w:val="single" w:sz="4" w:space="0" w:color="000000"/>
            </w:tcBorders>
            <w:shd w:val="clear" w:color="auto" w:fill="auto"/>
            <w:vAlign w:val="center"/>
          </w:tcPr>
          <w:p w14:paraId="1EF773D4"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2130</w:t>
            </w:r>
          </w:p>
        </w:tc>
        <w:tc>
          <w:tcPr>
            <w:tcW w:w="993" w:type="dxa"/>
            <w:tcBorders>
              <w:top w:val="single" w:sz="4" w:space="0" w:color="000000"/>
              <w:left w:val="single" w:sz="4" w:space="0" w:color="000000"/>
              <w:bottom w:val="single" w:sz="4" w:space="0" w:color="000000"/>
            </w:tcBorders>
            <w:shd w:val="clear" w:color="auto" w:fill="auto"/>
            <w:vAlign w:val="center"/>
          </w:tcPr>
          <w:p w14:paraId="16234B7C"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2603</w:t>
            </w:r>
          </w:p>
        </w:tc>
        <w:tc>
          <w:tcPr>
            <w:tcW w:w="993" w:type="dxa"/>
            <w:tcBorders>
              <w:top w:val="single" w:sz="4" w:space="0" w:color="000000"/>
              <w:left w:val="single" w:sz="4" w:space="0" w:color="000000"/>
              <w:bottom w:val="single" w:sz="4" w:space="0" w:color="000000"/>
            </w:tcBorders>
            <w:shd w:val="clear" w:color="auto" w:fill="auto"/>
            <w:vAlign w:val="center"/>
          </w:tcPr>
          <w:p w14:paraId="631381C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2627</w:t>
            </w:r>
          </w:p>
        </w:tc>
        <w:tc>
          <w:tcPr>
            <w:tcW w:w="1123" w:type="dxa"/>
            <w:tcBorders>
              <w:top w:val="single" w:sz="4" w:space="0" w:color="000000"/>
              <w:left w:val="single" w:sz="4" w:space="0" w:color="000000"/>
              <w:bottom w:val="single" w:sz="4" w:space="0" w:color="000000"/>
            </w:tcBorders>
            <w:shd w:val="clear" w:color="auto" w:fill="auto"/>
            <w:vAlign w:val="center"/>
          </w:tcPr>
          <w:p w14:paraId="7E659B4E"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2634</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40982"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2641</w:t>
            </w:r>
          </w:p>
        </w:tc>
      </w:tr>
      <w:tr w:rsidR="00F0736F" w:rsidRPr="00F0736F" w14:paraId="7A745641" w14:textId="77777777" w:rsidTr="00766D8F">
        <w:trPr>
          <w:cantSplit/>
          <w:trHeight w:val="276"/>
        </w:trPr>
        <w:tc>
          <w:tcPr>
            <w:tcW w:w="2556" w:type="dxa"/>
            <w:tcBorders>
              <w:top w:val="single" w:sz="4" w:space="0" w:color="000000"/>
              <w:left w:val="single" w:sz="4" w:space="0" w:color="000000"/>
              <w:bottom w:val="single" w:sz="4" w:space="0" w:color="000000"/>
            </w:tcBorders>
            <w:shd w:val="clear" w:color="auto" w:fill="auto"/>
          </w:tcPr>
          <w:p w14:paraId="242C15B0"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Дефицит (+), избыток (-)</w:t>
            </w:r>
          </w:p>
        </w:tc>
        <w:tc>
          <w:tcPr>
            <w:tcW w:w="1089" w:type="dxa"/>
            <w:tcBorders>
              <w:top w:val="single" w:sz="4" w:space="0" w:color="000000"/>
              <w:left w:val="single" w:sz="4" w:space="0" w:color="000000"/>
              <w:bottom w:val="single" w:sz="4" w:space="0" w:color="000000"/>
            </w:tcBorders>
            <w:shd w:val="clear" w:color="auto" w:fill="auto"/>
            <w:vAlign w:val="center"/>
          </w:tcPr>
          <w:p w14:paraId="4A48B443"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-1229</w:t>
            </w:r>
          </w:p>
        </w:tc>
        <w:tc>
          <w:tcPr>
            <w:tcW w:w="844" w:type="dxa"/>
            <w:tcBorders>
              <w:top w:val="single" w:sz="4" w:space="0" w:color="000000"/>
              <w:left w:val="single" w:sz="4" w:space="0" w:color="000000"/>
              <w:bottom w:val="single" w:sz="4" w:space="0" w:color="000000"/>
            </w:tcBorders>
            <w:shd w:val="clear" w:color="auto" w:fill="auto"/>
            <w:vAlign w:val="center"/>
          </w:tcPr>
          <w:p w14:paraId="6238587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-590</w:t>
            </w:r>
          </w:p>
        </w:tc>
        <w:tc>
          <w:tcPr>
            <w:tcW w:w="993" w:type="dxa"/>
            <w:tcBorders>
              <w:top w:val="single" w:sz="4" w:space="0" w:color="000000"/>
              <w:left w:val="single" w:sz="4" w:space="0" w:color="000000"/>
              <w:bottom w:val="single" w:sz="4" w:space="0" w:color="000000"/>
            </w:tcBorders>
            <w:shd w:val="clear" w:color="auto" w:fill="auto"/>
            <w:vAlign w:val="center"/>
          </w:tcPr>
          <w:p w14:paraId="26A5A252"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-775</w:t>
            </w:r>
          </w:p>
        </w:tc>
        <w:tc>
          <w:tcPr>
            <w:tcW w:w="993" w:type="dxa"/>
            <w:tcBorders>
              <w:top w:val="single" w:sz="4" w:space="0" w:color="000000"/>
              <w:left w:val="single" w:sz="4" w:space="0" w:color="000000"/>
              <w:bottom w:val="single" w:sz="4" w:space="0" w:color="000000"/>
            </w:tcBorders>
            <w:shd w:val="clear" w:color="auto" w:fill="auto"/>
            <w:vAlign w:val="center"/>
          </w:tcPr>
          <w:p w14:paraId="3B50F144"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-781</w:t>
            </w:r>
          </w:p>
        </w:tc>
        <w:tc>
          <w:tcPr>
            <w:tcW w:w="993" w:type="dxa"/>
            <w:tcBorders>
              <w:top w:val="single" w:sz="4" w:space="0" w:color="000000"/>
              <w:left w:val="single" w:sz="4" w:space="0" w:color="000000"/>
              <w:bottom w:val="single" w:sz="4" w:space="0" w:color="000000"/>
            </w:tcBorders>
            <w:shd w:val="clear" w:color="auto" w:fill="auto"/>
            <w:vAlign w:val="center"/>
          </w:tcPr>
          <w:p w14:paraId="2B449080"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-391</w:t>
            </w:r>
          </w:p>
        </w:tc>
        <w:tc>
          <w:tcPr>
            <w:tcW w:w="1123" w:type="dxa"/>
            <w:tcBorders>
              <w:top w:val="single" w:sz="4" w:space="0" w:color="000000"/>
              <w:left w:val="single" w:sz="4" w:space="0" w:color="000000"/>
              <w:bottom w:val="single" w:sz="4" w:space="0" w:color="000000"/>
            </w:tcBorders>
            <w:shd w:val="clear" w:color="auto" w:fill="auto"/>
            <w:vAlign w:val="center"/>
          </w:tcPr>
          <w:p w14:paraId="00684D54"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-770</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464A" w14:textId="77777777" w:rsidR="00F674A4" w:rsidRPr="00F0736F" w:rsidRDefault="00F674A4" w:rsidP="00766D8F">
            <w:pPr>
              <w:ind w:firstLine="34"/>
              <w:jc w:val="center"/>
              <w:rPr>
                <w:color w:val="000000" w:themeColor="text1"/>
              </w:rPr>
            </w:pPr>
            <w:r w:rsidRPr="00F0736F">
              <w:rPr>
                <w:rFonts w:ascii="Times New Roman" w:hAnsi="Times New Roman" w:cs="Times New Roman"/>
                <w:color w:val="000000" w:themeColor="text1"/>
                <w:sz w:val="20"/>
                <w:szCs w:val="20"/>
              </w:rPr>
              <w:t>-934</w:t>
            </w:r>
          </w:p>
        </w:tc>
      </w:tr>
    </w:tbl>
    <w:p w14:paraId="5C1DEDE1"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 xml:space="preserve">В прогнозном балансе отдельно указываются величины неиспользуемой мощности электростанций, использующих ВИЭ и электростанций нефтегазового сектора. Указанные электростанции участвуют в покрытии нагрузок ЕЭС Казахстана частично: </w:t>
      </w:r>
    </w:p>
    <w:p w14:paraId="033BAABB"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 xml:space="preserve">- мощность электростанций нефтегазового сектора (ТШО, Кашаган, Карачаганак) не учитывается в связи с тем, что данные электростанции работают на самобалансирование собственных потребителей; </w:t>
      </w:r>
    </w:p>
    <w:p w14:paraId="2311812E"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 мощность СЭС не учитывается в связи с тем, что СЭС не участвуют в вечернем максимуме нагрузок;</w:t>
      </w:r>
    </w:p>
    <w:p w14:paraId="719592DC" w14:textId="7777777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 мощность ВЭС учитывается в объеме 20% от располагаемой мощности;</w:t>
      </w:r>
    </w:p>
    <w:p w14:paraId="122FE7E7" w14:textId="090E5C57" w:rsidR="00F674A4" w:rsidRPr="00F0736F" w:rsidRDefault="00F674A4" w:rsidP="008727D9">
      <w:pPr>
        <w:ind w:firstLine="709"/>
        <w:jc w:val="both"/>
        <w:rPr>
          <w:i/>
          <w:iCs/>
          <w:color w:val="000000" w:themeColor="text1"/>
        </w:rPr>
      </w:pPr>
      <w:r w:rsidRPr="00F0736F">
        <w:rPr>
          <w:rFonts w:ascii="Times New Roman" w:hAnsi="Times New Roman" w:cs="Times New Roman"/>
          <w:i/>
          <w:iCs/>
          <w:color w:val="000000" w:themeColor="text1"/>
          <w:sz w:val="20"/>
          <w:szCs w:val="20"/>
        </w:rPr>
        <w:t>- мощность бесплотинных гидроэлектростанций, работающих по водотоку</w:t>
      </w:r>
      <w:r w:rsidR="00766D8F" w:rsidRPr="00F0736F">
        <w:rPr>
          <w:rFonts w:ascii="Times New Roman" w:hAnsi="Times New Roman" w:cs="Times New Roman"/>
          <w:i/>
          <w:iCs/>
          <w:color w:val="000000" w:themeColor="text1"/>
          <w:sz w:val="20"/>
          <w:szCs w:val="20"/>
        </w:rPr>
        <w:t>,</w:t>
      </w:r>
      <w:r w:rsidRPr="00F0736F">
        <w:rPr>
          <w:rFonts w:ascii="Times New Roman" w:hAnsi="Times New Roman" w:cs="Times New Roman"/>
          <w:i/>
          <w:iCs/>
          <w:color w:val="000000" w:themeColor="text1"/>
          <w:sz w:val="20"/>
          <w:szCs w:val="20"/>
        </w:rPr>
        <w:t xml:space="preserve"> учитывается в объеме 30 % от располагаемой мощности.</w:t>
      </w:r>
    </w:p>
    <w:p w14:paraId="52E044A3" w14:textId="77777777" w:rsidR="00F674A4" w:rsidRPr="00F0736F" w:rsidRDefault="00F674A4" w:rsidP="008727D9">
      <w:pPr>
        <w:ind w:firstLine="709"/>
        <w:jc w:val="both"/>
        <w:rPr>
          <w:rFonts w:ascii="Times New Roman" w:hAnsi="Times New Roman" w:cs="Times New Roman"/>
          <w:color w:val="000000" w:themeColor="text1"/>
        </w:rPr>
      </w:pPr>
    </w:p>
    <w:p w14:paraId="00B5F224" w14:textId="388076FB"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color w:val="000000" w:themeColor="text1"/>
          <w:spacing w:val="2"/>
          <w:lang w:eastAsia="ru-RU"/>
        </w:rPr>
        <w:t>Потребление электроэнергии в 2026 году планиру</w:t>
      </w:r>
      <w:r w:rsidR="00A97B39" w:rsidRPr="00F0736F">
        <w:rPr>
          <w:rFonts w:ascii="Times New Roman" w:eastAsia="Times New Roman" w:hAnsi="Times New Roman" w:cs="Times New Roman"/>
          <w:bCs/>
          <w:color w:val="000000" w:themeColor="text1"/>
          <w:spacing w:val="2"/>
          <w:lang w:eastAsia="ru-RU"/>
        </w:rPr>
        <w:t>ется в количестве 124,1 млрд. кВ</w:t>
      </w:r>
      <w:r w:rsidRPr="00F0736F">
        <w:rPr>
          <w:rFonts w:ascii="Times New Roman" w:eastAsia="Times New Roman" w:hAnsi="Times New Roman" w:cs="Times New Roman"/>
          <w:bCs/>
          <w:color w:val="000000" w:themeColor="text1"/>
          <w:spacing w:val="2"/>
          <w:lang w:eastAsia="ru-RU"/>
        </w:rPr>
        <w:t>т*час,</w:t>
      </w:r>
      <w:r w:rsidR="00A97B39" w:rsidRPr="00F0736F">
        <w:rPr>
          <w:rFonts w:ascii="Times New Roman" w:eastAsia="Times New Roman" w:hAnsi="Times New Roman" w:cs="Times New Roman"/>
          <w:bCs/>
          <w:color w:val="000000" w:themeColor="text1"/>
          <w:spacing w:val="2"/>
          <w:lang w:eastAsia="ru-RU"/>
        </w:rPr>
        <w:t xml:space="preserve"> а производство — 128,5 млрд. кВ</w:t>
      </w:r>
      <w:r w:rsidRPr="00F0736F">
        <w:rPr>
          <w:rFonts w:ascii="Times New Roman" w:eastAsia="Times New Roman" w:hAnsi="Times New Roman" w:cs="Times New Roman"/>
          <w:bCs/>
          <w:color w:val="000000" w:themeColor="text1"/>
          <w:spacing w:val="2"/>
          <w:lang w:eastAsia="ru-RU"/>
        </w:rPr>
        <w:t>т*ч, в том числе на существующих стан</w:t>
      </w:r>
      <w:r w:rsidR="00A97B39" w:rsidRPr="00F0736F">
        <w:rPr>
          <w:rFonts w:ascii="Times New Roman" w:eastAsia="Times New Roman" w:hAnsi="Times New Roman" w:cs="Times New Roman"/>
          <w:bCs/>
          <w:color w:val="000000" w:themeColor="text1"/>
          <w:spacing w:val="2"/>
          <w:lang w:eastAsia="ru-RU"/>
        </w:rPr>
        <w:t>циях — 98,9 млрд. кВ</w:t>
      </w:r>
      <w:r w:rsidRPr="00F0736F">
        <w:rPr>
          <w:rFonts w:ascii="Times New Roman" w:eastAsia="Times New Roman" w:hAnsi="Times New Roman" w:cs="Times New Roman"/>
          <w:bCs/>
          <w:color w:val="000000" w:themeColor="text1"/>
          <w:spacing w:val="2"/>
          <w:lang w:eastAsia="ru-RU"/>
        </w:rPr>
        <w:t>т*ч</w:t>
      </w:r>
      <w:r w:rsidR="00A97B39" w:rsidRPr="00F0736F">
        <w:rPr>
          <w:rFonts w:ascii="Times New Roman" w:eastAsia="Times New Roman" w:hAnsi="Times New Roman" w:cs="Times New Roman"/>
          <w:bCs/>
          <w:color w:val="000000" w:themeColor="text1"/>
          <w:spacing w:val="2"/>
          <w:lang w:eastAsia="ru-RU"/>
        </w:rPr>
        <w:t>, на планируемых — 29,6 млрд. кВт*ч, на ВИЭ — 5,6 млрд. кВ</w:t>
      </w:r>
      <w:r w:rsidRPr="00F0736F">
        <w:rPr>
          <w:rFonts w:ascii="Times New Roman" w:eastAsia="Times New Roman" w:hAnsi="Times New Roman" w:cs="Times New Roman"/>
          <w:bCs/>
          <w:color w:val="000000" w:themeColor="text1"/>
          <w:spacing w:val="2"/>
          <w:lang w:eastAsia="ru-RU"/>
        </w:rPr>
        <w:t>т*ч</w:t>
      </w:r>
      <w:r w:rsidRPr="00F0736F">
        <w:rPr>
          <w:rStyle w:val="a4"/>
          <w:rFonts w:ascii="Times New Roman" w:eastAsia="Times New Roman" w:hAnsi="Times New Roman" w:cs="Times New Roman"/>
          <w:bCs/>
          <w:color w:val="000000" w:themeColor="text1"/>
          <w:spacing w:val="2"/>
          <w:lang w:eastAsia="ru-RU"/>
        </w:rPr>
        <w:footnoteReference w:id="64"/>
      </w:r>
      <w:r w:rsidRPr="00F0736F">
        <w:rPr>
          <w:rFonts w:ascii="Times New Roman" w:eastAsia="Times New Roman" w:hAnsi="Times New Roman" w:cs="Times New Roman"/>
          <w:bCs/>
          <w:color w:val="000000" w:themeColor="text1"/>
          <w:spacing w:val="2"/>
          <w:lang w:eastAsia="ru-RU"/>
        </w:rPr>
        <w:t>.</w:t>
      </w:r>
    </w:p>
    <w:p w14:paraId="5F170925" w14:textId="77777777" w:rsidR="00B11341" w:rsidRPr="00F0736F" w:rsidRDefault="006A1316" w:rsidP="008727D9">
      <w:pPr>
        <w:ind w:firstLine="709"/>
        <w:jc w:val="both"/>
        <w:rPr>
          <w:rFonts w:ascii="Times New Roman" w:hAnsi="Times New Roman" w:cs="Times New Roman"/>
          <w:color w:val="000000" w:themeColor="text1"/>
        </w:rPr>
      </w:pPr>
      <w:bookmarkStart w:id="20" w:name="__DdeLink__15582_19027780302"/>
      <w:r w:rsidRPr="00F0736F">
        <w:rPr>
          <w:rFonts w:ascii="Times New Roman" w:hAnsi="Times New Roman" w:cs="Times New Roman"/>
          <w:color w:val="000000" w:themeColor="text1"/>
        </w:rPr>
        <w:t xml:space="preserve"> </w:t>
      </w:r>
      <w:r w:rsidR="00B11341" w:rsidRPr="00F0736F">
        <w:rPr>
          <w:rFonts w:ascii="Times New Roman" w:hAnsi="Times New Roman" w:cs="Times New Roman"/>
          <w:color w:val="000000" w:themeColor="text1"/>
        </w:rPr>
        <w:t>Стратегический план развития Республики Казахстан до 2025 года определяет, что политика по развитию электроэнергетики будет направлена на обеспечение сбалансированного и устойчивого развития генерации и транспортировки, а также снижение себестоимости электроэнергии. Основными направлениями станут модернизация и строительство приоритетных энергообъектов, необходимых для обеспечения потребности внутреннего рынка и приемлемого уровня тарифов для промышленности с целью сохранения конкурентного преимущества казахстанских товаропроизводителей на внутреннем и внешнем рынках.</w:t>
      </w:r>
    </w:p>
    <w:p w14:paraId="11C6C7E2" w14:textId="77777777" w:rsidR="00B11341" w:rsidRPr="00F0736F" w:rsidRDefault="00B1134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Для решения проблем сегмента производства электроэнергии планируются разработка и внедрение модели оптовых рынков электроэнергии и мощности (целевая модель), в рамках которой рассматривается функционирование рынков электроэнергии и мощности с конкурентным ценообразованием. Усовершенствование системы регулирования тарифов позволит снизить себестоимость электроэнергии. Повысится экологичность и эффективность работы производителей электроэнергии.</w:t>
      </w:r>
    </w:p>
    <w:p w14:paraId="11EED636" w14:textId="5C96EDF9" w:rsidR="00B11341" w:rsidRPr="00F0736F" w:rsidRDefault="00B1134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Будут приняты</w:t>
      </w:r>
      <w:r w:rsidR="00A97B39" w:rsidRPr="00F0736F">
        <w:rPr>
          <w:rFonts w:ascii="Times New Roman" w:hAnsi="Times New Roman" w:cs="Times New Roman"/>
          <w:color w:val="000000" w:themeColor="text1"/>
        </w:rPr>
        <w:t xml:space="preserve"> меры по дальнейшему внедрению </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умных</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электросетей/и систем хранения электроэнергии.</w:t>
      </w:r>
    </w:p>
    <w:p w14:paraId="129C966F" w14:textId="77777777" w:rsidR="00B11341" w:rsidRPr="00F0736F" w:rsidRDefault="00B1134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повышения энергоэффективности и снижения энергопотерь будет стимулировано внедрение интеллектуальных систем управления энергопотреблением, технологий энергосбережения как среди промышленности, так и среди населения.</w:t>
      </w:r>
    </w:p>
    <w:p w14:paraId="1C43D860" w14:textId="1B810AF4" w:rsidR="00F674A4" w:rsidRPr="00F0736F" w:rsidRDefault="00B11341"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Дальнейшее развитие получат возобновляемые источники энергии</w:t>
      </w:r>
      <w:bookmarkEnd w:id="20"/>
      <w:r w:rsidRPr="00F0736F">
        <w:rPr>
          <w:rFonts w:ascii="Times New Roman" w:hAnsi="Times New Roman" w:cs="Times New Roman"/>
          <w:color w:val="000000" w:themeColor="text1"/>
        </w:rPr>
        <w:t>. В</w:t>
      </w:r>
      <w:r w:rsidR="00F674A4" w:rsidRPr="00F0736F">
        <w:rPr>
          <w:rFonts w:ascii="Times New Roman" w:hAnsi="Times New Roman" w:cs="Times New Roman"/>
          <w:color w:val="000000" w:themeColor="text1"/>
        </w:rPr>
        <w:t xml:space="preserve"> рамках раздела «</w:t>
      </w:r>
      <w:r w:rsidR="00F674A4" w:rsidRPr="00F0736F">
        <w:rPr>
          <w:rFonts w:ascii="Times New Roman" w:eastAsia="Times New Roman" w:hAnsi="Times New Roman" w:cs="Times New Roman"/>
          <w:color w:val="000000" w:themeColor="text1"/>
          <w:spacing w:val="2"/>
          <w:lang w:eastAsia="ru-RU"/>
        </w:rPr>
        <w:t xml:space="preserve">Политика 6. </w:t>
      </w:r>
      <w:r w:rsidR="00766D8F" w:rsidRPr="00F0736F">
        <w:rPr>
          <w:rFonts w:ascii="Times New Roman" w:eastAsia="Times New Roman"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Зеленая</w:t>
      </w:r>
      <w:r w:rsidR="00766D8F" w:rsidRPr="00F0736F">
        <w:rPr>
          <w:rFonts w:ascii="Times New Roman" w:eastAsia="Times New Roman"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экономика и охрана окружающей среды» ставит</w:t>
      </w:r>
      <w:r w:rsidRPr="00F0736F">
        <w:rPr>
          <w:rFonts w:ascii="Times New Roman" w:eastAsia="Times New Roman" w:hAnsi="Times New Roman" w:cs="Times New Roman"/>
          <w:color w:val="000000" w:themeColor="text1"/>
          <w:spacing w:val="2"/>
          <w:lang w:eastAsia="ru-RU"/>
        </w:rPr>
        <w:t>ся</w:t>
      </w:r>
      <w:r w:rsidR="00F674A4"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hAnsi="Times New Roman" w:cs="Times New Roman"/>
          <w:color w:val="000000" w:themeColor="text1"/>
        </w:rPr>
        <w:t>Задач</w:t>
      </w:r>
      <w:r w:rsidRPr="00F0736F">
        <w:rPr>
          <w:rFonts w:ascii="Times New Roman" w:hAnsi="Times New Roman" w:cs="Times New Roman"/>
          <w:color w:val="000000" w:themeColor="text1"/>
        </w:rPr>
        <w:t>а</w:t>
      </w:r>
      <w:r w:rsidR="00F674A4" w:rsidRPr="00F0736F">
        <w:rPr>
          <w:rFonts w:ascii="Times New Roman" w:hAnsi="Times New Roman" w:cs="Times New Roman"/>
          <w:color w:val="000000" w:themeColor="text1"/>
        </w:rPr>
        <w:t xml:space="preserve"> 6. Развитие ВИЭ, совершенствование традиционных источников энергии. </w:t>
      </w:r>
      <w:r w:rsidR="002A1D80" w:rsidRPr="00F0736F">
        <w:rPr>
          <w:rFonts w:ascii="Times New Roman" w:hAnsi="Times New Roman" w:cs="Times New Roman"/>
          <w:color w:val="000000" w:themeColor="text1"/>
        </w:rPr>
        <w:t xml:space="preserve"> </w:t>
      </w:r>
    </w:p>
    <w:p w14:paraId="71D0894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Будет усовершенствовано законодательство в области ВИЭ в части внедрения аукционного механизма поддержки ВИЭ, который предполагает гибкую систему планирования, администрирования и тарификации. Будут снижены административные барьеры на рынке ВИЭ.</w:t>
      </w:r>
    </w:p>
    <w:p w14:paraId="682E6D2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Планируется реализация проектов в области ВИЭ, предусмотренных в Перечне энергопроизводящих организаций, использующих ВИЭ. Рассматривается возможность ежегодного утверждения максимально допустимой мощности объектов ВИЭ по зонам единой электроэнергетической системы Республики Казахстан.</w:t>
      </w:r>
    </w:p>
    <w:p w14:paraId="581EA31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Одновременно будут усилены требования к производителям и потребителям традиционных источников энергии в части повышения эффективности и модернизации используемых технологий и производственных мощностей, снижения нагрузки на окружающую среду и здоровье граждан. </w:t>
      </w:r>
      <w:r w:rsidRPr="00F0736F">
        <w:rPr>
          <w:rFonts w:ascii="Times New Roman" w:hAnsi="Times New Roman" w:cs="Times New Roman"/>
          <w:color w:val="000000" w:themeColor="text1"/>
          <w:sz w:val="20"/>
        </w:rPr>
        <w:t xml:space="preserve"> </w:t>
      </w:r>
    </w:p>
    <w:p w14:paraId="2A64C550" w14:textId="47FF60C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этого будут мобилизованы достаточные объемы внутренних и международных финансов и созданы финансовые услуги, направленные на поддержку необходимых инвестиций. Новые инструменты по финансированию </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 проектов</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частности, выпуск </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облигаций) будут созданы на базе МФЦА </w:t>
      </w:r>
      <w:r w:rsidRPr="00F0736F">
        <w:rPr>
          <w:rFonts w:ascii="Times New Roman" w:eastAsia="Liberation Serif" w:hAnsi="Times New Roman" w:cs="Times New Roman"/>
          <w:color w:val="000000" w:themeColor="text1"/>
        </w:rPr>
        <w:t>(</w:t>
      </w:r>
      <w:r w:rsidRPr="00F0736F">
        <w:rPr>
          <w:rFonts w:ascii="Times New Roman" w:hAnsi="Times New Roman" w:cs="Times New Roman"/>
          <w:color w:val="000000" w:themeColor="text1"/>
        </w:rPr>
        <w:t xml:space="preserve">Инициатива 2.8 </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Развитие зеленых технологий</w:t>
      </w:r>
      <w:r w:rsidR="00766D8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bookmarkStart w:id="21" w:name="z363"/>
      <w:bookmarkEnd w:id="21"/>
      <w:r w:rsidRPr="00F0736F">
        <w:rPr>
          <w:rFonts w:ascii="Times New Roman" w:hAnsi="Times New Roman" w:cs="Times New Roman"/>
          <w:color w:val="000000" w:themeColor="text1"/>
        </w:rPr>
        <w:t xml:space="preserve"> </w:t>
      </w:r>
    </w:p>
    <w:p w14:paraId="76F25ADC" w14:textId="77777777" w:rsidR="00896E59" w:rsidRPr="00F0736F" w:rsidRDefault="006A1316" w:rsidP="008B1FDA">
      <w:pPr>
        <w:ind w:firstLine="709"/>
        <w:jc w:val="both"/>
        <w:rPr>
          <w:rFonts w:ascii="Calibri" w:hAnsi="Calibri"/>
          <w:color w:val="000000" w:themeColor="text1"/>
        </w:rPr>
      </w:pPr>
      <w:r w:rsidRPr="00F0736F">
        <w:rPr>
          <w:rFonts w:ascii="Times New Roman" w:eastAsia="Times New Roman" w:hAnsi="Times New Roman" w:cs="Times New Roman"/>
          <w:bCs/>
          <w:iCs/>
          <w:color w:val="000000" w:themeColor="text1"/>
          <w:spacing w:val="2"/>
          <w:lang w:eastAsia="ru-RU"/>
        </w:rPr>
        <w:t xml:space="preserve"> </w:t>
      </w:r>
    </w:p>
    <w:p w14:paraId="16E0A259" w14:textId="77777777" w:rsidR="001D7D6D" w:rsidRPr="00F0736F" w:rsidRDefault="001D7D6D" w:rsidP="001D7D6D">
      <w:pPr>
        <w:ind w:firstLine="709"/>
        <w:jc w:val="both"/>
        <w:rPr>
          <w:color w:val="000000" w:themeColor="text1"/>
        </w:rPr>
      </w:pPr>
      <w:bookmarkStart w:id="22" w:name="_Toc57818726"/>
      <w:r w:rsidRPr="00F0736F">
        <w:rPr>
          <w:rFonts w:ascii="Times New Roman" w:hAnsi="Times New Roman" w:cs="Times New Roman"/>
          <w:b/>
          <w:bCs/>
          <w:color w:val="000000" w:themeColor="text1"/>
        </w:rPr>
        <w:t xml:space="preserve">1.5. </w:t>
      </w:r>
      <w:r w:rsidRPr="00F0736F">
        <w:rPr>
          <w:rFonts w:ascii="Times New Roman" w:eastAsia="Times New Roman" w:hAnsi="Times New Roman" w:cs="Times New Roman"/>
          <w:b/>
          <w:bCs/>
          <w:color w:val="000000" w:themeColor="text1"/>
          <w:lang w:eastAsia="ru-RU"/>
        </w:rPr>
        <w:t>Система управления отходами</w:t>
      </w:r>
    </w:p>
    <w:p w14:paraId="42C0EB73" w14:textId="77777777" w:rsidR="001D7D6D" w:rsidRPr="00F0736F" w:rsidRDefault="001D7D6D" w:rsidP="001D7D6D">
      <w:pPr>
        <w:ind w:firstLine="709"/>
        <w:jc w:val="both"/>
        <w:rPr>
          <w:rFonts w:ascii="Times New Roman" w:hAnsi="Times New Roman" w:cs="Times New Roman"/>
          <w:b/>
          <w:bCs/>
          <w:i/>
          <w:iCs/>
          <w:color w:val="000000" w:themeColor="text1"/>
        </w:rPr>
      </w:pPr>
    </w:p>
    <w:p w14:paraId="7E1580AD" w14:textId="77777777" w:rsidR="001D7D6D" w:rsidRPr="00F0736F" w:rsidRDefault="001D7D6D" w:rsidP="001D7D6D">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19F66E40" w14:textId="77777777" w:rsidR="001D7D6D" w:rsidRPr="00F0736F" w:rsidRDefault="001D7D6D" w:rsidP="001D7D6D">
      <w:pPr>
        <w:ind w:firstLine="709"/>
        <w:jc w:val="both"/>
        <w:rPr>
          <w:color w:val="000000" w:themeColor="text1"/>
        </w:rPr>
      </w:pPr>
      <w:r w:rsidRPr="00F0736F">
        <w:rPr>
          <w:rFonts w:ascii="Times New Roman" w:eastAsia="Calibri" w:hAnsi="Times New Roman" w:cs="Times New Roman"/>
          <w:iCs/>
          <w:color w:val="000000" w:themeColor="text1"/>
          <w:lang w:val="kk-KZ"/>
        </w:rPr>
        <w:t>Концепцией</w:t>
      </w:r>
      <w:r w:rsidRPr="00F0736F">
        <w:rPr>
          <w:rFonts w:ascii="Times New Roman" w:eastAsia="Calibri" w:hAnsi="Times New Roman" w:cs="Times New Roman"/>
          <w:color w:val="000000" w:themeColor="text1"/>
          <w:lang w:val="kk-KZ"/>
        </w:rPr>
        <w:t xml:space="preserve"> </w:t>
      </w:r>
      <w:r w:rsidRPr="00F0736F">
        <w:rPr>
          <w:rFonts w:ascii="Times New Roman" w:eastAsia="Calibri" w:hAnsi="Times New Roman" w:cs="Times New Roman"/>
          <w:iCs/>
          <w:color w:val="000000" w:themeColor="text1"/>
          <w:lang w:val="kk-KZ"/>
        </w:rPr>
        <w:t>по переходу Республики Казахстан к «зеленой экономике» предусмотрено</w:t>
      </w:r>
      <w:r w:rsidRPr="00F0736F">
        <w:rPr>
          <w:rFonts w:ascii="Times New Roman" w:eastAsia="Calibri" w:hAnsi="Times New Roman" w:cs="Times New Roman"/>
          <w:color w:val="000000" w:themeColor="text1"/>
          <w:lang w:val="kk-KZ"/>
        </w:rPr>
        <w:t xml:space="preserve"> доведение доли переработки отходов до 40% к 2030 году,</w:t>
      </w:r>
      <w:r w:rsidRPr="00F0736F">
        <w:rPr>
          <w:rFonts w:ascii="Times New Roman" w:eastAsia="Calibri" w:hAnsi="Times New Roman" w:cs="Times New Roman"/>
          <w:iCs/>
          <w:color w:val="000000" w:themeColor="text1"/>
          <w:lang w:val="kk-KZ"/>
        </w:rPr>
        <w:t xml:space="preserve"> 50% - к 2050 году.</w:t>
      </w:r>
    </w:p>
    <w:p w14:paraId="1DF05B67" w14:textId="77777777" w:rsidR="001D7D6D" w:rsidRPr="00F0736F" w:rsidRDefault="001D7D6D" w:rsidP="001D7D6D">
      <w:pPr>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Промышленные отходы</w:t>
      </w:r>
    </w:p>
    <w:p w14:paraId="28EF4334"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данным Государственного кадастра отходов производства и потребления на 2019 год в стране накоплено порядка 30,6 млрд. т. отходов производства и потребления, из них порядка 100 млн. т. составляют твердые бытовые, а остальной объем – промышленные отходы. </w:t>
      </w:r>
    </w:p>
    <w:p w14:paraId="7DF1F1FC" w14:textId="77777777" w:rsidR="001D7D6D" w:rsidRPr="00F0736F" w:rsidRDefault="001D7D6D" w:rsidP="001D7D6D">
      <w:pPr>
        <w:pStyle w:val="af"/>
        <w:ind w:firstLine="709"/>
        <w:jc w:val="both"/>
        <w:rPr>
          <w:rFonts w:ascii="Times New Roman" w:hAnsi="Times New Roman" w:cs="Times New Roman"/>
          <w:color w:val="000000" w:themeColor="text1"/>
          <w:sz w:val="24"/>
          <w:szCs w:val="24"/>
          <w:shd w:val="clear" w:color="auto" w:fill="FFFFFF"/>
        </w:rPr>
      </w:pPr>
      <w:r w:rsidRPr="00F0736F">
        <w:rPr>
          <w:rFonts w:ascii="Times New Roman" w:hAnsi="Times New Roman" w:cs="Times New Roman"/>
          <w:color w:val="000000" w:themeColor="text1"/>
          <w:sz w:val="24"/>
          <w:szCs w:val="24"/>
          <w:shd w:val="clear" w:color="auto" w:fill="FFFFFF"/>
        </w:rPr>
        <w:t xml:space="preserve">В таблице 1.5.1. приведены данные по образованию отходов производства за 2017-2019 гг. </w:t>
      </w:r>
      <w:r w:rsidRPr="00F0736F">
        <w:rPr>
          <w:rFonts w:ascii="Times New Roman" w:eastAsia="Times New Roman" w:hAnsi="Times New Roman" w:cs="Times New Roman"/>
          <w:bCs/>
          <w:color w:val="000000" w:themeColor="text1"/>
          <w:sz w:val="24"/>
          <w:szCs w:val="24"/>
          <w:lang w:eastAsia="ru-RU"/>
        </w:rPr>
        <w:t>без учета техногенных минеральных образований и поверхностных эффузивных и интрузивных разновозрастных осадочных пород (вскрышные породы) по данным РГП  ИАЦ ООС Министерства экологии, геологии и природных ресурсов РК на основе.</w:t>
      </w:r>
    </w:p>
    <w:p w14:paraId="45DD576B" w14:textId="77777777" w:rsidR="001D7D6D" w:rsidRPr="00F0736F" w:rsidRDefault="001D7D6D" w:rsidP="001D7D6D">
      <w:pPr>
        <w:pStyle w:val="af"/>
        <w:ind w:firstLine="709"/>
        <w:jc w:val="both"/>
        <w:rPr>
          <w:rFonts w:ascii="Times New Roman" w:hAnsi="Times New Roman" w:cs="Times New Roman"/>
          <w:b/>
          <w:color w:val="000000" w:themeColor="text1"/>
          <w:sz w:val="24"/>
          <w:szCs w:val="24"/>
          <w:shd w:val="clear" w:color="auto" w:fill="FFFFFF"/>
        </w:rPr>
      </w:pPr>
    </w:p>
    <w:p w14:paraId="576F7BE9" w14:textId="77777777" w:rsidR="001D7D6D" w:rsidRPr="00F0736F" w:rsidRDefault="001D7D6D" w:rsidP="001D7D6D">
      <w:pPr>
        <w:pStyle w:val="af"/>
        <w:ind w:firstLine="709"/>
        <w:jc w:val="both"/>
        <w:rPr>
          <w:rFonts w:ascii="Times New Roman" w:hAnsi="Times New Roman" w:cs="Times New Roman"/>
          <w:color w:val="000000" w:themeColor="text1"/>
          <w:sz w:val="24"/>
          <w:szCs w:val="24"/>
          <w:shd w:val="clear" w:color="auto" w:fill="FFFFFF"/>
        </w:rPr>
      </w:pPr>
      <w:r w:rsidRPr="00F0736F">
        <w:rPr>
          <w:rFonts w:ascii="Times New Roman" w:hAnsi="Times New Roman" w:cs="Times New Roman"/>
          <w:color w:val="000000" w:themeColor="text1"/>
          <w:sz w:val="24"/>
          <w:szCs w:val="24"/>
          <w:shd w:val="clear" w:color="auto" w:fill="FFFFFF"/>
        </w:rPr>
        <w:t>Таблица 1.5.1. Образование промышленных отходов по степени опасности, тыс.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542"/>
        <w:gridCol w:w="6"/>
        <w:gridCol w:w="1652"/>
        <w:gridCol w:w="1957"/>
      </w:tblGrid>
      <w:tr w:rsidR="001D7D6D" w:rsidRPr="00F0736F" w14:paraId="7C4922A1" w14:textId="77777777" w:rsidTr="00B155C8">
        <w:tc>
          <w:tcPr>
            <w:tcW w:w="4590" w:type="dxa"/>
            <w:tcBorders>
              <w:top w:val="single" w:sz="4" w:space="0" w:color="auto"/>
              <w:left w:val="single" w:sz="4" w:space="0" w:color="auto"/>
              <w:bottom w:val="single" w:sz="4" w:space="0" w:color="auto"/>
              <w:right w:val="single" w:sz="4" w:space="0" w:color="auto"/>
            </w:tcBorders>
            <w:shd w:val="clear" w:color="auto" w:fill="auto"/>
            <w:hideMark/>
          </w:tcPr>
          <w:p w14:paraId="6AF183E4"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Образование промышленных отходов</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4E5DB165"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2017 г.</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6B5B5C"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2018 г.</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609CD94C"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2019 г.</w:t>
            </w:r>
          </w:p>
        </w:tc>
      </w:tr>
      <w:tr w:rsidR="001D7D6D" w:rsidRPr="00F0736F" w14:paraId="709F5168" w14:textId="77777777" w:rsidTr="00B155C8">
        <w:tc>
          <w:tcPr>
            <w:tcW w:w="4590" w:type="dxa"/>
            <w:tcBorders>
              <w:top w:val="single" w:sz="4" w:space="0" w:color="auto"/>
              <w:left w:val="single" w:sz="4" w:space="0" w:color="auto"/>
              <w:bottom w:val="single" w:sz="4" w:space="0" w:color="auto"/>
              <w:right w:val="single" w:sz="4" w:space="0" w:color="auto"/>
            </w:tcBorders>
            <w:shd w:val="clear" w:color="auto" w:fill="auto"/>
            <w:hideMark/>
          </w:tcPr>
          <w:p w14:paraId="1CC27B84" w14:textId="77777777" w:rsidR="001D7D6D" w:rsidRPr="00F0736F" w:rsidRDefault="001D7D6D" w:rsidP="00B155C8">
            <w:pPr>
              <w:pStyle w:val="af"/>
              <w:jc w:val="both"/>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Всего:</w:t>
            </w:r>
          </w:p>
        </w:tc>
        <w:tc>
          <w:tcPr>
            <w:tcW w:w="1542" w:type="dxa"/>
            <w:tcBorders>
              <w:top w:val="single" w:sz="4" w:space="0" w:color="auto"/>
              <w:left w:val="single" w:sz="4" w:space="0" w:color="auto"/>
              <w:bottom w:val="single" w:sz="4" w:space="0" w:color="auto"/>
              <w:right w:val="single" w:sz="4" w:space="0" w:color="auto"/>
            </w:tcBorders>
            <w:shd w:val="clear" w:color="auto" w:fill="auto"/>
            <w:hideMark/>
          </w:tcPr>
          <w:p w14:paraId="6C0948B3"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405023,4</w:t>
            </w:r>
          </w:p>
        </w:tc>
        <w:tc>
          <w:tcPr>
            <w:tcW w:w="16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36DB63"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445417,2</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428B2F38" w14:textId="77777777" w:rsidR="001D7D6D" w:rsidRPr="00F0736F" w:rsidRDefault="001D7D6D" w:rsidP="00B155C8">
            <w:pPr>
              <w:pStyle w:val="af"/>
              <w:jc w:val="center"/>
              <w:rPr>
                <w:rFonts w:ascii="Times New Roman" w:hAnsi="Times New Roman" w:cs="Times New Roman"/>
                <w:color w:val="000000" w:themeColor="text1"/>
                <w:sz w:val="24"/>
                <w:szCs w:val="24"/>
                <w:shd w:val="clear" w:color="auto" w:fill="FFFFFF"/>
                <w:lang w:eastAsia="en-US"/>
              </w:rPr>
            </w:pPr>
            <w:r w:rsidRPr="00F0736F">
              <w:rPr>
                <w:rFonts w:ascii="Times New Roman" w:hAnsi="Times New Roman" w:cs="Times New Roman"/>
                <w:color w:val="000000" w:themeColor="text1"/>
                <w:sz w:val="24"/>
                <w:szCs w:val="24"/>
                <w:shd w:val="clear" w:color="auto" w:fill="FFFFFF"/>
              </w:rPr>
              <w:t>515958,2</w:t>
            </w:r>
          </w:p>
        </w:tc>
      </w:tr>
      <w:tr w:rsidR="001D7D6D" w:rsidRPr="00F0736F" w14:paraId="29BF3B86" w14:textId="77777777" w:rsidTr="00B155C8">
        <w:tc>
          <w:tcPr>
            <w:tcW w:w="9747" w:type="dxa"/>
            <w:gridSpan w:val="5"/>
            <w:tcBorders>
              <w:top w:val="single" w:sz="4" w:space="0" w:color="auto"/>
              <w:left w:val="single" w:sz="4" w:space="0" w:color="auto"/>
              <w:bottom w:val="single" w:sz="4" w:space="0" w:color="auto"/>
              <w:right w:val="single" w:sz="4" w:space="0" w:color="auto"/>
            </w:tcBorders>
            <w:shd w:val="clear" w:color="auto" w:fill="auto"/>
            <w:hideMark/>
          </w:tcPr>
          <w:p w14:paraId="2B02E95C"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shd w:val="clear" w:color="auto" w:fill="FFFFFF"/>
              </w:rPr>
              <w:t>в том числе по опасности:</w:t>
            </w:r>
          </w:p>
        </w:tc>
      </w:tr>
      <w:tr w:rsidR="001D7D6D" w:rsidRPr="00F0736F" w14:paraId="0924A0F1" w14:textId="77777777" w:rsidTr="00B155C8">
        <w:tc>
          <w:tcPr>
            <w:tcW w:w="4590" w:type="dxa"/>
            <w:tcBorders>
              <w:top w:val="single" w:sz="4" w:space="0" w:color="auto"/>
              <w:left w:val="single" w:sz="4" w:space="0" w:color="auto"/>
              <w:bottom w:val="single" w:sz="4" w:space="0" w:color="auto"/>
              <w:right w:val="single" w:sz="4" w:space="0" w:color="auto"/>
            </w:tcBorders>
            <w:shd w:val="clear" w:color="auto" w:fill="auto"/>
            <w:hideMark/>
          </w:tcPr>
          <w:p w14:paraId="285B5A00" w14:textId="77777777" w:rsidR="001D7D6D" w:rsidRPr="00F0736F" w:rsidRDefault="001D7D6D" w:rsidP="00B155C8">
            <w:pPr>
              <w:pStyle w:val="af"/>
              <w:jc w:val="both"/>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shd w:val="clear" w:color="auto" w:fill="FFFFFF"/>
              </w:rPr>
              <w:t>Опасные отходы</w:t>
            </w:r>
          </w:p>
        </w:tc>
        <w:tc>
          <w:tcPr>
            <w:tcW w:w="1542" w:type="dxa"/>
            <w:tcBorders>
              <w:top w:val="single" w:sz="4" w:space="0" w:color="auto"/>
              <w:left w:val="single" w:sz="4" w:space="0" w:color="auto"/>
              <w:bottom w:val="nil"/>
              <w:right w:val="single" w:sz="4" w:space="0" w:color="auto"/>
            </w:tcBorders>
            <w:shd w:val="clear" w:color="auto" w:fill="auto"/>
            <w:hideMark/>
          </w:tcPr>
          <w:p w14:paraId="53986F11"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126 874,3</w:t>
            </w:r>
          </w:p>
        </w:tc>
        <w:tc>
          <w:tcPr>
            <w:tcW w:w="1658" w:type="dxa"/>
            <w:gridSpan w:val="2"/>
            <w:tcBorders>
              <w:top w:val="single" w:sz="4" w:space="0" w:color="auto"/>
              <w:left w:val="single" w:sz="4" w:space="0" w:color="auto"/>
              <w:bottom w:val="nil"/>
              <w:right w:val="single" w:sz="4" w:space="0" w:color="auto"/>
            </w:tcBorders>
            <w:shd w:val="clear" w:color="auto" w:fill="auto"/>
            <w:hideMark/>
          </w:tcPr>
          <w:p w14:paraId="19E9BA71"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149 962,4</w:t>
            </w:r>
          </w:p>
        </w:tc>
        <w:tc>
          <w:tcPr>
            <w:tcW w:w="1957" w:type="dxa"/>
            <w:tcBorders>
              <w:top w:val="single" w:sz="4" w:space="0" w:color="auto"/>
              <w:left w:val="single" w:sz="4" w:space="0" w:color="auto"/>
              <w:bottom w:val="nil"/>
              <w:right w:val="single" w:sz="4" w:space="0" w:color="auto"/>
            </w:tcBorders>
            <w:shd w:val="clear" w:color="auto" w:fill="auto"/>
            <w:hideMark/>
          </w:tcPr>
          <w:p w14:paraId="36A23DAB"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180 506,8</w:t>
            </w:r>
          </w:p>
        </w:tc>
      </w:tr>
      <w:tr w:rsidR="001D7D6D" w:rsidRPr="00F0736F" w14:paraId="525E6C46" w14:textId="77777777" w:rsidTr="00B155C8">
        <w:trPr>
          <w:trHeight w:val="192"/>
        </w:trPr>
        <w:tc>
          <w:tcPr>
            <w:tcW w:w="4590" w:type="dxa"/>
            <w:tcBorders>
              <w:top w:val="single" w:sz="4" w:space="0" w:color="auto"/>
              <w:left w:val="single" w:sz="4" w:space="0" w:color="auto"/>
              <w:bottom w:val="single" w:sz="4" w:space="0" w:color="auto"/>
              <w:right w:val="single" w:sz="4" w:space="0" w:color="auto"/>
            </w:tcBorders>
            <w:shd w:val="clear" w:color="auto" w:fill="auto"/>
            <w:hideMark/>
          </w:tcPr>
          <w:p w14:paraId="5D3EEC88" w14:textId="77777777" w:rsidR="001D7D6D" w:rsidRPr="00F0736F" w:rsidRDefault="001D7D6D" w:rsidP="00B155C8">
            <w:pPr>
              <w:pStyle w:val="af"/>
              <w:jc w:val="both"/>
              <w:rPr>
                <w:rFonts w:ascii="Times New Roman" w:eastAsia="Times New Roman" w:hAnsi="Times New Roman" w:cs="Times New Roman"/>
                <w:color w:val="000000" w:themeColor="text1"/>
                <w:sz w:val="24"/>
                <w:szCs w:val="24"/>
                <w:lang w:eastAsia="ru-RU"/>
              </w:rPr>
            </w:pPr>
            <w:r w:rsidRPr="00F0736F">
              <w:rPr>
                <w:rFonts w:ascii="Times New Roman" w:eastAsia="Times New Roman" w:hAnsi="Times New Roman" w:cs="Times New Roman"/>
                <w:color w:val="000000" w:themeColor="text1"/>
                <w:sz w:val="24"/>
                <w:szCs w:val="24"/>
                <w:lang w:eastAsia="ru-RU"/>
              </w:rPr>
              <w:t>Неопасные отходы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04F2F9"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278 148,8</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2EA24EF"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295 455,0</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0B979C93" w14:textId="77777777" w:rsidR="001D7D6D" w:rsidRPr="00F0736F" w:rsidRDefault="001D7D6D" w:rsidP="00B155C8">
            <w:pPr>
              <w:pStyle w:val="af"/>
              <w:jc w:val="center"/>
              <w:rPr>
                <w:rFonts w:ascii="Times New Roman" w:eastAsia="Times New Roman" w:hAnsi="Times New Roman" w:cs="Times New Roman"/>
                <w:color w:val="000000" w:themeColor="text1"/>
                <w:sz w:val="24"/>
                <w:szCs w:val="24"/>
                <w:lang w:eastAsia="ru-RU"/>
              </w:rPr>
            </w:pPr>
            <w:r w:rsidRPr="00F0736F">
              <w:rPr>
                <w:rFonts w:ascii="Times New Roman" w:hAnsi="Times New Roman" w:cs="Times New Roman"/>
                <w:color w:val="000000" w:themeColor="text1"/>
                <w:sz w:val="24"/>
                <w:szCs w:val="24"/>
              </w:rPr>
              <w:t>335 451,4</w:t>
            </w:r>
          </w:p>
        </w:tc>
      </w:tr>
      <w:tr w:rsidR="001D7D6D" w:rsidRPr="00F0736F" w14:paraId="5CFF40A5" w14:textId="77777777" w:rsidTr="00B155C8">
        <w:trPr>
          <w:trHeight w:val="192"/>
        </w:trPr>
        <w:tc>
          <w:tcPr>
            <w:tcW w:w="4590" w:type="dxa"/>
            <w:tcBorders>
              <w:top w:val="single" w:sz="4" w:space="0" w:color="auto"/>
              <w:left w:val="single" w:sz="4" w:space="0" w:color="auto"/>
              <w:bottom w:val="single" w:sz="4" w:space="0" w:color="auto"/>
              <w:right w:val="single" w:sz="4" w:space="0" w:color="auto"/>
            </w:tcBorders>
            <w:shd w:val="clear" w:color="auto" w:fill="auto"/>
          </w:tcPr>
          <w:p w14:paraId="0B6C8E1A"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rPr>
              <w:t>Радиоактивные отходы</w:t>
            </w:r>
          </w:p>
        </w:tc>
        <w:tc>
          <w:tcPr>
            <w:tcW w:w="1548" w:type="dxa"/>
            <w:gridSpan w:val="2"/>
            <w:tcBorders>
              <w:top w:val="single" w:sz="4" w:space="0" w:color="auto"/>
              <w:left w:val="single" w:sz="4" w:space="0" w:color="auto"/>
              <w:bottom w:val="single" w:sz="4" w:space="0" w:color="auto"/>
              <w:right w:val="single" w:sz="4" w:space="0" w:color="auto"/>
            </w:tcBorders>
            <w:shd w:val="clear" w:color="auto" w:fill="auto"/>
          </w:tcPr>
          <w:p w14:paraId="5E9438A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rPr>
              <w:t>16</w:t>
            </w:r>
            <w:r w:rsidRPr="00F0736F">
              <w:rPr>
                <w:rFonts w:ascii="Times New Roman" w:hAnsi="Times New Roman" w:cs="Times New Roman"/>
                <w:color w:val="000000" w:themeColor="text1"/>
                <w:sz w:val="22"/>
                <w:szCs w:val="22"/>
              </w:rPr>
              <w:t>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74E9497"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rPr>
              <w:t>13</w:t>
            </w:r>
            <w:r w:rsidRPr="00F0736F">
              <w:rPr>
                <w:rFonts w:ascii="Times New Roman" w:hAnsi="Times New Roman" w:cs="Times New Roman"/>
                <w:color w:val="000000" w:themeColor="text1"/>
                <w:sz w:val="22"/>
                <w:szCs w:val="22"/>
              </w:rPr>
              <w:t>0,0</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1CA765F6" w14:textId="77777777" w:rsidR="001D7D6D" w:rsidRPr="00F0736F" w:rsidRDefault="001D7D6D" w:rsidP="00B155C8">
            <w:pPr>
              <w:pStyle w:val="af"/>
              <w:jc w:val="center"/>
              <w:rPr>
                <w:rFonts w:ascii="Times New Roman" w:hAnsi="Times New Roman" w:cs="Times New Roman"/>
                <w:color w:val="000000" w:themeColor="text1"/>
                <w:sz w:val="24"/>
                <w:szCs w:val="24"/>
                <w:lang w:val="en-US"/>
              </w:rPr>
            </w:pPr>
            <w:r w:rsidRPr="00F0736F">
              <w:rPr>
                <w:rFonts w:ascii="Times New Roman" w:hAnsi="Times New Roman" w:cs="Times New Roman"/>
                <w:color w:val="000000" w:themeColor="text1"/>
                <w:sz w:val="24"/>
                <w:szCs w:val="24"/>
                <w:lang w:val="en-US"/>
              </w:rPr>
              <w:t xml:space="preserve"> </w:t>
            </w:r>
          </w:p>
        </w:tc>
      </w:tr>
    </w:tbl>
    <w:p w14:paraId="475FCF36"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Источник: https://stat.gov.kz, ЕИС ООС, Государственный кадастр отходов производства и потребления</w:t>
      </w:r>
    </w:p>
    <w:p w14:paraId="419D1938" w14:textId="77777777" w:rsidR="001D7D6D" w:rsidRPr="00F0736F" w:rsidRDefault="001D7D6D" w:rsidP="001D7D6D">
      <w:pPr>
        <w:ind w:firstLine="709"/>
        <w:jc w:val="both"/>
        <w:rPr>
          <w:rFonts w:ascii="Times New Roman" w:hAnsi="Times New Roman" w:cs="Times New Roman"/>
          <w:color w:val="000000" w:themeColor="text1"/>
          <w:sz w:val="20"/>
          <w:szCs w:val="20"/>
        </w:rPr>
      </w:pPr>
    </w:p>
    <w:p w14:paraId="42DD4193" w14:textId="77777777" w:rsidR="001D7D6D" w:rsidRPr="00F0736F" w:rsidRDefault="001D7D6D" w:rsidP="001D7D6D">
      <w:pP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shd w:val="clear" w:color="auto" w:fill="FFFFFF"/>
        </w:rPr>
        <w:t xml:space="preserve">Основными источниками образования и накопления промышленных отходов являются горнодобывающая, металлургическая, нефтегазодобывающая, теплоэнергетическая отрасли. Промышленные отходы представлены вскрышными породами, хвостами дробления и обогащения руды, металлургическими шлаками, золой и золошлаками, отходами нефтедобычи и нефтепереработки (нефтешламы, буровые шламы, кислые гудроны, газовые конденсаты). </w:t>
      </w:r>
      <w:r w:rsidRPr="00F0736F">
        <w:rPr>
          <w:rFonts w:ascii="Times New Roman" w:hAnsi="Times New Roman" w:cs="Times New Roman"/>
          <w:color w:val="000000" w:themeColor="text1"/>
        </w:rPr>
        <w:t xml:space="preserve">Данные виды отходов относятся к основным и крупнотоннажным промышленным отходам. </w:t>
      </w:r>
    </w:p>
    <w:p w14:paraId="3D298223" w14:textId="77777777" w:rsidR="001D7D6D" w:rsidRPr="00F0736F" w:rsidRDefault="001D7D6D" w:rsidP="001D7D6D">
      <w:pP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Также в производственной деятельности предприятий образуются: отработанные масла, фильтры, асбестосодержащие изделия, ионообменные смолы, графитовые отходы, асфальто-смолистые парафиновые отложения, химические отходы, ртутьсодержащие отходы, изношенные шины и другие виды отходов. </w:t>
      </w:r>
    </w:p>
    <w:p w14:paraId="7C725B78" w14:textId="77777777" w:rsidR="001D7D6D" w:rsidRPr="00F0736F" w:rsidRDefault="001D7D6D" w:rsidP="001D7D6D">
      <w:pPr>
        <w:pStyle w:val="af"/>
        <w:ind w:firstLine="709"/>
        <w:jc w:val="both"/>
        <w:rPr>
          <w:rFonts w:ascii="Times New Roman" w:hAnsi="Times New Roman" w:cs="Times New Roman"/>
          <w:color w:val="000000" w:themeColor="text1"/>
          <w:sz w:val="24"/>
          <w:szCs w:val="24"/>
        </w:rPr>
      </w:pPr>
      <w:r w:rsidRPr="00F0736F">
        <w:rPr>
          <w:rFonts w:ascii="Times New Roman" w:hAnsi="Times New Roman" w:cs="Times New Roman"/>
          <w:color w:val="000000" w:themeColor="text1"/>
          <w:sz w:val="24"/>
          <w:szCs w:val="24"/>
        </w:rPr>
        <w:t>Порядка 30-35% от объема образуемых промышленных отходов являются опасными, причем о</w:t>
      </w:r>
      <w:r w:rsidRPr="00F0736F">
        <w:rPr>
          <w:rFonts w:ascii="Times New Roman" w:eastAsia="Times New Roman" w:hAnsi="Times New Roman" w:cs="Times New Roman"/>
          <w:bCs/>
          <w:color w:val="000000" w:themeColor="text1"/>
          <w:spacing w:val="2"/>
          <w:sz w:val="24"/>
          <w:szCs w:val="24"/>
          <w:lang w:eastAsia="ru-RU"/>
        </w:rPr>
        <w:t xml:space="preserve">сновной приходится на горнодобывающую промышленность и разработку карьеров. </w:t>
      </w:r>
      <w:r w:rsidRPr="00F0736F">
        <w:rPr>
          <w:rFonts w:ascii="Times New Roman" w:hAnsi="Times New Roman" w:cs="Times New Roman"/>
          <w:color w:val="000000" w:themeColor="text1"/>
          <w:sz w:val="24"/>
          <w:szCs w:val="24"/>
        </w:rPr>
        <w:t>П</w:t>
      </w:r>
      <w:r w:rsidRPr="00F0736F">
        <w:rPr>
          <w:rFonts w:ascii="Times New Roman" w:eastAsia="Times New Roman" w:hAnsi="Times New Roman" w:cs="Times New Roman"/>
          <w:bCs/>
          <w:color w:val="000000" w:themeColor="text1"/>
          <w:spacing w:val="2"/>
          <w:sz w:val="24"/>
          <w:szCs w:val="24"/>
          <w:lang w:eastAsia="ru-RU"/>
        </w:rPr>
        <w:t xml:space="preserve">о данным Комитета по статистике, в 2017 году общее количество образованных </w:t>
      </w:r>
      <w:r w:rsidRPr="00F0736F">
        <w:rPr>
          <w:rFonts w:ascii="Times New Roman" w:eastAsia="Times New Roman" w:hAnsi="Times New Roman" w:cs="Times New Roman"/>
          <w:b/>
          <w:bCs/>
          <w:color w:val="000000" w:themeColor="text1"/>
          <w:spacing w:val="2"/>
          <w:sz w:val="24"/>
          <w:szCs w:val="24"/>
          <w:lang w:eastAsia="ru-RU"/>
        </w:rPr>
        <w:t>опасных отходов</w:t>
      </w:r>
      <w:r w:rsidRPr="00F0736F">
        <w:rPr>
          <w:rFonts w:ascii="Times New Roman" w:eastAsia="Times New Roman" w:hAnsi="Times New Roman" w:cs="Times New Roman"/>
          <w:bCs/>
          <w:color w:val="000000" w:themeColor="text1"/>
          <w:spacing w:val="2"/>
          <w:sz w:val="24"/>
          <w:szCs w:val="24"/>
          <w:lang w:eastAsia="ru-RU"/>
        </w:rPr>
        <w:t xml:space="preserve"> составило 126,9 млн. т., в 2018 году - </w:t>
      </w:r>
      <w:r w:rsidRPr="00F0736F">
        <w:rPr>
          <w:rFonts w:ascii="Times New Roman" w:eastAsia="Times New Roman" w:hAnsi="Times New Roman" w:cs="Times New Roman"/>
          <w:color w:val="000000" w:themeColor="text1"/>
          <w:sz w:val="24"/>
          <w:szCs w:val="24"/>
          <w:lang w:eastAsia="ru-RU"/>
        </w:rPr>
        <w:t>149,96 млн. т.,</w:t>
      </w:r>
      <w:r w:rsidRPr="00F0736F">
        <w:rPr>
          <w:rFonts w:ascii="Times New Roman" w:eastAsia="Times New Roman" w:hAnsi="Times New Roman" w:cs="Times New Roman"/>
          <w:bCs/>
          <w:color w:val="000000" w:themeColor="text1"/>
          <w:spacing w:val="2"/>
          <w:sz w:val="24"/>
          <w:szCs w:val="24"/>
          <w:lang w:eastAsia="ru-RU"/>
        </w:rPr>
        <w:t xml:space="preserve"> в 2019 году – 180,5 </w:t>
      </w:r>
      <w:r w:rsidRPr="00F0736F">
        <w:rPr>
          <w:rFonts w:ascii="Times New Roman" w:eastAsia="Times New Roman" w:hAnsi="Times New Roman" w:cs="Times New Roman"/>
          <w:color w:val="000000" w:themeColor="text1"/>
          <w:sz w:val="24"/>
          <w:szCs w:val="24"/>
          <w:lang w:eastAsia="ru-RU"/>
        </w:rPr>
        <w:t xml:space="preserve">млн. т.. </w:t>
      </w:r>
    </w:p>
    <w:p w14:paraId="4A2BF3DE" w14:textId="77777777" w:rsidR="001D7D6D" w:rsidRPr="00F0736F" w:rsidRDefault="001D7D6D" w:rsidP="001D7D6D">
      <w:pPr>
        <w:pStyle w:val="af"/>
        <w:ind w:firstLine="709"/>
        <w:jc w:val="both"/>
        <w:rPr>
          <w:rFonts w:ascii="Times New Roman" w:hAnsi="Times New Roman" w:cs="Times New Roman"/>
          <w:color w:val="000000" w:themeColor="text1"/>
          <w:sz w:val="24"/>
          <w:szCs w:val="24"/>
          <w:shd w:val="clear" w:color="auto" w:fill="FFFFFF"/>
        </w:rPr>
      </w:pPr>
      <w:r w:rsidRPr="00F0736F">
        <w:rPr>
          <w:rFonts w:ascii="Times New Roman" w:hAnsi="Times New Roman" w:cs="Times New Roman"/>
          <w:color w:val="000000" w:themeColor="text1"/>
          <w:sz w:val="24"/>
          <w:szCs w:val="24"/>
        </w:rPr>
        <w:t>Промышленные предприятия в Казахстане прилагают значительные усилия по повышению переработки и повторному использованию промышленных отходов.</w:t>
      </w:r>
      <w:r w:rsidRPr="00F0736F">
        <w:rPr>
          <w:rFonts w:ascii="Times New Roman" w:hAnsi="Times New Roman" w:cs="Times New Roman"/>
          <w:color w:val="000000" w:themeColor="text1"/>
          <w:sz w:val="24"/>
          <w:szCs w:val="24"/>
          <w:shd w:val="clear" w:color="auto" w:fill="FFFFFF"/>
        </w:rPr>
        <w:t xml:space="preserve"> </w:t>
      </w:r>
      <w:r w:rsidRPr="00F0736F">
        <w:rPr>
          <w:rFonts w:ascii="Times New Roman" w:hAnsi="Times New Roman" w:cs="Times New Roman"/>
          <w:color w:val="000000" w:themeColor="text1"/>
          <w:sz w:val="24"/>
          <w:szCs w:val="24"/>
        </w:rPr>
        <w:t xml:space="preserve">Доля переработанных и утилизированных </w:t>
      </w:r>
      <w:r w:rsidRPr="00F0736F">
        <w:rPr>
          <w:rFonts w:ascii="Times New Roman" w:hAnsi="Times New Roman" w:cs="Times New Roman"/>
          <w:b/>
          <w:color w:val="000000" w:themeColor="text1"/>
          <w:sz w:val="24"/>
          <w:szCs w:val="24"/>
        </w:rPr>
        <w:t>промышленных</w:t>
      </w:r>
      <w:r w:rsidRPr="00F0736F">
        <w:rPr>
          <w:rFonts w:ascii="Times New Roman" w:hAnsi="Times New Roman" w:cs="Times New Roman"/>
          <w:color w:val="000000" w:themeColor="text1"/>
          <w:sz w:val="24"/>
          <w:szCs w:val="24"/>
        </w:rPr>
        <w:t xml:space="preserve"> </w:t>
      </w:r>
      <w:r w:rsidRPr="00F0736F">
        <w:rPr>
          <w:rFonts w:ascii="Times New Roman" w:hAnsi="Times New Roman" w:cs="Times New Roman"/>
          <w:b/>
          <w:bCs/>
          <w:color w:val="000000" w:themeColor="text1"/>
          <w:sz w:val="24"/>
          <w:szCs w:val="24"/>
        </w:rPr>
        <w:t xml:space="preserve">отходов </w:t>
      </w:r>
      <w:r w:rsidRPr="00F0736F">
        <w:rPr>
          <w:rFonts w:ascii="Times New Roman" w:hAnsi="Times New Roman" w:cs="Times New Roman"/>
          <w:color w:val="000000" w:themeColor="text1"/>
          <w:sz w:val="24"/>
          <w:szCs w:val="24"/>
        </w:rPr>
        <w:t>ежегодно увеличивается и составила в 2017 году 30,9%, в 2018 году – 32,2%, а в 2019 году – 34% (таблица 1.5.2.) к их образованию.</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sz w:val="24"/>
          <w:szCs w:val="24"/>
          <w:shd w:val="clear" w:color="auto" w:fill="FFFFFF"/>
        </w:rPr>
        <w:t>Остальной объем размещается на хвостохранилищах и полигонах.</w:t>
      </w:r>
    </w:p>
    <w:p w14:paraId="13376D6F" w14:textId="77777777" w:rsidR="001D7D6D" w:rsidRPr="00F0736F" w:rsidRDefault="001D7D6D" w:rsidP="001D7D6D">
      <w:pPr>
        <w:ind w:firstLine="709"/>
        <w:jc w:val="both"/>
        <w:rPr>
          <w:color w:val="000000" w:themeColor="text1"/>
        </w:rPr>
      </w:pPr>
    </w:p>
    <w:p w14:paraId="506DF05F"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1.5.2. Образование и утилизация промышленных отходов в 2019 году</w:t>
      </w:r>
    </w:p>
    <w:p w14:paraId="24AB5D6E" w14:textId="77777777" w:rsidR="001D7D6D" w:rsidRPr="00F0736F" w:rsidRDefault="001D7D6D" w:rsidP="001D7D6D">
      <w:pPr>
        <w:ind w:firstLine="709"/>
        <w:jc w:val="both"/>
        <w:rPr>
          <w:color w:val="000000" w:themeColor="text1"/>
        </w:rPr>
      </w:pPr>
    </w:p>
    <w:tbl>
      <w:tblPr>
        <w:tblW w:w="9639" w:type="dxa"/>
        <w:tblInd w:w="108" w:type="dxa"/>
        <w:tblLayout w:type="fixed"/>
        <w:tblLook w:val="0000" w:firstRow="0" w:lastRow="0" w:firstColumn="0" w:lastColumn="0" w:noHBand="0" w:noVBand="0"/>
      </w:tblPr>
      <w:tblGrid>
        <w:gridCol w:w="1985"/>
        <w:gridCol w:w="1840"/>
        <w:gridCol w:w="1278"/>
        <w:gridCol w:w="1843"/>
        <w:gridCol w:w="1534"/>
        <w:gridCol w:w="1159"/>
      </w:tblGrid>
      <w:tr w:rsidR="001D7D6D" w:rsidRPr="00F0736F" w14:paraId="5DCAAD82" w14:textId="77777777" w:rsidTr="00B155C8">
        <w:trPr>
          <w:trHeight w:val="312"/>
        </w:trPr>
        <w:tc>
          <w:tcPr>
            <w:tcW w:w="1985" w:type="dxa"/>
            <w:vMerge w:val="restart"/>
            <w:tcBorders>
              <w:top w:val="single" w:sz="4" w:space="0" w:color="000000"/>
              <w:left w:val="single" w:sz="4" w:space="0" w:color="000000"/>
              <w:bottom w:val="single" w:sz="4" w:space="0" w:color="000000"/>
            </w:tcBorders>
            <w:shd w:val="clear" w:color="auto" w:fill="auto"/>
            <w:vAlign w:val="bottom"/>
          </w:tcPr>
          <w:p w14:paraId="5D2C148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Наименование области, города</w:t>
            </w:r>
          </w:p>
        </w:tc>
        <w:tc>
          <w:tcPr>
            <w:tcW w:w="1840" w:type="dxa"/>
            <w:tcBorders>
              <w:top w:val="single" w:sz="4" w:space="0" w:color="000000"/>
              <w:left w:val="single" w:sz="4" w:space="0" w:color="000000"/>
              <w:bottom w:val="single" w:sz="4" w:space="0" w:color="000000"/>
            </w:tcBorders>
            <w:shd w:val="clear" w:color="auto" w:fill="auto"/>
            <w:vAlign w:val="center"/>
          </w:tcPr>
          <w:p w14:paraId="7F1CA1D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Образовано</w:t>
            </w:r>
          </w:p>
        </w:tc>
        <w:tc>
          <w:tcPr>
            <w:tcW w:w="58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7A69D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Утилизировано,</w:t>
            </w:r>
          </w:p>
          <w:p w14:paraId="5B3A11D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из них:</w:t>
            </w:r>
          </w:p>
        </w:tc>
      </w:tr>
      <w:tr w:rsidR="001D7D6D" w:rsidRPr="00F0736F" w14:paraId="3F55210C" w14:textId="77777777" w:rsidTr="00B155C8">
        <w:trPr>
          <w:trHeight w:val="312"/>
        </w:trPr>
        <w:tc>
          <w:tcPr>
            <w:tcW w:w="1985" w:type="dxa"/>
            <w:vMerge/>
            <w:tcBorders>
              <w:top w:val="single" w:sz="4" w:space="0" w:color="000000"/>
              <w:left w:val="single" w:sz="4" w:space="0" w:color="000000"/>
              <w:bottom w:val="single" w:sz="4" w:space="0" w:color="000000"/>
            </w:tcBorders>
            <w:shd w:val="clear" w:color="auto" w:fill="auto"/>
            <w:vAlign w:val="bottom"/>
          </w:tcPr>
          <w:p w14:paraId="436F369C" w14:textId="77777777" w:rsidR="001D7D6D" w:rsidRPr="00F0736F" w:rsidRDefault="001D7D6D" w:rsidP="00B155C8">
            <w:pPr>
              <w:snapToGrid w:val="0"/>
              <w:jc w:val="both"/>
              <w:rPr>
                <w:rFonts w:ascii="Times New Roman" w:hAnsi="Times New Roman" w:cs="Times New Roman"/>
                <w:color w:val="000000" w:themeColor="text1"/>
                <w:sz w:val="22"/>
                <w:szCs w:val="22"/>
              </w:rPr>
            </w:pPr>
          </w:p>
        </w:tc>
        <w:tc>
          <w:tcPr>
            <w:tcW w:w="1840" w:type="dxa"/>
            <w:vMerge w:val="restart"/>
            <w:tcBorders>
              <w:left w:val="single" w:sz="4" w:space="0" w:color="000000"/>
              <w:bottom w:val="single" w:sz="4" w:space="0" w:color="000000"/>
            </w:tcBorders>
            <w:shd w:val="clear" w:color="auto" w:fill="auto"/>
            <w:vAlign w:val="center"/>
          </w:tcPr>
          <w:p w14:paraId="1C8EC51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Промышленные отходы, тыс. т.</w:t>
            </w:r>
          </w:p>
        </w:tc>
        <w:tc>
          <w:tcPr>
            <w:tcW w:w="5814" w:type="dxa"/>
            <w:gridSpan w:val="4"/>
            <w:tcBorders>
              <w:left w:val="single" w:sz="4" w:space="0" w:color="000000"/>
              <w:bottom w:val="single" w:sz="4" w:space="0" w:color="000000"/>
              <w:right w:val="single" w:sz="4" w:space="0" w:color="000000"/>
            </w:tcBorders>
            <w:shd w:val="clear" w:color="auto" w:fill="auto"/>
            <w:vAlign w:val="center"/>
          </w:tcPr>
          <w:p w14:paraId="2C2C6CC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Промышленные отходы</w:t>
            </w:r>
          </w:p>
        </w:tc>
      </w:tr>
      <w:tr w:rsidR="001D7D6D" w:rsidRPr="00F0736F" w14:paraId="349364FA" w14:textId="77777777" w:rsidTr="00B155C8">
        <w:trPr>
          <w:trHeight w:val="312"/>
        </w:trPr>
        <w:tc>
          <w:tcPr>
            <w:tcW w:w="1985" w:type="dxa"/>
            <w:vMerge/>
            <w:tcBorders>
              <w:top w:val="single" w:sz="4" w:space="0" w:color="000000"/>
              <w:left w:val="single" w:sz="4" w:space="0" w:color="000000"/>
              <w:bottom w:val="single" w:sz="4" w:space="0" w:color="000000"/>
            </w:tcBorders>
            <w:shd w:val="clear" w:color="auto" w:fill="auto"/>
            <w:vAlign w:val="bottom"/>
          </w:tcPr>
          <w:p w14:paraId="3FE1A9A4" w14:textId="77777777" w:rsidR="001D7D6D" w:rsidRPr="00F0736F" w:rsidRDefault="001D7D6D" w:rsidP="00B155C8">
            <w:pPr>
              <w:snapToGrid w:val="0"/>
              <w:jc w:val="both"/>
              <w:rPr>
                <w:rFonts w:ascii="Times New Roman" w:hAnsi="Times New Roman" w:cs="Times New Roman"/>
                <w:color w:val="000000" w:themeColor="text1"/>
                <w:sz w:val="22"/>
                <w:szCs w:val="22"/>
              </w:rPr>
            </w:pPr>
          </w:p>
        </w:tc>
        <w:tc>
          <w:tcPr>
            <w:tcW w:w="1840" w:type="dxa"/>
            <w:vMerge/>
            <w:tcBorders>
              <w:left w:val="single" w:sz="4" w:space="0" w:color="000000"/>
              <w:bottom w:val="single" w:sz="4" w:space="0" w:color="000000"/>
            </w:tcBorders>
            <w:shd w:val="clear" w:color="auto" w:fill="auto"/>
            <w:vAlign w:val="center"/>
          </w:tcPr>
          <w:p w14:paraId="4F35E214" w14:textId="77777777" w:rsidR="001D7D6D" w:rsidRPr="00F0736F" w:rsidRDefault="001D7D6D" w:rsidP="00B155C8">
            <w:pPr>
              <w:snapToGrid w:val="0"/>
              <w:jc w:val="center"/>
              <w:rPr>
                <w:rFonts w:ascii="Times New Roman" w:hAnsi="Times New Roman" w:cs="Times New Roman"/>
                <w:color w:val="000000" w:themeColor="text1"/>
                <w:sz w:val="22"/>
                <w:szCs w:val="22"/>
              </w:rPr>
            </w:pPr>
          </w:p>
        </w:tc>
        <w:tc>
          <w:tcPr>
            <w:tcW w:w="1278" w:type="dxa"/>
            <w:tcBorders>
              <w:left w:val="single" w:sz="4" w:space="0" w:color="000000"/>
              <w:bottom w:val="single" w:sz="4" w:space="0" w:color="000000"/>
            </w:tcBorders>
            <w:shd w:val="clear" w:color="auto" w:fill="auto"/>
            <w:vAlign w:val="center"/>
          </w:tcPr>
          <w:p w14:paraId="612EE98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Всего</w:t>
            </w:r>
          </w:p>
        </w:tc>
        <w:tc>
          <w:tcPr>
            <w:tcW w:w="1843" w:type="dxa"/>
            <w:tcBorders>
              <w:left w:val="single" w:sz="4" w:space="0" w:color="000000"/>
              <w:bottom w:val="single" w:sz="4" w:space="0" w:color="000000"/>
            </w:tcBorders>
            <w:shd w:val="clear" w:color="auto" w:fill="auto"/>
          </w:tcPr>
          <w:p w14:paraId="5FC13508"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Использовано</w:t>
            </w:r>
          </w:p>
          <w:p w14:paraId="121C6A1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(тыс. т.)</w:t>
            </w:r>
          </w:p>
        </w:tc>
        <w:tc>
          <w:tcPr>
            <w:tcW w:w="1534" w:type="dxa"/>
            <w:tcBorders>
              <w:left w:val="single" w:sz="4" w:space="0" w:color="000000"/>
              <w:bottom w:val="single" w:sz="4" w:space="0" w:color="000000"/>
            </w:tcBorders>
            <w:shd w:val="clear" w:color="auto" w:fill="auto"/>
          </w:tcPr>
          <w:p w14:paraId="671DF92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Переработано(тыс. т.)</w:t>
            </w:r>
          </w:p>
        </w:tc>
        <w:tc>
          <w:tcPr>
            <w:tcW w:w="1159" w:type="dxa"/>
            <w:tcBorders>
              <w:left w:val="single" w:sz="4" w:space="0" w:color="000000"/>
              <w:bottom w:val="single" w:sz="4" w:space="0" w:color="000000"/>
              <w:right w:val="single" w:sz="4" w:space="0" w:color="000000"/>
            </w:tcBorders>
            <w:shd w:val="clear" w:color="auto" w:fill="auto"/>
          </w:tcPr>
          <w:p w14:paraId="03ECF58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w:t>
            </w:r>
          </w:p>
        </w:tc>
      </w:tr>
      <w:tr w:rsidR="001D7D6D" w:rsidRPr="00F0736F" w14:paraId="3C44E780" w14:textId="77777777" w:rsidTr="00B155C8">
        <w:trPr>
          <w:trHeight w:val="243"/>
        </w:trPr>
        <w:tc>
          <w:tcPr>
            <w:tcW w:w="1985" w:type="dxa"/>
            <w:tcBorders>
              <w:left w:val="single" w:sz="4" w:space="0" w:color="000000"/>
              <w:bottom w:val="single" w:sz="4" w:space="0" w:color="000000"/>
            </w:tcBorders>
            <w:shd w:val="clear" w:color="auto" w:fill="auto"/>
            <w:vAlign w:val="bottom"/>
          </w:tcPr>
          <w:p w14:paraId="1595A21D"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Акмолинская</w:t>
            </w:r>
          </w:p>
        </w:tc>
        <w:tc>
          <w:tcPr>
            <w:tcW w:w="1840" w:type="dxa"/>
            <w:tcBorders>
              <w:left w:val="single" w:sz="4" w:space="0" w:color="000000"/>
              <w:bottom w:val="single" w:sz="4" w:space="0" w:color="000000"/>
            </w:tcBorders>
            <w:shd w:val="clear" w:color="auto" w:fill="auto"/>
            <w:vAlign w:val="center"/>
          </w:tcPr>
          <w:p w14:paraId="2878FD7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47 273,0</w:t>
            </w:r>
          </w:p>
        </w:tc>
        <w:tc>
          <w:tcPr>
            <w:tcW w:w="1278" w:type="dxa"/>
            <w:tcBorders>
              <w:left w:val="single" w:sz="4" w:space="0" w:color="000000"/>
              <w:bottom w:val="single" w:sz="4" w:space="0" w:color="000000"/>
            </w:tcBorders>
            <w:shd w:val="clear" w:color="auto" w:fill="auto"/>
            <w:vAlign w:val="center"/>
          </w:tcPr>
          <w:p w14:paraId="44A08A48"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7 024 ,0</w:t>
            </w:r>
          </w:p>
        </w:tc>
        <w:tc>
          <w:tcPr>
            <w:tcW w:w="1843" w:type="dxa"/>
            <w:tcBorders>
              <w:left w:val="single" w:sz="4" w:space="0" w:color="000000"/>
              <w:bottom w:val="single" w:sz="4" w:space="0" w:color="000000"/>
            </w:tcBorders>
            <w:shd w:val="clear" w:color="auto" w:fill="auto"/>
            <w:vAlign w:val="center"/>
          </w:tcPr>
          <w:p w14:paraId="5DE5D401"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7 024,0</w:t>
            </w:r>
          </w:p>
        </w:tc>
        <w:tc>
          <w:tcPr>
            <w:tcW w:w="1534" w:type="dxa"/>
            <w:tcBorders>
              <w:left w:val="single" w:sz="4" w:space="0" w:color="000000"/>
              <w:bottom w:val="single" w:sz="4" w:space="0" w:color="000000"/>
            </w:tcBorders>
            <w:shd w:val="clear" w:color="auto" w:fill="auto"/>
            <w:vAlign w:val="center"/>
          </w:tcPr>
          <w:p w14:paraId="5503212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159" w:type="dxa"/>
            <w:tcBorders>
              <w:left w:val="single" w:sz="4" w:space="0" w:color="000000"/>
              <w:bottom w:val="single" w:sz="4" w:space="0" w:color="000000"/>
              <w:right w:val="single" w:sz="4" w:space="0" w:color="000000"/>
            </w:tcBorders>
            <w:shd w:val="clear" w:color="auto" w:fill="auto"/>
            <w:vAlign w:val="bottom"/>
          </w:tcPr>
          <w:p w14:paraId="741A9EA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14,86</w:t>
            </w:r>
          </w:p>
        </w:tc>
      </w:tr>
      <w:tr w:rsidR="001D7D6D" w:rsidRPr="00F0736F" w14:paraId="70D151BA" w14:textId="77777777" w:rsidTr="00B155C8">
        <w:trPr>
          <w:trHeight w:val="119"/>
        </w:trPr>
        <w:tc>
          <w:tcPr>
            <w:tcW w:w="1985" w:type="dxa"/>
            <w:tcBorders>
              <w:left w:val="single" w:sz="4" w:space="0" w:color="000000"/>
              <w:bottom w:val="single" w:sz="4" w:space="0" w:color="000000"/>
            </w:tcBorders>
            <w:shd w:val="clear" w:color="auto" w:fill="auto"/>
            <w:vAlign w:val="bottom"/>
          </w:tcPr>
          <w:p w14:paraId="3A71DEF6"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Актюбинская</w:t>
            </w:r>
          </w:p>
        </w:tc>
        <w:tc>
          <w:tcPr>
            <w:tcW w:w="1840" w:type="dxa"/>
            <w:tcBorders>
              <w:left w:val="single" w:sz="4" w:space="0" w:color="000000"/>
              <w:bottom w:val="single" w:sz="4" w:space="0" w:color="000000"/>
            </w:tcBorders>
            <w:shd w:val="clear" w:color="auto" w:fill="auto"/>
          </w:tcPr>
          <w:p w14:paraId="3D83457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75 000,0</w:t>
            </w:r>
          </w:p>
        </w:tc>
        <w:tc>
          <w:tcPr>
            <w:tcW w:w="1278" w:type="dxa"/>
            <w:tcBorders>
              <w:left w:val="single" w:sz="4" w:space="0" w:color="000000"/>
              <w:bottom w:val="single" w:sz="4" w:space="0" w:color="000000"/>
            </w:tcBorders>
            <w:shd w:val="clear" w:color="auto" w:fill="auto"/>
          </w:tcPr>
          <w:p w14:paraId="700C54E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10 015,0</w:t>
            </w:r>
          </w:p>
        </w:tc>
        <w:tc>
          <w:tcPr>
            <w:tcW w:w="1843" w:type="dxa"/>
            <w:tcBorders>
              <w:left w:val="single" w:sz="4" w:space="0" w:color="000000"/>
              <w:bottom w:val="single" w:sz="4" w:space="0" w:color="000000"/>
            </w:tcBorders>
            <w:shd w:val="clear" w:color="auto" w:fill="auto"/>
          </w:tcPr>
          <w:p w14:paraId="2422BD26"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15,0</w:t>
            </w:r>
          </w:p>
        </w:tc>
        <w:tc>
          <w:tcPr>
            <w:tcW w:w="1534" w:type="dxa"/>
            <w:tcBorders>
              <w:left w:val="single" w:sz="4" w:space="0" w:color="000000"/>
              <w:bottom w:val="single" w:sz="4" w:space="0" w:color="000000"/>
            </w:tcBorders>
            <w:shd w:val="clear" w:color="auto" w:fill="auto"/>
          </w:tcPr>
          <w:p w14:paraId="63BF255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10 000,0</w:t>
            </w:r>
          </w:p>
        </w:tc>
        <w:tc>
          <w:tcPr>
            <w:tcW w:w="1159" w:type="dxa"/>
            <w:tcBorders>
              <w:left w:val="single" w:sz="4" w:space="0" w:color="000000"/>
              <w:bottom w:val="single" w:sz="4" w:space="0" w:color="000000"/>
              <w:right w:val="single" w:sz="4" w:space="0" w:color="000000"/>
            </w:tcBorders>
            <w:shd w:val="clear" w:color="auto" w:fill="auto"/>
          </w:tcPr>
          <w:p w14:paraId="370909F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13,35</w:t>
            </w:r>
          </w:p>
        </w:tc>
      </w:tr>
      <w:tr w:rsidR="001D7D6D" w:rsidRPr="00F0736F" w14:paraId="526D1055" w14:textId="77777777" w:rsidTr="00B155C8">
        <w:trPr>
          <w:trHeight w:val="63"/>
        </w:trPr>
        <w:tc>
          <w:tcPr>
            <w:tcW w:w="1985" w:type="dxa"/>
            <w:tcBorders>
              <w:left w:val="single" w:sz="4" w:space="0" w:color="000000"/>
              <w:bottom w:val="single" w:sz="4" w:space="0" w:color="000000"/>
            </w:tcBorders>
            <w:shd w:val="clear" w:color="auto" w:fill="auto"/>
            <w:vAlign w:val="bottom"/>
          </w:tcPr>
          <w:p w14:paraId="29394176"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Алматинская</w:t>
            </w:r>
          </w:p>
        </w:tc>
        <w:tc>
          <w:tcPr>
            <w:tcW w:w="1840" w:type="dxa"/>
            <w:tcBorders>
              <w:left w:val="single" w:sz="4" w:space="0" w:color="000000"/>
              <w:bottom w:val="single" w:sz="4" w:space="0" w:color="000000"/>
            </w:tcBorders>
            <w:shd w:val="clear" w:color="auto" w:fill="auto"/>
          </w:tcPr>
          <w:p w14:paraId="14910D2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430,9</w:t>
            </w:r>
          </w:p>
        </w:tc>
        <w:tc>
          <w:tcPr>
            <w:tcW w:w="1278" w:type="dxa"/>
            <w:tcBorders>
              <w:left w:val="single" w:sz="4" w:space="0" w:color="000000"/>
              <w:bottom w:val="single" w:sz="4" w:space="0" w:color="000000"/>
            </w:tcBorders>
            <w:shd w:val="clear" w:color="auto" w:fill="auto"/>
          </w:tcPr>
          <w:p w14:paraId="1BB18CD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843" w:type="dxa"/>
            <w:tcBorders>
              <w:left w:val="single" w:sz="4" w:space="0" w:color="000000"/>
              <w:bottom w:val="single" w:sz="4" w:space="0" w:color="000000"/>
            </w:tcBorders>
            <w:shd w:val="clear" w:color="auto" w:fill="auto"/>
          </w:tcPr>
          <w:p w14:paraId="05751CDA"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534" w:type="dxa"/>
            <w:tcBorders>
              <w:left w:val="single" w:sz="4" w:space="0" w:color="000000"/>
              <w:bottom w:val="single" w:sz="4" w:space="0" w:color="000000"/>
            </w:tcBorders>
            <w:shd w:val="clear" w:color="auto" w:fill="auto"/>
          </w:tcPr>
          <w:p w14:paraId="78E09DA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159" w:type="dxa"/>
            <w:tcBorders>
              <w:left w:val="single" w:sz="4" w:space="0" w:color="000000"/>
              <w:bottom w:val="single" w:sz="4" w:space="0" w:color="000000"/>
              <w:right w:val="single" w:sz="4" w:space="0" w:color="000000"/>
            </w:tcBorders>
            <w:shd w:val="clear" w:color="auto" w:fill="auto"/>
          </w:tcPr>
          <w:p w14:paraId="5C0BF96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0,00</w:t>
            </w:r>
          </w:p>
        </w:tc>
      </w:tr>
      <w:tr w:rsidR="001D7D6D" w:rsidRPr="00F0736F" w14:paraId="03C4EBDE" w14:textId="77777777" w:rsidTr="00B155C8">
        <w:trPr>
          <w:trHeight w:val="155"/>
        </w:trPr>
        <w:tc>
          <w:tcPr>
            <w:tcW w:w="1985" w:type="dxa"/>
            <w:tcBorders>
              <w:left w:val="single" w:sz="4" w:space="0" w:color="000000"/>
              <w:bottom w:val="single" w:sz="4" w:space="0" w:color="000000"/>
            </w:tcBorders>
            <w:shd w:val="clear" w:color="auto" w:fill="auto"/>
            <w:vAlign w:val="bottom"/>
          </w:tcPr>
          <w:p w14:paraId="3D187421"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Атырауская</w:t>
            </w:r>
          </w:p>
        </w:tc>
        <w:tc>
          <w:tcPr>
            <w:tcW w:w="1840" w:type="dxa"/>
            <w:tcBorders>
              <w:left w:val="single" w:sz="4" w:space="0" w:color="000000"/>
              <w:bottom w:val="single" w:sz="4" w:space="0" w:color="000000"/>
            </w:tcBorders>
            <w:shd w:val="clear" w:color="auto" w:fill="auto"/>
          </w:tcPr>
          <w:p w14:paraId="6E2BFB5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338,8</w:t>
            </w:r>
          </w:p>
        </w:tc>
        <w:tc>
          <w:tcPr>
            <w:tcW w:w="1278" w:type="dxa"/>
            <w:tcBorders>
              <w:left w:val="single" w:sz="4" w:space="0" w:color="000000"/>
              <w:bottom w:val="single" w:sz="4" w:space="0" w:color="000000"/>
            </w:tcBorders>
            <w:shd w:val="clear" w:color="auto" w:fill="auto"/>
          </w:tcPr>
          <w:p w14:paraId="285715C6"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211,8</w:t>
            </w:r>
          </w:p>
        </w:tc>
        <w:tc>
          <w:tcPr>
            <w:tcW w:w="1843" w:type="dxa"/>
            <w:tcBorders>
              <w:left w:val="single" w:sz="4" w:space="0" w:color="000000"/>
              <w:bottom w:val="single" w:sz="4" w:space="0" w:color="000000"/>
            </w:tcBorders>
            <w:shd w:val="clear" w:color="auto" w:fill="auto"/>
          </w:tcPr>
          <w:p w14:paraId="2FEB117E"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534" w:type="dxa"/>
            <w:tcBorders>
              <w:left w:val="single" w:sz="4" w:space="0" w:color="000000"/>
              <w:bottom w:val="single" w:sz="4" w:space="0" w:color="000000"/>
            </w:tcBorders>
            <w:shd w:val="clear" w:color="auto" w:fill="auto"/>
          </w:tcPr>
          <w:p w14:paraId="680AC9F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211,5</w:t>
            </w:r>
          </w:p>
        </w:tc>
        <w:tc>
          <w:tcPr>
            <w:tcW w:w="1159" w:type="dxa"/>
            <w:tcBorders>
              <w:left w:val="single" w:sz="4" w:space="0" w:color="000000"/>
              <w:bottom w:val="single" w:sz="4" w:space="0" w:color="000000"/>
              <w:right w:val="single" w:sz="4" w:space="0" w:color="000000"/>
            </w:tcBorders>
            <w:shd w:val="clear" w:color="auto" w:fill="auto"/>
          </w:tcPr>
          <w:p w14:paraId="00F2F59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62,41</w:t>
            </w:r>
          </w:p>
        </w:tc>
      </w:tr>
      <w:tr w:rsidR="001D7D6D" w:rsidRPr="00F0736F" w14:paraId="5F8B63F1" w14:textId="77777777" w:rsidTr="00B155C8">
        <w:trPr>
          <w:trHeight w:val="63"/>
        </w:trPr>
        <w:tc>
          <w:tcPr>
            <w:tcW w:w="1985" w:type="dxa"/>
            <w:tcBorders>
              <w:left w:val="single" w:sz="4" w:space="0" w:color="000000"/>
              <w:bottom w:val="single" w:sz="4" w:space="0" w:color="000000"/>
            </w:tcBorders>
            <w:shd w:val="clear" w:color="auto" w:fill="auto"/>
            <w:vAlign w:val="bottom"/>
          </w:tcPr>
          <w:p w14:paraId="34994BBD"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ВКО</w:t>
            </w:r>
          </w:p>
        </w:tc>
        <w:tc>
          <w:tcPr>
            <w:tcW w:w="1840" w:type="dxa"/>
            <w:tcBorders>
              <w:left w:val="single" w:sz="4" w:space="0" w:color="000000"/>
              <w:bottom w:val="single" w:sz="4" w:space="0" w:color="000000"/>
            </w:tcBorders>
            <w:shd w:val="clear" w:color="auto" w:fill="auto"/>
          </w:tcPr>
          <w:p w14:paraId="77FB577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56 174, 2</w:t>
            </w:r>
          </w:p>
        </w:tc>
        <w:tc>
          <w:tcPr>
            <w:tcW w:w="1278" w:type="dxa"/>
            <w:tcBorders>
              <w:left w:val="single" w:sz="4" w:space="0" w:color="000000"/>
              <w:bottom w:val="single" w:sz="4" w:space="0" w:color="000000"/>
            </w:tcBorders>
            <w:shd w:val="clear" w:color="auto" w:fill="auto"/>
          </w:tcPr>
          <w:p w14:paraId="0056C3C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41 876,0</w:t>
            </w:r>
          </w:p>
        </w:tc>
        <w:tc>
          <w:tcPr>
            <w:tcW w:w="1843" w:type="dxa"/>
            <w:tcBorders>
              <w:left w:val="single" w:sz="4" w:space="0" w:color="000000"/>
              <w:bottom w:val="single" w:sz="4" w:space="0" w:color="000000"/>
            </w:tcBorders>
            <w:shd w:val="clear" w:color="auto" w:fill="auto"/>
          </w:tcPr>
          <w:p w14:paraId="1BA0DE2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41 846,9</w:t>
            </w:r>
          </w:p>
        </w:tc>
        <w:tc>
          <w:tcPr>
            <w:tcW w:w="1534" w:type="dxa"/>
            <w:tcBorders>
              <w:left w:val="single" w:sz="4" w:space="0" w:color="000000"/>
              <w:bottom w:val="single" w:sz="4" w:space="0" w:color="000000"/>
            </w:tcBorders>
            <w:shd w:val="clear" w:color="auto" w:fill="auto"/>
          </w:tcPr>
          <w:p w14:paraId="0576DDCE"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29,1</w:t>
            </w:r>
          </w:p>
        </w:tc>
        <w:tc>
          <w:tcPr>
            <w:tcW w:w="1159" w:type="dxa"/>
            <w:tcBorders>
              <w:left w:val="single" w:sz="4" w:space="0" w:color="000000"/>
              <w:bottom w:val="single" w:sz="4" w:space="0" w:color="000000"/>
              <w:right w:val="single" w:sz="4" w:space="0" w:color="000000"/>
            </w:tcBorders>
            <w:shd w:val="clear" w:color="auto" w:fill="auto"/>
          </w:tcPr>
          <w:p w14:paraId="3C27D7B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74,55</w:t>
            </w:r>
          </w:p>
        </w:tc>
      </w:tr>
      <w:tr w:rsidR="001D7D6D" w:rsidRPr="00F0736F" w14:paraId="7BCE3290" w14:textId="77777777" w:rsidTr="00B155C8">
        <w:trPr>
          <w:trHeight w:val="312"/>
        </w:trPr>
        <w:tc>
          <w:tcPr>
            <w:tcW w:w="1985" w:type="dxa"/>
            <w:tcBorders>
              <w:left w:val="single" w:sz="4" w:space="0" w:color="000000"/>
              <w:bottom w:val="single" w:sz="4" w:space="0" w:color="000000"/>
            </w:tcBorders>
            <w:shd w:val="clear" w:color="auto" w:fill="auto"/>
            <w:vAlign w:val="bottom"/>
          </w:tcPr>
          <w:p w14:paraId="0185F3F0"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Жамбылская</w:t>
            </w:r>
          </w:p>
        </w:tc>
        <w:tc>
          <w:tcPr>
            <w:tcW w:w="1840" w:type="dxa"/>
            <w:tcBorders>
              <w:left w:val="single" w:sz="4" w:space="0" w:color="000000"/>
              <w:bottom w:val="single" w:sz="4" w:space="0" w:color="000000"/>
            </w:tcBorders>
            <w:shd w:val="clear" w:color="auto" w:fill="auto"/>
          </w:tcPr>
          <w:p w14:paraId="0AEBFA6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13 318,6</w:t>
            </w:r>
          </w:p>
        </w:tc>
        <w:tc>
          <w:tcPr>
            <w:tcW w:w="1278" w:type="dxa"/>
            <w:tcBorders>
              <w:left w:val="single" w:sz="4" w:space="0" w:color="000000"/>
              <w:bottom w:val="single" w:sz="4" w:space="0" w:color="000000"/>
            </w:tcBorders>
            <w:shd w:val="clear" w:color="auto" w:fill="auto"/>
          </w:tcPr>
          <w:p w14:paraId="19F3294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1 849,8</w:t>
            </w:r>
          </w:p>
        </w:tc>
        <w:tc>
          <w:tcPr>
            <w:tcW w:w="1843" w:type="dxa"/>
            <w:tcBorders>
              <w:left w:val="single" w:sz="4" w:space="0" w:color="000000"/>
              <w:bottom w:val="single" w:sz="4" w:space="0" w:color="000000"/>
            </w:tcBorders>
            <w:shd w:val="clear" w:color="auto" w:fill="auto"/>
          </w:tcPr>
          <w:p w14:paraId="20843E1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1 813 683</w:t>
            </w:r>
          </w:p>
        </w:tc>
        <w:tc>
          <w:tcPr>
            <w:tcW w:w="1534" w:type="dxa"/>
            <w:tcBorders>
              <w:left w:val="single" w:sz="4" w:space="0" w:color="000000"/>
              <w:bottom w:val="single" w:sz="4" w:space="0" w:color="000000"/>
            </w:tcBorders>
            <w:shd w:val="clear" w:color="auto" w:fill="auto"/>
          </w:tcPr>
          <w:p w14:paraId="0C4DA7C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36,0</w:t>
            </w:r>
          </w:p>
        </w:tc>
        <w:tc>
          <w:tcPr>
            <w:tcW w:w="1159" w:type="dxa"/>
            <w:tcBorders>
              <w:left w:val="single" w:sz="4" w:space="0" w:color="000000"/>
              <w:bottom w:val="single" w:sz="4" w:space="0" w:color="000000"/>
              <w:right w:val="single" w:sz="4" w:space="0" w:color="000000"/>
            </w:tcBorders>
            <w:shd w:val="clear" w:color="auto" w:fill="auto"/>
          </w:tcPr>
          <w:p w14:paraId="1A2AECE1"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13,89</w:t>
            </w:r>
          </w:p>
        </w:tc>
      </w:tr>
      <w:tr w:rsidR="001D7D6D" w:rsidRPr="00F0736F" w14:paraId="5A7314F6" w14:textId="77777777" w:rsidTr="00B155C8">
        <w:trPr>
          <w:trHeight w:val="140"/>
        </w:trPr>
        <w:tc>
          <w:tcPr>
            <w:tcW w:w="1985" w:type="dxa"/>
            <w:tcBorders>
              <w:left w:val="single" w:sz="4" w:space="0" w:color="000000"/>
              <w:bottom w:val="single" w:sz="4" w:space="0" w:color="000000"/>
            </w:tcBorders>
            <w:shd w:val="clear" w:color="auto" w:fill="auto"/>
            <w:vAlign w:val="bottom"/>
          </w:tcPr>
          <w:p w14:paraId="3076B710"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ЗКО</w:t>
            </w:r>
          </w:p>
        </w:tc>
        <w:tc>
          <w:tcPr>
            <w:tcW w:w="1840" w:type="dxa"/>
            <w:tcBorders>
              <w:left w:val="single" w:sz="4" w:space="0" w:color="000000"/>
              <w:bottom w:val="single" w:sz="4" w:space="0" w:color="000000"/>
            </w:tcBorders>
            <w:shd w:val="clear" w:color="auto" w:fill="auto"/>
          </w:tcPr>
          <w:p w14:paraId="55599C88"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174,3</w:t>
            </w:r>
          </w:p>
        </w:tc>
        <w:tc>
          <w:tcPr>
            <w:tcW w:w="1278" w:type="dxa"/>
            <w:tcBorders>
              <w:left w:val="single" w:sz="4" w:space="0" w:color="000000"/>
              <w:bottom w:val="single" w:sz="4" w:space="0" w:color="000000"/>
            </w:tcBorders>
            <w:shd w:val="clear" w:color="auto" w:fill="auto"/>
          </w:tcPr>
          <w:p w14:paraId="69D6DE5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54,8</w:t>
            </w:r>
          </w:p>
        </w:tc>
        <w:tc>
          <w:tcPr>
            <w:tcW w:w="1843" w:type="dxa"/>
            <w:tcBorders>
              <w:left w:val="single" w:sz="4" w:space="0" w:color="000000"/>
              <w:bottom w:val="single" w:sz="4" w:space="0" w:color="000000"/>
            </w:tcBorders>
            <w:shd w:val="clear" w:color="auto" w:fill="auto"/>
          </w:tcPr>
          <w:p w14:paraId="731C1CF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19 800</w:t>
            </w:r>
          </w:p>
        </w:tc>
        <w:tc>
          <w:tcPr>
            <w:tcW w:w="1534" w:type="dxa"/>
            <w:tcBorders>
              <w:left w:val="single" w:sz="4" w:space="0" w:color="000000"/>
              <w:bottom w:val="single" w:sz="4" w:space="0" w:color="000000"/>
            </w:tcBorders>
            <w:shd w:val="clear" w:color="auto" w:fill="auto"/>
          </w:tcPr>
          <w:p w14:paraId="188F675A"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35,0</w:t>
            </w:r>
          </w:p>
        </w:tc>
        <w:tc>
          <w:tcPr>
            <w:tcW w:w="1159" w:type="dxa"/>
            <w:tcBorders>
              <w:left w:val="single" w:sz="4" w:space="0" w:color="000000"/>
              <w:bottom w:val="single" w:sz="4" w:space="0" w:color="000000"/>
              <w:right w:val="single" w:sz="4" w:space="0" w:color="000000"/>
            </w:tcBorders>
            <w:shd w:val="clear" w:color="auto" w:fill="auto"/>
          </w:tcPr>
          <w:p w14:paraId="507CAFDA"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31,45</w:t>
            </w:r>
          </w:p>
        </w:tc>
      </w:tr>
      <w:tr w:rsidR="001D7D6D" w:rsidRPr="00F0736F" w14:paraId="39C93B4C" w14:textId="77777777" w:rsidTr="00B155C8">
        <w:trPr>
          <w:trHeight w:val="171"/>
        </w:trPr>
        <w:tc>
          <w:tcPr>
            <w:tcW w:w="1985" w:type="dxa"/>
            <w:tcBorders>
              <w:left w:val="single" w:sz="4" w:space="0" w:color="000000"/>
              <w:bottom w:val="single" w:sz="4" w:space="0" w:color="000000"/>
            </w:tcBorders>
            <w:shd w:val="clear" w:color="auto" w:fill="auto"/>
            <w:vAlign w:val="bottom"/>
          </w:tcPr>
          <w:p w14:paraId="0BF8083F"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Карагандинская</w:t>
            </w:r>
          </w:p>
        </w:tc>
        <w:tc>
          <w:tcPr>
            <w:tcW w:w="1840" w:type="dxa"/>
            <w:tcBorders>
              <w:left w:val="single" w:sz="4" w:space="0" w:color="000000"/>
              <w:bottom w:val="single" w:sz="4" w:space="0" w:color="000000"/>
            </w:tcBorders>
            <w:shd w:val="clear" w:color="auto" w:fill="auto"/>
          </w:tcPr>
          <w:p w14:paraId="45611B6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221 115,5</w:t>
            </w:r>
          </w:p>
        </w:tc>
        <w:tc>
          <w:tcPr>
            <w:tcW w:w="1278" w:type="dxa"/>
            <w:tcBorders>
              <w:left w:val="single" w:sz="4" w:space="0" w:color="000000"/>
              <w:bottom w:val="single" w:sz="4" w:space="0" w:color="000000"/>
            </w:tcBorders>
            <w:shd w:val="clear" w:color="auto" w:fill="auto"/>
          </w:tcPr>
          <w:p w14:paraId="3965E37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95 202,0</w:t>
            </w:r>
          </w:p>
        </w:tc>
        <w:tc>
          <w:tcPr>
            <w:tcW w:w="1843" w:type="dxa"/>
            <w:tcBorders>
              <w:left w:val="single" w:sz="4" w:space="0" w:color="000000"/>
              <w:bottom w:val="single" w:sz="4" w:space="0" w:color="000000"/>
            </w:tcBorders>
            <w:shd w:val="clear" w:color="auto" w:fill="auto"/>
          </w:tcPr>
          <w:p w14:paraId="14D40EE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95 200 300</w:t>
            </w:r>
          </w:p>
        </w:tc>
        <w:tc>
          <w:tcPr>
            <w:tcW w:w="1534" w:type="dxa"/>
            <w:tcBorders>
              <w:left w:val="single" w:sz="4" w:space="0" w:color="000000"/>
              <w:bottom w:val="single" w:sz="4" w:space="0" w:color="000000"/>
            </w:tcBorders>
            <w:shd w:val="clear" w:color="auto" w:fill="auto"/>
          </w:tcPr>
          <w:p w14:paraId="264D1A2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1,7</w:t>
            </w:r>
          </w:p>
        </w:tc>
        <w:tc>
          <w:tcPr>
            <w:tcW w:w="1159" w:type="dxa"/>
            <w:tcBorders>
              <w:left w:val="single" w:sz="4" w:space="0" w:color="000000"/>
              <w:bottom w:val="single" w:sz="4" w:space="0" w:color="000000"/>
              <w:right w:val="single" w:sz="4" w:space="0" w:color="000000"/>
            </w:tcBorders>
            <w:shd w:val="clear" w:color="auto" w:fill="auto"/>
          </w:tcPr>
          <w:p w14:paraId="76F1EACA"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43,06</w:t>
            </w:r>
          </w:p>
        </w:tc>
      </w:tr>
      <w:tr w:rsidR="001D7D6D" w:rsidRPr="00F0736F" w14:paraId="170FEC5E" w14:textId="77777777" w:rsidTr="00B155C8">
        <w:trPr>
          <w:trHeight w:val="133"/>
        </w:trPr>
        <w:tc>
          <w:tcPr>
            <w:tcW w:w="1985" w:type="dxa"/>
            <w:tcBorders>
              <w:left w:val="single" w:sz="4" w:space="0" w:color="000000"/>
              <w:bottom w:val="single" w:sz="4" w:space="0" w:color="000000"/>
            </w:tcBorders>
            <w:shd w:val="clear" w:color="auto" w:fill="auto"/>
            <w:vAlign w:val="bottom"/>
          </w:tcPr>
          <w:p w14:paraId="77F4AC72"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Костанайская</w:t>
            </w:r>
          </w:p>
        </w:tc>
        <w:tc>
          <w:tcPr>
            <w:tcW w:w="1840" w:type="dxa"/>
            <w:tcBorders>
              <w:left w:val="single" w:sz="4" w:space="0" w:color="000000"/>
              <w:bottom w:val="single" w:sz="4" w:space="0" w:color="000000"/>
            </w:tcBorders>
            <w:shd w:val="clear" w:color="auto" w:fill="auto"/>
          </w:tcPr>
          <w:p w14:paraId="0088897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240 000,0</w:t>
            </w:r>
          </w:p>
        </w:tc>
        <w:tc>
          <w:tcPr>
            <w:tcW w:w="1278" w:type="dxa"/>
            <w:tcBorders>
              <w:left w:val="single" w:sz="4" w:space="0" w:color="000000"/>
              <w:bottom w:val="single" w:sz="4" w:space="0" w:color="000000"/>
            </w:tcBorders>
            <w:shd w:val="clear" w:color="auto" w:fill="auto"/>
          </w:tcPr>
          <w:p w14:paraId="110DDA5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59 600,0</w:t>
            </w:r>
          </w:p>
        </w:tc>
        <w:tc>
          <w:tcPr>
            <w:tcW w:w="1843" w:type="dxa"/>
            <w:tcBorders>
              <w:left w:val="single" w:sz="4" w:space="0" w:color="000000"/>
              <w:bottom w:val="single" w:sz="4" w:space="0" w:color="000000"/>
            </w:tcBorders>
            <w:shd w:val="clear" w:color="auto" w:fill="auto"/>
          </w:tcPr>
          <w:p w14:paraId="5B7D3196"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58 000 000</w:t>
            </w:r>
          </w:p>
        </w:tc>
        <w:tc>
          <w:tcPr>
            <w:tcW w:w="1534" w:type="dxa"/>
            <w:tcBorders>
              <w:left w:val="single" w:sz="4" w:space="0" w:color="000000"/>
              <w:bottom w:val="single" w:sz="4" w:space="0" w:color="000000"/>
            </w:tcBorders>
            <w:shd w:val="clear" w:color="auto" w:fill="auto"/>
          </w:tcPr>
          <w:p w14:paraId="6CE43CD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1 600,0</w:t>
            </w:r>
          </w:p>
        </w:tc>
        <w:tc>
          <w:tcPr>
            <w:tcW w:w="1159" w:type="dxa"/>
            <w:tcBorders>
              <w:left w:val="single" w:sz="4" w:space="0" w:color="000000"/>
              <w:bottom w:val="single" w:sz="4" w:space="0" w:color="000000"/>
              <w:right w:val="single" w:sz="4" w:space="0" w:color="000000"/>
            </w:tcBorders>
            <w:shd w:val="clear" w:color="auto" w:fill="auto"/>
          </w:tcPr>
          <w:p w14:paraId="0AFFEC11"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24,83</w:t>
            </w:r>
          </w:p>
        </w:tc>
      </w:tr>
      <w:tr w:rsidR="001D7D6D" w:rsidRPr="00F0736F" w14:paraId="6EEA8ECA" w14:textId="77777777" w:rsidTr="00B155C8">
        <w:trPr>
          <w:trHeight w:val="79"/>
        </w:trPr>
        <w:tc>
          <w:tcPr>
            <w:tcW w:w="1985" w:type="dxa"/>
            <w:tcBorders>
              <w:left w:val="single" w:sz="4" w:space="0" w:color="000000"/>
              <w:bottom w:val="single" w:sz="4" w:space="0" w:color="000000"/>
            </w:tcBorders>
            <w:shd w:val="clear" w:color="auto" w:fill="auto"/>
            <w:vAlign w:val="bottom"/>
          </w:tcPr>
          <w:p w14:paraId="58EBA1B9"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Кызылординская</w:t>
            </w:r>
          </w:p>
        </w:tc>
        <w:tc>
          <w:tcPr>
            <w:tcW w:w="1840" w:type="dxa"/>
            <w:tcBorders>
              <w:left w:val="single" w:sz="4" w:space="0" w:color="000000"/>
              <w:bottom w:val="single" w:sz="4" w:space="0" w:color="000000"/>
            </w:tcBorders>
            <w:shd w:val="clear" w:color="auto" w:fill="auto"/>
          </w:tcPr>
          <w:p w14:paraId="62A80C4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116,0</w:t>
            </w:r>
          </w:p>
        </w:tc>
        <w:tc>
          <w:tcPr>
            <w:tcW w:w="1278" w:type="dxa"/>
            <w:tcBorders>
              <w:left w:val="single" w:sz="4" w:space="0" w:color="000000"/>
              <w:bottom w:val="single" w:sz="4" w:space="0" w:color="000000"/>
            </w:tcBorders>
            <w:shd w:val="clear" w:color="auto" w:fill="auto"/>
          </w:tcPr>
          <w:p w14:paraId="63ECB47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26,1</w:t>
            </w:r>
          </w:p>
        </w:tc>
        <w:tc>
          <w:tcPr>
            <w:tcW w:w="1843" w:type="dxa"/>
            <w:tcBorders>
              <w:left w:val="single" w:sz="4" w:space="0" w:color="000000"/>
              <w:bottom w:val="single" w:sz="4" w:space="0" w:color="000000"/>
            </w:tcBorders>
            <w:shd w:val="clear" w:color="auto" w:fill="auto"/>
          </w:tcPr>
          <w:p w14:paraId="0AD553C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26 100</w:t>
            </w:r>
          </w:p>
        </w:tc>
        <w:tc>
          <w:tcPr>
            <w:tcW w:w="1534" w:type="dxa"/>
            <w:tcBorders>
              <w:left w:val="single" w:sz="4" w:space="0" w:color="000000"/>
              <w:bottom w:val="single" w:sz="4" w:space="0" w:color="000000"/>
            </w:tcBorders>
            <w:shd w:val="clear" w:color="auto" w:fill="auto"/>
          </w:tcPr>
          <w:p w14:paraId="34FB41B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159" w:type="dxa"/>
            <w:tcBorders>
              <w:left w:val="single" w:sz="4" w:space="0" w:color="000000"/>
              <w:bottom w:val="single" w:sz="4" w:space="0" w:color="000000"/>
              <w:right w:val="single" w:sz="4" w:space="0" w:color="000000"/>
            </w:tcBorders>
            <w:shd w:val="clear" w:color="auto" w:fill="auto"/>
          </w:tcPr>
          <w:p w14:paraId="26142C0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22,50</w:t>
            </w:r>
          </w:p>
        </w:tc>
      </w:tr>
      <w:tr w:rsidR="001D7D6D" w:rsidRPr="00F0736F" w14:paraId="77478869" w14:textId="77777777" w:rsidTr="00B155C8">
        <w:trPr>
          <w:trHeight w:val="97"/>
        </w:trPr>
        <w:tc>
          <w:tcPr>
            <w:tcW w:w="1985" w:type="dxa"/>
            <w:tcBorders>
              <w:left w:val="single" w:sz="4" w:space="0" w:color="000000"/>
              <w:bottom w:val="single" w:sz="4" w:space="0" w:color="000000"/>
            </w:tcBorders>
            <w:shd w:val="clear" w:color="auto" w:fill="auto"/>
            <w:vAlign w:val="bottom"/>
          </w:tcPr>
          <w:p w14:paraId="3774D1B2"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Мангистауская</w:t>
            </w:r>
          </w:p>
        </w:tc>
        <w:tc>
          <w:tcPr>
            <w:tcW w:w="1840" w:type="dxa"/>
            <w:tcBorders>
              <w:left w:val="single" w:sz="4" w:space="0" w:color="000000"/>
              <w:bottom w:val="single" w:sz="4" w:space="0" w:color="000000"/>
            </w:tcBorders>
            <w:shd w:val="clear" w:color="auto" w:fill="auto"/>
          </w:tcPr>
          <w:p w14:paraId="179D6C5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620,1</w:t>
            </w:r>
          </w:p>
        </w:tc>
        <w:tc>
          <w:tcPr>
            <w:tcW w:w="1278" w:type="dxa"/>
            <w:tcBorders>
              <w:left w:val="single" w:sz="4" w:space="0" w:color="000000"/>
              <w:bottom w:val="single" w:sz="4" w:space="0" w:color="000000"/>
            </w:tcBorders>
            <w:shd w:val="clear" w:color="auto" w:fill="auto"/>
          </w:tcPr>
          <w:p w14:paraId="0D50F9F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271,8</w:t>
            </w:r>
          </w:p>
        </w:tc>
        <w:tc>
          <w:tcPr>
            <w:tcW w:w="1843" w:type="dxa"/>
            <w:tcBorders>
              <w:left w:val="single" w:sz="4" w:space="0" w:color="000000"/>
              <w:bottom w:val="single" w:sz="4" w:space="0" w:color="000000"/>
            </w:tcBorders>
            <w:shd w:val="clear" w:color="auto" w:fill="auto"/>
          </w:tcPr>
          <w:p w14:paraId="7691C4A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51 780</w:t>
            </w:r>
          </w:p>
        </w:tc>
        <w:tc>
          <w:tcPr>
            <w:tcW w:w="1534" w:type="dxa"/>
            <w:tcBorders>
              <w:left w:val="single" w:sz="4" w:space="0" w:color="000000"/>
              <w:bottom w:val="single" w:sz="4" w:space="0" w:color="000000"/>
            </w:tcBorders>
            <w:shd w:val="clear" w:color="auto" w:fill="auto"/>
          </w:tcPr>
          <w:p w14:paraId="513231A7"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220,0</w:t>
            </w:r>
          </w:p>
        </w:tc>
        <w:tc>
          <w:tcPr>
            <w:tcW w:w="1159" w:type="dxa"/>
            <w:tcBorders>
              <w:left w:val="single" w:sz="4" w:space="0" w:color="000000"/>
              <w:bottom w:val="single" w:sz="4" w:space="0" w:color="000000"/>
              <w:right w:val="single" w:sz="4" w:space="0" w:color="000000"/>
            </w:tcBorders>
            <w:shd w:val="clear" w:color="auto" w:fill="auto"/>
          </w:tcPr>
          <w:p w14:paraId="0DA7BE98"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43,83</w:t>
            </w:r>
          </w:p>
        </w:tc>
      </w:tr>
      <w:tr w:rsidR="001D7D6D" w:rsidRPr="00F0736F" w14:paraId="0A3F3FBD" w14:textId="77777777" w:rsidTr="00B155C8">
        <w:trPr>
          <w:trHeight w:val="116"/>
        </w:trPr>
        <w:tc>
          <w:tcPr>
            <w:tcW w:w="1985" w:type="dxa"/>
            <w:tcBorders>
              <w:left w:val="single" w:sz="4" w:space="0" w:color="000000"/>
              <w:bottom w:val="single" w:sz="4" w:space="0" w:color="000000"/>
            </w:tcBorders>
            <w:shd w:val="clear" w:color="auto" w:fill="auto"/>
            <w:vAlign w:val="bottom"/>
          </w:tcPr>
          <w:p w14:paraId="0E491105"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Павлодарская</w:t>
            </w:r>
          </w:p>
        </w:tc>
        <w:tc>
          <w:tcPr>
            <w:tcW w:w="1840" w:type="dxa"/>
            <w:tcBorders>
              <w:left w:val="single" w:sz="4" w:space="0" w:color="000000"/>
              <w:bottom w:val="single" w:sz="4" w:space="0" w:color="000000"/>
            </w:tcBorders>
            <w:shd w:val="clear" w:color="auto" w:fill="auto"/>
          </w:tcPr>
          <w:p w14:paraId="241E9D7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198 306,3</w:t>
            </w:r>
          </w:p>
        </w:tc>
        <w:tc>
          <w:tcPr>
            <w:tcW w:w="1278" w:type="dxa"/>
            <w:tcBorders>
              <w:left w:val="single" w:sz="4" w:space="0" w:color="000000"/>
              <w:bottom w:val="single" w:sz="4" w:space="0" w:color="000000"/>
            </w:tcBorders>
            <w:shd w:val="clear" w:color="auto" w:fill="auto"/>
          </w:tcPr>
          <w:p w14:paraId="458AF3D5"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78 535,9</w:t>
            </w:r>
          </w:p>
        </w:tc>
        <w:tc>
          <w:tcPr>
            <w:tcW w:w="1843" w:type="dxa"/>
            <w:tcBorders>
              <w:left w:val="single" w:sz="4" w:space="0" w:color="000000"/>
              <w:bottom w:val="single" w:sz="4" w:space="0" w:color="000000"/>
            </w:tcBorders>
            <w:shd w:val="clear" w:color="auto" w:fill="auto"/>
          </w:tcPr>
          <w:p w14:paraId="7EB90EE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75 811 282</w:t>
            </w:r>
          </w:p>
        </w:tc>
        <w:tc>
          <w:tcPr>
            <w:tcW w:w="1534" w:type="dxa"/>
            <w:tcBorders>
              <w:left w:val="single" w:sz="4" w:space="0" w:color="000000"/>
              <w:bottom w:val="single" w:sz="4" w:space="0" w:color="000000"/>
            </w:tcBorders>
            <w:shd w:val="clear" w:color="auto" w:fill="auto"/>
          </w:tcPr>
          <w:p w14:paraId="1C7E0D5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2 724,7</w:t>
            </w:r>
          </w:p>
        </w:tc>
        <w:tc>
          <w:tcPr>
            <w:tcW w:w="1159" w:type="dxa"/>
            <w:tcBorders>
              <w:left w:val="single" w:sz="4" w:space="0" w:color="000000"/>
              <w:bottom w:val="single" w:sz="4" w:space="0" w:color="000000"/>
              <w:right w:val="single" w:sz="4" w:space="0" w:color="000000"/>
            </w:tcBorders>
            <w:shd w:val="clear" w:color="auto" w:fill="auto"/>
          </w:tcPr>
          <w:p w14:paraId="2AD3610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39,60</w:t>
            </w:r>
          </w:p>
        </w:tc>
      </w:tr>
      <w:tr w:rsidR="001D7D6D" w:rsidRPr="00F0736F" w14:paraId="7A54C59E" w14:textId="77777777" w:rsidTr="00B155C8">
        <w:trPr>
          <w:trHeight w:val="147"/>
        </w:trPr>
        <w:tc>
          <w:tcPr>
            <w:tcW w:w="1985" w:type="dxa"/>
            <w:tcBorders>
              <w:left w:val="single" w:sz="4" w:space="0" w:color="000000"/>
              <w:bottom w:val="single" w:sz="4" w:space="0" w:color="000000"/>
            </w:tcBorders>
            <w:shd w:val="clear" w:color="auto" w:fill="auto"/>
            <w:vAlign w:val="bottom"/>
          </w:tcPr>
          <w:p w14:paraId="377CED7C"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СКО</w:t>
            </w:r>
          </w:p>
        </w:tc>
        <w:tc>
          <w:tcPr>
            <w:tcW w:w="1840" w:type="dxa"/>
            <w:tcBorders>
              <w:left w:val="single" w:sz="4" w:space="0" w:color="000000"/>
              <w:bottom w:val="single" w:sz="4" w:space="0" w:color="000000"/>
            </w:tcBorders>
            <w:shd w:val="clear" w:color="auto" w:fill="auto"/>
          </w:tcPr>
          <w:p w14:paraId="4EAF6DE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1 400,0</w:t>
            </w:r>
          </w:p>
        </w:tc>
        <w:tc>
          <w:tcPr>
            <w:tcW w:w="1278" w:type="dxa"/>
            <w:tcBorders>
              <w:left w:val="single" w:sz="4" w:space="0" w:color="000000"/>
              <w:bottom w:val="single" w:sz="4" w:space="0" w:color="000000"/>
            </w:tcBorders>
            <w:shd w:val="clear" w:color="auto" w:fill="auto"/>
          </w:tcPr>
          <w:p w14:paraId="3B176E0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278,7</w:t>
            </w:r>
          </w:p>
        </w:tc>
        <w:tc>
          <w:tcPr>
            <w:tcW w:w="1843" w:type="dxa"/>
            <w:tcBorders>
              <w:left w:val="single" w:sz="4" w:space="0" w:color="000000"/>
              <w:bottom w:val="single" w:sz="4" w:space="0" w:color="000000"/>
            </w:tcBorders>
            <w:shd w:val="clear" w:color="auto" w:fill="auto"/>
          </w:tcPr>
          <w:p w14:paraId="0CE44D0C"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169 837</w:t>
            </w:r>
          </w:p>
        </w:tc>
        <w:tc>
          <w:tcPr>
            <w:tcW w:w="1534" w:type="dxa"/>
            <w:tcBorders>
              <w:left w:val="single" w:sz="4" w:space="0" w:color="000000"/>
              <w:bottom w:val="single" w:sz="4" w:space="0" w:color="000000"/>
            </w:tcBorders>
            <w:shd w:val="clear" w:color="auto" w:fill="auto"/>
          </w:tcPr>
          <w:p w14:paraId="2D6C84A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108,8</w:t>
            </w:r>
          </w:p>
        </w:tc>
        <w:tc>
          <w:tcPr>
            <w:tcW w:w="1159" w:type="dxa"/>
            <w:tcBorders>
              <w:left w:val="single" w:sz="4" w:space="0" w:color="000000"/>
              <w:bottom w:val="single" w:sz="4" w:space="0" w:color="000000"/>
              <w:right w:val="single" w:sz="4" w:space="0" w:color="000000"/>
            </w:tcBorders>
            <w:shd w:val="clear" w:color="auto" w:fill="auto"/>
          </w:tcPr>
          <w:p w14:paraId="372AA6F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19,91</w:t>
            </w:r>
          </w:p>
        </w:tc>
      </w:tr>
      <w:tr w:rsidR="001D7D6D" w:rsidRPr="00F0736F" w14:paraId="6DFB1E18" w14:textId="77777777" w:rsidTr="00B155C8">
        <w:trPr>
          <w:trHeight w:val="165"/>
        </w:trPr>
        <w:tc>
          <w:tcPr>
            <w:tcW w:w="1985" w:type="dxa"/>
            <w:tcBorders>
              <w:left w:val="single" w:sz="4" w:space="0" w:color="000000"/>
              <w:bottom w:val="single" w:sz="4" w:space="0" w:color="000000"/>
            </w:tcBorders>
            <w:shd w:val="clear" w:color="auto" w:fill="auto"/>
            <w:vAlign w:val="bottom"/>
          </w:tcPr>
          <w:p w14:paraId="212E47D2"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Туркестанская</w:t>
            </w:r>
          </w:p>
        </w:tc>
        <w:tc>
          <w:tcPr>
            <w:tcW w:w="1840" w:type="dxa"/>
            <w:tcBorders>
              <w:left w:val="single" w:sz="4" w:space="0" w:color="000000"/>
              <w:bottom w:val="single" w:sz="4" w:space="0" w:color="000000"/>
            </w:tcBorders>
            <w:shd w:val="clear" w:color="auto" w:fill="auto"/>
          </w:tcPr>
          <w:p w14:paraId="0785FBDD"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12 212,0</w:t>
            </w:r>
          </w:p>
        </w:tc>
        <w:tc>
          <w:tcPr>
            <w:tcW w:w="1278" w:type="dxa"/>
            <w:tcBorders>
              <w:left w:val="single" w:sz="4" w:space="0" w:color="000000"/>
              <w:bottom w:val="single" w:sz="4" w:space="0" w:color="000000"/>
            </w:tcBorders>
            <w:shd w:val="clear" w:color="auto" w:fill="auto"/>
          </w:tcPr>
          <w:p w14:paraId="3A1C0615"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8,7</w:t>
            </w:r>
          </w:p>
        </w:tc>
        <w:tc>
          <w:tcPr>
            <w:tcW w:w="1843" w:type="dxa"/>
            <w:tcBorders>
              <w:left w:val="single" w:sz="4" w:space="0" w:color="000000"/>
              <w:bottom w:val="single" w:sz="4" w:space="0" w:color="000000"/>
            </w:tcBorders>
            <w:shd w:val="clear" w:color="auto" w:fill="auto"/>
          </w:tcPr>
          <w:p w14:paraId="60222154"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84</w:t>
            </w:r>
          </w:p>
        </w:tc>
        <w:tc>
          <w:tcPr>
            <w:tcW w:w="1534" w:type="dxa"/>
            <w:tcBorders>
              <w:left w:val="single" w:sz="4" w:space="0" w:color="000000"/>
              <w:bottom w:val="single" w:sz="4" w:space="0" w:color="000000"/>
            </w:tcBorders>
            <w:shd w:val="clear" w:color="auto" w:fill="auto"/>
          </w:tcPr>
          <w:p w14:paraId="18657B38"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0,272</w:t>
            </w:r>
          </w:p>
        </w:tc>
        <w:tc>
          <w:tcPr>
            <w:tcW w:w="1159" w:type="dxa"/>
            <w:tcBorders>
              <w:left w:val="single" w:sz="4" w:space="0" w:color="000000"/>
              <w:bottom w:val="single" w:sz="4" w:space="0" w:color="000000"/>
              <w:right w:val="single" w:sz="4" w:space="0" w:color="000000"/>
            </w:tcBorders>
            <w:shd w:val="clear" w:color="auto" w:fill="auto"/>
          </w:tcPr>
          <w:p w14:paraId="0834D5C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0,07</w:t>
            </w:r>
          </w:p>
        </w:tc>
      </w:tr>
      <w:tr w:rsidR="001D7D6D" w:rsidRPr="00F0736F" w14:paraId="7CF8C8F7" w14:textId="77777777" w:rsidTr="00B155C8">
        <w:trPr>
          <w:trHeight w:val="183"/>
        </w:trPr>
        <w:tc>
          <w:tcPr>
            <w:tcW w:w="1985" w:type="dxa"/>
            <w:tcBorders>
              <w:left w:val="single" w:sz="4" w:space="0" w:color="000000"/>
              <w:bottom w:val="single" w:sz="4" w:space="0" w:color="000000"/>
            </w:tcBorders>
            <w:shd w:val="clear" w:color="auto" w:fill="auto"/>
            <w:vAlign w:val="bottom"/>
          </w:tcPr>
          <w:p w14:paraId="55BE6BE3"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г. Алматы</w:t>
            </w:r>
          </w:p>
        </w:tc>
        <w:tc>
          <w:tcPr>
            <w:tcW w:w="1840" w:type="dxa"/>
            <w:tcBorders>
              <w:left w:val="single" w:sz="4" w:space="0" w:color="000000"/>
              <w:bottom w:val="single" w:sz="4" w:space="0" w:color="000000"/>
            </w:tcBorders>
            <w:shd w:val="clear" w:color="auto" w:fill="auto"/>
          </w:tcPr>
          <w:p w14:paraId="053DD655"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999,6</w:t>
            </w:r>
          </w:p>
        </w:tc>
        <w:tc>
          <w:tcPr>
            <w:tcW w:w="1278" w:type="dxa"/>
            <w:tcBorders>
              <w:left w:val="single" w:sz="4" w:space="0" w:color="000000"/>
              <w:bottom w:val="single" w:sz="4" w:space="0" w:color="000000"/>
            </w:tcBorders>
            <w:shd w:val="clear" w:color="auto" w:fill="auto"/>
          </w:tcPr>
          <w:p w14:paraId="30543FD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44,9</w:t>
            </w:r>
          </w:p>
        </w:tc>
        <w:tc>
          <w:tcPr>
            <w:tcW w:w="1843" w:type="dxa"/>
            <w:tcBorders>
              <w:left w:val="single" w:sz="4" w:space="0" w:color="000000"/>
              <w:bottom w:val="single" w:sz="4" w:space="0" w:color="000000"/>
            </w:tcBorders>
            <w:shd w:val="clear" w:color="auto" w:fill="auto"/>
          </w:tcPr>
          <w:p w14:paraId="2B20EC9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534" w:type="dxa"/>
            <w:tcBorders>
              <w:left w:val="single" w:sz="4" w:space="0" w:color="000000"/>
              <w:bottom w:val="single" w:sz="4" w:space="0" w:color="000000"/>
            </w:tcBorders>
            <w:shd w:val="clear" w:color="auto" w:fill="auto"/>
          </w:tcPr>
          <w:p w14:paraId="292181D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44,9</w:t>
            </w:r>
          </w:p>
        </w:tc>
        <w:tc>
          <w:tcPr>
            <w:tcW w:w="1159" w:type="dxa"/>
            <w:tcBorders>
              <w:left w:val="single" w:sz="4" w:space="0" w:color="000000"/>
              <w:bottom w:val="single" w:sz="4" w:space="0" w:color="000000"/>
              <w:right w:val="single" w:sz="4" w:space="0" w:color="000000"/>
            </w:tcBorders>
            <w:shd w:val="clear" w:color="auto" w:fill="auto"/>
          </w:tcPr>
          <w:p w14:paraId="057F3AA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4,5</w:t>
            </w:r>
          </w:p>
        </w:tc>
      </w:tr>
      <w:tr w:rsidR="001D7D6D" w:rsidRPr="00F0736F" w14:paraId="4A26F4B4" w14:textId="77777777" w:rsidTr="00B155C8">
        <w:trPr>
          <w:trHeight w:val="83"/>
        </w:trPr>
        <w:tc>
          <w:tcPr>
            <w:tcW w:w="1985" w:type="dxa"/>
            <w:tcBorders>
              <w:left w:val="single" w:sz="4" w:space="0" w:color="000000"/>
              <w:bottom w:val="single" w:sz="4" w:space="0" w:color="000000"/>
            </w:tcBorders>
            <w:shd w:val="clear" w:color="auto" w:fill="auto"/>
            <w:vAlign w:val="bottom"/>
          </w:tcPr>
          <w:p w14:paraId="6F429873"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г.  Нур-Султан</w:t>
            </w:r>
          </w:p>
        </w:tc>
        <w:tc>
          <w:tcPr>
            <w:tcW w:w="1840" w:type="dxa"/>
            <w:tcBorders>
              <w:left w:val="single" w:sz="4" w:space="0" w:color="000000"/>
              <w:bottom w:val="single" w:sz="4" w:space="0" w:color="000000"/>
            </w:tcBorders>
            <w:shd w:val="clear" w:color="auto" w:fill="auto"/>
          </w:tcPr>
          <w:p w14:paraId="68DF6332"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1 575, 6</w:t>
            </w:r>
          </w:p>
        </w:tc>
        <w:tc>
          <w:tcPr>
            <w:tcW w:w="1278" w:type="dxa"/>
            <w:tcBorders>
              <w:left w:val="single" w:sz="4" w:space="0" w:color="000000"/>
              <w:bottom w:val="single" w:sz="4" w:space="0" w:color="000000"/>
            </w:tcBorders>
            <w:shd w:val="clear" w:color="auto" w:fill="auto"/>
          </w:tcPr>
          <w:p w14:paraId="5CED52E6"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843" w:type="dxa"/>
            <w:tcBorders>
              <w:left w:val="single" w:sz="4" w:space="0" w:color="000000"/>
              <w:bottom w:val="single" w:sz="4" w:space="0" w:color="000000"/>
            </w:tcBorders>
            <w:shd w:val="clear" w:color="auto" w:fill="auto"/>
          </w:tcPr>
          <w:p w14:paraId="17922450"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534" w:type="dxa"/>
            <w:tcBorders>
              <w:left w:val="single" w:sz="4" w:space="0" w:color="000000"/>
              <w:bottom w:val="single" w:sz="4" w:space="0" w:color="000000"/>
            </w:tcBorders>
            <w:shd w:val="clear" w:color="auto" w:fill="auto"/>
          </w:tcPr>
          <w:p w14:paraId="5C87D3F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w:t>
            </w:r>
          </w:p>
        </w:tc>
        <w:tc>
          <w:tcPr>
            <w:tcW w:w="1159" w:type="dxa"/>
            <w:tcBorders>
              <w:left w:val="single" w:sz="4" w:space="0" w:color="000000"/>
              <w:bottom w:val="single" w:sz="4" w:space="0" w:color="000000"/>
              <w:right w:val="single" w:sz="4" w:space="0" w:color="000000"/>
            </w:tcBorders>
            <w:shd w:val="clear" w:color="auto" w:fill="auto"/>
          </w:tcPr>
          <w:p w14:paraId="61DBD929"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0,00</w:t>
            </w:r>
          </w:p>
        </w:tc>
      </w:tr>
      <w:tr w:rsidR="001D7D6D" w:rsidRPr="00F0736F" w14:paraId="6767C5FE" w14:textId="77777777" w:rsidTr="00B155C8">
        <w:trPr>
          <w:trHeight w:val="77"/>
        </w:trPr>
        <w:tc>
          <w:tcPr>
            <w:tcW w:w="1985" w:type="dxa"/>
            <w:tcBorders>
              <w:left w:val="single" w:sz="4" w:space="0" w:color="000000"/>
              <w:bottom w:val="single" w:sz="4" w:space="0" w:color="000000"/>
            </w:tcBorders>
            <w:shd w:val="clear" w:color="auto" w:fill="auto"/>
            <w:vAlign w:val="bottom"/>
          </w:tcPr>
          <w:p w14:paraId="53866C11" w14:textId="77777777" w:rsidR="001D7D6D" w:rsidRPr="00F0736F" w:rsidRDefault="001D7D6D" w:rsidP="00B155C8">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г. Шымкент</w:t>
            </w:r>
          </w:p>
        </w:tc>
        <w:tc>
          <w:tcPr>
            <w:tcW w:w="1840" w:type="dxa"/>
            <w:tcBorders>
              <w:left w:val="single" w:sz="4" w:space="0" w:color="000000"/>
              <w:bottom w:val="single" w:sz="4" w:space="0" w:color="000000"/>
            </w:tcBorders>
            <w:shd w:val="clear" w:color="auto" w:fill="auto"/>
          </w:tcPr>
          <w:p w14:paraId="66EC975F"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22,8</w:t>
            </w:r>
          </w:p>
        </w:tc>
        <w:tc>
          <w:tcPr>
            <w:tcW w:w="1278" w:type="dxa"/>
            <w:tcBorders>
              <w:left w:val="single" w:sz="4" w:space="0" w:color="000000"/>
              <w:bottom w:val="single" w:sz="4" w:space="0" w:color="000000"/>
            </w:tcBorders>
            <w:shd w:val="clear" w:color="auto" w:fill="auto"/>
          </w:tcPr>
          <w:p w14:paraId="1D78177E"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19,6</w:t>
            </w:r>
          </w:p>
        </w:tc>
        <w:tc>
          <w:tcPr>
            <w:tcW w:w="1843" w:type="dxa"/>
            <w:tcBorders>
              <w:left w:val="single" w:sz="4" w:space="0" w:color="000000"/>
              <w:bottom w:val="single" w:sz="4" w:space="0" w:color="000000"/>
            </w:tcBorders>
            <w:shd w:val="clear" w:color="auto" w:fill="auto"/>
          </w:tcPr>
          <w:p w14:paraId="2329F98B"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19,5</w:t>
            </w:r>
          </w:p>
        </w:tc>
        <w:tc>
          <w:tcPr>
            <w:tcW w:w="1534" w:type="dxa"/>
            <w:tcBorders>
              <w:left w:val="single" w:sz="4" w:space="0" w:color="000000"/>
              <w:bottom w:val="single" w:sz="4" w:space="0" w:color="000000"/>
            </w:tcBorders>
            <w:shd w:val="clear" w:color="auto" w:fill="auto"/>
          </w:tcPr>
          <w:p w14:paraId="1C5708E3"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0,124</w:t>
            </w:r>
          </w:p>
        </w:tc>
        <w:tc>
          <w:tcPr>
            <w:tcW w:w="1159" w:type="dxa"/>
            <w:tcBorders>
              <w:left w:val="single" w:sz="4" w:space="0" w:color="000000"/>
              <w:bottom w:val="single" w:sz="4" w:space="0" w:color="000000"/>
              <w:right w:val="single" w:sz="4" w:space="0" w:color="000000"/>
            </w:tcBorders>
            <w:shd w:val="clear" w:color="auto" w:fill="auto"/>
          </w:tcPr>
          <w:p w14:paraId="51FCB991"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86,03</w:t>
            </w:r>
          </w:p>
        </w:tc>
      </w:tr>
      <w:tr w:rsidR="001D7D6D" w:rsidRPr="00F0736F" w14:paraId="7AC2B1D9" w14:textId="77777777" w:rsidTr="00B155C8">
        <w:trPr>
          <w:trHeight w:val="312"/>
        </w:trPr>
        <w:tc>
          <w:tcPr>
            <w:tcW w:w="1985" w:type="dxa"/>
            <w:tcBorders>
              <w:left w:val="single" w:sz="4" w:space="0" w:color="000000"/>
              <w:bottom w:val="single" w:sz="4" w:space="0" w:color="000000"/>
            </w:tcBorders>
            <w:shd w:val="clear" w:color="auto" w:fill="auto"/>
            <w:vAlign w:val="center"/>
          </w:tcPr>
          <w:p w14:paraId="132384B5" w14:textId="77777777" w:rsidR="001D7D6D" w:rsidRPr="00F0736F" w:rsidRDefault="001D7D6D" w:rsidP="00B155C8">
            <w:pPr>
              <w:rPr>
                <w:rFonts w:ascii="Times New Roman" w:hAnsi="Times New Roman" w:cs="Times New Roman"/>
                <w:b/>
                <w:color w:val="000000" w:themeColor="text1"/>
                <w:sz w:val="22"/>
                <w:szCs w:val="22"/>
              </w:rPr>
            </w:pPr>
            <w:r w:rsidRPr="00F0736F">
              <w:rPr>
                <w:rFonts w:ascii="Times New Roman" w:hAnsi="Times New Roman" w:cs="Times New Roman"/>
                <w:b/>
                <w:color w:val="000000" w:themeColor="text1"/>
                <w:sz w:val="22"/>
                <w:szCs w:val="22"/>
              </w:rPr>
              <w:t>Всего</w:t>
            </w:r>
          </w:p>
        </w:tc>
        <w:tc>
          <w:tcPr>
            <w:tcW w:w="1840" w:type="dxa"/>
            <w:tcBorders>
              <w:left w:val="single" w:sz="4" w:space="0" w:color="000000"/>
              <w:bottom w:val="single" w:sz="4" w:space="0" w:color="000000"/>
            </w:tcBorders>
            <w:shd w:val="clear" w:color="auto" w:fill="auto"/>
            <w:vAlign w:val="center"/>
          </w:tcPr>
          <w:p w14:paraId="54A6C8A7" w14:textId="77777777" w:rsidR="001D7D6D" w:rsidRPr="00F0736F" w:rsidRDefault="001D7D6D" w:rsidP="00B155C8">
            <w:pPr>
              <w:jc w:val="center"/>
              <w:rPr>
                <w:rFonts w:ascii="Times New Roman" w:hAnsi="Times New Roman" w:cs="Times New Roman"/>
                <w:b/>
                <w:bCs/>
                <w:color w:val="000000" w:themeColor="text1"/>
                <w:sz w:val="22"/>
                <w:szCs w:val="22"/>
              </w:rPr>
            </w:pPr>
            <w:r w:rsidRPr="00F0736F">
              <w:rPr>
                <w:rFonts w:ascii="Times New Roman" w:hAnsi="Times New Roman" w:cs="Times New Roman"/>
                <w:b/>
                <w:bCs/>
                <w:color w:val="000000" w:themeColor="text1"/>
                <w:sz w:val="22"/>
                <w:szCs w:val="22"/>
              </w:rPr>
              <w:t>868 646,9</w:t>
            </w:r>
          </w:p>
        </w:tc>
        <w:tc>
          <w:tcPr>
            <w:tcW w:w="1278" w:type="dxa"/>
            <w:tcBorders>
              <w:left w:val="single" w:sz="4" w:space="0" w:color="000000"/>
              <w:bottom w:val="single" w:sz="4" w:space="0" w:color="000000"/>
            </w:tcBorders>
            <w:shd w:val="clear" w:color="auto" w:fill="auto"/>
            <w:vAlign w:val="center"/>
          </w:tcPr>
          <w:p w14:paraId="1D6C91A7" w14:textId="77777777" w:rsidR="001D7D6D" w:rsidRPr="00F0736F" w:rsidRDefault="001D7D6D" w:rsidP="00B155C8">
            <w:pPr>
              <w:jc w:val="center"/>
              <w:rPr>
                <w:rFonts w:ascii="Times New Roman" w:hAnsi="Times New Roman" w:cs="Times New Roman"/>
                <w:b/>
                <w:bCs/>
                <w:color w:val="000000" w:themeColor="text1"/>
                <w:sz w:val="22"/>
                <w:szCs w:val="22"/>
              </w:rPr>
            </w:pPr>
            <w:r w:rsidRPr="00F0736F">
              <w:rPr>
                <w:rFonts w:ascii="Times New Roman" w:hAnsi="Times New Roman" w:cs="Times New Roman"/>
                <w:b/>
                <w:bCs/>
                <w:color w:val="000000" w:themeColor="text1"/>
                <w:sz w:val="22"/>
                <w:szCs w:val="22"/>
              </w:rPr>
              <w:t>295 018,9</w:t>
            </w:r>
          </w:p>
        </w:tc>
        <w:tc>
          <w:tcPr>
            <w:tcW w:w="1843" w:type="dxa"/>
            <w:tcBorders>
              <w:left w:val="single" w:sz="4" w:space="0" w:color="000000"/>
              <w:bottom w:val="single" w:sz="4" w:space="0" w:color="000000"/>
            </w:tcBorders>
            <w:shd w:val="clear" w:color="auto" w:fill="auto"/>
            <w:vAlign w:val="center"/>
          </w:tcPr>
          <w:p w14:paraId="691C651E" w14:textId="77777777" w:rsidR="001D7D6D" w:rsidRPr="00F0736F" w:rsidRDefault="001D7D6D" w:rsidP="00B155C8">
            <w:pPr>
              <w:jc w:val="center"/>
              <w:rPr>
                <w:rFonts w:ascii="Times New Roman" w:hAnsi="Times New Roman" w:cs="Times New Roman"/>
                <w:b/>
                <w:bCs/>
                <w:color w:val="000000" w:themeColor="text1"/>
                <w:sz w:val="22"/>
                <w:szCs w:val="22"/>
              </w:rPr>
            </w:pPr>
            <w:r w:rsidRPr="00F0736F">
              <w:rPr>
                <w:rFonts w:ascii="Times New Roman" w:hAnsi="Times New Roman" w:cs="Times New Roman"/>
                <w:b/>
                <w:bCs/>
                <w:color w:val="000000" w:themeColor="text1"/>
                <w:sz w:val="22"/>
                <w:szCs w:val="22"/>
              </w:rPr>
              <w:t>280 006,6</w:t>
            </w:r>
          </w:p>
        </w:tc>
        <w:tc>
          <w:tcPr>
            <w:tcW w:w="1534" w:type="dxa"/>
            <w:tcBorders>
              <w:left w:val="single" w:sz="4" w:space="0" w:color="000000"/>
              <w:bottom w:val="single" w:sz="4" w:space="0" w:color="000000"/>
            </w:tcBorders>
            <w:shd w:val="clear" w:color="auto" w:fill="auto"/>
            <w:vAlign w:val="center"/>
          </w:tcPr>
          <w:p w14:paraId="01602B9C" w14:textId="77777777" w:rsidR="001D7D6D" w:rsidRPr="00F0736F" w:rsidRDefault="001D7D6D" w:rsidP="00B155C8">
            <w:pPr>
              <w:jc w:val="center"/>
              <w:rPr>
                <w:rFonts w:ascii="Times New Roman" w:hAnsi="Times New Roman" w:cs="Times New Roman"/>
                <w:b/>
                <w:bCs/>
                <w:color w:val="000000" w:themeColor="text1"/>
                <w:sz w:val="22"/>
                <w:szCs w:val="22"/>
              </w:rPr>
            </w:pPr>
            <w:r w:rsidRPr="00F0736F">
              <w:rPr>
                <w:rFonts w:ascii="Times New Roman" w:hAnsi="Times New Roman" w:cs="Times New Roman"/>
                <w:b/>
                <w:bCs/>
                <w:color w:val="000000" w:themeColor="text1"/>
                <w:sz w:val="22"/>
                <w:szCs w:val="22"/>
              </w:rPr>
              <w:t>15 012,3</w:t>
            </w:r>
          </w:p>
        </w:tc>
        <w:tc>
          <w:tcPr>
            <w:tcW w:w="1159" w:type="dxa"/>
            <w:tcBorders>
              <w:left w:val="single" w:sz="4" w:space="0" w:color="000000"/>
              <w:bottom w:val="single" w:sz="4" w:space="0" w:color="000000"/>
              <w:right w:val="single" w:sz="4" w:space="0" w:color="000000"/>
            </w:tcBorders>
            <w:shd w:val="clear" w:color="auto" w:fill="auto"/>
            <w:vAlign w:val="center"/>
          </w:tcPr>
          <w:p w14:paraId="6175AEE0" w14:textId="77777777" w:rsidR="001D7D6D" w:rsidRPr="00F0736F" w:rsidRDefault="001D7D6D" w:rsidP="00B155C8">
            <w:pPr>
              <w:jc w:val="center"/>
              <w:rPr>
                <w:rFonts w:ascii="Times New Roman" w:hAnsi="Times New Roman" w:cs="Times New Roman"/>
                <w:b/>
                <w:bCs/>
                <w:color w:val="000000" w:themeColor="text1"/>
                <w:sz w:val="22"/>
                <w:szCs w:val="22"/>
              </w:rPr>
            </w:pPr>
            <w:r w:rsidRPr="00F0736F">
              <w:rPr>
                <w:rFonts w:ascii="Times New Roman" w:hAnsi="Times New Roman" w:cs="Times New Roman"/>
                <w:b/>
                <w:bCs/>
                <w:color w:val="000000" w:themeColor="text1"/>
                <w:sz w:val="22"/>
                <w:szCs w:val="22"/>
              </w:rPr>
              <w:t>34,0</w:t>
            </w:r>
          </w:p>
        </w:tc>
      </w:tr>
    </w:tbl>
    <w:p w14:paraId="1A2DBB69"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https://stat.gov.kz </w:t>
      </w:r>
    </w:p>
    <w:p w14:paraId="677B5C12" w14:textId="77777777" w:rsidR="001D7D6D" w:rsidRPr="00F0736F" w:rsidRDefault="001D7D6D" w:rsidP="001D7D6D">
      <w:pPr>
        <w:ind w:firstLine="709"/>
        <w:jc w:val="both"/>
        <w:rPr>
          <w:rFonts w:ascii="Times New Roman" w:hAnsi="Times New Roman" w:cs="Times New Roman"/>
          <w:color w:val="000000" w:themeColor="text1"/>
          <w:sz w:val="20"/>
          <w:szCs w:val="20"/>
        </w:rPr>
      </w:pPr>
    </w:p>
    <w:p w14:paraId="02880FD6"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Переработка отходов производства развита в промышленных центрах страны. В регионах функционирует более 260 предприятий по комплексному управлению отходами, переработке опасных отходов, в том числе нефтесодержащих отходов, металлургических шлаков, хвостов обогащения и др. </w:t>
      </w:r>
    </w:p>
    <w:p w14:paraId="38D42A6F"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При переработке предприятия используют различные методы: физико-химический, биологический, термический и пиролизный. В зависимости от состава нефтесодержащих отходов используются биологический, термический или физико-химический метод переработки и утилизации.  </w:t>
      </w:r>
    </w:p>
    <w:p w14:paraId="3E6CA5D0"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Золошлаковые отходы в основном размещаются на золоотвалах. В некоторых областях Казахстана изготавливают шлакоблоки для нужд предприятия, применяют для приготовления закладочной смеси.</w:t>
      </w:r>
    </w:p>
    <w:p w14:paraId="692203F6" w14:textId="77777777" w:rsidR="001D7D6D" w:rsidRPr="00F0736F" w:rsidRDefault="001D7D6D" w:rsidP="001D7D6D">
      <w:pP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Некоторые промышленные предприятия, где образуются шлаки, используют для закладки шахтных пустот и зон обрушения от ведения горных работ и размещают на полигоне промышленных отходов. Также </w:t>
      </w:r>
      <w:r w:rsidRPr="00F0736F">
        <w:rPr>
          <w:rFonts w:ascii="Times New Roman" w:hAnsi="Times New Roman" w:cs="Times New Roman"/>
          <w:color w:val="000000" w:themeColor="text1"/>
        </w:rPr>
        <w:t xml:space="preserve">гранулированный доменный шлак используется при строительстве и реконструкции дорог. </w:t>
      </w:r>
    </w:p>
    <w:p w14:paraId="58FEE7AE" w14:textId="77777777" w:rsidR="001D7D6D" w:rsidRPr="00F0736F" w:rsidRDefault="001D7D6D" w:rsidP="001D7D6D">
      <w:pPr>
        <w:pStyle w:val="af"/>
        <w:ind w:firstLine="709"/>
        <w:jc w:val="both"/>
        <w:rPr>
          <w:rFonts w:ascii="Times New Roman" w:hAnsi="Times New Roman" w:cs="Times New Roman"/>
          <w:color w:val="000000" w:themeColor="text1"/>
          <w:sz w:val="24"/>
          <w:szCs w:val="24"/>
        </w:rPr>
      </w:pPr>
      <w:r w:rsidRPr="00F0736F">
        <w:rPr>
          <w:rFonts w:ascii="Times New Roman" w:hAnsi="Times New Roman" w:cs="Times New Roman"/>
          <w:color w:val="000000" w:themeColor="text1"/>
          <w:sz w:val="24"/>
          <w:szCs w:val="24"/>
          <w:shd w:val="clear" w:color="auto" w:fill="FFFFFF"/>
        </w:rPr>
        <w:t>Уровень повторного использования, переработки и утилизации отходов горнодобывающей промышленности является низким (не более 10%). Техногенные минеральные образования используются в количестве 2-3% от ежегодного поступления в отвалы.</w:t>
      </w:r>
      <w:r w:rsidRPr="00F0736F">
        <w:rPr>
          <w:rFonts w:ascii="Times New Roman" w:hAnsi="Times New Roman" w:cs="Times New Roman"/>
          <w:color w:val="000000" w:themeColor="text1"/>
          <w:sz w:val="24"/>
          <w:szCs w:val="24"/>
        </w:rPr>
        <w:t xml:space="preserve"> Таким образом, существуют значительные нереализованные возможности по эффективному использованию практически всех видов как накопленных, так и образующихся отходов. </w:t>
      </w:r>
    </w:p>
    <w:p w14:paraId="460AECF4" w14:textId="77777777" w:rsidR="001D7D6D" w:rsidRPr="00F0736F" w:rsidRDefault="001D7D6D" w:rsidP="001D7D6D">
      <w:pPr>
        <w:ind w:firstLine="709"/>
        <w:jc w:val="both"/>
        <w:rPr>
          <w:rFonts w:ascii="Times New Roman" w:hAnsi="Times New Roman" w:cs="Times New Roman"/>
          <w:color w:val="000000" w:themeColor="text1"/>
        </w:rPr>
      </w:pPr>
    </w:p>
    <w:p w14:paraId="2C313850" w14:textId="77777777" w:rsidR="001D7D6D" w:rsidRPr="00F0736F" w:rsidRDefault="001D7D6D" w:rsidP="001D7D6D">
      <w:pPr>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Радиоактивные отходы</w:t>
      </w:r>
    </w:p>
    <w:p w14:paraId="774A2F93" w14:textId="77777777" w:rsidR="001D7D6D" w:rsidRPr="00F0736F" w:rsidRDefault="001D7D6D" w:rsidP="001D7D6D">
      <w:pPr>
        <w:ind w:firstLine="709"/>
        <w:jc w:val="both"/>
        <w:rPr>
          <w:color w:val="000000" w:themeColor="text1"/>
        </w:rPr>
      </w:pPr>
      <w:r w:rsidRPr="00F0736F">
        <w:rPr>
          <w:rFonts w:ascii="Times New Roman" w:eastAsia="SimSun" w:hAnsi="Times New Roman" w:cs="Times New Roman"/>
          <w:color w:val="000000" w:themeColor="text1"/>
        </w:rPr>
        <w:t xml:space="preserve">Казахстан обладает атомной промышленностью, которая образует </w:t>
      </w:r>
      <w:r w:rsidRPr="00F0736F">
        <w:rPr>
          <w:rFonts w:ascii="Times New Roman" w:eastAsia="SimSun" w:hAnsi="Times New Roman" w:cs="Times New Roman"/>
          <w:b/>
          <w:bCs/>
          <w:color w:val="000000" w:themeColor="text1"/>
        </w:rPr>
        <w:t>радиоактивные отходы</w:t>
      </w:r>
      <w:r w:rsidRPr="00F0736F">
        <w:rPr>
          <w:rFonts w:ascii="Times New Roman" w:eastAsia="SimSun" w:hAnsi="Times New Roman" w:cs="Times New Roman"/>
          <w:bCs/>
          <w:color w:val="000000" w:themeColor="text1"/>
        </w:rPr>
        <w:t>.</w:t>
      </w:r>
      <w:r w:rsidRPr="00F0736F">
        <w:rPr>
          <w:rFonts w:ascii="Times New Roman" w:eastAsia="SimSun" w:hAnsi="Times New Roman" w:cs="Times New Roman"/>
          <w:color w:val="000000" w:themeColor="text1"/>
        </w:rPr>
        <w:t xml:space="preserve"> Главный оператор отрасли – «Казатомпром», который отвечает за добычу, переработку руды и организацию работы объекта ОАО «Ульбинский металлургический завод», производящего урановые топливные таблетки для ядерных реакторов. «Казатомпром» также обеспечивал вывод из эксплуатации ядерного реактора БН-350, расположенного в г. Актау. Научно-исследовательская деятельность ведется Институтом ядерной физики и Национальным ядерным центром, в которых расположены три действующих реактора и хранилища радиоактивных веществ и отходов. Главным источником образования высоко- и среднеактивных отходов являются пять эксплуатируемых ядерных реакторов.</w:t>
      </w:r>
    </w:p>
    <w:p w14:paraId="7410046C"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число других пользователей источников ионизирующего излучения входят медицинские учреждения, лаборатории, промышленные предприятия, а также нефтяные и металлургические компании. Ими используется около 15 000 источников радиоактивного излучения.</w:t>
      </w:r>
    </w:p>
    <w:p w14:paraId="2586A45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Радиоактивные отходы образуются в различных формах – от отходов руды, сточных вод и утечек, хвостохранилищ, отходов ядерной деятельности, отработавшего топлива и других отходов, образующихся в результате эксплуатации и вывода из эксплуатации энергетических и исследовательских реакторов, до отработанных герметичных источников и радиоизотопов.</w:t>
      </w:r>
    </w:p>
    <w:p w14:paraId="395B4FE2" w14:textId="77777777" w:rsidR="001D7D6D" w:rsidRPr="00F0736F" w:rsidRDefault="001D7D6D" w:rsidP="001D7D6D">
      <w:pPr>
        <w:ind w:firstLine="709"/>
        <w:jc w:val="both"/>
        <w:rPr>
          <w:rFonts w:ascii="Times New Roman" w:eastAsia="Times New Roman" w:hAnsi="Times New Roman" w:cs="Times New Roman"/>
          <w:bCs/>
          <w:color w:val="000000" w:themeColor="text1"/>
          <w:spacing w:val="2"/>
          <w:lang w:eastAsia="ru-RU"/>
        </w:rPr>
      </w:pPr>
      <w:r w:rsidRPr="00F0736F">
        <w:rPr>
          <w:rFonts w:ascii="Times New Roman" w:eastAsia="Times New Roman" w:hAnsi="Times New Roman" w:cs="Times New Roman"/>
          <w:bCs/>
          <w:color w:val="000000" w:themeColor="text1"/>
          <w:spacing w:val="2"/>
          <w:lang w:eastAsia="ru-RU"/>
        </w:rPr>
        <w:t>Главное хранилище радиоактивных отходов «Байкал-1» - расположено на бывшем Семипалатинском испытательном ядерном полигоне. Оно начало принимать отработанные источники в герметичной оболочке в 1995 г. и рассчитано на 50 лет эксплуатации. По состоянию на конец 2017 года, на долговременное хранение в железобеттонных модулях поступило свыше 40 000 источников в герметичной оболочке с суммарной активностью 3*10</w:t>
      </w:r>
      <w:r w:rsidRPr="00F0736F">
        <w:rPr>
          <w:rFonts w:ascii="Times New Roman" w:eastAsia="Times New Roman" w:hAnsi="Times New Roman" w:cs="Times New Roman"/>
          <w:bCs/>
          <w:color w:val="000000" w:themeColor="text1"/>
          <w:spacing w:val="2"/>
          <w:vertAlign w:val="superscript"/>
          <w:lang w:eastAsia="ru-RU"/>
        </w:rPr>
        <w:t xml:space="preserve">15 </w:t>
      </w:r>
      <w:r w:rsidRPr="00F0736F">
        <w:rPr>
          <w:rFonts w:ascii="Times New Roman" w:eastAsia="Times New Roman" w:hAnsi="Times New Roman" w:cs="Times New Roman"/>
          <w:bCs/>
          <w:color w:val="000000" w:themeColor="text1"/>
          <w:spacing w:val="2"/>
          <w:lang w:eastAsia="ru-RU"/>
        </w:rPr>
        <w:t>Бк.</w:t>
      </w:r>
    </w:p>
    <w:p w14:paraId="7F14665E"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н</w:t>
      </w:r>
      <w:r w:rsidRPr="00F0736F">
        <w:rPr>
          <w:rFonts w:ascii="Times New Roman" w:eastAsia="Times New Roman" w:hAnsi="Times New Roman" w:cs="Times New Roman"/>
          <w:color w:val="000000" w:themeColor="text1"/>
          <w:spacing w:val="-1"/>
        </w:rPr>
        <w:t xml:space="preserve">акопителе отходов ураносодержащего производства хвостохранилище «Кошкар-Ата», расположенном </w:t>
      </w:r>
      <w:r w:rsidRPr="00F0736F">
        <w:rPr>
          <w:rFonts w:ascii="Times New Roman" w:eastAsia="Times New Roman" w:hAnsi="Times New Roman" w:cs="Times New Roman"/>
          <w:color w:val="000000" w:themeColor="text1"/>
        </w:rPr>
        <w:t xml:space="preserve">в </w:t>
      </w:r>
      <w:r w:rsidRPr="00F0736F">
        <w:rPr>
          <w:rFonts w:ascii="Times New Roman" w:eastAsia="Times New Roman" w:hAnsi="Times New Roman" w:cs="Times New Roman"/>
          <w:color w:val="000000" w:themeColor="text1"/>
          <w:spacing w:val="-1"/>
        </w:rPr>
        <w:t xml:space="preserve">естественной бессточной впадине вблизи </w:t>
      </w:r>
      <w:r w:rsidRPr="00F0736F">
        <w:rPr>
          <w:rFonts w:ascii="Times New Roman" w:eastAsia="Times New Roman" w:hAnsi="Times New Roman" w:cs="Times New Roman"/>
          <w:color w:val="000000" w:themeColor="text1"/>
        </w:rPr>
        <w:t xml:space="preserve">города </w:t>
      </w:r>
      <w:r w:rsidRPr="00F0736F">
        <w:rPr>
          <w:rFonts w:ascii="Times New Roman" w:eastAsia="Times New Roman" w:hAnsi="Times New Roman" w:cs="Times New Roman"/>
          <w:color w:val="000000" w:themeColor="text1"/>
          <w:spacing w:val="-1"/>
        </w:rPr>
        <w:t xml:space="preserve">Актау Мангистауской области, размещено </w:t>
      </w:r>
      <w:r w:rsidRPr="00F0736F">
        <w:rPr>
          <w:rFonts w:ascii="Times New Roman" w:eastAsia="Times New Roman" w:hAnsi="Times New Roman" w:cs="Times New Roman"/>
          <w:color w:val="000000" w:themeColor="text1"/>
          <w:spacing w:val="-2"/>
        </w:rPr>
        <w:t xml:space="preserve">115 </w:t>
      </w:r>
      <w:r w:rsidRPr="00F0736F">
        <w:rPr>
          <w:rFonts w:ascii="Times New Roman" w:eastAsia="Times New Roman" w:hAnsi="Times New Roman" w:cs="Times New Roman"/>
          <w:color w:val="000000" w:themeColor="text1"/>
          <w:spacing w:val="-1"/>
        </w:rPr>
        <w:t xml:space="preserve">млн. т. токсичных </w:t>
      </w:r>
      <w:r w:rsidRPr="00F0736F">
        <w:rPr>
          <w:rFonts w:ascii="Times New Roman" w:eastAsia="Times New Roman" w:hAnsi="Times New Roman" w:cs="Times New Roman"/>
          <w:color w:val="000000" w:themeColor="text1"/>
        </w:rPr>
        <w:t xml:space="preserve">и </w:t>
      </w:r>
      <w:r w:rsidRPr="00F0736F">
        <w:rPr>
          <w:rFonts w:ascii="Times New Roman" w:eastAsia="Times New Roman" w:hAnsi="Times New Roman" w:cs="Times New Roman"/>
          <w:color w:val="000000" w:themeColor="text1"/>
          <w:spacing w:val="-2"/>
        </w:rPr>
        <w:t xml:space="preserve">радиоактивных </w:t>
      </w:r>
      <w:r w:rsidRPr="00F0736F">
        <w:rPr>
          <w:rFonts w:ascii="Times New Roman" w:eastAsia="Times New Roman" w:hAnsi="Times New Roman" w:cs="Times New Roman"/>
          <w:color w:val="000000" w:themeColor="text1"/>
          <w:spacing w:val="-1"/>
        </w:rPr>
        <w:t>отходов. По своей площади 77,18 км</w:t>
      </w:r>
      <w:r w:rsidRPr="00F0736F">
        <w:rPr>
          <w:rFonts w:ascii="Times New Roman" w:eastAsia="Times New Roman" w:hAnsi="Times New Roman" w:cs="Times New Roman"/>
          <w:color w:val="000000" w:themeColor="text1"/>
          <w:spacing w:val="-1"/>
          <w:vertAlign w:val="superscript"/>
        </w:rPr>
        <w:t>2</w:t>
      </w:r>
      <w:r w:rsidRPr="00F0736F">
        <w:rPr>
          <w:rFonts w:ascii="Times New Roman" w:eastAsia="Times New Roman" w:hAnsi="Times New Roman" w:cs="Times New Roman"/>
          <w:color w:val="000000" w:themeColor="text1"/>
          <w:spacing w:val="-1"/>
        </w:rPr>
        <w:t xml:space="preserve"> хранилище не имеет аналогов в мире. Общая площадь размещённых отходов составляет 66 км</w:t>
      </w:r>
      <w:r w:rsidRPr="00F0736F">
        <w:rPr>
          <w:rFonts w:ascii="Times New Roman" w:eastAsia="Times New Roman" w:hAnsi="Times New Roman" w:cs="Times New Roman"/>
          <w:color w:val="000000" w:themeColor="text1"/>
          <w:spacing w:val="-1"/>
          <w:vertAlign w:val="superscript"/>
        </w:rPr>
        <w:t>2</w:t>
      </w:r>
      <w:r w:rsidRPr="00F0736F">
        <w:rPr>
          <w:rFonts w:ascii="Times New Roman" w:eastAsia="Times New Roman" w:hAnsi="Times New Roman" w:cs="Times New Roman"/>
          <w:color w:val="000000" w:themeColor="text1"/>
          <w:spacing w:val="-1"/>
        </w:rPr>
        <w:t>, площадь оголившихся пляжей в данное время составляет около 50 км</w:t>
      </w:r>
      <w:r w:rsidRPr="00F0736F">
        <w:rPr>
          <w:rFonts w:ascii="Times New Roman" w:eastAsia="Times New Roman" w:hAnsi="Times New Roman" w:cs="Times New Roman"/>
          <w:color w:val="000000" w:themeColor="text1"/>
          <w:spacing w:val="-1"/>
          <w:vertAlign w:val="superscript"/>
        </w:rPr>
        <w:t>2</w:t>
      </w:r>
      <w:r w:rsidRPr="00F0736F">
        <w:rPr>
          <w:rFonts w:ascii="Times New Roman" w:eastAsia="Times New Roman" w:hAnsi="Times New Roman" w:cs="Times New Roman"/>
          <w:color w:val="000000" w:themeColor="text1"/>
          <w:spacing w:val="-1"/>
        </w:rPr>
        <w:t xml:space="preserve"> и процесс снижения уровня водной фазы продолжается. В настоящее время захоронение радиоактивных отходов в хвостохранилище не ведется. Предусмотрена рекультивация хвостохранилища.  </w:t>
      </w:r>
    </w:p>
    <w:p w14:paraId="4CA8191C" w14:textId="77777777" w:rsidR="001D7D6D" w:rsidRPr="00F0736F" w:rsidRDefault="001D7D6D" w:rsidP="001D7D6D">
      <w:pPr>
        <w:ind w:firstLine="709"/>
        <w:jc w:val="both"/>
        <w:rPr>
          <w:rFonts w:ascii="Times New Roman" w:hAnsi="Times New Roman" w:cs="Times New Roman"/>
          <w:color w:val="000000" w:themeColor="text1"/>
        </w:rPr>
      </w:pPr>
    </w:p>
    <w:p w14:paraId="67D835D7" w14:textId="77777777" w:rsidR="001D7D6D" w:rsidRPr="00F0736F" w:rsidRDefault="001D7D6D" w:rsidP="001D7D6D">
      <w:pPr>
        <w:tabs>
          <w:tab w:val="left" w:pos="3600"/>
        </w:tabs>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Медицинские отходы</w:t>
      </w:r>
    </w:p>
    <w:p w14:paraId="6C965DCF" w14:textId="77777777" w:rsidR="001D7D6D" w:rsidRPr="00F0736F" w:rsidRDefault="001D7D6D" w:rsidP="001D7D6D">
      <w:pPr>
        <w:ind w:firstLine="709"/>
        <w:jc w:val="both"/>
        <w:rPr>
          <w:rFonts w:ascii="Times New Roman" w:eastAsia="Times New Roman" w:hAnsi="Times New Roman" w:cs="Times New Roman"/>
          <w:bCs/>
          <w:color w:val="000000" w:themeColor="text1"/>
          <w:spacing w:val="2"/>
          <w:lang w:eastAsia="ru-RU"/>
        </w:rPr>
      </w:pPr>
      <w:r w:rsidRPr="00F0736F">
        <w:rPr>
          <w:rFonts w:ascii="Times New Roman" w:eastAsia="Times New Roman" w:hAnsi="Times New Roman" w:cs="Times New Roman"/>
          <w:bCs/>
          <w:color w:val="000000" w:themeColor="text1"/>
          <w:spacing w:val="2"/>
          <w:lang w:eastAsia="ru-RU"/>
        </w:rPr>
        <w:t>В 2017 году в Казахстане функционировало 7 253 государственные организации здравоохранения, в т.ч. 640 больничных организаций. Общий коечный фонд составил 99 465 единиц, в т.ч. 88 585 единиц – в системе Министерства здравоохранения РК.</w:t>
      </w:r>
    </w:p>
    <w:p w14:paraId="5F99ACD5" w14:textId="77777777" w:rsidR="001D7D6D" w:rsidRPr="00F0736F" w:rsidRDefault="001D7D6D" w:rsidP="001D7D6D">
      <w:pPr>
        <w:ind w:firstLine="709"/>
        <w:jc w:val="both"/>
        <w:rPr>
          <w:rFonts w:ascii="Times New Roman" w:eastAsia="Times New Roman" w:hAnsi="Times New Roman" w:cs="Times New Roman"/>
          <w:bCs/>
          <w:color w:val="000000" w:themeColor="text1"/>
          <w:spacing w:val="2"/>
          <w:lang w:eastAsia="ru-RU"/>
        </w:rPr>
      </w:pPr>
      <w:r w:rsidRPr="00F0736F">
        <w:rPr>
          <w:rFonts w:ascii="Times New Roman" w:eastAsia="Times New Roman" w:hAnsi="Times New Roman" w:cs="Times New Roman"/>
          <w:bCs/>
          <w:color w:val="000000" w:themeColor="text1"/>
          <w:spacing w:val="2"/>
          <w:lang w:eastAsia="ru-RU"/>
        </w:rPr>
        <w:t>Медицинские отходы образуются в процессе оказания медицинских услуг, проведения медицинских манипуляций и в результате обслуживания медицинских приборов и оборудования. Это - перевязочные материалы, в том числе содержащие микробы и вирусы, различные виды отходов, содержащие использованные терапевтические медикаменты, в том числе с радиоактивными элементами, такими как Н, 14С, 35Р, 60Со, 90SSr, 137Cs и другие.</w:t>
      </w:r>
    </w:p>
    <w:p w14:paraId="2588511B" w14:textId="77777777" w:rsidR="001D7D6D" w:rsidRPr="00F0736F" w:rsidRDefault="001D7D6D" w:rsidP="001D7D6D">
      <w:pPr>
        <w:ind w:firstLine="709"/>
        <w:jc w:val="both"/>
        <w:rPr>
          <w:rFonts w:ascii="Times New Roman" w:eastAsia="Times New Roman" w:hAnsi="Times New Roman" w:cs="Times New Roman"/>
          <w:color w:val="000000" w:themeColor="text1"/>
          <w:spacing w:val="-1"/>
          <w:sz w:val="28"/>
          <w:szCs w:val="28"/>
        </w:rPr>
      </w:pPr>
      <w:r w:rsidRPr="00F0736F">
        <w:rPr>
          <w:rFonts w:ascii="Times New Roman" w:eastAsia="Times New Roman" w:hAnsi="Times New Roman" w:cs="Times New Roman"/>
          <w:bCs/>
          <w:color w:val="000000" w:themeColor="text1"/>
          <w:spacing w:val="2"/>
          <w:lang w:eastAsia="ru-RU"/>
        </w:rPr>
        <w:t xml:space="preserve">Согласно оценкам, в 2017 г. в Казахстане объем образования опасных (инфицированных) </w:t>
      </w:r>
      <w:r w:rsidRPr="00F0736F">
        <w:rPr>
          <w:rFonts w:ascii="Times New Roman" w:eastAsia="Times New Roman" w:hAnsi="Times New Roman" w:cs="Times New Roman"/>
          <w:b/>
          <w:bCs/>
          <w:color w:val="000000" w:themeColor="text1"/>
          <w:spacing w:val="2"/>
          <w:lang w:eastAsia="ru-RU"/>
        </w:rPr>
        <w:t>медицинских отходов</w:t>
      </w:r>
      <w:r w:rsidRPr="00F0736F">
        <w:rPr>
          <w:rFonts w:ascii="Times New Roman" w:eastAsia="Times New Roman" w:hAnsi="Times New Roman" w:cs="Times New Roman"/>
          <w:bCs/>
          <w:color w:val="000000" w:themeColor="text1"/>
          <w:spacing w:val="2"/>
          <w:lang w:eastAsia="ru-RU"/>
        </w:rPr>
        <w:t xml:space="preserve"> составил 78 000 т., а объем образования неопасных (подобных ТБО) медицинских отходов – 122 000 т.. </w:t>
      </w:r>
      <w:r w:rsidRPr="00F0736F">
        <w:rPr>
          <w:rFonts w:ascii="Times New Roman" w:eastAsia="Times New Roman" w:hAnsi="Times New Roman" w:cs="Times New Roman"/>
          <w:color w:val="000000" w:themeColor="text1"/>
          <w:spacing w:val="-1"/>
        </w:rPr>
        <w:t>Общий объем образования по республике медицинских отходов в 2018 году составил 47 325 т.</w:t>
      </w:r>
      <w:r w:rsidRPr="00F0736F">
        <w:rPr>
          <w:rFonts w:ascii="Times New Roman" w:eastAsia="Times New Roman" w:hAnsi="Times New Roman" w:cs="Times New Roman"/>
          <w:bCs/>
          <w:color w:val="000000" w:themeColor="text1"/>
          <w:spacing w:val="2"/>
          <w:lang w:eastAsia="ru-RU"/>
        </w:rPr>
        <w:t>. Эти данные свидетельствуют об улучшении ситуации с предоставлением информации о медицинских отходах, так как в 2011 г. сообщалось только о 16 000 т. неопасных и 8 500 т. опасных отходов</w:t>
      </w:r>
      <w:r w:rsidRPr="00F0736F">
        <w:rPr>
          <w:rFonts w:ascii="Times New Roman" w:eastAsia="Times New Roman" w:hAnsi="Times New Roman" w:cs="Times New Roman"/>
          <w:color w:val="000000" w:themeColor="text1"/>
          <w:spacing w:val="-1"/>
          <w:sz w:val="28"/>
          <w:szCs w:val="28"/>
        </w:rPr>
        <w:t>.</w:t>
      </w:r>
    </w:p>
    <w:p w14:paraId="799C3798" w14:textId="77777777" w:rsidR="001D7D6D" w:rsidRPr="00F0736F" w:rsidRDefault="001D7D6D" w:rsidP="001D7D6D">
      <w:pPr>
        <w:pStyle w:val="Standard"/>
        <w:shd w:val="clear" w:color="auto" w:fill="FFFFFF"/>
        <w:tabs>
          <w:tab w:val="left" w:pos="4395"/>
        </w:tabs>
        <w:ind w:firstLine="709"/>
        <w:rPr>
          <w:rFonts w:cs="Times New Roman"/>
          <w:color w:val="000000" w:themeColor="text1"/>
        </w:rPr>
      </w:pPr>
      <w:r w:rsidRPr="00F0736F">
        <w:rPr>
          <w:rFonts w:eastAsia="Times New Roman" w:cs="Times New Roman"/>
          <w:iCs/>
          <w:color w:val="000000" w:themeColor="text1"/>
          <w:shd w:val="clear" w:color="auto" w:fill="FFFFFF"/>
          <w:lang w:eastAsia="ru-RU"/>
        </w:rPr>
        <w:t xml:space="preserve">Объем образования медицинских отходов, по данным Информационных обзоров по результатам ведения Государственного кадастра отходов производства и потребления за 2017, 2018 и 2019 гг., </w:t>
      </w:r>
      <w:r w:rsidRPr="00F0736F">
        <w:rPr>
          <w:rFonts w:eastAsia="Times New Roman" w:cs="Times New Roman"/>
          <w:iCs/>
          <w:color w:val="000000" w:themeColor="text1"/>
          <w:lang w:eastAsia="ru-RU"/>
        </w:rPr>
        <w:t>представлен в таблице 1.5.3.</w:t>
      </w:r>
    </w:p>
    <w:p w14:paraId="790DCAA9" w14:textId="77777777" w:rsidR="001D7D6D" w:rsidRPr="00F0736F" w:rsidRDefault="001D7D6D" w:rsidP="001D7D6D">
      <w:pPr>
        <w:pStyle w:val="Standard"/>
        <w:shd w:val="clear" w:color="auto" w:fill="FFFFFF"/>
        <w:tabs>
          <w:tab w:val="left" w:pos="4395"/>
        </w:tabs>
        <w:ind w:firstLine="709"/>
        <w:rPr>
          <w:rFonts w:cs="Times New Roman"/>
          <w:color w:val="000000" w:themeColor="text1"/>
        </w:rPr>
      </w:pPr>
    </w:p>
    <w:p w14:paraId="2124ACC2" w14:textId="77777777" w:rsidR="001D7D6D" w:rsidRPr="00F0736F" w:rsidRDefault="001D7D6D" w:rsidP="001D7D6D">
      <w:pPr>
        <w:pStyle w:val="Standard"/>
        <w:shd w:val="clear" w:color="auto" w:fill="FFFFFF"/>
        <w:tabs>
          <w:tab w:val="left" w:pos="4395"/>
        </w:tabs>
        <w:ind w:firstLine="709"/>
        <w:rPr>
          <w:rFonts w:cs="Times New Roman"/>
          <w:color w:val="000000" w:themeColor="text1"/>
        </w:rPr>
      </w:pPr>
      <w:r w:rsidRPr="00F0736F">
        <w:rPr>
          <w:rFonts w:eastAsia="Times New Roman" w:cs="Times New Roman"/>
          <w:iCs/>
          <w:color w:val="000000" w:themeColor="text1"/>
          <w:lang w:eastAsia="ru-RU"/>
        </w:rPr>
        <w:t>Таблица 1.5.3. О</w:t>
      </w:r>
      <w:r w:rsidRPr="00F0736F">
        <w:rPr>
          <w:rFonts w:eastAsia="Times New Roman" w:cs="Times New Roman"/>
          <w:iCs/>
          <w:color w:val="000000" w:themeColor="text1"/>
          <w:shd w:val="clear" w:color="auto" w:fill="FFFFFF"/>
          <w:lang w:eastAsia="ru-RU"/>
        </w:rPr>
        <w:t>бъем образования медицинских отходов за 2017-2019 гг.</w:t>
      </w:r>
    </w:p>
    <w:tbl>
      <w:tblPr>
        <w:tblW w:w="9727" w:type="dxa"/>
        <w:tblInd w:w="45" w:type="dxa"/>
        <w:tblLayout w:type="fixed"/>
        <w:tblCellMar>
          <w:left w:w="10" w:type="dxa"/>
          <w:right w:w="10" w:type="dxa"/>
        </w:tblCellMar>
        <w:tblLook w:val="04A0" w:firstRow="1" w:lastRow="0" w:firstColumn="1" w:lastColumn="0" w:noHBand="0" w:noVBand="1"/>
      </w:tblPr>
      <w:tblGrid>
        <w:gridCol w:w="4488"/>
        <w:gridCol w:w="1843"/>
        <w:gridCol w:w="1701"/>
        <w:gridCol w:w="1695"/>
      </w:tblGrid>
      <w:tr w:rsidR="001D7D6D" w:rsidRPr="00F0736F" w14:paraId="41262A45" w14:textId="77777777" w:rsidTr="00B155C8">
        <w:tc>
          <w:tcPr>
            <w:tcW w:w="4488"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17044F98" w14:textId="77777777" w:rsidR="001D7D6D" w:rsidRPr="00F0736F" w:rsidRDefault="001D7D6D" w:rsidP="00B155C8">
            <w:pPr>
              <w:pStyle w:val="TableContents"/>
              <w:ind w:firstLine="37"/>
              <w:jc w:val="both"/>
              <w:rPr>
                <w:rFonts w:ascii="Times New Roman" w:hAnsi="Times New Roman" w:cs="Times New Roman"/>
                <w:bCs/>
                <w:color w:val="000000" w:themeColor="text1"/>
              </w:rPr>
            </w:pPr>
          </w:p>
          <w:p w14:paraId="1B6E27C7" w14:textId="77777777" w:rsidR="001D7D6D" w:rsidRPr="00F0736F" w:rsidRDefault="001D7D6D" w:rsidP="00B155C8">
            <w:pPr>
              <w:pStyle w:val="TableContents"/>
              <w:ind w:firstLine="37"/>
              <w:jc w:val="center"/>
              <w:rPr>
                <w:rFonts w:ascii="Times New Roman" w:hAnsi="Times New Roman" w:cs="Times New Roman"/>
                <w:bCs/>
                <w:color w:val="000000" w:themeColor="text1"/>
              </w:rPr>
            </w:pPr>
            <w:r w:rsidRPr="00F0736F">
              <w:rPr>
                <w:rFonts w:ascii="Times New Roman" w:hAnsi="Times New Roman" w:cs="Times New Roman"/>
                <w:bCs/>
                <w:color w:val="000000" w:themeColor="text1"/>
              </w:rPr>
              <w:t>Виды отходов</w:t>
            </w:r>
          </w:p>
        </w:tc>
        <w:tc>
          <w:tcPr>
            <w:tcW w:w="5239"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BF8C18D" w14:textId="77777777" w:rsidR="001D7D6D" w:rsidRPr="00F0736F" w:rsidRDefault="001D7D6D" w:rsidP="00B155C8">
            <w:pPr>
              <w:pStyle w:val="Standard"/>
              <w:shd w:val="clear" w:color="auto" w:fill="FFFFFF"/>
              <w:tabs>
                <w:tab w:val="left" w:pos="4395"/>
              </w:tabs>
              <w:ind w:firstLine="37"/>
              <w:jc w:val="center"/>
              <w:rPr>
                <w:rFonts w:eastAsia="Times New Roman" w:cs="Times New Roman"/>
                <w:bCs/>
                <w:iCs/>
                <w:color w:val="000000" w:themeColor="text1"/>
                <w:lang w:eastAsia="ru-RU"/>
              </w:rPr>
            </w:pPr>
            <w:r w:rsidRPr="00F0736F">
              <w:rPr>
                <w:rFonts w:eastAsia="Times New Roman" w:cs="Times New Roman"/>
                <w:bCs/>
                <w:iCs/>
                <w:color w:val="000000" w:themeColor="text1"/>
                <w:lang w:eastAsia="ru-RU"/>
              </w:rPr>
              <w:t>Объем медицинских отходов по годам</w:t>
            </w:r>
          </w:p>
        </w:tc>
      </w:tr>
      <w:tr w:rsidR="001D7D6D" w:rsidRPr="00F0736F" w14:paraId="350C00C1" w14:textId="77777777" w:rsidTr="00B155C8">
        <w:tc>
          <w:tcPr>
            <w:tcW w:w="4488" w:type="dxa"/>
            <w:vMerge/>
            <w:tcBorders>
              <w:top w:val="single" w:sz="2" w:space="0" w:color="000000"/>
              <w:left w:val="single" w:sz="2" w:space="0" w:color="000000"/>
              <w:bottom w:val="single" w:sz="2" w:space="0" w:color="000000"/>
              <w:right w:val="nil"/>
            </w:tcBorders>
            <w:vAlign w:val="center"/>
            <w:hideMark/>
          </w:tcPr>
          <w:p w14:paraId="70307035" w14:textId="77777777" w:rsidR="001D7D6D" w:rsidRPr="00F0736F" w:rsidRDefault="001D7D6D" w:rsidP="00B155C8">
            <w:pPr>
              <w:ind w:firstLine="37"/>
              <w:jc w:val="both"/>
              <w:rPr>
                <w:rFonts w:ascii="Times New Roman" w:eastAsia="SimSun" w:hAnsi="Times New Roman" w:cs="Times New Roman"/>
                <w:bCs/>
                <w:color w:val="000000" w:themeColor="text1"/>
                <w:kern w:val="3"/>
              </w:rPr>
            </w:pP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0D4D849D" w14:textId="77777777" w:rsidR="001D7D6D" w:rsidRPr="00F0736F" w:rsidRDefault="001D7D6D" w:rsidP="00B155C8">
            <w:pPr>
              <w:pStyle w:val="Standard"/>
              <w:shd w:val="clear" w:color="auto" w:fill="FFFFFF"/>
              <w:tabs>
                <w:tab w:val="left" w:pos="4395"/>
              </w:tabs>
              <w:ind w:firstLine="37"/>
              <w:jc w:val="center"/>
              <w:rPr>
                <w:rFonts w:eastAsia="Times New Roman" w:cs="Times New Roman"/>
                <w:bCs/>
                <w:iCs/>
                <w:color w:val="000000" w:themeColor="text1"/>
                <w:lang w:eastAsia="ru-RU"/>
              </w:rPr>
            </w:pPr>
            <w:r w:rsidRPr="00F0736F">
              <w:rPr>
                <w:rFonts w:eastAsia="Times New Roman" w:cs="Times New Roman"/>
                <w:bCs/>
                <w:iCs/>
                <w:color w:val="000000" w:themeColor="text1"/>
                <w:lang w:eastAsia="ru-RU"/>
              </w:rPr>
              <w:t>2017 г.</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71E5291D" w14:textId="77777777" w:rsidR="001D7D6D" w:rsidRPr="00F0736F" w:rsidRDefault="001D7D6D" w:rsidP="00B155C8">
            <w:pPr>
              <w:pStyle w:val="TableContents"/>
              <w:ind w:firstLine="37"/>
              <w:jc w:val="center"/>
              <w:rPr>
                <w:rFonts w:ascii="Times New Roman" w:hAnsi="Times New Roman" w:cs="Times New Roman"/>
                <w:bCs/>
                <w:color w:val="000000" w:themeColor="text1"/>
                <w:lang w:val="kk-KZ"/>
              </w:rPr>
            </w:pPr>
            <w:r w:rsidRPr="00F0736F">
              <w:rPr>
                <w:rFonts w:ascii="Times New Roman" w:hAnsi="Times New Roman" w:cs="Times New Roman"/>
                <w:bCs/>
                <w:color w:val="000000" w:themeColor="text1"/>
                <w:lang w:val="kk-KZ"/>
              </w:rPr>
              <w:t>2018 г</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673292" w14:textId="77777777" w:rsidR="001D7D6D" w:rsidRPr="00F0736F" w:rsidRDefault="001D7D6D" w:rsidP="00B155C8">
            <w:pPr>
              <w:pStyle w:val="TableContents"/>
              <w:ind w:firstLine="37"/>
              <w:jc w:val="center"/>
              <w:rPr>
                <w:rFonts w:ascii="Times New Roman" w:hAnsi="Times New Roman" w:cs="Times New Roman"/>
                <w:bCs/>
                <w:color w:val="000000" w:themeColor="text1"/>
              </w:rPr>
            </w:pPr>
            <w:r w:rsidRPr="00F0736F">
              <w:rPr>
                <w:rFonts w:ascii="Times New Roman" w:hAnsi="Times New Roman" w:cs="Times New Roman"/>
                <w:bCs/>
                <w:color w:val="000000" w:themeColor="text1"/>
              </w:rPr>
              <w:t>2019 г.</w:t>
            </w:r>
          </w:p>
        </w:tc>
      </w:tr>
      <w:tr w:rsidR="001D7D6D" w:rsidRPr="00F0736F" w14:paraId="229C25DF"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2885AD61" w14:textId="77777777" w:rsidR="001D7D6D" w:rsidRPr="00F0736F" w:rsidRDefault="001D7D6D" w:rsidP="00B155C8">
            <w:pPr>
              <w:pStyle w:val="Standard"/>
              <w:shd w:val="clear" w:color="auto" w:fill="FFFFFF"/>
              <w:tabs>
                <w:tab w:val="left" w:pos="4395"/>
              </w:tabs>
              <w:ind w:firstLine="37"/>
              <w:rPr>
                <w:rFonts w:cs="Times New Roman"/>
                <w:color w:val="000000" w:themeColor="text1"/>
              </w:rPr>
            </w:pPr>
            <w:r w:rsidRPr="00F0736F">
              <w:rPr>
                <w:rFonts w:eastAsia="Times New Roman" w:cs="Times New Roman"/>
                <w:iCs/>
                <w:color w:val="000000" w:themeColor="text1"/>
                <w:lang w:eastAsia="ru-RU"/>
              </w:rPr>
              <w:t>Отходы класса А, т</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2B591DBC"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847 657,32</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14D67151" w14:textId="77777777" w:rsidR="001D7D6D" w:rsidRPr="00F0736F" w:rsidRDefault="001D7D6D" w:rsidP="00B155C8">
            <w:pPr>
              <w:pStyle w:val="TableContents"/>
              <w:ind w:firstLine="37"/>
              <w:jc w:val="center"/>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30 920,23</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C5F6DD"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121 799,60</w:t>
            </w:r>
          </w:p>
        </w:tc>
      </w:tr>
      <w:tr w:rsidR="001D7D6D" w:rsidRPr="00F0736F" w14:paraId="345B0F22"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5B65AE95"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Отходы класса Б, т</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66E7816A"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203 863,57</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5A5C9FF0"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15 779,13</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70B1A0"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112 280</w:t>
            </w:r>
          </w:p>
        </w:tc>
      </w:tr>
      <w:tr w:rsidR="001D7D6D" w:rsidRPr="00F0736F" w14:paraId="11BEA9F1"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2460542F"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Отходы класса В, т</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1E8A57D5"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3 698,20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3C58482B"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558,89</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1D55F88"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11 300</w:t>
            </w:r>
          </w:p>
        </w:tc>
      </w:tr>
      <w:tr w:rsidR="001D7D6D" w:rsidRPr="00F0736F" w14:paraId="083985B0"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5A8A4B9B"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Отходы класса Г:</w:t>
            </w: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068356F9" w14:textId="77777777" w:rsidR="001D7D6D" w:rsidRPr="00F0736F" w:rsidRDefault="001D7D6D" w:rsidP="00B155C8">
            <w:pPr>
              <w:pStyle w:val="TableContents"/>
              <w:ind w:firstLine="37"/>
              <w:jc w:val="center"/>
              <w:rPr>
                <w:rFonts w:ascii="Times New Roman" w:hAnsi="Times New Roman" w:cs="Times New Roman"/>
                <w:color w:val="000000" w:themeColor="text1"/>
              </w:rPr>
            </w:pPr>
          </w:p>
        </w:tc>
        <w:tc>
          <w:tcPr>
            <w:tcW w:w="1701" w:type="dxa"/>
            <w:tcBorders>
              <w:top w:val="nil"/>
              <w:left w:val="single" w:sz="2" w:space="0" w:color="000000"/>
              <w:bottom w:val="single" w:sz="2" w:space="0" w:color="000000"/>
              <w:right w:val="nil"/>
            </w:tcBorders>
            <w:tcMar>
              <w:top w:w="55" w:type="dxa"/>
              <w:left w:w="55" w:type="dxa"/>
              <w:bottom w:w="55" w:type="dxa"/>
              <w:right w:w="55" w:type="dxa"/>
            </w:tcMar>
          </w:tcPr>
          <w:p w14:paraId="77AC43E1" w14:textId="77777777" w:rsidR="001D7D6D" w:rsidRPr="00F0736F" w:rsidRDefault="001D7D6D" w:rsidP="00B155C8">
            <w:pPr>
              <w:pStyle w:val="TableContents"/>
              <w:ind w:firstLine="37"/>
              <w:jc w:val="center"/>
              <w:rPr>
                <w:rFonts w:ascii="Times New Roman" w:hAnsi="Times New Roman" w:cs="Times New Roman"/>
                <w:color w:val="000000" w:themeColor="text1"/>
              </w:rPr>
            </w:pP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6B4FC23" w14:textId="77777777" w:rsidR="001D7D6D" w:rsidRPr="00F0736F" w:rsidRDefault="001D7D6D" w:rsidP="00B155C8">
            <w:pPr>
              <w:pStyle w:val="TableContents"/>
              <w:ind w:firstLine="37"/>
              <w:jc w:val="center"/>
              <w:rPr>
                <w:rFonts w:ascii="Times New Roman" w:hAnsi="Times New Roman" w:cs="Times New Roman"/>
                <w:color w:val="000000" w:themeColor="text1"/>
              </w:rPr>
            </w:pPr>
          </w:p>
        </w:tc>
      </w:tr>
      <w:tr w:rsidR="001D7D6D" w:rsidRPr="00F0736F" w14:paraId="3181E704"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21CA628B"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Приборы, шт.</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6C332B69"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127 589,00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02154ED7"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114 465,00</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7E2C9B"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24 085,00</w:t>
            </w:r>
          </w:p>
        </w:tc>
      </w:tr>
      <w:tr w:rsidR="001D7D6D" w:rsidRPr="00F0736F" w14:paraId="3E7BD4FD"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5F885178"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Твердые, кг</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0BAA4F10"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13 490,62.</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1FA7C82B"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10 480,467.</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B6EBAC"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5774,30</w:t>
            </w:r>
          </w:p>
        </w:tc>
      </w:tr>
      <w:tr w:rsidR="001D7D6D" w:rsidRPr="00F0736F" w14:paraId="0DE4CD08"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2FA6CDE6" w14:textId="77777777" w:rsidR="001D7D6D" w:rsidRPr="00F0736F" w:rsidRDefault="001D7D6D" w:rsidP="00B155C8">
            <w:pPr>
              <w:pStyle w:val="Standard"/>
              <w:shd w:val="clear" w:color="auto" w:fill="FFFFFF"/>
              <w:tabs>
                <w:tab w:val="left" w:pos="4395"/>
              </w:tabs>
              <w:ind w:firstLine="37"/>
              <w:rPr>
                <w:rFonts w:eastAsia="Times New Roman" w:cs="Times New Roman"/>
                <w:iCs/>
                <w:color w:val="000000" w:themeColor="text1"/>
                <w:lang w:eastAsia="ru-RU"/>
              </w:rPr>
            </w:pPr>
            <w:r w:rsidRPr="00F0736F">
              <w:rPr>
                <w:rFonts w:eastAsia="Times New Roman" w:cs="Times New Roman"/>
                <w:iCs/>
                <w:color w:val="000000" w:themeColor="text1"/>
                <w:lang w:eastAsia="ru-RU"/>
              </w:rPr>
              <w:t>Жидкие, л</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2D35AED2" w14:textId="77777777" w:rsidR="001D7D6D" w:rsidRPr="00F0736F" w:rsidRDefault="001D7D6D" w:rsidP="00B155C8">
            <w:pPr>
              <w:pStyle w:val="Standard"/>
              <w:shd w:val="clear" w:color="auto" w:fill="FFFFFF"/>
              <w:tabs>
                <w:tab w:val="left" w:pos="4395"/>
              </w:tabs>
              <w:ind w:firstLine="37"/>
              <w:jc w:val="center"/>
              <w:rPr>
                <w:rFonts w:eastAsia="Times New Roman" w:cs="Times New Roman"/>
                <w:iCs/>
                <w:color w:val="000000" w:themeColor="text1"/>
                <w:lang w:eastAsia="ru-RU"/>
              </w:rPr>
            </w:pPr>
            <w:r w:rsidRPr="00F0736F">
              <w:rPr>
                <w:rFonts w:eastAsia="Times New Roman" w:cs="Times New Roman"/>
                <w:iCs/>
                <w:color w:val="000000" w:themeColor="text1"/>
                <w:lang w:eastAsia="ru-RU"/>
              </w:rPr>
              <w:t>1 292,46</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7F8085F4"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2 606,10</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9FCF6A"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150,00</w:t>
            </w:r>
          </w:p>
        </w:tc>
      </w:tr>
      <w:tr w:rsidR="001D7D6D" w:rsidRPr="00F0736F" w14:paraId="54DDDA70" w14:textId="77777777" w:rsidTr="00B155C8">
        <w:tc>
          <w:tcPr>
            <w:tcW w:w="4488" w:type="dxa"/>
            <w:tcBorders>
              <w:top w:val="nil"/>
              <w:left w:val="single" w:sz="2" w:space="0" w:color="000000"/>
              <w:bottom w:val="single" w:sz="2" w:space="0" w:color="000000"/>
              <w:right w:val="nil"/>
            </w:tcBorders>
            <w:tcMar>
              <w:top w:w="55" w:type="dxa"/>
              <w:left w:w="55" w:type="dxa"/>
              <w:bottom w:w="55" w:type="dxa"/>
              <w:right w:w="55" w:type="dxa"/>
            </w:tcMar>
            <w:hideMark/>
          </w:tcPr>
          <w:p w14:paraId="1D9A763D" w14:textId="77777777" w:rsidR="001D7D6D" w:rsidRPr="00F0736F" w:rsidRDefault="001D7D6D" w:rsidP="00B155C8">
            <w:pPr>
              <w:pStyle w:val="Standard"/>
              <w:shd w:val="clear" w:color="auto" w:fill="FFFFFF"/>
              <w:tabs>
                <w:tab w:val="left" w:pos="4395"/>
              </w:tabs>
              <w:ind w:firstLine="37"/>
              <w:rPr>
                <w:rFonts w:cs="Times New Roman"/>
                <w:color w:val="000000" w:themeColor="text1"/>
              </w:rPr>
            </w:pPr>
            <w:r w:rsidRPr="00F0736F">
              <w:rPr>
                <w:rFonts w:eastAsia="Times New Roman" w:cs="Times New Roman"/>
                <w:iCs/>
                <w:color w:val="000000" w:themeColor="text1"/>
                <w:lang w:eastAsia="ru-RU"/>
              </w:rPr>
              <w:t>Отходы класса Д (радиоактивные), т</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49B6C855" w14:textId="77777777" w:rsidR="001D7D6D" w:rsidRPr="00F0736F" w:rsidRDefault="001D7D6D" w:rsidP="00B155C8">
            <w:pPr>
              <w:pStyle w:val="Standard"/>
              <w:shd w:val="clear" w:color="auto" w:fill="FFFFFF"/>
              <w:tabs>
                <w:tab w:val="left" w:pos="4395"/>
              </w:tabs>
              <w:ind w:firstLine="37"/>
              <w:jc w:val="center"/>
              <w:rPr>
                <w:rFonts w:cs="Times New Roman"/>
                <w:color w:val="000000" w:themeColor="text1"/>
              </w:rPr>
            </w:pPr>
            <w:r w:rsidRPr="00F0736F">
              <w:rPr>
                <w:rFonts w:eastAsia="Times New Roman" w:cs="Times New Roman"/>
                <w:iCs/>
                <w:color w:val="000000" w:themeColor="text1"/>
                <w:lang w:eastAsia="ru-RU"/>
              </w:rPr>
              <w:t>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hideMark/>
          </w:tcPr>
          <w:p w14:paraId="04302FA0"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57,00</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9FB48A" w14:textId="77777777" w:rsidR="001D7D6D" w:rsidRPr="00F0736F" w:rsidRDefault="001D7D6D" w:rsidP="00B155C8">
            <w:pPr>
              <w:pStyle w:val="TableContents"/>
              <w:ind w:firstLine="37"/>
              <w:jc w:val="center"/>
              <w:rPr>
                <w:rFonts w:ascii="Times New Roman" w:hAnsi="Times New Roman" w:cs="Times New Roman"/>
                <w:color w:val="000000" w:themeColor="text1"/>
              </w:rPr>
            </w:pPr>
            <w:r w:rsidRPr="00F0736F">
              <w:rPr>
                <w:rFonts w:ascii="Times New Roman" w:hAnsi="Times New Roman" w:cs="Times New Roman"/>
                <w:color w:val="000000" w:themeColor="text1"/>
              </w:rPr>
              <w:t>0,38</w:t>
            </w:r>
          </w:p>
        </w:tc>
      </w:tr>
    </w:tbl>
    <w:p w14:paraId="5E11DF64" w14:textId="77777777" w:rsidR="001D7D6D" w:rsidRPr="00F0736F" w:rsidRDefault="001D7D6D" w:rsidP="001D7D6D">
      <w:pPr>
        <w:pStyle w:val="Standard"/>
        <w:shd w:val="clear" w:color="auto" w:fill="FFFFFF"/>
        <w:tabs>
          <w:tab w:val="left" w:pos="4395"/>
        </w:tabs>
        <w:ind w:firstLine="709"/>
        <w:rPr>
          <w:rFonts w:cs="Times New Roman"/>
          <w:color w:val="000000" w:themeColor="text1"/>
          <w:lang w:eastAsia="zh-CN"/>
        </w:rPr>
      </w:pPr>
    </w:p>
    <w:p w14:paraId="6EB3DDF6"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bCs/>
          <w:color w:val="000000" w:themeColor="text1"/>
          <w:spacing w:val="2"/>
          <w:lang w:eastAsia="ru-RU"/>
        </w:rPr>
        <w:t>Опасные медицинские отходы должны подвергаться термическому обезвреживанию, для чего в 2011 году были задействована 91 мусоросжигательная установка и более 1 000 камерных печей, предназначенных для сжигания медицинских отходов. Согласно данным за 2017 году, оборудовано 158 установок для сжигания и стерилизации, предназначенных для обезвреживания медицинских отходов и 69 комплектов оборудования, приспособленного для сжигания медицинских отходов. Несмотря на то, что количество установок для обезвреживания медицинских отходов возросло, оно по-прежнему является недостаточным</w:t>
      </w:r>
      <w:r w:rsidRPr="00F0736F">
        <w:rPr>
          <w:rStyle w:val="a4"/>
          <w:rFonts w:ascii="Times New Roman" w:eastAsia="Times New Roman" w:hAnsi="Times New Roman" w:cs="Times New Roman"/>
          <w:bCs/>
          <w:color w:val="000000" w:themeColor="text1"/>
          <w:spacing w:val="2"/>
          <w:lang w:eastAsia="ru-RU"/>
        </w:rPr>
        <w:footnoteReference w:id="65"/>
      </w:r>
      <w:r w:rsidRPr="00F0736F">
        <w:rPr>
          <w:rFonts w:ascii="Times New Roman" w:eastAsia="Times New Roman" w:hAnsi="Times New Roman" w:cs="Times New Roman"/>
          <w:bCs/>
          <w:color w:val="000000" w:themeColor="text1"/>
          <w:spacing w:val="2"/>
          <w:lang w:eastAsia="ru-RU"/>
        </w:rPr>
        <w:t xml:space="preserve">. </w:t>
      </w:r>
    </w:p>
    <w:p w14:paraId="05571005"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Больницы решают вопросы обращения с медицинскими отходами самостоятельно на местном уровне. Региональный подход к обращению с медицинскими отходами не реализован. В результате этого стоимость обращения с медицинскими отходами остается высокой, достигая зачастую 2000 долл. США за т.у. Сбор медицинских отходов от индивидуальных домохозяйств не осуществляется.</w:t>
      </w:r>
    </w:p>
    <w:p w14:paraId="780E47C9" w14:textId="77777777" w:rsidR="001D7D6D" w:rsidRPr="00F0736F" w:rsidRDefault="001D7D6D" w:rsidP="001D7D6D">
      <w:pPr>
        <w:ind w:firstLine="709"/>
        <w:jc w:val="both"/>
        <w:rPr>
          <w:color w:val="000000" w:themeColor="text1"/>
        </w:rPr>
      </w:pPr>
      <w:r w:rsidRPr="00F0736F">
        <w:rPr>
          <w:rFonts w:ascii="Times New Roman" w:eastAsia="SimSun" w:hAnsi="Times New Roman" w:cs="Times New Roman"/>
          <w:bCs/>
          <w:color w:val="000000" w:themeColor="text1"/>
        </w:rPr>
        <w:t>В 2017 году утверждены новые Правила обращения с медицинскими отходами (Приказ Министра здравоохранения №</w:t>
      </w:r>
      <w:r w:rsidRPr="00F0736F">
        <w:rPr>
          <w:rFonts w:ascii="Times New Roman" w:eastAsia="SimSun" w:hAnsi="Times New Roman" w:cs="Times New Roman"/>
          <w:bCs/>
          <w:color w:val="000000" w:themeColor="text1"/>
          <w:lang w:val="kk-KZ"/>
        </w:rPr>
        <w:t xml:space="preserve"> </w:t>
      </w:r>
      <w:r w:rsidRPr="00F0736F">
        <w:rPr>
          <w:rFonts w:ascii="Times New Roman" w:eastAsia="SimSun" w:hAnsi="Times New Roman" w:cs="Times New Roman"/>
          <w:bCs/>
          <w:color w:val="000000" w:themeColor="text1"/>
        </w:rPr>
        <w:t>357 от 31 мая 2017 года Санитарные правила «Санитарно-эпидемиологические требования к объектам здравоохранения», которые устанавливают порядок сбора, обезвреживания и хранения отходов на объектах здравоохранения.</w:t>
      </w:r>
    </w:p>
    <w:p w14:paraId="56E4DE28" w14:textId="77777777" w:rsidR="001D7D6D" w:rsidRPr="00F0736F" w:rsidRDefault="001D7D6D" w:rsidP="001D7D6D">
      <w:pPr>
        <w:ind w:firstLine="709"/>
        <w:jc w:val="both"/>
        <w:rPr>
          <w:rFonts w:ascii="Times New Roman" w:hAnsi="Times New Roman" w:cs="Times New Roman"/>
          <w:color w:val="000000" w:themeColor="text1"/>
        </w:rPr>
      </w:pPr>
    </w:p>
    <w:p w14:paraId="252B935A" w14:textId="77777777" w:rsidR="001D7D6D" w:rsidRPr="00F0736F" w:rsidRDefault="001D7D6D" w:rsidP="001D7D6D">
      <w:pPr>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Исторические отходы и загрязнения</w:t>
      </w:r>
    </w:p>
    <w:p w14:paraId="13C0AFFA"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результате ликвидации, реорганизации, приватизации и банкротства некоторых промышленных предприятий большие площади нарушенных земель, накопителей отходов, карьеров, остались бесхозными, представляя реальную угрозу экологической безопасности страны, требуется их ликвидация и рекультивация. </w:t>
      </w:r>
    </w:p>
    <w:p w14:paraId="622BB9D9"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Объекты «исторических загрязнений» условно разделены на 4 группы. </w:t>
      </w:r>
    </w:p>
    <w:p w14:paraId="4285A43B"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Первая – объекты, находящиеся в республиканской собственности. Они представлены бывшими военными полигонами, местами захоронений и скоплений устаревших сельскохозяйственных препаратов (пестицидов) и т.д. К ним отнесены и техногенные минеральные объекты, заскладированные на территории страны до 31 мая 1992 года (дата введения в действие Кодекса о недрах и переработке минерального сырья).  </w:t>
      </w:r>
    </w:p>
    <w:p w14:paraId="1BFA4294"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Вторая группа – объекты, находящиеся в коммунальной собственности. Это золошлакоотвалы малых отопительных объектов населенных пунктов (котельные), полигоны отходов, скотомогильники, остатки от разрушенных (покинутых) населенных пунктов и объектов местной промышленности, замазученные территории от ремонтно-технических станций (РТС и МТС) бывших колхозов и совхозов и т.д. Сюда же относятся склады сельхозхимии и места захоронений (могильники) устаревших остатков сельскохозяйственных препаратов. Высокие показатели загрязненности устаревшими пестицидами характерны практически для всех областей Казахстана. Из-за того, что инвентаризация не проводилась, данные о количестве старых складских помещений, а также и об объемах устаревших пестицидов противоречивы.</w:t>
      </w:r>
    </w:p>
    <w:p w14:paraId="6AD8E4C1"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Третья группа – бесхозяйные объекты. Это территории бывших промышленных предприятий и их полигоны (склады, шламо-, шлакохранилища, неопознанные отходы и т.п.), оставшиеся после банкротства предприятий. </w:t>
      </w:r>
    </w:p>
    <w:p w14:paraId="1DCCBAC6"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Установить общее количество бесхозяйных отходов не представляется возможным, так как инвентаризация не проводилась. Исторические отходы передаются решением суда в республиканскую или коммунальную собственность по мере их выявления.  </w:t>
      </w:r>
    </w:p>
    <w:p w14:paraId="5225FEBE"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состоянию на конец 2019 года решением суда в республиканскую собственность переданы 17 объектов, находящихся в Актюбинской, Карагандинской, Костанайской, Акмолинской, Мангистауской и Павлодарской областях, в том числе из коммунальной в республиканскую переведены 5. Из них:</w:t>
      </w:r>
    </w:p>
    <w:p w14:paraId="16AA9D70"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в Карагандинской области реализованы (ликвидированы или проданы для последующей ликвидации) ртутьсодержащие отходы, Цезий-137 захоронен в долговременном хранилище;</w:t>
      </w:r>
    </w:p>
    <w:p w14:paraId="2A668012"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в Костанайской области очищено 4 га в поселке Тогузак от устаревших пестицидов;</w:t>
      </w:r>
    </w:p>
    <w:p w14:paraId="394BF6B9"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в Мангистауской области реализованы нефтяные шламы в объеме 304 136 т., расположенные вблизи города Жанаозена.</w:t>
      </w:r>
    </w:p>
    <w:p w14:paraId="3244FC49"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Поступившими в республиканскую собственность безхозяйными опасными отходами управляет АО «Жасыл даму» Министерства экологии, геологии и природных ресурсов РК.</w:t>
      </w:r>
    </w:p>
    <w:p w14:paraId="1B8F57A3"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Четвертая группа – объекты, находящиеся на контрактной территории недропользователей. Это самоизливающиеся нефтяные и гидрогеологические скважины, замазученные территории нефтепромыслов былых лет деятельности. </w:t>
      </w:r>
    </w:p>
    <w:p w14:paraId="6521B6E5" w14:textId="77777777" w:rsidR="001D7D6D" w:rsidRPr="00F0736F" w:rsidRDefault="001D7D6D" w:rsidP="001D7D6D">
      <w:pPr>
        <w:ind w:firstLine="709"/>
        <w:jc w:val="both"/>
        <w:rPr>
          <w:rFonts w:ascii="Times New Roman" w:eastAsia="Times New Roman" w:hAnsi="Times New Roman" w:cs="Times New Roman"/>
          <w:bCs/>
          <w:i/>
          <w:color w:val="000000" w:themeColor="text1"/>
          <w:spacing w:val="2"/>
          <w:lang w:eastAsia="ru-RU"/>
        </w:rPr>
      </w:pPr>
      <w:r w:rsidRPr="00F0736F">
        <w:rPr>
          <w:rFonts w:ascii="Times New Roman" w:eastAsia="Times New Roman" w:hAnsi="Times New Roman" w:cs="Times New Roman"/>
          <w:bCs/>
          <w:i/>
          <w:color w:val="000000" w:themeColor="text1"/>
          <w:spacing w:val="2"/>
          <w:lang w:eastAsia="ru-RU"/>
        </w:rPr>
        <w:t xml:space="preserve">Стойкие органические загрязнители (СОЗ) </w:t>
      </w:r>
    </w:p>
    <w:p w14:paraId="59724F4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запасам отходов СОЗ Республика Казахстан занимает второе место среди стран Восточной и Центральной Европы после Российской Федерации. В Казахстане производство СОЗ отсутствует.</w:t>
      </w:r>
    </w:p>
    <w:p w14:paraId="11571ED9" w14:textId="77777777" w:rsidR="001D7D6D" w:rsidRPr="00F0736F" w:rsidRDefault="001D7D6D" w:rsidP="001D7D6D">
      <w:pPr>
        <w:ind w:firstLine="709"/>
        <w:jc w:val="both"/>
        <w:rPr>
          <w:rFonts w:ascii="Times New Roman" w:eastAsia="Calibri" w:hAnsi="Times New Roman" w:cs="Times New Roman"/>
          <w:color w:val="000000" w:themeColor="text1"/>
        </w:rPr>
      </w:pPr>
      <w:r w:rsidRPr="00F0736F">
        <w:rPr>
          <w:rFonts w:ascii="Times New Roman" w:eastAsia="Times New Roman" w:hAnsi="Times New Roman" w:cs="Arial"/>
          <w:bCs/>
          <w:color w:val="000000" w:themeColor="text1"/>
          <w:lang w:eastAsia="ru-RU"/>
        </w:rPr>
        <w:t xml:space="preserve">Основными группами СОЗ-содержащих отходов в Республике Казахстан являются </w:t>
      </w:r>
      <w:r w:rsidRPr="00F0736F">
        <w:rPr>
          <w:rFonts w:ascii="Times New Roman" w:eastAsia="Calibri" w:hAnsi="Times New Roman" w:cs="Times New Roman"/>
          <w:color w:val="000000" w:themeColor="text1"/>
        </w:rPr>
        <w:t xml:space="preserve">ПХД-содержащее оборудование </w:t>
      </w:r>
      <w:r w:rsidRPr="00F0736F">
        <w:rPr>
          <w:rFonts w:ascii="Times New Roman" w:eastAsia="Calibri" w:hAnsi="Times New Roman" w:cs="Times New Roman"/>
          <w:i/>
          <w:color w:val="000000" w:themeColor="text1"/>
        </w:rPr>
        <w:t xml:space="preserve">(ПХД-содержащие трансформаторы, конденсаторы) </w:t>
      </w:r>
      <w:r w:rsidRPr="00F0736F">
        <w:rPr>
          <w:rFonts w:ascii="Times New Roman" w:eastAsia="Calibri" w:hAnsi="Times New Roman" w:cs="Times New Roman"/>
          <w:color w:val="000000" w:themeColor="text1"/>
        </w:rPr>
        <w:t xml:space="preserve">и СОЗ-содержащие пестициды. Из выявленных в 2003-2004 годы 114 ПХД заполненных трансформаторов и более 50 тысяч ПХД конденсаторов, более 1,5 тыс. т. устаревших пестицидов и 8 </w:t>
      </w:r>
      <w:r w:rsidRPr="00F0736F">
        <w:rPr>
          <w:rFonts w:ascii="Times New Roman" w:eastAsia="Times New Roman" w:hAnsi="Times New Roman" w:cs="Times New Roman"/>
          <w:color w:val="000000" w:themeColor="text1"/>
          <w:lang w:eastAsia="ru-RU"/>
        </w:rPr>
        <w:t>участков, загрязненных ПХД и пестицидами</w:t>
      </w:r>
      <w:r w:rsidRPr="00F0736F">
        <w:rPr>
          <w:rFonts w:ascii="Times New Roman" w:eastAsia="Calibri" w:hAnsi="Times New Roman" w:cs="Times New Roman"/>
          <w:color w:val="000000" w:themeColor="text1"/>
        </w:rPr>
        <w:t xml:space="preserve">. Большая часть пестицидов была захоронена, конденсаторов - вывезена за пределы Казахстана на уничтожение. Остались </w:t>
      </w:r>
      <w:r w:rsidRPr="00F0736F">
        <w:rPr>
          <w:rFonts w:ascii="Times New Roman" w:hAnsi="Times New Roman" w:cs="Times New Roman"/>
          <w:color w:val="000000" w:themeColor="text1"/>
        </w:rPr>
        <w:t xml:space="preserve">5 946 конденсаторов и </w:t>
      </w:r>
      <w:r w:rsidRPr="00F0736F">
        <w:rPr>
          <w:rFonts w:ascii="Times New Roman" w:eastAsia="Calibri" w:hAnsi="Times New Roman" w:cs="Times New Roman"/>
          <w:color w:val="000000" w:themeColor="text1"/>
        </w:rPr>
        <w:t xml:space="preserve">около 105 т. устаревших пестицидов. </w:t>
      </w:r>
    </w:p>
    <w:p w14:paraId="56472114"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2017 году при поддержке проекта ПРООН/ГЭФ «Обновление Национального плана выполнения, интеграция управления стойкими органическими загрязнителями в процесс национального планирования и рационального управления медицинскими отходами в Казахстане» был пересмотрен</w:t>
      </w:r>
      <w:r w:rsidRPr="00F0736F">
        <w:rPr>
          <w:rFonts w:ascii="Times New Roman" w:eastAsia="Times New Roman" w:hAnsi="Times New Roman" w:cs="Times New Roman"/>
          <w:bCs/>
          <w:color w:val="000000" w:themeColor="text1"/>
          <w:spacing w:val="2"/>
          <w:lang w:eastAsia="ru-RU"/>
        </w:rPr>
        <w:t xml:space="preserve"> Национальный план выполнения Стокгольмской конвенции (</w:t>
      </w:r>
      <w:r w:rsidRPr="00F0736F">
        <w:rPr>
          <w:rFonts w:ascii="Times New Roman" w:hAnsi="Times New Roman" w:cs="Times New Roman"/>
          <w:color w:val="000000" w:themeColor="text1"/>
        </w:rPr>
        <w:t>НПВ 2014 г.). В результате пересмотра в НПВ были включены непреднамеренные СОЗ.</w:t>
      </w:r>
    </w:p>
    <w:p w14:paraId="01CCE99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соответствии с НПВ на 2017 – 2028 гг. (Приказ Министра энергетики №</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312 2017 г.), в число национальных приоритетов входят:</w:t>
      </w:r>
    </w:p>
    <w:p w14:paraId="2D29F9D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детальная инвентаризация СОЗ, в том числе новых СОЗ, включенных в список Стокгольмской конвенции;</w:t>
      </w:r>
    </w:p>
    <w:p w14:paraId="3E6322A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развитие системы мониторинга СОЗ;</w:t>
      </w:r>
    </w:p>
    <w:p w14:paraId="7C350DD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создание единой системы управления СОЗ;</w:t>
      </w:r>
    </w:p>
    <w:p w14:paraId="1A612BF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совершенствование законодательства по проблеме химической безопасности и создание механизмов его реализации;</w:t>
      </w:r>
    </w:p>
    <w:p w14:paraId="1CE0F04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повышение кадрового потенциала в сфере СОЗ.</w:t>
      </w:r>
    </w:p>
    <w:p w14:paraId="7C6DF707" w14:textId="77777777" w:rsidR="001D7D6D" w:rsidRPr="00F0736F" w:rsidRDefault="001D7D6D" w:rsidP="001D7D6D">
      <w:pPr>
        <w:ind w:firstLine="709"/>
        <w:jc w:val="both"/>
        <w:rPr>
          <w:color w:val="000000" w:themeColor="text1"/>
        </w:rPr>
      </w:pPr>
      <w:r w:rsidRPr="00F0736F">
        <w:rPr>
          <w:rFonts w:ascii="Times New Roman" w:hAnsi="Times New Roman" w:cs="Times New Roman"/>
          <w:iCs/>
          <w:color w:val="000000" w:themeColor="text1"/>
        </w:rPr>
        <w:t xml:space="preserve">В 2017 году Министерством проведены работы в части определения воздействия на окружающую среду, осуществлен осмотр целостности и герметичности на двух складах </w:t>
      </w:r>
      <w:r w:rsidRPr="00F0736F">
        <w:rPr>
          <w:rFonts w:ascii="Times New Roman" w:hAnsi="Times New Roman" w:cs="Times New Roman"/>
          <w:b/>
          <w:iCs/>
          <w:color w:val="000000" w:themeColor="text1"/>
        </w:rPr>
        <w:t>объекта «Дарьял-У»</w:t>
      </w:r>
      <w:r w:rsidRPr="00F0736F">
        <w:rPr>
          <w:rFonts w:ascii="Times New Roman" w:hAnsi="Times New Roman" w:cs="Times New Roman"/>
          <w:iCs/>
          <w:color w:val="000000" w:themeColor="text1"/>
        </w:rPr>
        <w:t xml:space="preserve">. </w:t>
      </w:r>
    </w:p>
    <w:p w14:paraId="21AACCB1"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результатам обследования контейнеров и находящихся внутри них конденсаторов следует, что все 5 946 конденсаторов необходимо переупаковать и переместить на хранение ПХД-содержащих отходов в специальных помещениях после переупаковки.</w:t>
      </w:r>
    </w:p>
    <w:p w14:paraId="307B7399" w14:textId="77777777" w:rsidR="001D7D6D" w:rsidRPr="00F0736F" w:rsidRDefault="001D7D6D" w:rsidP="001D7D6D">
      <w:pPr>
        <w:ind w:firstLine="709"/>
        <w:jc w:val="both"/>
        <w:rPr>
          <w:color w:val="000000" w:themeColor="text1"/>
        </w:rPr>
      </w:pPr>
      <w:r w:rsidRPr="00F0736F">
        <w:rPr>
          <w:rFonts w:ascii="Times New Roman" w:hAnsi="Times New Roman" w:cs="Times New Roman"/>
          <w:iCs/>
          <w:color w:val="000000" w:themeColor="text1"/>
        </w:rPr>
        <w:t xml:space="preserve">В пробах напольного покрытия складов выявлены существенные превышения предельно-допустимой концентрации ПХД от 500 до 95 000 раз, </w:t>
      </w:r>
      <w:r w:rsidRPr="00F0736F">
        <w:rPr>
          <w:rFonts w:ascii="Times New Roman" w:hAnsi="Times New Roman" w:cs="Times New Roman"/>
          <w:iCs/>
          <w:color w:val="000000" w:themeColor="text1"/>
          <w:lang w:val="kk-KZ"/>
        </w:rPr>
        <w:t xml:space="preserve">во всех </w:t>
      </w:r>
      <w:r w:rsidRPr="00F0736F">
        <w:rPr>
          <w:rFonts w:ascii="Times New Roman" w:hAnsi="Times New Roman" w:cs="Times New Roman"/>
          <w:iCs/>
          <w:color w:val="000000" w:themeColor="text1"/>
        </w:rPr>
        <w:t>7 отобранных проб</w:t>
      </w:r>
      <w:r w:rsidRPr="00F0736F">
        <w:rPr>
          <w:rFonts w:ascii="Times New Roman" w:hAnsi="Times New Roman" w:cs="Times New Roman"/>
          <w:iCs/>
          <w:color w:val="000000" w:themeColor="text1"/>
          <w:lang w:val="kk-KZ"/>
        </w:rPr>
        <w:t>ах</w:t>
      </w:r>
      <w:r w:rsidRPr="00F0736F">
        <w:rPr>
          <w:rFonts w:ascii="Times New Roman" w:hAnsi="Times New Roman" w:cs="Times New Roman"/>
          <w:iCs/>
          <w:color w:val="000000" w:themeColor="text1"/>
        </w:rPr>
        <w:t xml:space="preserve"> воды также выявлено наличие ПХД. </w:t>
      </w:r>
      <w:r w:rsidRPr="00F0736F">
        <w:rPr>
          <w:rFonts w:ascii="Times New Roman" w:hAnsi="Times New Roman" w:cs="Times New Roman"/>
          <w:color w:val="000000" w:themeColor="text1"/>
        </w:rPr>
        <w:t xml:space="preserve">На основании изложенного, учитывая близость </w:t>
      </w:r>
      <w:r w:rsidRPr="00F0736F">
        <w:rPr>
          <w:rFonts w:ascii="Times New Roman" w:hAnsi="Times New Roman" w:cs="Times New Roman"/>
          <w:iCs/>
          <w:color w:val="000000" w:themeColor="text1"/>
        </w:rPr>
        <w:t>ПХД-содержащих отходов к озеру Балхаш, предаварийное состояние складов, конденсаторы были переупакованы и перевезены в г. Степногорск на оборудованный склад для временного хранения до решения вопроса их утилизации.</w:t>
      </w:r>
      <w:r w:rsidRPr="00F0736F">
        <w:rPr>
          <w:rFonts w:ascii="Times New Roman" w:hAnsi="Times New Roman" w:cs="Times New Roman"/>
          <w:color w:val="000000" w:themeColor="text1"/>
          <w:spacing w:val="2"/>
        </w:rPr>
        <w:t xml:space="preserve"> </w:t>
      </w:r>
    </w:p>
    <w:p w14:paraId="0B0E917F"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С целью решения вопроса </w:t>
      </w:r>
      <w:r w:rsidRPr="00F0736F">
        <w:rPr>
          <w:rFonts w:ascii="Times New Roman" w:hAnsi="Times New Roman" w:cs="Times New Roman"/>
          <w:color w:val="000000" w:themeColor="text1"/>
        </w:rPr>
        <w:t xml:space="preserve">по уничтожению СОЗ-содержащих и других опасных отходов </w:t>
      </w:r>
      <w:r w:rsidRPr="00F0736F">
        <w:rPr>
          <w:rFonts w:ascii="Times New Roman" w:eastAsia="Times New Roman" w:hAnsi="Times New Roman" w:cs="Times New Roman"/>
          <w:color w:val="000000" w:themeColor="text1"/>
          <w:lang w:eastAsia="ru-RU"/>
        </w:rPr>
        <w:t xml:space="preserve">Министерство совместно с ЮНИДО (Организация Объединённых Наций по промышленному развитию) реализует проект «Согласованное управление утилизацией озоноразрушающих веществ и стойких органических загрязнителей». В рамках данного проекта </w:t>
      </w:r>
      <w:r w:rsidRPr="00F0736F">
        <w:rPr>
          <w:rFonts w:ascii="Times New Roman" w:hAnsi="Times New Roman" w:cs="Times New Roman"/>
          <w:color w:val="000000" w:themeColor="text1"/>
        </w:rPr>
        <w:t xml:space="preserve">планируется безвозмездная передача Казахстану установки по уничтожению СОЗ. </w:t>
      </w:r>
    </w:p>
    <w:p w14:paraId="48F0719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Кроме того, </w:t>
      </w:r>
      <w:r w:rsidRPr="00F0736F">
        <w:rPr>
          <w:rFonts w:ascii="Times New Roman" w:eastAsia="Times New Roman" w:hAnsi="Times New Roman" w:cs="Times New Roman"/>
          <w:color w:val="000000" w:themeColor="text1"/>
          <w:lang w:eastAsia="ru-RU"/>
        </w:rPr>
        <w:t xml:space="preserve">на базе АО «Жасыл даму» будет создан Координационный центр для целей обмена информацией (Центр СОЗ). </w:t>
      </w:r>
    </w:p>
    <w:p w14:paraId="4B431130"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i/>
          <w:color w:val="000000" w:themeColor="text1"/>
          <w:lang w:eastAsia="ru-RU"/>
        </w:rPr>
        <w:t>Исторические загрязнения ртутью</w:t>
      </w:r>
      <w:r w:rsidRPr="00F0736F">
        <w:rPr>
          <w:rFonts w:ascii="Times New Roman" w:eastAsia="Times New Roman" w:hAnsi="Times New Roman" w:cs="Times New Roman"/>
          <w:color w:val="000000" w:themeColor="text1"/>
          <w:lang w:eastAsia="ru-RU"/>
        </w:rPr>
        <w:t xml:space="preserve"> находятся в Павлодарской и Карагандинской областях.</w:t>
      </w:r>
    </w:p>
    <w:p w14:paraId="66F73C05"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2003 году между Республикой Казахстан и Всемирным банком заключено Соглашение о займе (</w:t>
      </w:r>
      <w:r w:rsidRPr="00F0736F">
        <w:rPr>
          <w:rFonts w:ascii="Times New Roman" w:eastAsia="Times New Roman" w:hAnsi="Times New Roman" w:cs="Times New Roman"/>
          <w:color w:val="000000" w:themeColor="text1"/>
          <w:lang w:eastAsia="ru-RU"/>
        </w:rPr>
        <w:t>Закон РК №556 от 26 мая 2004 г.)</w:t>
      </w:r>
      <w:r w:rsidRPr="00F0736F">
        <w:rPr>
          <w:rFonts w:ascii="Times New Roman" w:hAnsi="Times New Roman" w:cs="Times New Roman"/>
          <w:color w:val="000000" w:themeColor="text1"/>
        </w:rPr>
        <w:t xml:space="preserve"> на осуществление проекта очистки реки Нура от ртути. Заказчиком являлся Комитет по водным ресурсам Министерства сельского хозяйства. В рамках реализации данного проекта, загрязненные ртутью отходы в объеме 2,1 млн. т., были захоронены на полигоне «Апан», расположенном на территории Бухар-Жырауского района вблизи города Темиртау.</w:t>
      </w:r>
    </w:p>
    <w:p w14:paraId="35C6870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Однако зараженный ртутью коллектор на территории предприятия АО «ТЭМК» и очистные сооружения не вошли в основной проект по очистке реки Нура, поскольку проект предполагал лишь очистку самой реки. Таким образом, наблюдалось повторное загрязнение ртутью реки Нура от коллектора предприятия АО «ТЭМК».</w:t>
      </w:r>
    </w:p>
    <w:p w14:paraId="1C35D62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данным мониторинга РГП «Казгидромет» максимальная концентрация общей ртути в бассейне реки Нура составила 0,00011 мг/дм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что оценивается как «высокий уровень загрязнения».</w:t>
      </w:r>
    </w:p>
    <w:p w14:paraId="5865772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АО «ТЭМК» разработана проектно-сметная документация по проекту «Строительство установки очистки и нейтрализации производственных сточных вод в западной промышленной зоне города Темиртау производительностью 10000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 Реализация проекта начата в 2019 году в рамках бюджетной программы 082 «Реализация мероприятий в моногородах и регионах в рамках программы развития регионов до 2020 года». На реализацию проекта из республиканского бюджета выделено 350 млн. тенге на 2019 год. Общая стоимость реализации проекта составляет 1,3 млрд. тенге.</w:t>
      </w:r>
    </w:p>
    <w:p w14:paraId="4797E21D"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 2005 года в рамках реализации Программы ртутного мониторинга в районе Северной промышленной зоны города Павлодар ежегодно проводятся мероприятия за счет средств областного бюджета. Итоги многолетнего ртутного мониторинга показывают эффективность ранее выполняемых в 2002 - 2004 гг. мероприятий по демеркуризации. Воздействие ртути на окружающую среду характеризуется как стабильно-устойчивая. В 2017 году акиматом Павлодарской области проведена работа по корректировке Программы ртутного мониторинга со сроком реализации на 2019 - 2025 гг. В Программе предусмотрены буровые работы по обустройству новых наблюдательных скважин для ведения мониторинга ртути в подземных водах в количестве 41 шт., реализация которого предусмотрена на 2019 год (21,3 млн. тенге), а также отбора проб в биологических образцах (рыба, водоплавающая птица, волосы человека). В 2019 году разработана ПСД на «Строительство противофильтрационной завесы глубиной 20 м с западной стороны автодороги с бывшей насосной № 6 до накопителя Былкылдак в районе Северной промышленной зоны г. Павлодар».</w:t>
      </w:r>
    </w:p>
    <w:p w14:paraId="28CA440F"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рамках реализации проекта ПРООН/ГЭФ «Обновление Национального плана выполнения, интеграция управления стойкими органическими загрязнителями в процесс национального планирования и рационального управления медицинскими отходами в Казахстане» был подготовлен проект Национального плана по сокращению использования и сбору ртути, основанный на предварительной инвентаризации ртути. Он направлен на реализацию принципов Минаматской конвенции о ртути, содержит сведения о прошлой и текущей деятельности в Казахстане, направленной на сокращение загрязнения ртутью, и описывает мероприятия, запланированные на период 2017 – 2020 гг. Однако в качестве программного документа он пока не утвержден.</w:t>
      </w:r>
    </w:p>
    <w:p w14:paraId="72A1BEE6"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сегодня нерешенными остаются следующие проблемы, где основными источниками загрязнения являются «исторические загрязнители»:</w:t>
      </w:r>
    </w:p>
    <w:p w14:paraId="42257A63"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полная реабилитация территорий военно-промышленных предприятий прошлого столетия, таких как Семипалатинский ядерный полигон и Азгир, территории военных баз Северного Прибалхашья и др., которые по сей день являются небезопасными для населения и окружающей среды;</w:t>
      </w:r>
    </w:p>
    <w:p w14:paraId="32D4F31E"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утилизация исторических захоронений (могильников) устаревших пестицидов и др. агрохимических препаратов, с рекультивацией прилежащих земельных участков;</w:t>
      </w:r>
    </w:p>
    <w:p w14:paraId="2E7FA6DB"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очистка реки Илек, загрязненного хромом и бором от шламохранилищ Алгинского химического завода им. С.М. Кирова. Пока существуют проблемы с очисткой всей территории и окрестностей бывшего завода и его шламохранилищ, загрязнение реки будет только усугубляться, на что указывает длительность самого воздействия;</w:t>
      </w:r>
    </w:p>
    <w:p w14:paraId="7230FB0B"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реабилитация загрязненных свинцом территорий, прилегающих к бывшему Шымкентскому свинцовому заводу;</w:t>
      </w:r>
    </w:p>
    <w:p w14:paraId="5C1BCCE1" w14:textId="77777777" w:rsidR="001D7D6D" w:rsidRPr="00F0736F" w:rsidRDefault="001D7D6D" w:rsidP="001D7D6D">
      <w:pPr>
        <w:ind w:firstLine="709"/>
        <w:jc w:val="both"/>
        <w:rPr>
          <w:rFonts w:ascii="Times New Roman" w:hAnsi="Times New Roman" w:cs="Times New Roman"/>
          <w:color w:val="000000" w:themeColor="text1"/>
        </w:rPr>
      </w:pPr>
    </w:p>
    <w:p w14:paraId="318FC58E" w14:textId="77777777" w:rsidR="001D7D6D" w:rsidRPr="00F0736F" w:rsidRDefault="001D7D6D" w:rsidP="001D7D6D">
      <w:pPr>
        <w:ind w:firstLine="709"/>
        <w:jc w:val="both"/>
        <w:rPr>
          <w:rFonts w:ascii="Times New Roman" w:hAnsi="Times New Roman" w:cs="Times New Roman"/>
          <w:color w:val="000000" w:themeColor="text1"/>
        </w:rPr>
      </w:pPr>
    </w:p>
    <w:p w14:paraId="739AAF0D" w14:textId="77777777" w:rsidR="001D7D6D" w:rsidRPr="00F0736F" w:rsidRDefault="001D7D6D" w:rsidP="001D7D6D">
      <w:pPr>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Твердые бытовые отходы</w:t>
      </w:r>
    </w:p>
    <w:p w14:paraId="103A7718"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 xml:space="preserve">Ежегодно в Казахстане образуется 4,5-5 млн. т. </w:t>
      </w:r>
      <w:r w:rsidRPr="00F0736F">
        <w:rPr>
          <w:rFonts w:ascii="Times New Roman" w:hAnsi="Times New Roman" w:cs="Times New Roman"/>
          <w:b/>
          <w:bCs/>
          <w:color w:val="000000" w:themeColor="text1"/>
        </w:rPr>
        <w:t>твердых бытовых отходов (ТБО)</w:t>
      </w:r>
      <w:r w:rsidRPr="00F0736F">
        <w:rPr>
          <w:rFonts w:ascii="Times New Roman" w:eastAsia="Calibri" w:hAnsi="Times New Roman" w:cs="Times New Roman"/>
          <w:color w:val="000000" w:themeColor="text1"/>
        </w:rPr>
        <w:t xml:space="preserve">. </w:t>
      </w:r>
    </w:p>
    <w:p w14:paraId="2DF78074"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Министерства экологии, геологии и природных ресурсов Республики Казахстан</w:t>
      </w:r>
      <w:r w:rsidRPr="00F0736F">
        <w:rPr>
          <w:rFonts w:ascii="Times New Roman" w:eastAsia="Calibri" w:hAnsi="Times New Roman" w:cs="Times New Roman"/>
          <w:color w:val="000000" w:themeColor="text1"/>
        </w:rPr>
        <w:t xml:space="preserve"> в</w:t>
      </w:r>
      <w:r w:rsidRPr="00F0736F">
        <w:rPr>
          <w:rFonts w:ascii="Times New Roman" w:hAnsi="Times New Roman" w:cs="Times New Roman"/>
          <w:color w:val="000000" w:themeColor="text1"/>
        </w:rPr>
        <w:t xml:space="preserve"> 2019 году в Республике Казахстан всего образовано 4,7 млн. т. ТБО.</w:t>
      </w:r>
    </w:p>
    <w:p w14:paraId="0B07A67B"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сфере обращения с отходами имеются следующие достижения:</w:t>
      </w:r>
    </w:p>
    <w:p w14:paraId="3F8A62F9"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доля переработанных и утилизированных твердых бытовых отходов в 2019 составила 14,9% (таблица 1.5.4.);</w:t>
      </w:r>
    </w:p>
    <w:p w14:paraId="3B03BD54"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услугами по сбору и вывозу отходов обеспечены 72% населения страны, в 2018 году – 72%, а в 2017 году – 68%;</w:t>
      </w:r>
    </w:p>
    <w:p w14:paraId="19831550"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по республике из действовавших в 2019 году 3292 полигонов и свалок экологическим требованиям соответствовали 18,26%. В 2018 году из 3520 полигонов и свалок узаконены 623 (17,7%), а в 2017 году из 3817 – 611 (16%).</w:t>
      </w:r>
    </w:p>
    <w:p w14:paraId="54D550B7"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p>
    <w:p w14:paraId="16864E3B"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1.5.4. Объемы образования и переработки ТБО по регионам РК за 2017-2019 гг.</w:t>
      </w:r>
    </w:p>
    <w:tbl>
      <w:tblPr>
        <w:tblW w:w="9508" w:type="dxa"/>
        <w:tblInd w:w="323" w:type="dxa"/>
        <w:tblLayout w:type="fixed"/>
        <w:tblLook w:val="0000" w:firstRow="0" w:lastRow="0" w:firstColumn="0" w:lastColumn="0" w:noHBand="0" w:noVBand="0"/>
      </w:tblPr>
      <w:tblGrid>
        <w:gridCol w:w="2224"/>
        <w:gridCol w:w="1380"/>
        <w:gridCol w:w="1275"/>
        <w:gridCol w:w="1335"/>
        <w:gridCol w:w="1139"/>
        <w:gridCol w:w="1134"/>
        <w:gridCol w:w="1010"/>
        <w:gridCol w:w="11"/>
      </w:tblGrid>
      <w:tr w:rsidR="001D7D6D" w:rsidRPr="00F0736F" w14:paraId="6820E9CA" w14:textId="77777777" w:rsidTr="00B155C8">
        <w:trPr>
          <w:trHeight w:val="312"/>
        </w:trPr>
        <w:tc>
          <w:tcPr>
            <w:tcW w:w="2224" w:type="dxa"/>
            <w:vMerge w:val="restart"/>
            <w:tcBorders>
              <w:top w:val="single" w:sz="4" w:space="0" w:color="000000"/>
              <w:left w:val="single" w:sz="4" w:space="0" w:color="000000"/>
            </w:tcBorders>
            <w:shd w:val="clear" w:color="auto" w:fill="FFFFFF"/>
            <w:vAlign w:val="bottom"/>
          </w:tcPr>
          <w:p w14:paraId="3973E76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Наименование области, города</w:t>
            </w:r>
          </w:p>
        </w:tc>
        <w:tc>
          <w:tcPr>
            <w:tcW w:w="3990" w:type="dxa"/>
            <w:gridSpan w:val="3"/>
            <w:tcBorders>
              <w:top w:val="single" w:sz="4" w:space="0" w:color="000000"/>
              <w:left w:val="single" w:sz="4" w:space="0" w:color="000000"/>
              <w:bottom w:val="single" w:sz="4" w:space="0" w:color="000000"/>
            </w:tcBorders>
            <w:shd w:val="clear" w:color="auto" w:fill="auto"/>
          </w:tcPr>
          <w:p w14:paraId="2E82311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образ отход (тыс.т.)</w:t>
            </w:r>
          </w:p>
        </w:tc>
        <w:tc>
          <w:tcPr>
            <w:tcW w:w="3294" w:type="dxa"/>
            <w:gridSpan w:val="4"/>
            <w:tcBorders>
              <w:top w:val="single" w:sz="4" w:space="0" w:color="000000"/>
              <w:left w:val="single" w:sz="4" w:space="0" w:color="000000"/>
              <w:bottom w:val="single" w:sz="4" w:space="0" w:color="000000"/>
              <w:right w:val="single" w:sz="4" w:space="0" w:color="000000"/>
            </w:tcBorders>
            <w:shd w:val="clear" w:color="auto" w:fill="auto"/>
          </w:tcPr>
          <w:p w14:paraId="53A1254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Доля переработанных и утилизированных ТБО</w:t>
            </w:r>
          </w:p>
        </w:tc>
      </w:tr>
      <w:tr w:rsidR="001D7D6D" w:rsidRPr="00F0736F" w14:paraId="702B72A0" w14:textId="77777777" w:rsidTr="00B155C8">
        <w:trPr>
          <w:gridAfter w:val="1"/>
          <w:wAfter w:w="11" w:type="dxa"/>
          <w:trHeight w:val="312"/>
        </w:trPr>
        <w:tc>
          <w:tcPr>
            <w:tcW w:w="2224" w:type="dxa"/>
            <w:vMerge/>
            <w:tcBorders>
              <w:top w:val="single" w:sz="4" w:space="0" w:color="000000"/>
              <w:left w:val="single" w:sz="4" w:space="0" w:color="000000"/>
            </w:tcBorders>
            <w:shd w:val="clear" w:color="auto" w:fill="FFFFFF"/>
            <w:vAlign w:val="bottom"/>
          </w:tcPr>
          <w:p w14:paraId="51B5DD06" w14:textId="77777777" w:rsidR="001D7D6D" w:rsidRPr="00F0736F" w:rsidRDefault="001D7D6D" w:rsidP="00B155C8">
            <w:pPr>
              <w:pStyle w:val="affb"/>
              <w:snapToGrid w:val="0"/>
              <w:spacing w:before="0" w:after="0"/>
              <w:jc w:val="both"/>
              <w:rPr>
                <w:rFonts w:ascii="Times New Roman" w:hAnsi="Times New Roman" w:cs="Times New Roman"/>
                <w:color w:val="000000" w:themeColor="text1"/>
                <w:sz w:val="20"/>
                <w:szCs w:val="20"/>
              </w:rPr>
            </w:pPr>
          </w:p>
        </w:tc>
        <w:tc>
          <w:tcPr>
            <w:tcW w:w="1380" w:type="dxa"/>
            <w:tcBorders>
              <w:top w:val="single" w:sz="4" w:space="0" w:color="000000"/>
              <w:left w:val="single" w:sz="4" w:space="0" w:color="000000"/>
              <w:bottom w:val="single" w:sz="4" w:space="0" w:color="000000"/>
            </w:tcBorders>
            <w:shd w:val="clear" w:color="auto" w:fill="auto"/>
          </w:tcPr>
          <w:p w14:paraId="48ED059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за 2017г.</w:t>
            </w:r>
          </w:p>
        </w:tc>
        <w:tc>
          <w:tcPr>
            <w:tcW w:w="1275" w:type="dxa"/>
            <w:tcBorders>
              <w:top w:val="single" w:sz="4" w:space="0" w:color="000000"/>
              <w:left w:val="single" w:sz="4" w:space="0" w:color="000000"/>
              <w:bottom w:val="single" w:sz="4" w:space="0" w:color="000000"/>
            </w:tcBorders>
            <w:shd w:val="clear" w:color="auto" w:fill="auto"/>
          </w:tcPr>
          <w:p w14:paraId="47FB9C70"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за 2018г.</w:t>
            </w:r>
          </w:p>
        </w:tc>
        <w:tc>
          <w:tcPr>
            <w:tcW w:w="1335" w:type="dxa"/>
            <w:tcBorders>
              <w:left w:val="single" w:sz="4" w:space="0" w:color="000000"/>
              <w:bottom w:val="single" w:sz="4" w:space="0" w:color="000000"/>
            </w:tcBorders>
            <w:shd w:val="clear" w:color="auto" w:fill="auto"/>
          </w:tcPr>
          <w:p w14:paraId="1AAD4BD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за 2019г.</w:t>
            </w:r>
          </w:p>
        </w:tc>
        <w:tc>
          <w:tcPr>
            <w:tcW w:w="1139" w:type="dxa"/>
            <w:tcBorders>
              <w:top w:val="single" w:sz="4" w:space="0" w:color="000000"/>
              <w:left w:val="single" w:sz="4" w:space="0" w:color="000000"/>
              <w:bottom w:val="single" w:sz="4" w:space="0" w:color="000000"/>
            </w:tcBorders>
            <w:shd w:val="clear" w:color="auto" w:fill="auto"/>
          </w:tcPr>
          <w:p w14:paraId="0542E760"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2017 г. (%)</w:t>
            </w:r>
          </w:p>
        </w:tc>
        <w:tc>
          <w:tcPr>
            <w:tcW w:w="1134" w:type="dxa"/>
            <w:tcBorders>
              <w:top w:val="single" w:sz="4" w:space="0" w:color="000000"/>
              <w:left w:val="single" w:sz="4" w:space="0" w:color="000000"/>
              <w:bottom w:val="single" w:sz="4" w:space="0" w:color="000000"/>
            </w:tcBorders>
            <w:shd w:val="clear" w:color="auto" w:fill="auto"/>
          </w:tcPr>
          <w:p w14:paraId="72B2FBC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2018 г.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772F4F0"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 г. (%)</w:t>
            </w:r>
          </w:p>
        </w:tc>
      </w:tr>
      <w:tr w:rsidR="001D7D6D" w:rsidRPr="00F0736F" w14:paraId="171BEC8E" w14:textId="77777777" w:rsidTr="00B155C8">
        <w:trPr>
          <w:gridAfter w:val="1"/>
          <w:wAfter w:w="11" w:type="dxa"/>
          <w:trHeight w:val="243"/>
        </w:trPr>
        <w:tc>
          <w:tcPr>
            <w:tcW w:w="2224" w:type="dxa"/>
            <w:tcBorders>
              <w:left w:val="single" w:sz="4" w:space="0" w:color="000000"/>
              <w:bottom w:val="single" w:sz="4" w:space="0" w:color="000000"/>
            </w:tcBorders>
            <w:shd w:val="clear" w:color="auto" w:fill="FFFFFF"/>
            <w:vAlign w:val="bottom"/>
          </w:tcPr>
          <w:p w14:paraId="4DD9635A"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Акмолинская</w:t>
            </w:r>
          </w:p>
        </w:tc>
        <w:tc>
          <w:tcPr>
            <w:tcW w:w="1380" w:type="dxa"/>
            <w:tcBorders>
              <w:top w:val="single" w:sz="4" w:space="0" w:color="000000"/>
              <w:left w:val="single" w:sz="4" w:space="0" w:color="000000"/>
              <w:bottom w:val="single" w:sz="4" w:space="0" w:color="000000"/>
            </w:tcBorders>
            <w:shd w:val="clear" w:color="auto" w:fill="auto"/>
          </w:tcPr>
          <w:p w14:paraId="27C55E0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234 000</w:t>
            </w:r>
          </w:p>
        </w:tc>
        <w:tc>
          <w:tcPr>
            <w:tcW w:w="1275" w:type="dxa"/>
            <w:tcBorders>
              <w:top w:val="single" w:sz="4" w:space="0" w:color="000000"/>
              <w:left w:val="single" w:sz="4" w:space="0" w:color="000000"/>
              <w:bottom w:val="single" w:sz="4" w:space="0" w:color="000000"/>
            </w:tcBorders>
            <w:shd w:val="clear" w:color="auto" w:fill="auto"/>
          </w:tcPr>
          <w:p w14:paraId="59B4B5F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241 000</w:t>
            </w:r>
          </w:p>
        </w:tc>
        <w:tc>
          <w:tcPr>
            <w:tcW w:w="1335" w:type="dxa"/>
            <w:tcBorders>
              <w:top w:val="single" w:sz="4" w:space="0" w:color="000000"/>
              <w:left w:val="single" w:sz="4" w:space="0" w:color="000000"/>
              <w:bottom w:val="single" w:sz="4" w:space="0" w:color="000000"/>
            </w:tcBorders>
            <w:shd w:val="clear" w:color="auto" w:fill="auto"/>
          </w:tcPr>
          <w:p w14:paraId="04B6926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245 000</w:t>
            </w:r>
          </w:p>
        </w:tc>
        <w:tc>
          <w:tcPr>
            <w:tcW w:w="1139" w:type="dxa"/>
            <w:tcBorders>
              <w:left w:val="single" w:sz="4" w:space="0" w:color="000000"/>
              <w:bottom w:val="single" w:sz="4" w:space="0" w:color="000000"/>
            </w:tcBorders>
            <w:shd w:val="clear" w:color="auto" w:fill="auto"/>
            <w:vAlign w:val="center"/>
          </w:tcPr>
          <w:p w14:paraId="6B1AB3E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2,11</w:t>
            </w:r>
          </w:p>
        </w:tc>
        <w:tc>
          <w:tcPr>
            <w:tcW w:w="1134" w:type="dxa"/>
            <w:tcBorders>
              <w:left w:val="single" w:sz="4" w:space="0" w:color="000000"/>
              <w:bottom w:val="single" w:sz="4" w:space="0" w:color="000000"/>
            </w:tcBorders>
            <w:shd w:val="clear" w:color="auto" w:fill="auto"/>
            <w:vAlign w:val="center"/>
          </w:tcPr>
          <w:p w14:paraId="7A73CFB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2,93</w:t>
            </w:r>
          </w:p>
        </w:tc>
        <w:tc>
          <w:tcPr>
            <w:tcW w:w="1010" w:type="dxa"/>
            <w:tcBorders>
              <w:left w:val="single" w:sz="4" w:space="0" w:color="000000"/>
              <w:bottom w:val="single" w:sz="4" w:space="0" w:color="000000"/>
              <w:right w:val="single" w:sz="4" w:space="0" w:color="000000"/>
            </w:tcBorders>
            <w:shd w:val="clear" w:color="auto" w:fill="auto"/>
          </w:tcPr>
          <w:p w14:paraId="47F4D85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3,02</w:t>
            </w:r>
          </w:p>
        </w:tc>
      </w:tr>
      <w:tr w:rsidR="001D7D6D" w:rsidRPr="00F0736F" w14:paraId="0026C61E" w14:textId="77777777" w:rsidTr="00B155C8">
        <w:trPr>
          <w:gridAfter w:val="1"/>
          <w:wAfter w:w="11" w:type="dxa"/>
          <w:trHeight w:val="119"/>
        </w:trPr>
        <w:tc>
          <w:tcPr>
            <w:tcW w:w="2224" w:type="dxa"/>
            <w:tcBorders>
              <w:left w:val="single" w:sz="4" w:space="0" w:color="000000"/>
              <w:bottom w:val="single" w:sz="4" w:space="0" w:color="000000"/>
            </w:tcBorders>
            <w:shd w:val="clear" w:color="auto" w:fill="FFFFFF"/>
            <w:vAlign w:val="bottom"/>
          </w:tcPr>
          <w:p w14:paraId="254EB57D"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Актюбинская</w:t>
            </w:r>
          </w:p>
        </w:tc>
        <w:tc>
          <w:tcPr>
            <w:tcW w:w="1380" w:type="dxa"/>
            <w:tcBorders>
              <w:top w:val="single" w:sz="4" w:space="0" w:color="000000"/>
              <w:left w:val="single" w:sz="4" w:space="0" w:color="000000"/>
              <w:bottom w:val="single" w:sz="4" w:space="0" w:color="000000"/>
            </w:tcBorders>
            <w:shd w:val="clear" w:color="auto" w:fill="auto"/>
          </w:tcPr>
          <w:p w14:paraId="5795553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300 000</w:t>
            </w:r>
          </w:p>
        </w:tc>
        <w:tc>
          <w:tcPr>
            <w:tcW w:w="1275" w:type="dxa"/>
            <w:tcBorders>
              <w:top w:val="single" w:sz="4" w:space="0" w:color="000000"/>
              <w:left w:val="single" w:sz="4" w:space="0" w:color="000000"/>
              <w:bottom w:val="single" w:sz="4" w:space="0" w:color="000000"/>
            </w:tcBorders>
            <w:shd w:val="clear" w:color="auto" w:fill="auto"/>
          </w:tcPr>
          <w:p w14:paraId="16F268BC"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298 600</w:t>
            </w:r>
          </w:p>
        </w:tc>
        <w:tc>
          <w:tcPr>
            <w:tcW w:w="1335" w:type="dxa"/>
            <w:tcBorders>
              <w:top w:val="single" w:sz="4" w:space="0" w:color="000000"/>
              <w:left w:val="single" w:sz="4" w:space="0" w:color="000000"/>
              <w:bottom w:val="single" w:sz="4" w:space="0" w:color="000000"/>
            </w:tcBorders>
            <w:shd w:val="clear" w:color="auto" w:fill="auto"/>
          </w:tcPr>
          <w:p w14:paraId="6CA8BAA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295 600</w:t>
            </w:r>
          </w:p>
        </w:tc>
        <w:tc>
          <w:tcPr>
            <w:tcW w:w="1139" w:type="dxa"/>
            <w:tcBorders>
              <w:left w:val="single" w:sz="4" w:space="0" w:color="000000"/>
              <w:bottom w:val="single" w:sz="4" w:space="0" w:color="000000"/>
            </w:tcBorders>
            <w:shd w:val="clear" w:color="auto" w:fill="auto"/>
            <w:vAlign w:val="center"/>
          </w:tcPr>
          <w:p w14:paraId="200D880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3,51</w:t>
            </w:r>
          </w:p>
        </w:tc>
        <w:tc>
          <w:tcPr>
            <w:tcW w:w="1134" w:type="dxa"/>
            <w:tcBorders>
              <w:left w:val="single" w:sz="4" w:space="0" w:color="000000"/>
              <w:bottom w:val="single" w:sz="4" w:space="0" w:color="000000"/>
            </w:tcBorders>
            <w:shd w:val="clear" w:color="auto" w:fill="auto"/>
            <w:vAlign w:val="center"/>
          </w:tcPr>
          <w:p w14:paraId="4227B1E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11,69</w:t>
            </w:r>
          </w:p>
        </w:tc>
        <w:tc>
          <w:tcPr>
            <w:tcW w:w="1010" w:type="dxa"/>
            <w:tcBorders>
              <w:left w:val="single" w:sz="4" w:space="0" w:color="000000"/>
              <w:bottom w:val="single" w:sz="4" w:space="0" w:color="000000"/>
              <w:right w:val="single" w:sz="4" w:space="0" w:color="000000"/>
            </w:tcBorders>
            <w:shd w:val="clear" w:color="auto" w:fill="auto"/>
          </w:tcPr>
          <w:p w14:paraId="07E1E54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r>
      <w:tr w:rsidR="001D7D6D" w:rsidRPr="00F0736F" w14:paraId="78E85EFB" w14:textId="77777777" w:rsidTr="00B155C8">
        <w:trPr>
          <w:gridAfter w:val="1"/>
          <w:wAfter w:w="11" w:type="dxa"/>
          <w:trHeight w:val="63"/>
        </w:trPr>
        <w:tc>
          <w:tcPr>
            <w:tcW w:w="2224" w:type="dxa"/>
            <w:tcBorders>
              <w:left w:val="single" w:sz="4" w:space="0" w:color="000000"/>
              <w:bottom w:val="single" w:sz="4" w:space="0" w:color="000000"/>
            </w:tcBorders>
            <w:shd w:val="clear" w:color="auto" w:fill="FFFFFF"/>
            <w:vAlign w:val="bottom"/>
          </w:tcPr>
          <w:p w14:paraId="6A8B2C23"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Алматинская</w:t>
            </w:r>
          </w:p>
        </w:tc>
        <w:tc>
          <w:tcPr>
            <w:tcW w:w="1380" w:type="dxa"/>
            <w:tcBorders>
              <w:top w:val="single" w:sz="4" w:space="0" w:color="000000"/>
              <w:left w:val="single" w:sz="4" w:space="0" w:color="000000"/>
              <w:bottom w:val="single" w:sz="4" w:space="0" w:color="000000"/>
            </w:tcBorders>
            <w:shd w:val="clear" w:color="auto" w:fill="auto"/>
          </w:tcPr>
          <w:p w14:paraId="7829203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629 000</w:t>
            </w:r>
          </w:p>
        </w:tc>
        <w:tc>
          <w:tcPr>
            <w:tcW w:w="1275" w:type="dxa"/>
            <w:tcBorders>
              <w:top w:val="single" w:sz="4" w:space="0" w:color="000000"/>
              <w:left w:val="single" w:sz="4" w:space="0" w:color="000000"/>
              <w:bottom w:val="single" w:sz="4" w:space="0" w:color="000000"/>
            </w:tcBorders>
            <w:shd w:val="clear" w:color="auto" w:fill="auto"/>
          </w:tcPr>
          <w:p w14:paraId="5CC6D778"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628 681</w:t>
            </w:r>
          </w:p>
        </w:tc>
        <w:tc>
          <w:tcPr>
            <w:tcW w:w="1335" w:type="dxa"/>
            <w:tcBorders>
              <w:top w:val="single" w:sz="4" w:space="0" w:color="000000"/>
              <w:left w:val="single" w:sz="4" w:space="0" w:color="000000"/>
              <w:bottom w:val="single" w:sz="4" w:space="0" w:color="000000"/>
            </w:tcBorders>
            <w:shd w:val="clear" w:color="auto" w:fill="auto"/>
          </w:tcPr>
          <w:p w14:paraId="5344F4A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624 283</w:t>
            </w:r>
          </w:p>
        </w:tc>
        <w:tc>
          <w:tcPr>
            <w:tcW w:w="1139" w:type="dxa"/>
            <w:tcBorders>
              <w:left w:val="single" w:sz="4" w:space="0" w:color="000000"/>
              <w:bottom w:val="single" w:sz="4" w:space="0" w:color="000000"/>
            </w:tcBorders>
            <w:shd w:val="clear" w:color="auto" w:fill="auto"/>
            <w:vAlign w:val="center"/>
          </w:tcPr>
          <w:p w14:paraId="17699CC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24,77</w:t>
            </w:r>
          </w:p>
        </w:tc>
        <w:tc>
          <w:tcPr>
            <w:tcW w:w="1134" w:type="dxa"/>
            <w:tcBorders>
              <w:left w:val="single" w:sz="4" w:space="0" w:color="000000"/>
              <w:bottom w:val="single" w:sz="4" w:space="0" w:color="000000"/>
            </w:tcBorders>
            <w:shd w:val="clear" w:color="auto" w:fill="auto"/>
            <w:vAlign w:val="center"/>
          </w:tcPr>
          <w:p w14:paraId="49AF70E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27,55</w:t>
            </w:r>
          </w:p>
        </w:tc>
        <w:tc>
          <w:tcPr>
            <w:tcW w:w="1010" w:type="dxa"/>
            <w:tcBorders>
              <w:left w:val="single" w:sz="4" w:space="0" w:color="000000"/>
              <w:bottom w:val="single" w:sz="4" w:space="0" w:color="000000"/>
              <w:right w:val="single" w:sz="4" w:space="0" w:color="000000"/>
            </w:tcBorders>
            <w:shd w:val="clear" w:color="auto" w:fill="auto"/>
          </w:tcPr>
          <w:p w14:paraId="6A8B311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23,28</w:t>
            </w:r>
          </w:p>
        </w:tc>
      </w:tr>
      <w:tr w:rsidR="001D7D6D" w:rsidRPr="00F0736F" w14:paraId="04FE5D25" w14:textId="77777777" w:rsidTr="00B155C8">
        <w:trPr>
          <w:gridAfter w:val="1"/>
          <w:wAfter w:w="11" w:type="dxa"/>
          <w:trHeight w:val="155"/>
        </w:trPr>
        <w:tc>
          <w:tcPr>
            <w:tcW w:w="2224" w:type="dxa"/>
            <w:tcBorders>
              <w:left w:val="single" w:sz="4" w:space="0" w:color="000000"/>
              <w:bottom w:val="single" w:sz="4" w:space="0" w:color="000000"/>
            </w:tcBorders>
            <w:shd w:val="clear" w:color="auto" w:fill="FFFFFF"/>
            <w:vAlign w:val="bottom"/>
          </w:tcPr>
          <w:p w14:paraId="0590B288"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Атырауская</w:t>
            </w:r>
          </w:p>
        </w:tc>
        <w:tc>
          <w:tcPr>
            <w:tcW w:w="1380" w:type="dxa"/>
            <w:tcBorders>
              <w:top w:val="single" w:sz="4" w:space="0" w:color="000000"/>
              <w:left w:val="single" w:sz="4" w:space="0" w:color="000000"/>
              <w:bottom w:val="single" w:sz="4" w:space="0" w:color="000000"/>
            </w:tcBorders>
            <w:shd w:val="clear" w:color="auto" w:fill="auto"/>
          </w:tcPr>
          <w:p w14:paraId="1B1DBBE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72 458</w:t>
            </w:r>
          </w:p>
        </w:tc>
        <w:tc>
          <w:tcPr>
            <w:tcW w:w="1275" w:type="dxa"/>
            <w:tcBorders>
              <w:top w:val="single" w:sz="4" w:space="0" w:color="000000"/>
              <w:left w:val="single" w:sz="4" w:space="0" w:color="000000"/>
              <w:bottom w:val="single" w:sz="4" w:space="0" w:color="000000"/>
            </w:tcBorders>
            <w:shd w:val="clear" w:color="auto" w:fill="auto"/>
          </w:tcPr>
          <w:p w14:paraId="5EBDBAF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207 798</w:t>
            </w:r>
          </w:p>
        </w:tc>
        <w:tc>
          <w:tcPr>
            <w:tcW w:w="1335" w:type="dxa"/>
            <w:tcBorders>
              <w:top w:val="single" w:sz="4" w:space="0" w:color="000000"/>
              <w:left w:val="single" w:sz="4" w:space="0" w:color="000000"/>
              <w:bottom w:val="single" w:sz="4" w:space="0" w:color="000000"/>
            </w:tcBorders>
            <w:shd w:val="clear" w:color="auto" w:fill="auto"/>
          </w:tcPr>
          <w:p w14:paraId="2FB9BAB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191 720</w:t>
            </w:r>
          </w:p>
        </w:tc>
        <w:tc>
          <w:tcPr>
            <w:tcW w:w="1139" w:type="dxa"/>
            <w:tcBorders>
              <w:left w:val="single" w:sz="4" w:space="0" w:color="000000"/>
              <w:bottom w:val="single" w:sz="4" w:space="0" w:color="000000"/>
            </w:tcBorders>
            <w:shd w:val="clear" w:color="auto" w:fill="auto"/>
            <w:vAlign w:val="center"/>
          </w:tcPr>
          <w:p w14:paraId="033BFDE8"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44,33</w:t>
            </w:r>
          </w:p>
        </w:tc>
        <w:tc>
          <w:tcPr>
            <w:tcW w:w="1134" w:type="dxa"/>
            <w:tcBorders>
              <w:left w:val="single" w:sz="4" w:space="0" w:color="000000"/>
              <w:bottom w:val="single" w:sz="4" w:space="0" w:color="000000"/>
            </w:tcBorders>
            <w:shd w:val="clear" w:color="auto" w:fill="auto"/>
            <w:vAlign w:val="center"/>
          </w:tcPr>
          <w:p w14:paraId="2F886C7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1,69</w:t>
            </w:r>
          </w:p>
        </w:tc>
        <w:tc>
          <w:tcPr>
            <w:tcW w:w="1010" w:type="dxa"/>
            <w:tcBorders>
              <w:left w:val="single" w:sz="4" w:space="0" w:color="000000"/>
              <w:bottom w:val="single" w:sz="4" w:space="0" w:color="000000"/>
              <w:right w:val="single" w:sz="4" w:space="0" w:color="000000"/>
            </w:tcBorders>
            <w:shd w:val="clear" w:color="auto" w:fill="auto"/>
          </w:tcPr>
          <w:p w14:paraId="1FB52FF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10,44</w:t>
            </w:r>
          </w:p>
        </w:tc>
      </w:tr>
      <w:tr w:rsidR="001D7D6D" w:rsidRPr="00F0736F" w14:paraId="79935B56" w14:textId="77777777" w:rsidTr="00B155C8">
        <w:trPr>
          <w:gridAfter w:val="1"/>
          <w:wAfter w:w="11" w:type="dxa"/>
          <w:trHeight w:val="63"/>
        </w:trPr>
        <w:tc>
          <w:tcPr>
            <w:tcW w:w="2224" w:type="dxa"/>
            <w:tcBorders>
              <w:left w:val="single" w:sz="4" w:space="0" w:color="000000"/>
              <w:bottom w:val="single" w:sz="4" w:space="0" w:color="000000"/>
            </w:tcBorders>
            <w:shd w:val="clear" w:color="auto" w:fill="FFFFFF"/>
            <w:vAlign w:val="bottom"/>
          </w:tcPr>
          <w:p w14:paraId="2D480752"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ВКО</w:t>
            </w:r>
          </w:p>
        </w:tc>
        <w:tc>
          <w:tcPr>
            <w:tcW w:w="1380" w:type="dxa"/>
            <w:tcBorders>
              <w:top w:val="single" w:sz="4" w:space="0" w:color="000000"/>
              <w:left w:val="single" w:sz="4" w:space="0" w:color="000000"/>
              <w:bottom w:val="single" w:sz="4" w:space="0" w:color="000000"/>
            </w:tcBorders>
            <w:shd w:val="clear" w:color="auto" w:fill="auto"/>
          </w:tcPr>
          <w:p w14:paraId="3F4D951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180 365</w:t>
            </w:r>
          </w:p>
        </w:tc>
        <w:tc>
          <w:tcPr>
            <w:tcW w:w="1275" w:type="dxa"/>
            <w:tcBorders>
              <w:top w:val="single" w:sz="4" w:space="0" w:color="000000"/>
              <w:left w:val="single" w:sz="4" w:space="0" w:color="000000"/>
              <w:bottom w:val="single" w:sz="4" w:space="0" w:color="000000"/>
            </w:tcBorders>
            <w:shd w:val="clear" w:color="auto" w:fill="auto"/>
          </w:tcPr>
          <w:p w14:paraId="1E5CF44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183 550</w:t>
            </w:r>
          </w:p>
        </w:tc>
        <w:tc>
          <w:tcPr>
            <w:tcW w:w="1335" w:type="dxa"/>
            <w:tcBorders>
              <w:top w:val="single" w:sz="4" w:space="0" w:color="000000"/>
              <w:left w:val="single" w:sz="4" w:space="0" w:color="000000"/>
              <w:bottom w:val="single" w:sz="4" w:space="0" w:color="000000"/>
            </w:tcBorders>
            <w:shd w:val="clear" w:color="auto" w:fill="auto"/>
          </w:tcPr>
          <w:p w14:paraId="6F13799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164 680</w:t>
            </w:r>
          </w:p>
        </w:tc>
        <w:tc>
          <w:tcPr>
            <w:tcW w:w="1139" w:type="dxa"/>
            <w:tcBorders>
              <w:left w:val="single" w:sz="4" w:space="0" w:color="000000"/>
              <w:bottom w:val="single" w:sz="4" w:space="0" w:color="000000"/>
            </w:tcBorders>
            <w:shd w:val="clear" w:color="auto" w:fill="auto"/>
            <w:vAlign w:val="center"/>
          </w:tcPr>
          <w:p w14:paraId="592B979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3,17</w:t>
            </w:r>
          </w:p>
        </w:tc>
        <w:tc>
          <w:tcPr>
            <w:tcW w:w="1134" w:type="dxa"/>
            <w:tcBorders>
              <w:left w:val="single" w:sz="4" w:space="0" w:color="000000"/>
              <w:bottom w:val="single" w:sz="4" w:space="0" w:color="000000"/>
            </w:tcBorders>
            <w:shd w:val="clear" w:color="auto" w:fill="auto"/>
            <w:vAlign w:val="center"/>
          </w:tcPr>
          <w:p w14:paraId="7863C66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4,84</w:t>
            </w:r>
          </w:p>
        </w:tc>
        <w:tc>
          <w:tcPr>
            <w:tcW w:w="1010" w:type="dxa"/>
            <w:tcBorders>
              <w:left w:val="single" w:sz="4" w:space="0" w:color="000000"/>
              <w:bottom w:val="single" w:sz="4" w:space="0" w:color="000000"/>
              <w:right w:val="single" w:sz="4" w:space="0" w:color="000000"/>
            </w:tcBorders>
            <w:shd w:val="clear" w:color="auto" w:fill="auto"/>
          </w:tcPr>
          <w:p w14:paraId="26BE9CD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3,28</w:t>
            </w:r>
          </w:p>
        </w:tc>
      </w:tr>
      <w:tr w:rsidR="001D7D6D" w:rsidRPr="00F0736F" w14:paraId="29394ABA" w14:textId="77777777" w:rsidTr="00B155C8">
        <w:trPr>
          <w:gridAfter w:val="1"/>
          <w:wAfter w:w="11" w:type="dxa"/>
          <w:trHeight w:val="312"/>
        </w:trPr>
        <w:tc>
          <w:tcPr>
            <w:tcW w:w="2224" w:type="dxa"/>
            <w:tcBorders>
              <w:left w:val="single" w:sz="4" w:space="0" w:color="000000"/>
              <w:bottom w:val="single" w:sz="4" w:space="0" w:color="000000"/>
            </w:tcBorders>
            <w:shd w:val="clear" w:color="auto" w:fill="FFFFFF"/>
            <w:vAlign w:val="bottom"/>
          </w:tcPr>
          <w:p w14:paraId="2523E8C8"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Жамбылская</w:t>
            </w:r>
          </w:p>
        </w:tc>
        <w:tc>
          <w:tcPr>
            <w:tcW w:w="1380" w:type="dxa"/>
            <w:tcBorders>
              <w:top w:val="single" w:sz="4" w:space="0" w:color="000000"/>
              <w:left w:val="single" w:sz="4" w:space="0" w:color="000000"/>
              <w:bottom w:val="single" w:sz="4" w:space="0" w:color="000000"/>
            </w:tcBorders>
            <w:shd w:val="clear" w:color="auto" w:fill="auto"/>
          </w:tcPr>
          <w:p w14:paraId="6DA601E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74 959</w:t>
            </w:r>
          </w:p>
        </w:tc>
        <w:tc>
          <w:tcPr>
            <w:tcW w:w="1275" w:type="dxa"/>
            <w:tcBorders>
              <w:top w:val="single" w:sz="4" w:space="0" w:color="000000"/>
              <w:left w:val="single" w:sz="4" w:space="0" w:color="000000"/>
              <w:bottom w:val="single" w:sz="4" w:space="0" w:color="000000"/>
            </w:tcBorders>
            <w:shd w:val="clear" w:color="auto" w:fill="auto"/>
          </w:tcPr>
          <w:p w14:paraId="14A4763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95 691</w:t>
            </w:r>
          </w:p>
        </w:tc>
        <w:tc>
          <w:tcPr>
            <w:tcW w:w="1335" w:type="dxa"/>
            <w:tcBorders>
              <w:top w:val="single" w:sz="4" w:space="0" w:color="000000"/>
              <w:left w:val="single" w:sz="4" w:space="0" w:color="000000"/>
              <w:bottom w:val="single" w:sz="4" w:space="0" w:color="000000"/>
            </w:tcBorders>
            <w:shd w:val="clear" w:color="auto" w:fill="auto"/>
          </w:tcPr>
          <w:p w14:paraId="0458719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80 935</w:t>
            </w:r>
          </w:p>
        </w:tc>
        <w:tc>
          <w:tcPr>
            <w:tcW w:w="1139" w:type="dxa"/>
            <w:tcBorders>
              <w:left w:val="single" w:sz="4" w:space="0" w:color="000000"/>
              <w:bottom w:val="single" w:sz="4" w:space="0" w:color="000000"/>
            </w:tcBorders>
            <w:shd w:val="clear" w:color="auto" w:fill="auto"/>
            <w:vAlign w:val="center"/>
          </w:tcPr>
          <w:p w14:paraId="500AF550"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3,47</w:t>
            </w:r>
          </w:p>
        </w:tc>
        <w:tc>
          <w:tcPr>
            <w:tcW w:w="1134" w:type="dxa"/>
            <w:tcBorders>
              <w:left w:val="single" w:sz="4" w:space="0" w:color="000000"/>
              <w:bottom w:val="single" w:sz="4" w:space="0" w:color="000000"/>
            </w:tcBorders>
            <w:shd w:val="clear" w:color="auto" w:fill="auto"/>
            <w:vAlign w:val="center"/>
          </w:tcPr>
          <w:p w14:paraId="4F71EC2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3,11</w:t>
            </w:r>
          </w:p>
        </w:tc>
        <w:tc>
          <w:tcPr>
            <w:tcW w:w="1010" w:type="dxa"/>
            <w:tcBorders>
              <w:left w:val="single" w:sz="4" w:space="0" w:color="000000"/>
              <w:bottom w:val="single" w:sz="4" w:space="0" w:color="000000"/>
              <w:right w:val="single" w:sz="4" w:space="0" w:color="000000"/>
            </w:tcBorders>
            <w:shd w:val="clear" w:color="auto" w:fill="auto"/>
          </w:tcPr>
          <w:p w14:paraId="607CA7AC"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8,53</w:t>
            </w:r>
          </w:p>
        </w:tc>
      </w:tr>
      <w:tr w:rsidR="001D7D6D" w:rsidRPr="00F0736F" w14:paraId="0921D107" w14:textId="77777777" w:rsidTr="00B155C8">
        <w:trPr>
          <w:gridAfter w:val="1"/>
          <w:wAfter w:w="11" w:type="dxa"/>
          <w:trHeight w:val="140"/>
        </w:trPr>
        <w:tc>
          <w:tcPr>
            <w:tcW w:w="2224" w:type="dxa"/>
            <w:tcBorders>
              <w:left w:val="single" w:sz="4" w:space="0" w:color="000000"/>
              <w:bottom w:val="single" w:sz="4" w:space="0" w:color="000000"/>
            </w:tcBorders>
            <w:shd w:val="clear" w:color="auto" w:fill="FFFFFF"/>
            <w:vAlign w:val="bottom"/>
          </w:tcPr>
          <w:p w14:paraId="15F481DD"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ЗКО</w:t>
            </w:r>
          </w:p>
        </w:tc>
        <w:tc>
          <w:tcPr>
            <w:tcW w:w="1380" w:type="dxa"/>
            <w:tcBorders>
              <w:top w:val="single" w:sz="4" w:space="0" w:color="000000"/>
              <w:left w:val="single" w:sz="4" w:space="0" w:color="000000"/>
              <w:bottom w:val="single" w:sz="4" w:space="0" w:color="000000"/>
            </w:tcBorders>
            <w:shd w:val="clear" w:color="auto" w:fill="auto"/>
          </w:tcPr>
          <w:p w14:paraId="6026A8E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105 000</w:t>
            </w:r>
          </w:p>
        </w:tc>
        <w:tc>
          <w:tcPr>
            <w:tcW w:w="1275" w:type="dxa"/>
            <w:tcBorders>
              <w:top w:val="single" w:sz="4" w:space="0" w:color="000000"/>
              <w:left w:val="single" w:sz="4" w:space="0" w:color="000000"/>
              <w:bottom w:val="single" w:sz="4" w:space="0" w:color="000000"/>
            </w:tcBorders>
            <w:shd w:val="clear" w:color="auto" w:fill="auto"/>
          </w:tcPr>
          <w:p w14:paraId="462B0A9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108 111</w:t>
            </w:r>
          </w:p>
        </w:tc>
        <w:tc>
          <w:tcPr>
            <w:tcW w:w="1335" w:type="dxa"/>
            <w:tcBorders>
              <w:top w:val="single" w:sz="4" w:space="0" w:color="000000"/>
              <w:left w:val="single" w:sz="4" w:space="0" w:color="000000"/>
              <w:bottom w:val="single" w:sz="4" w:space="0" w:color="000000"/>
            </w:tcBorders>
            <w:shd w:val="clear" w:color="auto" w:fill="auto"/>
          </w:tcPr>
          <w:p w14:paraId="7C42778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107 000</w:t>
            </w:r>
          </w:p>
        </w:tc>
        <w:tc>
          <w:tcPr>
            <w:tcW w:w="1139" w:type="dxa"/>
            <w:tcBorders>
              <w:left w:val="single" w:sz="4" w:space="0" w:color="000000"/>
              <w:bottom w:val="single" w:sz="4" w:space="0" w:color="000000"/>
            </w:tcBorders>
            <w:shd w:val="clear" w:color="auto" w:fill="auto"/>
            <w:vAlign w:val="center"/>
          </w:tcPr>
          <w:p w14:paraId="1CEF8D98"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2,17</w:t>
            </w:r>
          </w:p>
        </w:tc>
        <w:tc>
          <w:tcPr>
            <w:tcW w:w="1134" w:type="dxa"/>
            <w:tcBorders>
              <w:left w:val="single" w:sz="4" w:space="0" w:color="000000"/>
              <w:bottom w:val="single" w:sz="4" w:space="0" w:color="000000"/>
            </w:tcBorders>
            <w:shd w:val="clear" w:color="auto" w:fill="auto"/>
            <w:vAlign w:val="center"/>
          </w:tcPr>
          <w:p w14:paraId="2D17D24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5,28</w:t>
            </w:r>
          </w:p>
        </w:tc>
        <w:tc>
          <w:tcPr>
            <w:tcW w:w="1010" w:type="dxa"/>
            <w:tcBorders>
              <w:left w:val="single" w:sz="4" w:space="0" w:color="000000"/>
              <w:bottom w:val="single" w:sz="4" w:space="0" w:color="000000"/>
              <w:right w:val="single" w:sz="4" w:space="0" w:color="000000"/>
            </w:tcBorders>
            <w:shd w:val="clear" w:color="auto" w:fill="auto"/>
          </w:tcPr>
          <w:p w14:paraId="05EA509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8,6</w:t>
            </w:r>
          </w:p>
        </w:tc>
      </w:tr>
      <w:tr w:rsidR="001D7D6D" w:rsidRPr="00F0736F" w14:paraId="0CDA1243" w14:textId="77777777" w:rsidTr="00B155C8">
        <w:trPr>
          <w:gridAfter w:val="1"/>
          <w:wAfter w:w="11" w:type="dxa"/>
          <w:trHeight w:val="171"/>
        </w:trPr>
        <w:tc>
          <w:tcPr>
            <w:tcW w:w="2224" w:type="dxa"/>
            <w:tcBorders>
              <w:left w:val="single" w:sz="4" w:space="0" w:color="000000"/>
              <w:bottom w:val="single" w:sz="4" w:space="0" w:color="000000"/>
            </w:tcBorders>
            <w:shd w:val="clear" w:color="auto" w:fill="FFFFFF"/>
            <w:vAlign w:val="bottom"/>
          </w:tcPr>
          <w:p w14:paraId="715CA0CD"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Карагандинская</w:t>
            </w:r>
          </w:p>
        </w:tc>
        <w:tc>
          <w:tcPr>
            <w:tcW w:w="1380" w:type="dxa"/>
            <w:tcBorders>
              <w:top w:val="single" w:sz="4" w:space="0" w:color="000000"/>
              <w:left w:val="single" w:sz="4" w:space="0" w:color="000000"/>
              <w:bottom w:val="single" w:sz="4" w:space="0" w:color="000000"/>
            </w:tcBorders>
            <w:shd w:val="clear" w:color="auto" w:fill="auto"/>
          </w:tcPr>
          <w:p w14:paraId="0991DF9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654 640</w:t>
            </w:r>
          </w:p>
        </w:tc>
        <w:tc>
          <w:tcPr>
            <w:tcW w:w="1275" w:type="dxa"/>
            <w:tcBorders>
              <w:top w:val="single" w:sz="4" w:space="0" w:color="000000"/>
              <w:left w:val="single" w:sz="4" w:space="0" w:color="000000"/>
              <w:bottom w:val="single" w:sz="4" w:space="0" w:color="000000"/>
            </w:tcBorders>
            <w:shd w:val="clear" w:color="auto" w:fill="auto"/>
          </w:tcPr>
          <w:p w14:paraId="3C3AAAB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651 300</w:t>
            </w:r>
          </w:p>
        </w:tc>
        <w:tc>
          <w:tcPr>
            <w:tcW w:w="1335" w:type="dxa"/>
            <w:tcBorders>
              <w:top w:val="single" w:sz="4" w:space="0" w:color="000000"/>
              <w:left w:val="single" w:sz="4" w:space="0" w:color="000000"/>
              <w:bottom w:val="single" w:sz="4" w:space="0" w:color="000000"/>
            </w:tcBorders>
            <w:shd w:val="clear" w:color="auto" w:fill="auto"/>
          </w:tcPr>
          <w:p w14:paraId="31B3538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660 000</w:t>
            </w:r>
          </w:p>
        </w:tc>
        <w:tc>
          <w:tcPr>
            <w:tcW w:w="1139" w:type="dxa"/>
            <w:tcBorders>
              <w:left w:val="single" w:sz="4" w:space="0" w:color="000000"/>
              <w:bottom w:val="single" w:sz="4" w:space="0" w:color="000000"/>
            </w:tcBorders>
            <w:shd w:val="clear" w:color="auto" w:fill="auto"/>
            <w:vAlign w:val="center"/>
          </w:tcPr>
          <w:p w14:paraId="4797DB8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13,96</w:t>
            </w:r>
          </w:p>
        </w:tc>
        <w:tc>
          <w:tcPr>
            <w:tcW w:w="1134" w:type="dxa"/>
            <w:tcBorders>
              <w:left w:val="single" w:sz="4" w:space="0" w:color="000000"/>
              <w:bottom w:val="single" w:sz="4" w:space="0" w:color="000000"/>
            </w:tcBorders>
            <w:shd w:val="clear" w:color="auto" w:fill="auto"/>
            <w:vAlign w:val="center"/>
          </w:tcPr>
          <w:p w14:paraId="27CD851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16,39</w:t>
            </w:r>
          </w:p>
        </w:tc>
        <w:tc>
          <w:tcPr>
            <w:tcW w:w="1010" w:type="dxa"/>
            <w:tcBorders>
              <w:left w:val="single" w:sz="4" w:space="0" w:color="000000"/>
              <w:bottom w:val="single" w:sz="4" w:space="0" w:color="000000"/>
              <w:right w:val="single" w:sz="4" w:space="0" w:color="000000"/>
            </w:tcBorders>
            <w:shd w:val="clear" w:color="auto" w:fill="auto"/>
          </w:tcPr>
          <w:p w14:paraId="12777BE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17,42</w:t>
            </w:r>
          </w:p>
        </w:tc>
      </w:tr>
      <w:tr w:rsidR="001D7D6D" w:rsidRPr="00F0736F" w14:paraId="4F4B2302" w14:textId="77777777" w:rsidTr="00B155C8">
        <w:trPr>
          <w:gridAfter w:val="1"/>
          <w:wAfter w:w="11" w:type="dxa"/>
          <w:trHeight w:val="133"/>
        </w:trPr>
        <w:tc>
          <w:tcPr>
            <w:tcW w:w="2224" w:type="dxa"/>
            <w:tcBorders>
              <w:left w:val="single" w:sz="4" w:space="0" w:color="000000"/>
              <w:bottom w:val="single" w:sz="4" w:space="0" w:color="000000"/>
            </w:tcBorders>
            <w:shd w:val="clear" w:color="auto" w:fill="FFFFFF"/>
            <w:vAlign w:val="bottom"/>
          </w:tcPr>
          <w:p w14:paraId="24FB3BAE"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Костанайская</w:t>
            </w:r>
          </w:p>
        </w:tc>
        <w:tc>
          <w:tcPr>
            <w:tcW w:w="1380" w:type="dxa"/>
            <w:tcBorders>
              <w:top w:val="single" w:sz="4" w:space="0" w:color="000000"/>
              <w:left w:val="single" w:sz="4" w:space="0" w:color="000000"/>
              <w:bottom w:val="single" w:sz="4" w:space="0" w:color="000000"/>
            </w:tcBorders>
            <w:shd w:val="clear" w:color="auto" w:fill="auto"/>
          </w:tcPr>
          <w:p w14:paraId="552D438C"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435 000</w:t>
            </w:r>
          </w:p>
        </w:tc>
        <w:tc>
          <w:tcPr>
            <w:tcW w:w="1275" w:type="dxa"/>
            <w:tcBorders>
              <w:top w:val="single" w:sz="4" w:space="0" w:color="000000"/>
              <w:left w:val="single" w:sz="4" w:space="0" w:color="000000"/>
              <w:bottom w:val="single" w:sz="4" w:space="0" w:color="000000"/>
            </w:tcBorders>
            <w:shd w:val="clear" w:color="auto" w:fill="auto"/>
          </w:tcPr>
          <w:p w14:paraId="44853AA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250 000</w:t>
            </w:r>
          </w:p>
        </w:tc>
        <w:tc>
          <w:tcPr>
            <w:tcW w:w="1335" w:type="dxa"/>
            <w:tcBorders>
              <w:top w:val="single" w:sz="4" w:space="0" w:color="000000"/>
              <w:left w:val="single" w:sz="4" w:space="0" w:color="000000"/>
              <w:bottom w:val="single" w:sz="4" w:space="0" w:color="000000"/>
            </w:tcBorders>
            <w:shd w:val="clear" w:color="auto" w:fill="auto"/>
          </w:tcPr>
          <w:p w14:paraId="462929D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216 700</w:t>
            </w:r>
          </w:p>
        </w:tc>
        <w:tc>
          <w:tcPr>
            <w:tcW w:w="1139" w:type="dxa"/>
            <w:tcBorders>
              <w:left w:val="single" w:sz="4" w:space="0" w:color="000000"/>
              <w:bottom w:val="single" w:sz="4" w:space="0" w:color="000000"/>
            </w:tcBorders>
            <w:shd w:val="clear" w:color="auto" w:fill="auto"/>
            <w:vAlign w:val="center"/>
          </w:tcPr>
          <w:p w14:paraId="3436BD8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0,93</w:t>
            </w:r>
          </w:p>
        </w:tc>
        <w:tc>
          <w:tcPr>
            <w:tcW w:w="1134" w:type="dxa"/>
            <w:tcBorders>
              <w:left w:val="single" w:sz="4" w:space="0" w:color="000000"/>
              <w:bottom w:val="single" w:sz="4" w:space="0" w:color="000000"/>
            </w:tcBorders>
            <w:shd w:val="clear" w:color="auto" w:fill="auto"/>
            <w:vAlign w:val="center"/>
          </w:tcPr>
          <w:p w14:paraId="331296A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9,65</w:t>
            </w:r>
          </w:p>
        </w:tc>
        <w:tc>
          <w:tcPr>
            <w:tcW w:w="1010" w:type="dxa"/>
            <w:tcBorders>
              <w:left w:val="single" w:sz="4" w:space="0" w:color="000000"/>
              <w:bottom w:val="single" w:sz="4" w:space="0" w:color="000000"/>
              <w:right w:val="single" w:sz="4" w:space="0" w:color="000000"/>
            </w:tcBorders>
            <w:shd w:val="clear" w:color="auto" w:fill="auto"/>
          </w:tcPr>
          <w:p w14:paraId="6B2A42A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10,3</w:t>
            </w:r>
          </w:p>
        </w:tc>
      </w:tr>
      <w:tr w:rsidR="001D7D6D" w:rsidRPr="00F0736F" w14:paraId="07C1A2E4" w14:textId="77777777" w:rsidTr="00B155C8">
        <w:trPr>
          <w:gridAfter w:val="1"/>
          <w:wAfter w:w="11" w:type="dxa"/>
          <w:trHeight w:val="79"/>
        </w:trPr>
        <w:tc>
          <w:tcPr>
            <w:tcW w:w="2224" w:type="dxa"/>
            <w:tcBorders>
              <w:left w:val="single" w:sz="4" w:space="0" w:color="000000"/>
              <w:bottom w:val="single" w:sz="4" w:space="0" w:color="000000"/>
            </w:tcBorders>
            <w:shd w:val="clear" w:color="auto" w:fill="FFFFFF"/>
            <w:vAlign w:val="bottom"/>
          </w:tcPr>
          <w:p w14:paraId="108ADBC5"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Кызылординская</w:t>
            </w:r>
          </w:p>
        </w:tc>
        <w:tc>
          <w:tcPr>
            <w:tcW w:w="1380" w:type="dxa"/>
            <w:tcBorders>
              <w:top w:val="single" w:sz="4" w:space="0" w:color="000000"/>
              <w:left w:val="single" w:sz="4" w:space="0" w:color="000000"/>
              <w:bottom w:val="single" w:sz="4" w:space="0" w:color="000000"/>
            </w:tcBorders>
            <w:shd w:val="clear" w:color="auto" w:fill="auto"/>
          </w:tcPr>
          <w:p w14:paraId="3A1DD87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148 000</w:t>
            </w:r>
          </w:p>
        </w:tc>
        <w:tc>
          <w:tcPr>
            <w:tcW w:w="1275" w:type="dxa"/>
            <w:tcBorders>
              <w:top w:val="single" w:sz="4" w:space="0" w:color="000000"/>
              <w:left w:val="single" w:sz="4" w:space="0" w:color="000000"/>
              <w:bottom w:val="single" w:sz="4" w:space="0" w:color="000000"/>
            </w:tcBorders>
            <w:shd w:val="clear" w:color="auto" w:fill="auto"/>
          </w:tcPr>
          <w:p w14:paraId="2605A35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147 000</w:t>
            </w:r>
          </w:p>
        </w:tc>
        <w:tc>
          <w:tcPr>
            <w:tcW w:w="1335" w:type="dxa"/>
            <w:tcBorders>
              <w:top w:val="single" w:sz="4" w:space="0" w:color="000000"/>
              <w:left w:val="single" w:sz="4" w:space="0" w:color="000000"/>
              <w:bottom w:val="single" w:sz="4" w:space="0" w:color="000000"/>
            </w:tcBorders>
            <w:shd w:val="clear" w:color="auto" w:fill="auto"/>
          </w:tcPr>
          <w:p w14:paraId="4158529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122 000</w:t>
            </w:r>
          </w:p>
        </w:tc>
        <w:tc>
          <w:tcPr>
            <w:tcW w:w="1139" w:type="dxa"/>
            <w:tcBorders>
              <w:left w:val="single" w:sz="4" w:space="0" w:color="000000"/>
              <w:bottom w:val="single" w:sz="4" w:space="0" w:color="000000"/>
            </w:tcBorders>
            <w:shd w:val="clear" w:color="auto" w:fill="auto"/>
            <w:vAlign w:val="center"/>
          </w:tcPr>
          <w:p w14:paraId="74645838"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8,13</w:t>
            </w:r>
          </w:p>
        </w:tc>
        <w:tc>
          <w:tcPr>
            <w:tcW w:w="1134" w:type="dxa"/>
            <w:tcBorders>
              <w:left w:val="single" w:sz="4" w:space="0" w:color="000000"/>
              <w:bottom w:val="single" w:sz="4" w:space="0" w:color="000000"/>
            </w:tcBorders>
            <w:shd w:val="clear" w:color="auto" w:fill="auto"/>
            <w:vAlign w:val="center"/>
          </w:tcPr>
          <w:p w14:paraId="48994A7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7,42</w:t>
            </w:r>
          </w:p>
        </w:tc>
        <w:tc>
          <w:tcPr>
            <w:tcW w:w="1010" w:type="dxa"/>
            <w:tcBorders>
              <w:left w:val="single" w:sz="4" w:space="0" w:color="000000"/>
              <w:bottom w:val="single" w:sz="4" w:space="0" w:color="000000"/>
              <w:right w:val="single" w:sz="4" w:space="0" w:color="000000"/>
            </w:tcBorders>
            <w:shd w:val="clear" w:color="auto" w:fill="auto"/>
          </w:tcPr>
          <w:p w14:paraId="3BCB77D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10,78</w:t>
            </w:r>
          </w:p>
        </w:tc>
      </w:tr>
      <w:tr w:rsidR="001D7D6D" w:rsidRPr="00F0736F" w14:paraId="1DE3F2BB" w14:textId="77777777" w:rsidTr="00B155C8">
        <w:trPr>
          <w:gridAfter w:val="1"/>
          <w:wAfter w:w="11" w:type="dxa"/>
          <w:trHeight w:val="97"/>
        </w:trPr>
        <w:tc>
          <w:tcPr>
            <w:tcW w:w="2224" w:type="dxa"/>
            <w:tcBorders>
              <w:left w:val="single" w:sz="4" w:space="0" w:color="000000"/>
              <w:bottom w:val="single" w:sz="4" w:space="0" w:color="000000"/>
            </w:tcBorders>
            <w:shd w:val="clear" w:color="auto" w:fill="FFFFFF"/>
            <w:vAlign w:val="bottom"/>
          </w:tcPr>
          <w:p w14:paraId="2A92BD40"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Мангистауская</w:t>
            </w:r>
          </w:p>
        </w:tc>
        <w:tc>
          <w:tcPr>
            <w:tcW w:w="1380" w:type="dxa"/>
            <w:tcBorders>
              <w:top w:val="single" w:sz="4" w:space="0" w:color="000000"/>
              <w:left w:val="single" w:sz="4" w:space="0" w:color="000000"/>
              <w:bottom w:val="single" w:sz="4" w:space="0" w:color="000000"/>
            </w:tcBorders>
            <w:shd w:val="clear" w:color="auto" w:fill="auto"/>
          </w:tcPr>
          <w:p w14:paraId="5A73117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190 100</w:t>
            </w:r>
          </w:p>
        </w:tc>
        <w:tc>
          <w:tcPr>
            <w:tcW w:w="1275" w:type="dxa"/>
            <w:tcBorders>
              <w:top w:val="single" w:sz="4" w:space="0" w:color="000000"/>
              <w:left w:val="single" w:sz="4" w:space="0" w:color="000000"/>
              <w:bottom w:val="single" w:sz="4" w:space="0" w:color="000000"/>
            </w:tcBorders>
            <w:shd w:val="clear" w:color="auto" w:fill="auto"/>
          </w:tcPr>
          <w:p w14:paraId="0B7224E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182 323</w:t>
            </w:r>
          </w:p>
        </w:tc>
        <w:tc>
          <w:tcPr>
            <w:tcW w:w="1335" w:type="dxa"/>
            <w:tcBorders>
              <w:top w:val="single" w:sz="4" w:space="0" w:color="000000"/>
              <w:left w:val="single" w:sz="4" w:space="0" w:color="000000"/>
              <w:bottom w:val="single" w:sz="4" w:space="0" w:color="000000"/>
            </w:tcBorders>
            <w:shd w:val="clear" w:color="auto" w:fill="auto"/>
          </w:tcPr>
          <w:p w14:paraId="34FE728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188 285</w:t>
            </w:r>
          </w:p>
        </w:tc>
        <w:tc>
          <w:tcPr>
            <w:tcW w:w="1139" w:type="dxa"/>
            <w:tcBorders>
              <w:left w:val="single" w:sz="4" w:space="0" w:color="000000"/>
              <w:bottom w:val="single" w:sz="4" w:space="0" w:color="000000"/>
            </w:tcBorders>
            <w:shd w:val="clear" w:color="auto" w:fill="auto"/>
            <w:vAlign w:val="center"/>
          </w:tcPr>
          <w:p w14:paraId="207BAEBC"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6,49</w:t>
            </w:r>
          </w:p>
        </w:tc>
        <w:tc>
          <w:tcPr>
            <w:tcW w:w="1134" w:type="dxa"/>
            <w:tcBorders>
              <w:left w:val="single" w:sz="4" w:space="0" w:color="000000"/>
              <w:bottom w:val="single" w:sz="4" w:space="0" w:color="000000"/>
            </w:tcBorders>
            <w:shd w:val="clear" w:color="auto" w:fill="auto"/>
            <w:vAlign w:val="center"/>
          </w:tcPr>
          <w:p w14:paraId="43EB1D0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1,42</w:t>
            </w:r>
          </w:p>
        </w:tc>
        <w:tc>
          <w:tcPr>
            <w:tcW w:w="1010" w:type="dxa"/>
            <w:tcBorders>
              <w:left w:val="single" w:sz="4" w:space="0" w:color="000000"/>
              <w:bottom w:val="single" w:sz="4" w:space="0" w:color="000000"/>
              <w:right w:val="single" w:sz="4" w:space="0" w:color="000000"/>
            </w:tcBorders>
            <w:shd w:val="clear" w:color="auto" w:fill="auto"/>
          </w:tcPr>
          <w:p w14:paraId="2DC5F20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33,8</w:t>
            </w:r>
          </w:p>
        </w:tc>
      </w:tr>
      <w:tr w:rsidR="001D7D6D" w:rsidRPr="00F0736F" w14:paraId="2FBEFBA6" w14:textId="77777777" w:rsidTr="00B155C8">
        <w:trPr>
          <w:gridAfter w:val="1"/>
          <w:wAfter w:w="11" w:type="dxa"/>
          <w:trHeight w:val="116"/>
        </w:trPr>
        <w:tc>
          <w:tcPr>
            <w:tcW w:w="2224" w:type="dxa"/>
            <w:tcBorders>
              <w:left w:val="single" w:sz="4" w:space="0" w:color="000000"/>
              <w:bottom w:val="single" w:sz="4" w:space="0" w:color="000000"/>
            </w:tcBorders>
            <w:shd w:val="clear" w:color="auto" w:fill="FFFFFF"/>
            <w:vAlign w:val="bottom"/>
          </w:tcPr>
          <w:p w14:paraId="4CE3BC23"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Павлодарская</w:t>
            </w:r>
          </w:p>
        </w:tc>
        <w:tc>
          <w:tcPr>
            <w:tcW w:w="1380" w:type="dxa"/>
            <w:tcBorders>
              <w:top w:val="single" w:sz="4" w:space="0" w:color="000000"/>
              <w:left w:val="single" w:sz="4" w:space="0" w:color="000000"/>
              <w:bottom w:val="single" w:sz="4" w:space="0" w:color="000000"/>
            </w:tcBorders>
            <w:shd w:val="clear" w:color="auto" w:fill="auto"/>
          </w:tcPr>
          <w:p w14:paraId="57B55A2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426 581</w:t>
            </w:r>
          </w:p>
        </w:tc>
        <w:tc>
          <w:tcPr>
            <w:tcW w:w="1275" w:type="dxa"/>
            <w:tcBorders>
              <w:top w:val="single" w:sz="4" w:space="0" w:color="000000"/>
              <w:left w:val="single" w:sz="4" w:space="0" w:color="000000"/>
              <w:bottom w:val="single" w:sz="4" w:space="0" w:color="000000"/>
            </w:tcBorders>
            <w:shd w:val="clear" w:color="auto" w:fill="auto"/>
          </w:tcPr>
          <w:p w14:paraId="634FDF3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117 336</w:t>
            </w:r>
          </w:p>
        </w:tc>
        <w:tc>
          <w:tcPr>
            <w:tcW w:w="1335" w:type="dxa"/>
            <w:tcBorders>
              <w:top w:val="single" w:sz="4" w:space="0" w:color="000000"/>
              <w:left w:val="single" w:sz="4" w:space="0" w:color="000000"/>
              <w:bottom w:val="single" w:sz="4" w:space="0" w:color="000000"/>
            </w:tcBorders>
            <w:shd w:val="clear" w:color="auto" w:fill="auto"/>
          </w:tcPr>
          <w:p w14:paraId="0A33D79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648 000</w:t>
            </w:r>
          </w:p>
        </w:tc>
        <w:tc>
          <w:tcPr>
            <w:tcW w:w="1139" w:type="dxa"/>
            <w:tcBorders>
              <w:left w:val="single" w:sz="4" w:space="0" w:color="000000"/>
              <w:bottom w:val="single" w:sz="4" w:space="0" w:color="000000"/>
            </w:tcBorders>
            <w:shd w:val="clear" w:color="auto" w:fill="auto"/>
            <w:vAlign w:val="center"/>
          </w:tcPr>
          <w:p w14:paraId="01E1963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0,23</w:t>
            </w:r>
          </w:p>
        </w:tc>
        <w:tc>
          <w:tcPr>
            <w:tcW w:w="1134" w:type="dxa"/>
            <w:tcBorders>
              <w:left w:val="single" w:sz="4" w:space="0" w:color="000000"/>
              <w:bottom w:val="single" w:sz="4" w:space="0" w:color="000000"/>
            </w:tcBorders>
            <w:shd w:val="clear" w:color="auto" w:fill="auto"/>
            <w:vAlign w:val="center"/>
          </w:tcPr>
          <w:p w14:paraId="464B985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0,12</w:t>
            </w:r>
          </w:p>
        </w:tc>
        <w:tc>
          <w:tcPr>
            <w:tcW w:w="1010" w:type="dxa"/>
            <w:tcBorders>
              <w:left w:val="single" w:sz="4" w:space="0" w:color="000000"/>
              <w:bottom w:val="single" w:sz="4" w:space="0" w:color="000000"/>
              <w:right w:val="single" w:sz="4" w:space="0" w:color="000000"/>
            </w:tcBorders>
            <w:shd w:val="clear" w:color="auto" w:fill="auto"/>
          </w:tcPr>
          <w:p w14:paraId="5D20007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w:t>
            </w:r>
          </w:p>
        </w:tc>
      </w:tr>
      <w:tr w:rsidR="001D7D6D" w:rsidRPr="00F0736F" w14:paraId="26CD7447" w14:textId="77777777" w:rsidTr="00B155C8">
        <w:trPr>
          <w:gridAfter w:val="1"/>
          <w:wAfter w:w="11" w:type="dxa"/>
          <w:trHeight w:val="147"/>
        </w:trPr>
        <w:tc>
          <w:tcPr>
            <w:tcW w:w="2224" w:type="dxa"/>
            <w:tcBorders>
              <w:left w:val="single" w:sz="4" w:space="0" w:color="000000"/>
              <w:bottom w:val="single" w:sz="4" w:space="0" w:color="000000"/>
            </w:tcBorders>
            <w:shd w:val="clear" w:color="auto" w:fill="FFFFFF"/>
            <w:vAlign w:val="bottom"/>
          </w:tcPr>
          <w:p w14:paraId="4CC8D30A"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СКО</w:t>
            </w:r>
          </w:p>
        </w:tc>
        <w:tc>
          <w:tcPr>
            <w:tcW w:w="1380" w:type="dxa"/>
            <w:tcBorders>
              <w:top w:val="single" w:sz="4" w:space="0" w:color="000000"/>
              <w:left w:val="single" w:sz="4" w:space="0" w:color="000000"/>
              <w:bottom w:val="single" w:sz="4" w:space="0" w:color="000000"/>
            </w:tcBorders>
            <w:shd w:val="clear" w:color="auto" w:fill="auto"/>
          </w:tcPr>
          <w:p w14:paraId="4F55084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182 500</w:t>
            </w:r>
          </w:p>
        </w:tc>
        <w:tc>
          <w:tcPr>
            <w:tcW w:w="1275" w:type="dxa"/>
            <w:tcBorders>
              <w:top w:val="single" w:sz="4" w:space="0" w:color="000000"/>
              <w:left w:val="single" w:sz="4" w:space="0" w:color="000000"/>
              <w:bottom w:val="single" w:sz="4" w:space="0" w:color="000000"/>
            </w:tcBorders>
            <w:shd w:val="clear" w:color="auto" w:fill="auto"/>
          </w:tcPr>
          <w:p w14:paraId="0C2AE62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66 100</w:t>
            </w:r>
          </w:p>
        </w:tc>
        <w:tc>
          <w:tcPr>
            <w:tcW w:w="1335" w:type="dxa"/>
            <w:tcBorders>
              <w:top w:val="single" w:sz="4" w:space="0" w:color="000000"/>
              <w:left w:val="single" w:sz="4" w:space="0" w:color="000000"/>
              <w:bottom w:val="single" w:sz="4" w:space="0" w:color="000000"/>
            </w:tcBorders>
            <w:shd w:val="clear" w:color="auto" w:fill="auto"/>
          </w:tcPr>
          <w:p w14:paraId="64CD458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74 666</w:t>
            </w:r>
          </w:p>
        </w:tc>
        <w:tc>
          <w:tcPr>
            <w:tcW w:w="1139" w:type="dxa"/>
            <w:tcBorders>
              <w:left w:val="single" w:sz="4" w:space="0" w:color="000000"/>
              <w:bottom w:val="single" w:sz="4" w:space="0" w:color="000000"/>
            </w:tcBorders>
            <w:shd w:val="clear" w:color="auto" w:fill="auto"/>
            <w:vAlign w:val="center"/>
          </w:tcPr>
          <w:p w14:paraId="31F05B0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3,59</w:t>
            </w:r>
          </w:p>
        </w:tc>
        <w:tc>
          <w:tcPr>
            <w:tcW w:w="1134" w:type="dxa"/>
            <w:tcBorders>
              <w:left w:val="single" w:sz="4" w:space="0" w:color="000000"/>
              <w:bottom w:val="single" w:sz="4" w:space="0" w:color="000000"/>
            </w:tcBorders>
            <w:shd w:val="clear" w:color="auto" w:fill="auto"/>
            <w:vAlign w:val="center"/>
          </w:tcPr>
          <w:p w14:paraId="6CE1DED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7,59</w:t>
            </w:r>
          </w:p>
        </w:tc>
        <w:tc>
          <w:tcPr>
            <w:tcW w:w="1010" w:type="dxa"/>
            <w:tcBorders>
              <w:left w:val="single" w:sz="4" w:space="0" w:color="000000"/>
              <w:bottom w:val="single" w:sz="4" w:space="0" w:color="000000"/>
              <w:right w:val="single" w:sz="4" w:space="0" w:color="000000"/>
            </w:tcBorders>
            <w:shd w:val="clear" w:color="auto" w:fill="auto"/>
          </w:tcPr>
          <w:p w14:paraId="302F6F4C"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10,78</w:t>
            </w:r>
          </w:p>
        </w:tc>
      </w:tr>
      <w:tr w:rsidR="001D7D6D" w:rsidRPr="00F0736F" w14:paraId="23BD20C4" w14:textId="77777777" w:rsidTr="00B155C8">
        <w:trPr>
          <w:gridAfter w:val="1"/>
          <w:wAfter w:w="11" w:type="dxa"/>
          <w:trHeight w:val="165"/>
        </w:trPr>
        <w:tc>
          <w:tcPr>
            <w:tcW w:w="2224" w:type="dxa"/>
            <w:tcBorders>
              <w:left w:val="single" w:sz="4" w:space="0" w:color="000000"/>
              <w:bottom w:val="single" w:sz="4" w:space="0" w:color="000000"/>
            </w:tcBorders>
            <w:shd w:val="clear" w:color="auto" w:fill="FFFFFF"/>
            <w:vAlign w:val="bottom"/>
          </w:tcPr>
          <w:p w14:paraId="32F28E14"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Туркестанская</w:t>
            </w:r>
          </w:p>
        </w:tc>
        <w:tc>
          <w:tcPr>
            <w:tcW w:w="1380" w:type="dxa"/>
            <w:tcBorders>
              <w:top w:val="single" w:sz="4" w:space="0" w:color="000000"/>
              <w:left w:val="single" w:sz="4" w:space="0" w:color="000000"/>
              <w:bottom w:val="single" w:sz="4" w:space="0" w:color="000000"/>
            </w:tcBorders>
            <w:shd w:val="clear" w:color="auto" w:fill="auto"/>
          </w:tcPr>
          <w:p w14:paraId="1E415748"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286 278</w:t>
            </w:r>
          </w:p>
        </w:tc>
        <w:tc>
          <w:tcPr>
            <w:tcW w:w="1275" w:type="dxa"/>
            <w:tcBorders>
              <w:top w:val="single" w:sz="4" w:space="0" w:color="000000"/>
              <w:left w:val="single" w:sz="4" w:space="0" w:color="000000"/>
              <w:bottom w:val="single" w:sz="4" w:space="0" w:color="000000"/>
            </w:tcBorders>
            <w:shd w:val="clear" w:color="auto" w:fill="auto"/>
          </w:tcPr>
          <w:p w14:paraId="4BBE199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137 952</w:t>
            </w:r>
          </w:p>
        </w:tc>
        <w:tc>
          <w:tcPr>
            <w:tcW w:w="1335" w:type="dxa"/>
            <w:tcBorders>
              <w:top w:val="single" w:sz="4" w:space="0" w:color="000000"/>
              <w:left w:val="single" w:sz="4" w:space="0" w:color="000000"/>
              <w:bottom w:val="single" w:sz="4" w:space="0" w:color="000000"/>
            </w:tcBorders>
            <w:shd w:val="clear" w:color="auto" w:fill="auto"/>
          </w:tcPr>
          <w:p w14:paraId="56E92ED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128 081</w:t>
            </w:r>
          </w:p>
        </w:tc>
        <w:tc>
          <w:tcPr>
            <w:tcW w:w="1139" w:type="dxa"/>
            <w:tcBorders>
              <w:left w:val="single" w:sz="4" w:space="0" w:color="000000"/>
              <w:bottom w:val="single" w:sz="4" w:space="0" w:color="000000"/>
            </w:tcBorders>
            <w:shd w:val="clear" w:color="auto" w:fill="auto"/>
          </w:tcPr>
          <w:p w14:paraId="4AB6DEA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3,48</w:t>
            </w:r>
          </w:p>
        </w:tc>
        <w:tc>
          <w:tcPr>
            <w:tcW w:w="1134" w:type="dxa"/>
            <w:tcBorders>
              <w:left w:val="single" w:sz="4" w:space="0" w:color="000000"/>
              <w:bottom w:val="single" w:sz="4" w:space="0" w:color="000000"/>
            </w:tcBorders>
            <w:shd w:val="clear" w:color="auto" w:fill="auto"/>
            <w:vAlign w:val="center"/>
          </w:tcPr>
          <w:p w14:paraId="6488596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7,17</w:t>
            </w:r>
          </w:p>
        </w:tc>
        <w:tc>
          <w:tcPr>
            <w:tcW w:w="1010" w:type="dxa"/>
            <w:tcBorders>
              <w:left w:val="single" w:sz="4" w:space="0" w:color="000000"/>
              <w:bottom w:val="single" w:sz="4" w:space="0" w:color="000000"/>
              <w:right w:val="single" w:sz="4" w:space="0" w:color="000000"/>
            </w:tcBorders>
            <w:shd w:val="clear" w:color="auto" w:fill="auto"/>
          </w:tcPr>
          <w:p w14:paraId="5DDA88C0"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10,05</w:t>
            </w:r>
          </w:p>
        </w:tc>
      </w:tr>
      <w:tr w:rsidR="001D7D6D" w:rsidRPr="00F0736F" w14:paraId="294D623E" w14:textId="77777777" w:rsidTr="00B155C8">
        <w:trPr>
          <w:gridAfter w:val="1"/>
          <w:wAfter w:w="11" w:type="dxa"/>
          <w:trHeight w:val="312"/>
        </w:trPr>
        <w:tc>
          <w:tcPr>
            <w:tcW w:w="2224" w:type="dxa"/>
            <w:tcBorders>
              <w:left w:val="single" w:sz="4" w:space="0" w:color="000000"/>
              <w:bottom w:val="single" w:sz="4" w:space="0" w:color="000000"/>
            </w:tcBorders>
            <w:shd w:val="clear" w:color="auto" w:fill="FFFFFF"/>
            <w:vAlign w:val="bottom"/>
          </w:tcPr>
          <w:p w14:paraId="299ED213"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Алматы</w:t>
            </w:r>
          </w:p>
        </w:tc>
        <w:tc>
          <w:tcPr>
            <w:tcW w:w="1380" w:type="dxa"/>
            <w:tcBorders>
              <w:top w:val="single" w:sz="4" w:space="0" w:color="000000"/>
              <w:left w:val="single" w:sz="4" w:space="0" w:color="000000"/>
              <w:bottom w:val="single" w:sz="4" w:space="0" w:color="000000"/>
            </w:tcBorders>
            <w:shd w:val="clear" w:color="auto" w:fill="auto"/>
          </w:tcPr>
          <w:p w14:paraId="4CEDF8B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600 000</w:t>
            </w:r>
          </w:p>
        </w:tc>
        <w:tc>
          <w:tcPr>
            <w:tcW w:w="1275" w:type="dxa"/>
            <w:tcBorders>
              <w:top w:val="single" w:sz="4" w:space="0" w:color="000000"/>
              <w:left w:val="single" w:sz="4" w:space="0" w:color="000000"/>
              <w:bottom w:val="single" w:sz="4" w:space="0" w:color="000000"/>
            </w:tcBorders>
            <w:shd w:val="clear" w:color="auto" w:fill="auto"/>
          </w:tcPr>
          <w:p w14:paraId="606A9DA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480 00</w:t>
            </w:r>
          </w:p>
        </w:tc>
        <w:tc>
          <w:tcPr>
            <w:tcW w:w="1335" w:type="dxa"/>
            <w:tcBorders>
              <w:top w:val="single" w:sz="4" w:space="0" w:color="000000"/>
              <w:left w:val="single" w:sz="4" w:space="0" w:color="000000"/>
              <w:bottom w:val="single" w:sz="4" w:space="0" w:color="000000"/>
            </w:tcBorders>
            <w:shd w:val="clear" w:color="auto" w:fill="auto"/>
          </w:tcPr>
          <w:p w14:paraId="752FEDF4"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456 000</w:t>
            </w:r>
          </w:p>
        </w:tc>
        <w:tc>
          <w:tcPr>
            <w:tcW w:w="1139" w:type="dxa"/>
            <w:tcBorders>
              <w:left w:val="single" w:sz="4" w:space="0" w:color="000000"/>
              <w:bottom w:val="single" w:sz="4" w:space="0" w:color="000000"/>
            </w:tcBorders>
            <w:shd w:val="clear" w:color="auto" w:fill="auto"/>
            <w:vAlign w:val="center"/>
          </w:tcPr>
          <w:p w14:paraId="4AC8B05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10,01</w:t>
            </w:r>
          </w:p>
        </w:tc>
        <w:tc>
          <w:tcPr>
            <w:tcW w:w="1134" w:type="dxa"/>
            <w:tcBorders>
              <w:left w:val="single" w:sz="4" w:space="0" w:color="000000"/>
              <w:bottom w:val="single" w:sz="4" w:space="0" w:color="000000"/>
            </w:tcBorders>
            <w:shd w:val="clear" w:color="auto" w:fill="auto"/>
            <w:vAlign w:val="center"/>
          </w:tcPr>
          <w:p w14:paraId="1022AA0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5,70</w:t>
            </w:r>
          </w:p>
        </w:tc>
        <w:tc>
          <w:tcPr>
            <w:tcW w:w="1010" w:type="dxa"/>
            <w:tcBorders>
              <w:left w:val="single" w:sz="4" w:space="0" w:color="000000"/>
              <w:bottom w:val="single" w:sz="4" w:space="0" w:color="000000"/>
              <w:right w:val="single" w:sz="4" w:space="0" w:color="000000"/>
            </w:tcBorders>
            <w:shd w:val="clear" w:color="auto" w:fill="auto"/>
          </w:tcPr>
          <w:p w14:paraId="1CE21BB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10,95</w:t>
            </w:r>
          </w:p>
        </w:tc>
      </w:tr>
      <w:tr w:rsidR="001D7D6D" w:rsidRPr="00F0736F" w14:paraId="2E5BFC56" w14:textId="77777777" w:rsidTr="00B155C8">
        <w:trPr>
          <w:gridAfter w:val="1"/>
          <w:wAfter w:w="11" w:type="dxa"/>
          <w:trHeight w:val="63"/>
        </w:trPr>
        <w:tc>
          <w:tcPr>
            <w:tcW w:w="2224" w:type="dxa"/>
            <w:tcBorders>
              <w:left w:val="single" w:sz="4" w:space="0" w:color="000000"/>
              <w:bottom w:val="single" w:sz="4" w:space="0" w:color="000000"/>
            </w:tcBorders>
            <w:shd w:val="clear" w:color="auto" w:fill="FFFFFF"/>
            <w:vAlign w:val="bottom"/>
          </w:tcPr>
          <w:p w14:paraId="18BEB18D"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Нур-Султан</w:t>
            </w:r>
          </w:p>
        </w:tc>
        <w:tc>
          <w:tcPr>
            <w:tcW w:w="1380" w:type="dxa"/>
            <w:tcBorders>
              <w:top w:val="single" w:sz="4" w:space="0" w:color="000000"/>
              <w:left w:val="single" w:sz="4" w:space="0" w:color="000000"/>
              <w:bottom w:val="single" w:sz="4" w:space="0" w:color="000000"/>
            </w:tcBorders>
            <w:shd w:val="clear" w:color="auto" w:fill="auto"/>
          </w:tcPr>
          <w:p w14:paraId="66AE3D92"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345 438</w:t>
            </w:r>
          </w:p>
        </w:tc>
        <w:tc>
          <w:tcPr>
            <w:tcW w:w="1275" w:type="dxa"/>
            <w:tcBorders>
              <w:top w:val="single" w:sz="4" w:space="0" w:color="000000"/>
              <w:left w:val="single" w:sz="4" w:space="0" w:color="000000"/>
              <w:bottom w:val="single" w:sz="4" w:space="0" w:color="000000"/>
            </w:tcBorders>
            <w:shd w:val="clear" w:color="auto" w:fill="auto"/>
          </w:tcPr>
          <w:p w14:paraId="457CF19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307 626</w:t>
            </w:r>
          </w:p>
        </w:tc>
        <w:tc>
          <w:tcPr>
            <w:tcW w:w="1335" w:type="dxa"/>
            <w:tcBorders>
              <w:top w:val="single" w:sz="4" w:space="0" w:color="000000"/>
              <w:left w:val="single" w:sz="4" w:space="0" w:color="000000"/>
              <w:bottom w:val="single" w:sz="4" w:space="0" w:color="000000"/>
            </w:tcBorders>
            <w:shd w:val="clear" w:color="auto" w:fill="auto"/>
          </w:tcPr>
          <w:p w14:paraId="654D08B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318 582</w:t>
            </w:r>
          </w:p>
        </w:tc>
        <w:tc>
          <w:tcPr>
            <w:tcW w:w="1139" w:type="dxa"/>
            <w:tcBorders>
              <w:left w:val="single" w:sz="4" w:space="0" w:color="000000"/>
            </w:tcBorders>
            <w:shd w:val="clear" w:color="auto" w:fill="auto"/>
            <w:vAlign w:val="center"/>
          </w:tcPr>
          <w:p w14:paraId="5755478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8,33</w:t>
            </w:r>
          </w:p>
        </w:tc>
        <w:tc>
          <w:tcPr>
            <w:tcW w:w="1134" w:type="dxa"/>
            <w:tcBorders>
              <w:left w:val="single" w:sz="4" w:space="0" w:color="000000"/>
              <w:bottom w:val="single" w:sz="4" w:space="0" w:color="000000"/>
            </w:tcBorders>
            <w:shd w:val="clear" w:color="auto" w:fill="auto"/>
            <w:vAlign w:val="center"/>
          </w:tcPr>
          <w:p w14:paraId="7DA5CC19"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12,25</w:t>
            </w:r>
          </w:p>
        </w:tc>
        <w:tc>
          <w:tcPr>
            <w:tcW w:w="1010" w:type="dxa"/>
            <w:tcBorders>
              <w:left w:val="single" w:sz="4" w:space="0" w:color="000000"/>
              <w:bottom w:val="single" w:sz="4" w:space="0" w:color="000000"/>
              <w:right w:val="single" w:sz="4" w:space="0" w:color="000000"/>
            </w:tcBorders>
            <w:shd w:val="clear" w:color="auto" w:fill="auto"/>
          </w:tcPr>
          <w:p w14:paraId="5C93D4E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15,92</w:t>
            </w:r>
          </w:p>
        </w:tc>
      </w:tr>
      <w:tr w:rsidR="001D7D6D" w:rsidRPr="00F0736F" w14:paraId="1C71F6C9" w14:textId="77777777" w:rsidTr="00B155C8">
        <w:trPr>
          <w:gridAfter w:val="1"/>
          <w:wAfter w:w="11" w:type="dxa"/>
          <w:trHeight w:val="77"/>
        </w:trPr>
        <w:tc>
          <w:tcPr>
            <w:tcW w:w="2224" w:type="dxa"/>
            <w:tcBorders>
              <w:left w:val="single" w:sz="4" w:space="0" w:color="000000"/>
              <w:bottom w:val="single" w:sz="4" w:space="0" w:color="000000"/>
            </w:tcBorders>
            <w:shd w:val="clear" w:color="auto" w:fill="FFFFFF"/>
            <w:vAlign w:val="bottom"/>
          </w:tcPr>
          <w:p w14:paraId="19EC353A"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 Шымкент</w:t>
            </w:r>
          </w:p>
        </w:tc>
        <w:tc>
          <w:tcPr>
            <w:tcW w:w="1380" w:type="dxa"/>
            <w:tcBorders>
              <w:top w:val="single" w:sz="4" w:space="0" w:color="000000"/>
              <w:left w:val="single" w:sz="4" w:space="0" w:color="000000"/>
              <w:bottom w:val="single" w:sz="4" w:space="0" w:color="000000"/>
            </w:tcBorders>
            <w:shd w:val="clear" w:color="auto" w:fill="auto"/>
          </w:tcPr>
          <w:p w14:paraId="15C2BE93" w14:textId="77777777" w:rsidR="001D7D6D" w:rsidRPr="00F0736F" w:rsidRDefault="001D7D6D" w:rsidP="00B155C8">
            <w:pPr>
              <w:pStyle w:val="affb"/>
              <w:snapToGrid w:val="0"/>
              <w:spacing w:before="0" w:after="0"/>
              <w:jc w:val="center"/>
              <w:rPr>
                <w:rFonts w:ascii="Times New Roman" w:hAnsi="Times New Roman" w:cs="Times New Roman"/>
                <w:color w:val="000000" w:themeColor="text1"/>
                <w:sz w:val="20"/>
                <w:szCs w:val="20"/>
              </w:rPr>
            </w:pPr>
          </w:p>
        </w:tc>
        <w:tc>
          <w:tcPr>
            <w:tcW w:w="1275" w:type="dxa"/>
            <w:tcBorders>
              <w:top w:val="single" w:sz="4" w:space="0" w:color="000000"/>
              <w:left w:val="single" w:sz="4" w:space="0" w:color="000000"/>
              <w:bottom w:val="single" w:sz="4" w:space="0" w:color="000000"/>
            </w:tcBorders>
            <w:shd w:val="clear" w:color="auto" w:fill="auto"/>
          </w:tcPr>
          <w:p w14:paraId="6B15D256"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216 178</w:t>
            </w:r>
          </w:p>
        </w:tc>
        <w:tc>
          <w:tcPr>
            <w:tcW w:w="1335" w:type="dxa"/>
            <w:tcBorders>
              <w:top w:val="single" w:sz="4" w:space="0" w:color="000000"/>
              <w:left w:val="single" w:sz="4" w:space="0" w:color="000000"/>
              <w:bottom w:val="single" w:sz="4" w:space="0" w:color="000000"/>
            </w:tcBorders>
            <w:shd w:val="clear" w:color="auto" w:fill="auto"/>
          </w:tcPr>
          <w:p w14:paraId="3F330B47"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215 066</w:t>
            </w:r>
          </w:p>
        </w:tc>
        <w:tc>
          <w:tcPr>
            <w:tcW w:w="1139" w:type="dxa"/>
            <w:tcBorders>
              <w:top w:val="single" w:sz="4" w:space="0" w:color="000000"/>
              <w:left w:val="single" w:sz="4" w:space="0" w:color="000000"/>
              <w:bottom w:val="single" w:sz="4" w:space="0" w:color="000000"/>
            </w:tcBorders>
            <w:shd w:val="clear" w:color="auto" w:fill="auto"/>
            <w:vAlign w:val="bottom"/>
          </w:tcPr>
          <w:p w14:paraId="24447B23"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134" w:type="dxa"/>
            <w:tcBorders>
              <w:left w:val="single" w:sz="4" w:space="0" w:color="000000"/>
              <w:bottom w:val="single" w:sz="4" w:space="0" w:color="000000"/>
            </w:tcBorders>
            <w:shd w:val="clear" w:color="auto" w:fill="auto"/>
            <w:vAlign w:val="bottom"/>
          </w:tcPr>
          <w:p w14:paraId="7234A71B"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18,28</w:t>
            </w:r>
          </w:p>
        </w:tc>
        <w:tc>
          <w:tcPr>
            <w:tcW w:w="1010" w:type="dxa"/>
            <w:tcBorders>
              <w:left w:val="single" w:sz="4" w:space="0" w:color="000000"/>
              <w:bottom w:val="single" w:sz="4" w:space="0" w:color="000000"/>
              <w:right w:val="single" w:sz="4" w:space="0" w:color="000000"/>
            </w:tcBorders>
            <w:shd w:val="clear" w:color="auto" w:fill="auto"/>
          </w:tcPr>
          <w:p w14:paraId="68FBBC4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22,77</w:t>
            </w:r>
          </w:p>
        </w:tc>
      </w:tr>
      <w:tr w:rsidR="001D7D6D" w:rsidRPr="00F0736F" w14:paraId="16884838" w14:textId="77777777" w:rsidTr="00B155C8">
        <w:trPr>
          <w:gridAfter w:val="1"/>
          <w:wAfter w:w="11" w:type="dxa"/>
          <w:trHeight w:val="312"/>
        </w:trPr>
        <w:tc>
          <w:tcPr>
            <w:tcW w:w="2224" w:type="dxa"/>
            <w:tcBorders>
              <w:top w:val="single" w:sz="4" w:space="0" w:color="000000"/>
              <w:left w:val="single" w:sz="4" w:space="0" w:color="000000"/>
              <w:bottom w:val="single" w:sz="4" w:space="0" w:color="000000"/>
            </w:tcBorders>
            <w:shd w:val="clear" w:color="auto" w:fill="auto"/>
            <w:vAlign w:val="center"/>
          </w:tcPr>
          <w:p w14:paraId="5B154972" w14:textId="77777777" w:rsidR="001D7D6D" w:rsidRPr="00F0736F" w:rsidRDefault="001D7D6D" w:rsidP="00B155C8">
            <w:pPr>
              <w:pStyle w:val="affb"/>
              <w:spacing w:before="0" w:after="0"/>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Всего</w:t>
            </w:r>
          </w:p>
        </w:tc>
        <w:tc>
          <w:tcPr>
            <w:tcW w:w="1380" w:type="dxa"/>
            <w:tcBorders>
              <w:top w:val="single" w:sz="4" w:space="0" w:color="000000"/>
              <w:left w:val="single" w:sz="4" w:space="0" w:color="000000"/>
              <w:bottom w:val="single" w:sz="4" w:space="0" w:color="000000"/>
            </w:tcBorders>
            <w:shd w:val="clear" w:color="auto" w:fill="auto"/>
          </w:tcPr>
          <w:p w14:paraId="5AAF7EBE"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4 864 319</w:t>
            </w:r>
          </w:p>
        </w:tc>
        <w:tc>
          <w:tcPr>
            <w:tcW w:w="1275" w:type="dxa"/>
            <w:tcBorders>
              <w:top w:val="single" w:sz="4" w:space="0" w:color="000000"/>
              <w:left w:val="single" w:sz="4" w:space="0" w:color="000000"/>
              <w:bottom w:val="single" w:sz="4" w:space="0" w:color="000000"/>
            </w:tcBorders>
            <w:shd w:val="clear" w:color="auto" w:fill="auto"/>
          </w:tcPr>
          <w:p w14:paraId="199E212F"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4 319 246</w:t>
            </w:r>
          </w:p>
        </w:tc>
        <w:tc>
          <w:tcPr>
            <w:tcW w:w="1335" w:type="dxa"/>
            <w:tcBorders>
              <w:top w:val="single" w:sz="4" w:space="0" w:color="000000"/>
              <w:left w:val="single" w:sz="4" w:space="0" w:color="000000"/>
              <w:bottom w:val="single" w:sz="4" w:space="0" w:color="000000"/>
            </w:tcBorders>
            <w:shd w:val="clear" w:color="auto" w:fill="auto"/>
          </w:tcPr>
          <w:p w14:paraId="626BB99A"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4 736 598</w:t>
            </w:r>
          </w:p>
        </w:tc>
        <w:tc>
          <w:tcPr>
            <w:tcW w:w="1139" w:type="dxa"/>
            <w:tcBorders>
              <w:top w:val="single" w:sz="4" w:space="0" w:color="000000"/>
              <w:left w:val="single" w:sz="4" w:space="0" w:color="000000"/>
              <w:bottom w:val="single" w:sz="4" w:space="0" w:color="000000"/>
            </w:tcBorders>
            <w:shd w:val="clear" w:color="auto" w:fill="auto"/>
            <w:vAlign w:val="center"/>
          </w:tcPr>
          <w:p w14:paraId="59BC2541"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9,05</w:t>
            </w:r>
          </w:p>
        </w:tc>
        <w:tc>
          <w:tcPr>
            <w:tcW w:w="1134" w:type="dxa"/>
            <w:tcBorders>
              <w:top w:val="single" w:sz="4" w:space="0" w:color="000000"/>
              <w:left w:val="single" w:sz="4" w:space="0" w:color="000000"/>
              <w:bottom w:val="single" w:sz="4" w:space="0" w:color="000000"/>
            </w:tcBorders>
            <w:shd w:val="clear" w:color="auto" w:fill="auto"/>
            <w:vAlign w:val="center"/>
          </w:tcPr>
          <w:p w14:paraId="21EE266D"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11,51</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4844E815" w14:textId="77777777" w:rsidR="001D7D6D" w:rsidRPr="00F0736F" w:rsidRDefault="001D7D6D" w:rsidP="00B155C8">
            <w:pPr>
              <w:pStyle w:val="affb"/>
              <w:spacing w:before="0" w:after="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14,9</w:t>
            </w:r>
          </w:p>
        </w:tc>
      </w:tr>
    </w:tbl>
    <w:p w14:paraId="054756FA"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https://stat.gov.kz </w:t>
      </w:r>
    </w:p>
    <w:p w14:paraId="1CE06500" w14:textId="77777777" w:rsidR="001D7D6D" w:rsidRPr="00F0736F" w:rsidRDefault="001D7D6D" w:rsidP="001D7D6D">
      <w:pPr>
        <w:ind w:firstLine="709"/>
        <w:jc w:val="both"/>
        <w:rPr>
          <w:rFonts w:ascii="Times New Roman" w:hAnsi="Times New Roman" w:cs="Times New Roman"/>
          <w:color w:val="000000" w:themeColor="text1"/>
          <w:sz w:val="20"/>
          <w:szCs w:val="20"/>
        </w:rPr>
      </w:pPr>
    </w:p>
    <w:p w14:paraId="678F82F8"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Количество специализированных предприятий и индивидуальных предпринимателей по сбору и транспортировке отходов составляет 587 единиц.</w:t>
      </w:r>
    </w:p>
    <w:p w14:paraId="07A0595C"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heme="minorHAnsi" w:hAnsiTheme="minorHAnsi"/>
          <w:color w:val="000000" w:themeColor="text1"/>
        </w:rPr>
      </w:pPr>
      <w:r w:rsidRPr="00F0736F">
        <w:rPr>
          <w:rFonts w:ascii="Times New Roman" w:hAnsi="Times New Roman" w:cs="Times New Roman"/>
          <w:color w:val="000000" w:themeColor="text1"/>
        </w:rPr>
        <w:t>В 2019 году на официально действующие полигоны (свалки), объекты сортировки и переработки коммунальных отходов поступило 3,9 млн. т. отходов. Из них 65,3% поступило для их дальнейшего депонирования, 27,3% отсортировано и 13,7% из них направлено для дальнейшей переработки, 6,4% - утилизировано. На конец 2019 года на официально действующих полигонах (свалках) накоплено более 43,3 млн. т. отходов.</w:t>
      </w:r>
    </w:p>
    <w:p w14:paraId="2D90DC2A"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heme="minorHAnsi" w:hAnsiTheme="minorHAnsi"/>
          <w:color w:val="000000" w:themeColor="text1"/>
        </w:rPr>
      </w:pPr>
    </w:p>
    <w:p w14:paraId="295B0483" w14:textId="77777777" w:rsidR="001D7D6D" w:rsidRPr="00F0736F" w:rsidRDefault="001D7D6D" w:rsidP="001D7D6D">
      <w:pPr>
        <w:pBdr>
          <w:top w:val="none" w:sz="0" w:space="0" w:color="000000"/>
          <w:left w:val="none" w:sz="0" w:space="0" w:color="000000"/>
          <w:bottom w:val="single" w:sz="4" w:space="31" w:color="FFFFFF"/>
          <w:right w:val="none" w:sz="0" w:space="0" w:color="000000"/>
        </w:pBdr>
        <w:ind w:firstLine="709"/>
        <w:contextualSpacing/>
        <w:jc w:val="both"/>
        <w:rPr>
          <w:rFonts w:asciiTheme="minorHAnsi" w:hAnsiTheme="minorHAnsi"/>
          <w:color w:val="000000" w:themeColor="text1"/>
        </w:rPr>
      </w:pPr>
      <w:r w:rsidRPr="00F0736F">
        <w:rPr>
          <w:rFonts w:ascii="Times New Roman" w:hAnsi="Times New Roman" w:cs="Times New Roman"/>
          <w:color w:val="000000" w:themeColor="text1"/>
        </w:rPr>
        <w:t>Таблица 1.5.5. Рейтинг полигонов на соответствие экологическим нормам в 2019 году</w:t>
      </w:r>
    </w:p>
    <w:tbl>
      <w:tblPr>
        <w:tblW w:w="0" w:type="auto"/>
        <w:tblInd w:w="131" w:type="dxa"/>
        <w:tblLayout w:type="fixed"/>
        <w:tblLook w:val="0000" w:firstRow="0" w:lastRow="0" w:firstColumn="0" w:lastColumn="0" w:noHBand="0" w:noVBand="0"/>
      </w:tblPr>
      <w:tblGrid>
        <w:gridCol w:w="1133"/>
        <w:gridCol w:w="1985"/>
        <w:gridCol w:w="1843"/>
        <w:gridCol w:w="1842"/>
        <w:gridCol w:w="1700"/>
        <w:gridCol w:w="1306"/>
      </w:tblGrid>
      <w:tr w:rsidR="001D7D6D" w:rsidRPr="00F0736F" w14:paraId="4E66FF8E" w14:textId="77777777" w:rsidTr="00B155C8">
        <w:tc>
          <w:tcPr>
            <w:tcW w:w="1133" w:type="dxa"/>
            <w:tcBorders>
              <w:top w:val="single" w:sz="4" w:space="0" w:color="000000"/>
              <w:left w:val="single" w:sz="4" w:space="0" w:color="000000"/>
              <w:bottom w:val="single" w:sz="4" w:space="0" w:color="000000"/>
            </w:tcBorders>
            <w:shd w:val="clear" w:color="auto" w:fill="auto"/>
          </w:tcPr>
          <w:p w14:paraId="23C8D37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Рейтинг</w:t>
            </w:r>
          </w:p>
          <w:p w14:paraId="6A65F0D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полигонов</w:t>
            </w:r>
          </w:p>
        </w:tc>
        <w:tc>
          <w:tcPr>
            <w:tcW w:w="1985" w:type="dxa"/>
            <w:tcBorders>
              <w:top w:val="single" w:sz="4" w:space="0" w:color="000000"/>
              <w:left w:val="single" w:sz="4" w:space="0" w:color="000000"/>
              <w:bottom w:val="single" w:sz="4" w:space="0" w:color="000000"/>
            </w:tcBorders>
            <w:shd w:val="clear" w:color="auto" w:fill="auto"/>
          </w:tcPr>
          <w:p w14:paraId="63D6770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p>
          <w:p w14:paraId="35A0FD1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Регион</w:t>
            </w:r>
          </w:p>
        </w:tc>
        <w:tc>
          <w:tcPr>
            <w:tcW w:w="1843" w:type="dxa"/>
            <w:tcBorders>
              <w:top w:val="single" w:sz="4" w:space="0" w:color="000000"/>
              <w:left w:val="single" w:sz="4" w:space="0" w:color="000000"/>
              <w:bottom w:val="single" w:sz="4" w:space="0" w:color="000000"/>
            </w:tcBorders>
            <w:shd w:val="clear" w:color="auto" w:fill="auto"/>
          </w:tcPr>
          <w:p w14:paraId="7C1B3CD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Количество полигонов ТБО, ед.*</w:t>
            </w:r>
          </w:p>
        </w:tc>
        <w:tc>
          <w:tcPr>
            <w:tcW w:w="1842" w:type="dxa"/>
            <w:tcBorders>
              <w:top w:val="single" w:sz="4" w:space="0" w:color="000000"/>
              <w:left w:val="single" w:sz="4" w:space="0" w:color="000000"/>
              <w:bottom w:val="single" w:sz="4" w:space="0" w:color="000000"/>
            </w:tcBorders>
            <w:shd w:val="clear" w:color="auto" w:fill="auto"/>
          </w:tcPr>
          <w:p w14:paraId="3BFAE9B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Количество несоответствую</w:t>
            </w:r>
          </w:p>
          <w:p w14:paraId="23E5D07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щих нормам полигонов, ед*</w:t>
            </w:r>
          </w:p>
        </w:tc>
        <w:tc>
          <w:tcPr>
            <w:tcW w:w="1700" w:type="dxa"/>
            <w:tcBorders>
              <w:top w:val="single" w:sz="4" w:space="0" w:color="000000"/>
              <w:left w:val="single" w:sz="4" w:space="0" w:color="000000"/>
              <w:bottom w:val="single" w:sz="4" w:space="0" w:color="000000"/>
            </w:tcBorders>
            <w:shd w:val="clear" w:color="auto" w:fill="auto"/>
          </w:tcPr>
          <w:p w14:paraId="427AAEF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Количество соответствую</w:t>
            </w:r>
          </w:p>
          <w:p w14:paraId="7797BFE7"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щих нормам полигонов, ед.*</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3A9F04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Доля полигонов, соответст</w:t>
            </w:r>
          </w:p>
          <w:p w14:paraId="7973112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вующих нормам, %*</w:t>
            </w:r>
          </w:p>
        </w:tc>
      </w:tr>
      <w:tr w:rsidR="001D7D6D" w:rsidRPr="00F0736F" w14:paraId="2617BDB2" w14:textId="77777777" w:rsidTr="00B155C8">
        <w:tc>
          <w:tcPr>
            <w:tcW w:w="1133" w:type="dxa"/>
            <w:tcBorders>
              <w:top w:val="single" w:sz="4" w:space="0" w:color="000000"/>
              <w:left w:val="single" w:sz="4" w:space="0" w:color="000000"/>
              <w:bottom w:val="single" w:sz="4" w:space="0" w:color="000000"/>
            </w:tcBorders>
            <w:shd w:val="clear" w:color="auto" w:fill="auto"/>
          </w:tcPr>
          <w:p w14:paraId="6066CF83" w14:textId="77777777" w:rsidR="001D7D6D" w:rsidRPr="00F0736F" w:rsidRDefault="001D7D6D" w:rsidP="00B155C8">
            <w:pPr>
              <w:pStyle w:val="LTGliederung6"/>
              <w:snapToGrid w:val="0"/>
              <w:ind w:firstLine="11"/>
              <w:contextualSpacing/>
              <w:jc w:val="both"/>
              <w:rPr>
                <w:rFonts w:ascii="Times New Roman" w:hAnsi="Times New Roman" w:cs="Times New Roman"/>
                <w:color w:val="000000" w:themeColor="text1"/>
                <w:sz w:val="20"/>
                <w:szCs w:val="20"/>
              </w:rPr>
            </w:pPr>
          </w:p>
        </w:tc>
        <w:tc>
          <w:tcPr>
            <w:tcW w:w="1985" w:type="dxa"/>
            <w:tcBorders>
              <w:top w:val="single" w:sz="4" w:space="0" w:color="000000"/>
              <w:left w:val="single" w:sz="4" w:space="0" w:color="000000"/>
              <w:bottom w:val="single" w:sz="4" w:space="0" w:color="000000"/>
            </w:tcBorders>
            <w:shd w:val="clear" w:color="auto" w:fill="auto"/>
          </w:tcPr>
          <w:p w14:paraId="6333C821"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Итого по РК</w:t>
            </w:r>
          </w:p>
        </w:tc>
        <w:tc>
          <w:tcPr>
            <w:tcW w:w="1843" w:type="dxa"/>
            <w:tcBorders>
              <w:top w:val="single" w:sz="4" w:space="0" w:color="000000"/>
              <w:left w:val="single" w:sz="4" w:space="0" w:color="000000"/>
              <w:bottom w:val="single" w:sz="4" w:space="0" w:color="000000"/>
            </w:tcBorders>
            <w:shd w:val="clear" w:color="auto" w:fill="auto"/>
          </w:tcPr>
          <w:p w14:paraId="5491774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3 292</w:t>
            </w:r>
          </w:p>
        </w:tc>
        <w:tc>
          <w:tcPr>
            <w:tcW w:w="1842" w:type="dxa"/>
            <w:tcBorders>
              <w:top w:val="single" w:sz="4" w:space="0" w:color="000000"/>
              <w:left w:val="single" w:sz="4" w:space="0" w:color="000000"/>
              <w:bottom w:val="single" w:sz="4" w:space="0" w:color="000000"/>
            </w:tcBorders>
            <w:shd w:val="clear" w:color="auto" w:fill="auto"/>
          </w:tcPr>
          <w:p w14:paraId="6B9997B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2 691</w:t>
            </w:r>
          </w:p>
        </w:tc>
        <w:tc>
          <w:tcPr>
            <w:tcW w:w="1700" w:type="dxa"/>
            <w:tcBorders>
              <w:top w:val="single" w:sz="4" w:space="0" w:color="000000"/>
              <w:left w:val="single" w:sz="4" w:space="0" w:color="000000"/>
              <w:bottom w:val="single" w:sz="4" w:space="0" w:color="000000"/>
            </w:tcBorders>
            <w:shd w:val="clear" w:color="auto" w:fill="auto"/>
          </w:tcPr>
          <w:p w14:paraId="7E5F094B"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601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EF4882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18,26</w:t>
            </w:r>
          </w:p>
        </w:tc>
      </w:tr>
      <w:tr w:rsidR="001D7D6D" w:rsidRPr="00F0736F" w14:paraId="0824738D" w14:textId="77777777" w:rsidTr="00B155C8">
        <w:tc>
          <w:tcPr>
            <w:tcW w:w="1133" w:type="dxa"/>
            <w:tcBorders>
              <w:top w:val="single" w:sz="4" w:space="0" w:color="000000"/>
              <w:left w:val="single" w:sz="4" w:space="0" w:color="000000"/>
              <w:bottom w:val="single" w:sz="4" w:space="0" w:color="000000"/>
            </w:tcBorders>
            <w:shd w:val="clear" w:color="auto" w:fill="auto"/>
          </w:tcPr>
          <w:p w14:paraId="77D52FB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1985" w:type="dxa"/>
            <w:tcBorders>
              <w:top w:val="single" w:sz="4" w:space="0" w:color="000000"/>
              <w:left w:val="single" w:sz="4" w:space="0" w:color="000000"/>
              <w:bottom w:val="single" w:sz="4" w:space="0" w:color="000000"/>
            </w:tcBorders>
            <w:shd w:val="clear" w:color="auto" w:fill="auto"/>
          </w:tcPr>
          <w:p w14:paraId="4894D926"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Нур-Султан</w:t>
            </w:r>
          </w:p>
        </w:tc>
        <w:tc>
          <w:tcPr>
            <w:tcW w:w="1843" w:type="dxa"/>
            <w:tcBorders>
              <w:top w:val="single" w:sz="4" w:space="0" w:color="000000"/>
              <w:left w:val="single" w:sz="4" w:space="0" w:color="000000"/>
              <w:bottom w:val="single" w:sz="4" w:space="0" w:color="000000"/>
            </w:tcBorders>
            <w:shd w:val="clear" w:color="auto" w:fill="auto"/>
          </w:tcPr>
          <w:p w14:paraId="115B53E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1842" w:type="dxa"/>
            <w:tcBorders>
              <w:top w:val="single" w:sz="4" w:space="0" w:color="000000"/>
              <w:left w:val="single" w:sz="4" w:space="0" w:color="000000"/>
              <w:bottom w:val="single" w:sz="4" w:space="0" w:color="000000"/>
            </w:tcBorders>
            <w:shd w:val="clear" w:color="auto" w:fill="auto"/>
          </w:tcPr>
          <w:p w14:paraId="77AEC198"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700" w:type="dxa"/>
            <w:tcBorders>
              <w:top w:val="single" w:sz="4" w:space="0" w:color="000000"/>
              <w:left w:val="single" w:sz="4" w:space="0" w:color="000000"/>
              <w:bottom w:val="single" w:sz="4" w:space="0" w:color="000000"/>
            </w:tcBorders>
            <w:shd w:val="clear" w:color="auto" w:fill="auto"/>
          </w:tcPr>
          <w:p w14:paraId="0645EE0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3C8C46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r>
      <w:tr w:rsidR="001D7D6D" w:rsidRPr="00F0736F" w14:paraId="71C6200F" w14:textId="77777777" w:rsidTr="00B155C8">
        <w:tc>
          <w:tcPr>
            <w:tcW w:w="1133" w:type="dxa"/>
            <w:tcBorders>
              <w:top w:val="single" w:sz="4" w:space="0" w:color="000000"/>
              <w:left w:val="single" w:sz="4" w:space="0" w:color="000000"/>
              <w:bottom w:val="single" w:sz="4" w:space="0" w:color="000000"/>
            </w:tcBorders>
            <w:shd w:val="clear" w:color="auto" w:fill="auto"/>
          </w:tcPr>
          <w:p w14:paraId="7971958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w:t>
            </w:r>
          </w:p>
        </w:tc>
        <w:tc>
          <w:tcPr>
            <w:tcW w:w="1985" w:type="dxa"/>
            <w:tcBorders>
              <w:top w:val="single" w:sz="4" w:space="0" w:color="000000"/>
              <w:left w:val="single" w:sz="4" w:space="0" w:color="000000"/>
              <w:bottom w:val="single" w:sz="4" w:space="0" w:color="000000"/>
            </w:tcBorders>
            <w:shd w:val="clear" w:color="auto" w:fill="auto"/>
          </w:tcPr>
          <w:p w14:paraId="15833E4F"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Шымкент</w:t>
            </w:r>
          </w:p>
        </w:tc>
        <w:tc>
          <w:tcPr>
            <w:tcW w:w="1843" w:type="dxa"/>
            <w:tcBorders>
              <w:top w:val="single" w:sz="4" w:space="0" w:color="000000"/>
              <w:left w:val="single" w:sz="4" w:space="0" w:color="000000"/>
              <w:bottom w:val="single" w:sz="4" w:space="0" w:color="000000"/>
            </w:tcBorders>
            <w:shd w:val="clear" w:color="auto" w:fill="auto"/>
          </w:tcPr>
          <w:p w14:paraId="66FA0861"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1842" w:type="dxa"/>
            <w:tcBorders>
              <w:top w:val="single" w:sz="4" w:space="0" w:color="000000"/>
              <w:left w:val="single" w:sz="4" w:space="0" w:color="000000"/>
              <w:bottom w:val="single" w:sz="4" w:space="0" w:color="000000"/>
            </w:tcBorders>
            <w:shd w:val="clear" w:color="auto" w:fill="auto"/>
          </w:tcPr>
          <w:p w14:paraId="21206D7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700" w:type="dxa"/>
            <w:tcBorders>
              <w:top w:val="single" w:sz="4" w:space="0" w:color="000000"/>
              <w:left w:val="single" w:sz="4" w:space="0" w:color="000000"/>
              <w:bottom w:val="single" w:sz="4" w:space="0" w:color="000000"/>
            </w:tcBorders>
            <w:shd w:val="clear" w:color="auto" w:fill="auto"/>
          </w:tcPr>
          <w:p w14:paraId="74147493"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FC91F6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r>
      <w:tr w:rsidR="001D7D6D" w:rsidRPr="00F0736F" w14:paraId="53E32DAC" w14:textId="77777777" w:rsidTr="00B155C8">
        <w:tc>
          <w:tcPr>
            <w:tcW w:w="1133" w:type="dxa"/>
            <w:tcBorders>
              <w:top w:val="single" w:sz="4" w:space="0" w:color="000000"/>
              <w:left w:val="single" w:sz="4" w:space="0" w:color="000000"/>
              <w:bottom w:val="single" w:sz="4" w:space="0" w:color="000000"/>
            </w:tcBorders>
            <w:shd w:val="clear" w:color="auto" w:fill="auto"/>
          </w:tcPr>
          <w:p w14:paraId="58C8CC6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w:t>
            </w:r>
          </w:p>
        </w:tc>
        <w:tc>
          <w:tcPr>
            <w:tcW w:w="1985" w:type="dxa"/>
            <w:tcBorders>
              <w:top w:val="single" w:sz="4" w:space="0" w:color="000000"/>
              <w:left w:val="single" w:sz="4" w:space="0" w:color="000000"/>
              <w:bottom w:val="single" w:sz="4" w:space="0" w:color="000000"/>
            </w:tcBorders>
            <w:shd w:val="clear" w:color="auto" w:fill="auto"/>
          </w:tcPr>
          <w:p w14:paraId="2A561CBA"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Жамбылская </w:t>
            </w:r>
          </w:p>
        </w:tc>
        <w:tc>
          <w:tcPr>
            <w:tcW w:w="1843" w:type="dxa"/>
            <w:tcBorders>
              <w:top w:val="single" w:sz="4" w:space="0" w:color="000000"/>
              <w:left w:val="single" w:sz="4" w:space="0" w:color="000000"/>
              <w:bottom w:val="single" w:sz="4" w:space="0" w:color="000000"/>
            </w:tcBorders>
            <w:shd w:val="clear" w:color="auto" w:fill="auto"/>
          </w:tcPr>
          <w:p w14:paraId="4498E3D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163</w:t>
            </w:r>
          </w:p>
        </w:tc>
        <w:tc>
          <w:tcPr>
            <w:tcW w:w="1842" w:type="dxa"/>
            <w:tcBorders>
              <w:top w:val="single" w:sz="4" w:space="0" w:color="000000"/>
              <w:left w:val="single" w:sz="4" w:space="0" w:color="000000"/>
              <w:bottom w:val="single" w:sz="4" w:space="0" w:color="000000"/>
            </w:tcBorders>
            <w:shd w:val="clear" w:color="auto" w:fill="auto"/>
          </w:tcPr>
          <w:p w14:paraId="38696188"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700" w:type="dxa"/>
            <w:tcBorders>
              <w:top w:val="single" w:sz="4" w:space="0" w:color="000000"/>
              <w:left w:val="single" w:sz="4" w:space="0" w:color="000000"/>
              <w:bottom w:val="single" w:sz="4" w:space="0" w:color="000000"/>
            </w:tcBorders>
            <w:shd w:val="clear" w:color="auto" w:fill="auto"/>
          </w:tcPr>
          <w:p w14:paraId="3DCF819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5CAC2A6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r>
      <w:tr w:rsidR="001D7D6D" w:rsidRPr="00F0736F" w14:paraId="6F194ADC" w14:textId="77777777" w:rsidTr="00B155C8">
        <w:tc>
          <w:tcPr>
            <w:tcW w:w="1133" w:type="dxa"/>
            <w:tcBorders>
              <w:top w:val="single" w:sz="4" w:space="0" w:color="000000"/>
              <w:left w:val="single" w:sz="4" w:space="0" w:color="000000"/>
              <w:bottom w:val="single" w:sz="4" w:space="0" w:color="000000"/>
            </w:tcBorders>
            <w:shd w:val="clear" w:color="auto" w:fill="auto"/>
          </w:tcPr>
          <w:p w14:paraId="4D5BF62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w:t>
            </w:r>
          </w:p>
        </w:tc>
        <w:tc>
          <w:tcPr>
            <w:tcW w:w="1985" w:type="dxa"/>
            <w:tcBorders>
              <w:top w:val="single" w:sz="4" w:space="0" w:color="000000"/>
              <w:left w:val="single" w:sz="4" w:space="0" w:color="000000"/>
              <w:bottom w:val="single" w:sz="4" w:space="0" w:color="000000"/>
            </w:tcBorders>
            <w:shd w:val="clear" w:color="auto" w:fill="auto"/>
          </w:tcPr>
          <w:p w14:paraId="5BFFFC41"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Туркестанская </w:t>
            </w:r>
          </w:p>
        </w:tc>
        <w:tc>
          <w:tcPr>
            <w:tcW w:w="1843" w:type="dxa"/>
            <w:tcBorders>
              <w:top w:val="single" w:sz="4" w:space="0" w:color="000000"/>
              <w:left w:val="single" w:sz="4" w:space="0" w:color="000000"/>
              <w:bottom w:val="single" w:sz="4" w:space="0" w:color="000000"/>
            </w:tcBorders>
            <w:shd w:val="clear" w:color="auto" w:fill="auto"/>
          </w:tcPr>
          <w:p w14:paraId="067D36A3"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163</w:t>
            </w:r>
          </w:p>
        </w:tc>
        <w:tc>
          <w:tcPr>
            <w:tcW w:w="1842" w:type="dxa"/>
            <w:tcBorders>
              <w:top w:val="single" w:sz="4" w:space="0" w:color="000000"/>
              <w:left w:val="single" w:sz="4" w:space="0" w:color="000000"/>
              <w:bottom w:val="single" w:sz="4" w:space="0" w:color="000000"/>
            </w:tcBorders>
            <w:shd w:val="clear" w:color="auto" w:fill="auto"/>
          </w:tcPr>
          <w:p w14:paraId="0CA5C9B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700" w:type="dxa"/>
            <w:tcBorders>
              <w:top w:val="single" w:sz="4" w:space="0" w:color="000000"/>
              <w:left w:val="single" w:sz="4" w:space="0" w:color="000000"/>
              <w:bottom w:val="single" w:sz="4" w:space="0" w:color="000000"/>
            </w:tcBorders>
            <w:shd w:val="clear" w:color="auto" w:fill="auto"/>
          </w:tcPr>
          <w:p w14:paraId="4F37EAF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2F3DC0C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92,02</w:t>
            </w:r>
          </w:p>
        </w:tc>
      </w:tr>
      <w:tr w:rsidR="001D7D6D" w:rsidRPr="00F0736F" w14:paraId="3A99C6A2" w14:textId="77777777" w:rsidTr="00B155C8">
        <w:tc>
          <w:tcPr>
            <w:tcW w:w="1133" w:type="dxa"/>
            <w:tcBorders>
              <w:top w:val="single" w:sz="4" w:space="0" w:color="000000"/>
              <w:left w:val="single" w:sz="4" w:space="0" w:color="000000"/>
              <w:bottom w:val="single" w:sz="4" w:space="0" w:color="000000"/>
            </w:tcBorders>
            <w:shd w:val="clear" w:color="auto" w:fill="auto"/>
          </w:tcPr>
          <w:p w14:paraId="3859DF72"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w:t>
            </w:r>
          </w:p>
        </w:tc>
        <w:tc>
          <w:tcPr>
            <w:tcW w:w="1985" w:type="dxa"/>
            <w:tcBorders>
              <w:top w:val="single" w:sz="4" w:space="0" w:color="000000"/>
              <w:left w:val="single" w:sz="4" w:space="0" w:color="000000"/>
              <w:bottom w:val="single" w:sz="4" w:space="0" w:color="000000"/>
            </w:tcBorders>
            <w:shd w:val="clear" w:color="auto" w:fill="auto"/>
          </w:tcPr>
          <w:p w14:paraId="6ADDE643"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Костанайская </w:t>
            </w:r>
          </w:p>
        </w:tc>
        <w:tc>
          <w:tcPr>
            <w:tcW w:w="1843" w:type="dxa"/>
            <w:tcBorders>
              <w:top w:val="single" w:sz="4" w:space="0" w:color="000000"/>
              <w:left w:val="single" w:sz="4" w:space="0" w:color="000000"/>
              <w:bottom w:val="single" w:sz="4" w:space="0" w:color="000000"/>
            </w:tcBorders>
            <w:shd w:val="clear" w:color="auto" w:fill="auto"/>
          </w:tcPr>
          <w:p w14:paraId="5DD78DF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266</w:t>
            </w:r>
          </w:p>
        </w:tc>
        <w:tc>
          <w:tcPr>
            <w:tcW w:w="1842" w:type="dxa"/>
            <w:tcBorders>
              <w:top w:val="single" w:sz="4" w:space="0" w:color="000000"/>
              <w:left w:val="single" w:sz="4" w:space="0" w:color="000000"/>
              <w:bottom w:val="single" w:sz="4" w:space="0" w:color="000000"/>
            </w:tcBorders>
            <w:shd w:val="clear" w:color="auto" w:fill="auto"/>
          </w:tcPr>
          <w:p w14:paraId="316E908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155</w:t>
            </w:r>
          </w:p>
        </w:tc>
        <w:tc>
          <w:tcPr>
            <w:tcW w:w="1700" w:type="dxa"/>
            <w:tcBorders>
              <w:top w:val="single" w:sz="4" w:space="0" w:color="000000"/>
              <w:left w:val="single" w:sz="4" w:space="0" w:color="000000"/>
              <w:bottom w:val="single" w:sz="4" w:space="0" w:color="000000"/>
            </w:tcBorders>
            <w:shd w:val="clear" w:color="auto" w:fill="auto"/>
          </w:tcPr>
          <w:p w14:paraId="79AC5E2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64A57581"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41,73</w:t>
            </w:r>
          </w:p>
        </w:tc>
      </w:tr>
      <w:tr w:rsidR="001D7D6D" w:rsidRPr="00F0736F" w14:paraId="7C80D5A3" w14:textId="77777777" w:rsidTr="00B155C8">
        <w:tc>
          <w:tcPr>
            <w:tcW w:w="1133" w:type="dxa"/>
            <w:tcBorders>
              <w:top w:val="single" w:sz="4" w:space="0" w:color="000000"/>
              <w:left w:val="single" w:sz="4" w:space="0" w:color="000000"/>
              <w:bottom w:val="single" w:sz="4" w:space="0" w:color="000000"/>
            </w:tcBorders>
            <w:shd w:val="clear" w:color="auto" w:fill="auto"/>
          </w:tcPr>
          <w:p w14:paraId="3865F67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w:t>
            </w:r>
          </w:p>
        </w:tc>
        <w:tc>
          <w:tcPr>
            <w:tcW w:w="1985" w:type="dxa"/>
            <w:tcBorders>
              <w:top w:val="single" w:sz="4" w:space="0" w:color="000000"/>
              <w:left w:val="single" w:sz="4" w:space="0" w:color="000000"/>
              <w:bottom w:val="single" w:sz="4" w:space="0" w:color="000000"/>
            </w:tcBorders>
            <w:shd w:val="clear" w:color="auto" w:fill="auto"/>
          </w:tcPr>
          <w:p w14:paraId="3AADF7BF"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Мангистауская </w:t>
            </w:r>
          </w:p>
        </w:tc>
        <w:tc>
          <w:tcPr>
            <w:tcW w:w="1843" w:type="dxa"/>
            <w:tcBorders>
              <w:top w:val="single" w:sz="4" w:space="0" w:color="000000"/>
              <w:left w:val="single" w:sz="4" w:space="0" w:color="000000"/>
              <w:bottom w:val="single" w:sz="4" w:space="0" w:color="000000"/>
            </w:tcBorders>
            <w:shd w:val="clear" w:color="auto" w:fill="auto"/>
          </w:tcPr>
          <w:p w14:paraId="3F06282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w:t>
            </w:r>
          </w:p>
        </w:tc>
        <w:tc>
          <w:tcPr>
            <w:tcW w:w="1842" w:type="dxa"/>
            <w:tcBorders>
              <w:top w:val="single" w:sz="4" w:space="0" w:color="000000"/>
              <w:left w:val="single" w:sz="4" w:space="0" w:color="000000"/>
              <w:bottom w:val="single" w:sz="4" w:space="0" w:color="000000"/>
            </w:tcBorders>
            <w:shd w:val="clear" w:color="auto" w:fill="auto"/>
          </w:tcPr>
          <w:p w14:paraId="6A3F9B90"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w:t>
            </w:r>
          </w:p>
        </w:tc>
        <w:tc>
          <w:tcPr>
            <w:tcW w:w="1700" w:type="dxa"/>
            <w:tcBorders>
              <w:top w:val="single" w:sz="4" w:space="0" w:color="000000"/>
              <w:left w:val="single" w:sz="4" w:space="0" w:color="000000"/>
              <w:bottom w:val="single" w:sz="4" w:space="0" w:color="000000"/>
            </w:tcBorders>
            <w:shd w:val="clear" w:color="auto" w:fill="auto"/>
          </w:tcPr>
          <w:p w14:paraId="253FC80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AE92017"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33,33</w:t>
            </w:r>
          </w:p>
        </w:tc>
      </w:tr>
      <w:tr w:rsidR="001D7D6D" w:rsidRPr="00F0736F" w14:paraId="01FFC3EF" w14:textId="77777777" w:rsidTr="00B155C8">
        <w:tc>
          <w:tcPr>
            <w:tcW w:w="1133" w:type="dxa"/>
            <w:tcBorders>
              <w:top w:val="single" w:sz="4" w:space="0" w:color="000000"/>
              <w:left w:val="single" w:sz="4" w:space="0" w:color="000000"/>
              <w:bottom w:val="single" w:sz="4" w:space="0" w:color="000000"/>
            </w:tcBorders>
            <w:shd w:val="clear" w:color="auto" w:fill="auto"/>
          </w:tcPr>
          <w:p w14:paraId="7590D2C3"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w:t>
            </w:r>
          </w:p>
        </w:tc>
        <w:tc>
          <w:tcPr>
            <w:tcW w:w="1985" w:type="dxa"/>
            <w:tcBorders>
              <w:top w:val="single" w:sz="4" w:space="0" w:color="000000"/>
              <w:left w:val="single" w:sz="4" w:space="0" w:color="000000"/>
              <w:bottom w:val="single" w:sz="4" w:space="0" w:color="000000"/>
            </w:tcBorders>
            <w:shd w:val="clear" w:color="auto" w:fill="auto"/>
          </w:tcPr>
          <w:p w14:paraId="4FF2691E"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Атырауская </w:t>
            </w:r>
          </w:p>
        </w:tc>
        <w:tc>
          <w:tcPr>
            <w:tcW w:w="1843" w:type="dxa"/>
            <w:tcBorders>
              <w:top w:val="single" w:sz="4" w:space="0" w:color="000000"/>
              <w:left w:val="single" w:sz="4" w:space="0" w:color="000000"/>
              <w:bottom w:val="single" w:sz="4" w:space="0" w:color="000000"/>
            </w:tcBorders>
            <w:shd w:val="clear" w:color="auto" w:fill="auto"/>
          </w:tcPr>
          <w:p w14:paraId="21B77B7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86</w:t>
            </w:r>
          </w:p>
        </w:tc>
        <w:tc>
          <w:tcPr>
            <w:tcW w:w="1842" w:type="dxa"/>
            <w:tcBorders>
              <w:top w:val="single" w:sz="4" w:space="0" w:color="000000"/>
              <w:left w:val="single" w:sz="4" w:space="0" w:color="000000"/>
              <w:bottom w:val="single" w:sz="4" w:space="0" w:color="000000"/>
            </w:tcBorders>
            <w:shd w:val="clear" w:color="auto" w:fill="auto"/>
          </w:tcPr>
          <w:p w14:paraId="17095137"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64</w:t>
            </w:r>
          </w:p>
        </w:tc>
        <w:tc>
          <w:tcPr>
            <w:tcW w:w="1700" w:type="dxa"/>
            <w:tcBorders>
              <w:top w:val="single" w:sz="4" w:space="0" w:color="000000"/>
              <w:left w:val="single" w:sz="4" w:space="0" w:color="000000"/>
              <w:bottom w:val="single" w:sz="4" w:space="0" w:color="000000"/>
            </w:tcBorders>
            <w:shd w:val="clear" w:color="auto" w:fill="auto"/>
          </w:tcPr>
          <w:p w14:paraId="5B7D668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74D3F23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25,58</w:t>
            </w:r>
          </w:p>
        </w:tc>
      </w:tr>
      <w:tr w:rsidR="001D7D6D" w:rsidRPr="00F0736F" w14:paraId="4CE335A9" w14:textId="77777777" w:rsidTr="00B155C8">
        <w:tc>
          <w:tcPr>
            <w:tcW w:w="1133" w:type="dxa"/>
            <w:tcBorders>
              <w:top w:val="single" w:sz="4" w:space="0" w:color="000000"/>
              <w:left w:val="single" w:sz="4" w:space="0" w:color="000000"/>
              <w:bottom w:val="single" w:sz="4" w:space="0" w:color="000000"/>
            </w:tcBorders>
            <w:shd w:val="clear" w:color="auto" w:fill="auto"/>
          </w:tcPr>
          <w:p w14:paraId="4C0C51D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w:t>
            </w:r>
          </w:p>
        </w:tc>
        <w:tc>
          <w:tcPr>
            <w:tcW w:w="1985" w:type="dxa"/>
            <w:tcBorders>
              <w:top w:val="single" w:sz="4" w:space="0" w:color="000000"/>
              <w:left w:val="single" w:sz="4" w:space="0" w:color="000000"/>
              <w:bottom w:val="single" w:sz="4" w:space="0" w:color="000000"/>
            </w:tcBorders>
            <w:shd w:val="clear" w:color="auto" w:fill="auto"/>
          </w:tcPr>
          <w:p w14:paraId="0FAD3AF2"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Акмолинская </w:t>
            </w:r>
          </w:p>
        </w:tc>
        <w:tc>
          <w:tcPr>
            <w:tcW w:w="1843" w:type="dxa"/>
            <w:tcBorders>
              <w:top w:val="single" w:sz="4" w:space="0" w:color="000000"/>
              <w:left w:val="single" w:sz="4" w:space="0" w:color="000000"/>
              <w:bottom w:val="single" w:sz="4" w:space="0" w:color="000000"/>
            </w:tcBorders>
            <w:shd w:val="clear" w:color="auto" w:fill="auto"/>
          </w:tcPr>
          <w:p w14:paraId="03BB0E1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130</w:t>
            </w:r>
          </w:p>
        </w:tc>
        <w:tc>
          <w:tcPr>
            <w:tcW w:w="1842" w:type="dxa"/>
            <w:tcBorders>
              <w:top w:val="single" w:sz="4" w:space="0" w:color="000000"/>
              <w:left w:val="single" w:sz="4" w:space="0" w:color="000000"/>
              <w:bottom w:val="single" w:sz="4" w:space="0" w:color="000000"/>
            </w:tcBorders>
            <w:shd w:val="clear" w:color="auto" w:fill="auto"/>
          </w:tcPr>
          <w:p w14:paraId="3A192AD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104</w:t>
            </w:r>
          </w:p>
        </w:tc>
        <w:tc>
          <w:tcPr>
            <w:tcW w:w="1700" w:type="dxa"/>
            <w:tcBorders>
              <w:top w:val="single" w:sz="4" w:space="0" w:color="000000"/>
              <w:left w:val="single" w:sz="4" w:space="0" w:color="000000"/>
              <w:bottom w:val="single" w:sz="4" w:space="0" w:color="000000"/>
            </w:tcBorders>
            <w:shd w:val="clear" w:color="auto" w:fill="auto"/>
          </w:tcPr>
          <w:p w14:paraId="728DCF80"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55E475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20,00</w:t>
            </w:r>
          </w:p>
        </w:tc>
      </w:tr>
      <w:tr w:rsidR="001D7D6D" w:rsidRPr="00F0736F" w14:paraId="3FC38A75" w14:textId="77777777" w:rsidTr="00B155C8">
        <w:tc>
          <w:tcPr>
            <w:tcW w:w="1133" w:type="dxa"/>
            <w:tcBorders>
              <w:top w:val="single" w:sz="4" w:space="0" w:color="000000"/>
              <w:left w:val="single" w:sz="4" w:space="0" w:color="000000"/>
              <w:bottom w:val="single" w:sz="4" w:space="0" w:color="000000"/>
            </w:tcBorders>
            <w:shd w:val="clear" w:color="auto" w:fill="auto"/>
          </w:tcPr>
          <w:p w14:paraId="438E6D8F"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w:t>
            </w:r>
          </w:p>
        </w:tc>
        <w:tc>
          <w:tcPr>
            <w:tcW w:w="1985" w:type="dxa"/>
            <w:tcBorders>
              <w:top w:val="single" w:sz="4" w:space="0" w:color="000000"/>
              <w:left w:val="single" w:sz="4" w:space="0" w:color="000000"/>
              <w:bottom w:val="single" w:sz="4" w:space="0" w:color="000000"/>
            </w:tcBorders>
            <w:shd w:val="clear" w:color="auto" w:fill="auto"/>
          </w:tcPr>
          <w:p w14:paraId="4A0DE6A2"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Карагандинская </w:t>
            </w:r>
          </w:p>
        </w:tc>
        <w:tc>
          <w:tcPr>
            <w:tcW w:w="1843" w:type="dxa"/>
            <w:tcBorders>
              <w:top w:val="single" w:sz="4" w:space="0" w:color="000000"/>
              <w:left w:val="single" w:sz="4" w:space="0" w:color="000000"/>
              <w:bottom w:val="single" w:sz="4" w:space="0" w:color="000000"/>
            </w:tcBorders>
            <w:shd w:val="clear" w:color="auto" w:fill="auto"/>
          </w:tcPr>
          <w:p w14:paraId="1255ACF8"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202</w:t>
            </w:r>
          </w:p>
        </w:tc>
        <w:tc>
          <w:tcPr>
            <w:tcW w:w="1842" w:type="dxa"/>
            <w:tcBorders>
              <w:top w:val="single" w:sz="4" w:space="0" w:color="000000"/>
              <w:left w:val="single" w:sz="4" w:space="0" w:color="000000"/>
              <w:bottom w:val="single" w:sz="4" w:space="0" w:color="000000"/>
            </w:tcBorders>
            <w:shd w:val="clear" w:color="auto" w:fill="auto"/>
          </w:tcPr>
          <w:p w14:paraId="7BD970F2"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162</w:t>
            </w:r>
          </w:p>
        </w:tc>
        <w:tc>
          <w:tcPr>
            <w:tcW w:w="1700" w:type="dxa"/>
            <w:tcBorders>
              <w:top w:val="single" w:sz="4" w:space="0" w:color="000000"/>
              <w:left w:val="single" w:sz="4" w:space="0" w:color="000000"/>
              <w:bottom w:val="single" w:sz="4" w:space="0" w:color="000000"/>
            </w:tcBorders>
            <w:shd w:val="clear" w:color="auto" w:fill="auto"/>
          </w:tcPr>
          <w:p w14:paraId="5FCEDF5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E5BB88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19,80</w:t>
            </w:r>
          </w:p>
        </w:tc>
      </w:tr>
      <w:tr w:rsidR="001D7D6D" w:rsidRPr="00F0736F" w14:paraId="7CCCE33A" w14:textId="77777777" w:rsidTr="00B155C8">
        <w:tc>
          <w:tcPr>
            <w:tcW w:w="1133" w:type="dxa"/>
            <w:tcBorders>
              <w:top w:val="single" w:sz="4" w:space="0" w:color="000000"/>
              <w:left w:val="single" w:sz="4" w:space="0" w:color="000000"/>
              <w:bottom w:val="single" w:sz="4" w:space="0" w:color="000000"/>
            </w:tcBorders>
            <w:shd w:val="clear" w:color="auto" w:fill="auto"/>
          </w:tcPr>
          <w:p w14:paraId="4BA37BC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c>
          <w:tcPr>
            <w:tcW w:w="1985" w:type="dxa"/>
            <w:tcBorders>
              <w:top w:val="single" w:sz="4" w:space="0" w:color="000000"/>
              <w:left w:val="single" w:sz="4" w:space="0" w:color="000000"/>
              <w:bottom w:val="single" w:sz="4" w:space="0" w:color="000000"/>
            </w:tcBorders>
            <w:shd w:val="clear" w:color="auto" w:fill="auto"/>
          </w:tcPr>
          <w:p w14:paraId="59D14462"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ВКО</w:t>
            </w:r>
          </w:p>
        </w:tc>
        <w:tc>
          <w:tcPr>
            <w:tcW w:w="1843" w:type="dxa"/>
            <w:tcBorders>
              <w:top w:val="single" w:sz="4" w:space="0" w:color="000000"/>
              <w:left w:val="single" w:sz="4" w:space="0" w:color="000000"/>
              <w:bottom w:val="single" w:sz="4" w:space="0" w:color="000000"/>
            </w:tcBorders>
            <w:shd w:val="clear" w:color="auto" w:fill="auto"/>
          </w:tcPr>
          <w:p w14:paraId="4C39466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430</w:t>
            </w:r>
          </w:p>
        </w:tc>
        <w:tc>
          <w:tcPr>
            <w:tcW w:w="1842" w:type="dxa"/>
            <w:tcBorders>
              <w:top w:val="single" w:sz="4" w:space="0" w:color="000000"/>
              <w:left w:val="single" w:sz="4" w:space="0" w:color="000000"/>
              <w:bottom w:val="single" w:sz="4" w:space="0" w:color="000000"/>
            </w:tcBorders>
            <w:shd w:val="clear" w:color="auto" w:fill="auto"/>
          </w:tcPr>
          <w:p w14:paraId="4C4FDA3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404</w:t>
            </w:r>
          </w:p>
        </w:tc>
        <w:tc>
          <w:tcPr>
            <w:tcW w:w="1700" w:type="dxa"/>
            <w:tcBorders>
              <w:top w:val="single" w:sz="4" w:space="0" w:color="000000"/>
              <w:left w:val="single" w:sz="4" w:space="0" w:color="000000"/>
              <w:bottom w:val="single" w:sz="4" w:space="0" w:color="000000"/>
            </w:tcBorders>
            <w:shd w:val="clear" w:color="auto" w:fill="auto"/>
          </w:tcPr>
          <w:p w14:paraId="2E72DA7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07344F25"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6,05</w:t>
            </w:r>
          </w:p>
        </w:tc>
      </w:tr>
      <w:tr w:rsidR="001D7D6D" w:rsidRPr="00F0736F" w14:paraId="06B3AB92" w14:textId="77777777" w:rsidTr="00B155C8">
        <w:tc>
          <w:tcPr>
            <w:tcW w:w="1133" w:type="dxa"/>
            <w:tcBorders>
              <w:top w:val="single" w:sz="4" w:space="0" w:color="000000"/>
              <w:left w:val="single" w:sz="4" w:space="0" w:color="000000"/>
              <w:bottom w:val="single" w:sz="4" w:space="0" w:color="000000"/>
            </w:tcBorders>
            <w:shd w:val="clear" w:color="auto" w:fill="auto"/>
          </w:tcPr>
          <w:p w14:paraId="5B362F6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w:t>
            </w:r>
          </w:p>
        </w:tc>
        <w:tc>
          <w:tcPr>
            <w:tcW w:w="1985" w:type="dxa"/>
            <w:tcBorders>
              <w:top w:val="single" w:sz="4" w:space="0" w:color="000000"/>
              <w:left w:val="single" w:sz="4" w:space="0" w:color="000000"/>
              <w:bottom w:val="single" w:sz="4" w:space="0" w:color="000000"/>
            </w:tcBorders>
            <w:shd w:val="clear" w:color="auto" w:fill="auto"/>
          </w:tcPr>
          <w:p w14:paraId="48C4EAF7"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СКО</w:t>
            </w:r>
          </w:p>
        </w:tc>
        <w:tc>
          <w:tcPr>
            <w:tcW w:w="1843" w:type="dxa"/>
            <w:tcBorders>
              <w:top w:val="single" w:sz="4" w:space="0" w:color="000000"/>
              <w:left w:val="single" w:sz="4" w:space="0" w:color="000000"/>
              <w:bottom w:val="single" w:sz="4" w:space="0" w:color="000000"/>
            </w:tcBorders>
            <w:shd w:val="clear" w:color="auto" w:fill="auto"/>
          </w:tcPr>
          <w:p w14:paraId="4576E530"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458</w:t>
            </w:r>
          </w:p>
        </w:tc>
        <w:tc>
          <w:tcPr>
            <w:tcW w:w="1842" w:type="dxa"/>
            <w:tcBorders>
              <w:top w:val="single" w:sz="4" w:space="0" w:color="000000"/>
              <w:left w:val="single" w:sz="4" w:space="0" w:color="000000"/>
              <w:bottom w:val="single" w:sz="4" w:space="0" w:color="000000"/>
            </w:tcBorders>
            <w:shd w:val="clear" w:color="auto" w:fill="auto"/>
          </w:tcPr>
          <w:p w14:paraId="7D434C02"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441</w:t>
            </w:r>
          </w:p>
        </w:tc>
        <w:tc>
          <w:tcPr>
            <w:tcW w:w="1700" w:type="dxa"/>
            <w:tcBorders>
              <w:top w:val="single" w:sz="4" w:space="0" w:color="000000"/>
              <w:left w:val="single" w:sz="4" w:space="0" w:color="000000"/>
              <w:bottom w:val="single" w:sz="4" w:space="0" w:color="000000"/>
            </w:tcBorders>
            <w:shd w:val="clear" w:color="auto" w:fill="auto"/>
          </w:tcPr>
          <w:p w14:paraId="19C7E64F"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24DB28A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3,71</w:t>
            </w:r>
          </w:p>
        </w:tc>
      </w:tr>
      <w:tr w:rsidR="001D7D6D" w:rsidRPr="00F0736F" w14:paraId="42B84C31" w14:textId="77777777" w:rsidTr="00B155C8">
        <w:tc>
          <w:tcPr>
            <w:tcW w:w="1133" w:type="dxa"/>
            <w:tcBorders>
              <w:top w:val="single" w:sz="4" w:space="0" w:color="000000"/>
              <w:left w:val="single" w:sz="4" w:space="0" w:color="000000"/>
              <w:bottom w:val="single" w:sz="4" w:space="0" w:color="000000"/>
            </w:tcBorders>
            <w:shd w:val="clear" w:color="auto" w:fill="auto"/>
          </w:tcPr>
          <w:p w14:paraId="35C9C127"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w:t>
            </w:r>
          </w:p>
        </w:tc>
        <w:tc>
          <w:tcPr>
            <w:tcW w:w="1985" w:type="dxa"/>
            <w:tcBorders>
              <w:top w:val="single" w:sz="4" w:space="0" w:color="000000"/>
              <w:left w:val="single" w:sz="4" w:space="0" w:color="000000"/>
              <w:bottom w:val="single" w:sz="4" w:space="0" w:color="000000"/>
            </w:tcBorders>
            <w:shd w:val="clear" w:color="auto" w:fill="auto"/>
          </w:tcPr>
          <w:p w14:paraId="1803C917"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Актюбинская </w:t>
            </w:r>
          </w:p>
        </w:tc>
        <w:tc>
          <w:tcPr>
            <w:tcW w:w="1843" w:type="dxa"/>
            <w:tcBorders>
              <w:top w:val="single" w:sz="4" w:space="0" w:color="000000"/>
              <w:left w:val="single" w:sz="4" w:space="0" w:color="000000"/>
              <w:bottom w:val="single" w:sz="4" w:space="0" w:color="000000"/>
            </w:tcBorders>
            <w:shd w:val="clear" w:color="auto" w:fill="auto"/>
          </w:tcPr>
          <w:p w14:paraId="64463B9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366</w:t>
            </w:r>
          </w:p>
        </w:tc>
        <w:tc>
          <w:tcPr>
            <w:tcW w:w="1842" w:type="dxa"/>
            <w:tcBorders>
              <w:top w:val="single" w:sz="4" w:space="0" w:color="000000"/>
              <w:left w:val="single" w:sz="4" w:space="0" w:color="000000"/>
              <w:bottom w:val="single" w:sz="4" w:space="0" w:color="000000"/>
            </w:tcBorders>
            <w:shd w:val="clear" w:color="auto" w:fill="auto"/>
          </w:tcPr>
          <w:p w14:paraId="7569E214"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354</w:t>
            </w:r>
          </w:p>
        </w:tc>
        <w:tc>
          <w:tcPr>
            <w:tcW w:w="1700" w:type="dxa"/>
            <w:tcBorders>
              <w:top w:val="single" w:sz="4" w:space="0" w:color="000000"/>
              <w:left w:val="single" w:sz="4" w:space="0" w:color="000000"/>
              <w:bottom w:val="single" w:sz="4" w:space="0" w:color="000000"/>
            </w:tcBorders>
            <w:shd w:val="clear" w:color="auto" w:fill="auto"/>
          </w:tcPr>
          <w:p w14:paraId="7A13169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957A741"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3,28</w:t>
            </w:r>
          </w:p>
        </w:tc>
      </w:tr>
      <w:tr w:rsidR="001D7D6D" w:rsidRPr="00F0736F" w14:paraId="09CBBDD2" w14:textId="77777777" w:rsidTr="00B155C8">
        <w:tc>
          <w:tcPr>
            <w:tcW w:w="1133" w:type="dxa"/>
            <w:tcBorders>
              <w:top w:val="single" w:sz="4" w:space="0" w:color="000000"/>
              <w:left w:val="single" w:sz="4" w:space="0" w:color="000000"/>
              <w:bottom w:val="single" w:sz="4" w:space="0" w:color="000000"/>
            </w:tcBorders>
            <w:shd w:val="clear" w:color="auto" w:fill="auto"/>
          </w:tcPr>
          <w:p w14:paraId="334FDD00"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985" w:type="dxa"/>
            <w:tcBorders>
              <w:top w:val="single" w:sz="4" w:space="0" w:color="000000"/>
              <w:left w:val="single" w:sz="4" w:space="0" w:color="000000"/>
              <w:bottom w:val="single" w:sz="4" w:space="0" w:color="000000"/>
            </w:tcBorders>
            <w:shd w:val="clear" w:color="auto" w:fill="auto"/>
          </w:tcPr>
          <w:p w14:paraId="19DE23BE"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ЗКО</w:t>
            </w:r>
          </w:p>
        </w:tc>
        <w:tc>
          <w:tcPr>
            <w:tcW w:w="1843" w:type="dxa"/>
            <w:tcBorders>
              <w:top w:val="single" w:sz="4" w:space="0" w:color="000000"/>
              <w:left w:val="single" w:sz="4" w:space="0" w:color="000000"/>
              <w:bottom w:val="single" w:sz="4" w:space="0" w:color="000000"/>
            </w:tcBorders>
            <w:shd w:val="clear" w:color="auto" w:fill="auto"/>
          </w:tcPr>
          <w:p w14:paraId="7A0DE23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208</w:t>
            </w:r>
          </w:p>
        </w:tc>
        <w:tc>
          <w:tcPr>
            <w:tcW w:w="1842" w:type="dxa"/>
            <w:tcBorders>
              <w:top w:val="single" w:sz="4" w:space="0" w:color="000000"/>
              <w:left w:val="single" w:sz="4" w:space="0" w:color="000000"/>
              <w:bottom w:val="single" w:sz="4" w:space="0" w:color="000000"/>
            </w:tcBorders>
            <w:shd w:val="clear" w:color="auto" w:fill="auto"/>
          </w:tcPr>
          <w:p w14:paraId="01AC9960"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206</w:t>
            </w:r>
          </w:p>
        </w:tc>
        <w:tc>
          <w:tcPr>
            <w:tcW w:w="1700" w:type="dxa"/>
            <w:tcBorders>
              <w:top w:val="single" w:sz="4" w:space="0" w:color="000000"/>
              <w:left w:val="single" w:sz="4" w:space="0" w:color="000000"/>
              <w:bottom w:val="single" w:sz="4" w:space="0" w:color="000000"/>
            </w:tcBorders>
            <w:shd w:val="clear" w:color="auto" w:fill="auto"/>
          </w:tcPr>
          <w:p w14:paraId="5584A44E"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5CA03986"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0,96</w:t>
            </w:r>
          </w:p>
        </w:tc>
      </w:tr>
      <w:tr w:rsidR="001D7D6D" w:rsidRPr="00F0736F" w14:paraId="7918BA52" w14:textId="77777777" w:rsidTr="00B155C8">
        <w:tc>
          <w:tcPr>
            <w:tcW w:w="1133" w:type="dxa"/>
            <w:tcBorders>
              <w:top w:val="single" w:sz="4" w:space="0" w:color="000000"/>
              <w:left w:val="single" w:sz="4" w:space="0" w:color="000000"/>
              <w:bottom w:val="single" w:sz="4" w:space="0" w:color="000000"/>
            </w:tcBorders>
            <w:shd w:val="clear" w:color="auto" w:fill="auto"/>
          </w:tcPr>
          <w:p w14:paraId="683DE998"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w:t>
            </w:r>
          </w:p>
        </w:tc>
        <w:tc>
          <w:tcPr>
            <w:tcW w:w="1985" w:type="dxa"/>
            <w:tcBorders>
              <w:top w:val="single" w:sz="4" w:space="0" w:color="000000"/>
              <w:left w:val="single" w:sz="4" w:space="0" w:color="000000"/>
              <w:bottom w:val="single" w:sz="4" w:space="0" w:color="000000"/>
            </w:tcBorders>
            <w:shd w:val="clear" w:color="auto" w:fill="auto"/>
          </w:tcPr>
          <w:p w14:paraId="2A3750ED"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Кызылординская </w:t>
            </w:r>
          </w:p>
        </w:tc>
        <w:tc>
          <w:tcPr>
            <w:tcW w:w="1843" w:type="dxa"/>
            <w:tcBorders>
              <w:top w:val="single" w:sz="4" w:space="0" w:color="000000"/>
              <w:left w:val="single" w:sz="4" w:space="0" w:color="000000"/>
              <w:bottom w:val="single" w:sz="4" w:space="0" w:color="000000"/>
            </w:tcBorders>
            <w:shd w:val="clear" w:color="auto" w:fill="auto"/>
          </w:tcPr>
          <w:p w14:paraId="27284C5F"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145</w:t>
            </w:r>
          </w:p>
        </w:tc>
        <w:tc>
          <w:tcPr>
            <w:tcW w:w="1842" w:type="dxa"/>
            <w:tcBorders>
              <w:top w:val="single" w:sz="4" w:space="0" w:color="000000"/>
              <w:left w:val="single" w:sz="4" w:space="0" w:color="000000"/>
              <w:bottom w:val="single" w:sz="4" w:space="0" w:color="000000"/>
            </w:tcBorders>
            <w:shd w:val="clear" w:color="auto" w:fill="auto"/>
          </w:tcPr>
          <w:p w14:paraId="50069BC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141</w:t>
            </w:r>
          </w:p>
        </w:tc>
        <w:tc>
          <w:tcPr>
            <w:tcW w:w="1700" w:type="dxa"/>
            <w:tcBorders>
              <w:top w:val="single" w:sz="4" w:space="0" w:color="000000"/>
              <w:left w:val="single" w:sz="4" w:space="0" w:color="000000"/>
              <w:bottom w:val="single" w:sz="4" w:space="0" w:color="000000"/>
            </w:tcBorders>
            <w:shd w:val="clear" w:color="auto" w:fill="auto"/>
          </w:tcPr>
          <w:p w14:paraId="2893BF4C"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71E8673"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2,76</w:t>
            </w:r>
          </w:p>
        </w:tc>
      </w:tr>
      <w:tr w:rsidR="001D7D6D" w:rsidRPr="00F0736F" w14:paraId="3F8ABEB7" w14:textId="77777777" w:rsidTr="00B155C8">
        <w:tc>
          <w:tcPr>
            <w:tcW w:w="1133" w:type="dxa"/>
            <w:tcBorders>
              <w:top w:val="single" w:sz="4" w:space="0" w:color="000000"/>
              <w:left w:val="single" w:sz="4" w:space="0" w:color="000000"/>
              <w:bottom w:val="single" w:sz="4" w:space="0" w:color="000000"/>
            </w:tcBorders>
            <w:shd w:val="clear" w:color="auto" w:fill="auto"/>
          </w:tcPr>
          <w:p w14:paraId="44B0E61B"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w:t>
            </w:r>
          </w:p>
        </w:tc>
        <w:tc>
          <w:tcPr>
            <w:tcW w:w="1985" w:type="dxa"/>
            <w:tcBorders>
              <w:top w:val="single" w:sz="4" w:space="0" w:color="000000"/>
              <w:left w:val="single" w:sz="4" w:space="0" w:color="000000"/>
              <w:bottom w:val="single" w:sz="4" w:space="0" w:color="000000"/>
            </w:tcBorders>
            <w:shd w:val="clear" w:color="auto" w:fill="auto"/>
          </w:tcPr>
          <w:p w14:paraId="51787FA3"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Алматинская </w:t>
            </w:r>
          </w:p>
        </w:tc>
        <w:tc>
          <w:tcPr>
            <w:tcW w:w="1843" w:type="dxa"/>
            <w:tcBorders>
              <w:top w:val="single" w:sz="4" w:space="0" w:color="000000"/>
              <w:left w:val="single" w:sz="4" w:space="0" w:color="000000"/>
              <w:bottom w:val="single" w:sz="4" w:space="0" w:color="000000"/>
            </w:tcBorders>
            <w:shd w:val="clear" w:color="auto" w:fill="auto"/>
          </w:tcPr>
          <w:p w14:paraId="16C5644A"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313</w:t>
            </w:r>
          </w:p>
        </w:tc>
        <w:tc>
          <w:tcPr>
            <w:tcW w:w="1842" w:type="dxa"/>
            <w:tcBorders>
              <w:top w:val="single" w:sz="4" w:space="0" w:color="000000"/>
              <w:left w:val="single" w:sz="4" w:space="0" w:color="000000"/>
              <w:bottom w:val="single" w:sz="4" w:space="0" w:color="000000"/>
            </w:tcBorders>
            <w:shd w:val="clear" w:color="auto" w:fill="auto"/>
          </w:tcPr>
          <w:p w14:paraId="2DA516B8"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300</w:t>
            </w:r>
          </w:p>
        </w:tc>
        <w:tc>
          <w:tcPr>
            <w:tcW w:w="1700" w:type="dxa"/>
            <w:tcBorders>
              <w:top w:val="single" w:sz="4" w:space="0" w:color="000000"/>
              <w:left w:val="single" w:sz="4" w:space="0" w:color="000000"/>
              <w:bottom w:val="single" w:sz="4" w:space="0" w:color="000000"/>
            </w:tcBorders>
            <w:shd w:val="clear" w:color="auto" w:fill="auto"/>
          </w:tcPr>
          <w:p w14:paraId="31654E4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6791E43"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4,15</w:t>
            </w:r>
          </w:p>
        </w:tc>
      </w:tr>
      <w:tr w:rsidR="001D7D6D" w:rsidRPr="00F0736F" w14:paraId="7D589BF1" w14:textId="77777777" w:rsidTr="00B155C8">
        <w:tc>
          <w:tcPr>
            <w:tcW w:w="1133" w:type="dxa"/>
            <w:tcBorders>
              <w:top w:val="single" w:sz="4" w:space="0" w:color="000000"/>
              <w:left w:val="single" w:sz="4" w:space="0" w:color="000000"/>
              <w:bottom w:val="single" w:sz="4" w:space="0" w:color="000000"/>
            </w:tcBorders>
            <w:shd w:val="clear" w:color="auto" w:fill="auto"/>
          </w:tcPr>
          <w:p w14:paraId="48C34C2B"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w:t>
            </w:r>
          </w:p>
        </w:tc>
        <w:tc>
          <w:tcPr>
            <w:tcW w:w="1985" w:type="dxa"/>
            <w:tcBorders>
              <w:top w:val="single" w:sz="4" w:space="0" w:color="000000"/>
              <w:left w:val="single" w:sz="4" w:space="0" w:color="000000"/>
              <w:bottom w:val="single" w:sz="4" w:space="0" w:color="000000"/>
            </w:tcBorders>
            <w:shd w:val="clear" w:color="auto" w:fill="auto"/>
          </w:tcPr>
          <w:p w14:paraId="074DF7B9"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Павлодарская </w:t>
            </w:r>
          </w:p>
        </w:tc>
        <w:tc>
          <w:tcPr>
            <w:tcW w:w="1843" w:type="dxa"/>
            <w:tcBorders>
              <w:top w:val="single" w:sz="4" w:space="0" w:color="000000"/>
              <w:left w:val="single" w:sz="4" w:space="0" w:color="000000"/>
              <w:bottom w:val="single" w:sz="4" w:space="0" w:color="000000"/>
            </w:tcBorders>
            <w:shd w:val="clear" w:color="auto" w:fill="auto"/>
          </w:tcPr>
          <w:p w14:paraId="55252F7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336</w:t>
            </w:r>
          </w:p>
        </w:tc>
        <w:tc>
          <w:tcPr>
            <w:tcW w:w="1842" w:type="dxa"/>
            <w:tcBorders>
              <w:top w:val="single" w:sz="4" w:space="0" w:color="000000"/>
              <w:left w:val="single" w:sz="4" w:space="0" w:color="000000"/>
              <w:bottom w:val="single" w:sz="4" w:space="0" w:color="000000"/>
            </w:tcBorders>
            <w:shd w:val="clear" w:color="auto" w:fill="auto"/>
          </w:tcPr>
          <w:p w14:paraId="0E9B28CD"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331</w:t>
            </w:r>
          </w:p>
        </w:tc>
        <w:tc>
          <w:tcPr>
            <w:tcW w:w="1700" w:type="dxa"/>
            <w:tcBorders>
              <w:top w:val="single" w:sz="4" w:space="0" w:color="000000"/>
              <w:left w:val="single" w:sz="4" w:space="0" w:color="000000"/>
              <w:bottom w:val="single" w:sz="4" w:space="0" w:color="000000"/>
            </w:tcBorders>
            <w:shd w:val="clear" w:color="auto" w:fill="auto"/>
          </w:tcPr>
          <w:p w14:paraId="7178ECE7"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w:t>
            </w:r>
          </w:p>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7254F1B"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1,49</w:t>
            </w:r>
          </w:p>
        </w:tc>
      </w:tr>
      <w:tr w:rsidR="001D7D6D" w:rsidRPr="00F0736F" w14:paraId="2A1F6F82" w14:textId="77777777" w:rsidTr="00B155C8">
        <w:tc>
          <w:tcPr>
            <w:tcW w:w="1133" w:type="dxa"/>
            <w:tcBorders>
              <w:top w:val="single" w:sz="4" w:space="0" w:color="000000"/>
              <w:left w:val="single" w:sz="4" w:space="0" w:color="000000"/>
              <w:bottom w:val="single" w:sz="4" w:space="0" w:color="000000"/>
            </w:tcBorders>
            <w:shd w:val="clear" w:color="auto" w:fill="auto"/>
          </w:tcPr>
          <w:p w14:paraId="4B636449"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8676" w:type="dxa"/>
            <w:gridSpan w:val="5"/>
            <w:tcBorders>
              <w:top w:val="single" w:sz="4" w:space="0" w:color="000000"/>
              <w:left w:val="single" w:sz="4" w:space="0" w:color="000000"/>
              <w:bottom w:val="single" w:sz="4" w:space="0" w:color="000000"/>
              <w:right w:val="single" w:sz="4" w:space="0" w:color="000000"/>
            </w:tcBorders>
            <w:shd w:val="clear" w:color="auto" w:fill="auto"/>
          </w:tcPr>
          <w:p w14:paraId="3F0B288D"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Алматы 0 вывозится в Алматинскую область</w:t>
            </w:r>
          </w:p>
        </w:tc>
      </w:tr>
    </w:tbl>
    <w:p w14:paraId="1305903E"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577B4EF9" w14:textId="77777777" w:rsidR="001D7D6D" w:rsidRPr="00F0736F" w:rsidRDefault="001D7D6D" w:rsidP="001D7D6D">
      <w:pPr>
        <w:ind w:firstLine="709"/>
        <w:jc w:val="both"/>
        <w:rPr>
          <w:rFonts w:ascii="Times New Roman" w:hAnsi="Times New Roman" w:cs="Times New Roman"/>
          <w:color w:val="000000" w:themeColor="text1"/>
        </w:rPr>
      </w:pPr>
    </w:p>
    <w:p w14:paraId="309185FE"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результатам космического мониторинга мест размещения отходов за 2018 год в 16 городах Казахстана выявлено 8 680 несанкционированных свалок, из которых 1 408 свалок ликвидированы что составляет 16% (таблица 1.5.6.). Однако за 2019 год с добавлением города Туркестан выявлено 9 229 несанкционированных свалок, утилизированы 2 619 свалок, объемом свыше 389 тыс. т</w:t>
      </w:r>
      <w:r>
        <w:rPr>
          <w:rFonts w:ascii="Times New Roman" w:hAnsi="Times New Roman" w:cs="Times New Roman"/>
          <w:color w:val="000000" w:themeColor="text1"/>
          <w:lang w:val="kk-KZ"/>
        </w:rPr>
        <w:t>онн</w:t>
      </w:r>
      <w:r w:rsidRPr="00F0736F">
        <w:rPr>
          <w:rFonts w:ascii="Times New Roman" w:hAnsi="Times New Roman" w:cs="Times New Roman"/>
          <w:color w:val="000000" w:themeColor="text1"/>
        </w:rPr>
        <w:t xml:space="preserve">. Наибольшее количество стихийных свалок зафиксировано в Акмолинской, Северо-Казахстанской, Алматинской, Карагандинской и Актюбинской областях. </w:t>
      </w:r>
    </w:p>
    <w:p w14:paraId="59CE2B74" w14:textId="77777777" w:rsidR="001D7D6D" w:rsidRPr="00F0736F" w:rsidRDefault="001D7D6D" w:rsidP="001D7D6D">
      <w:pPr>
        <w:ind w:firstLine="709"/>
        <w:jc w:val="both"/>
        <w:rPr>
          <w:rFonts w:ascii="Times New Roman" w:hAnsi="Times New Roman" w:cs="Times New Roman"/>
          <w:color w:val="000000" w:themeColor="text1"/>
        </w:rPr>
      </w:pPr>
    </w:p>
    <w:p w14:paraId="5565D43C"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Таблица 1.5.6. Распределение стихийных свалок по областям в 2018 году</w:t>
      </w:r>
    </w:p>
    <w:p w14:paraId="3E8BEC7F" w14:textId="77777777" w:rsidR="001D7D6D" w:rsidRPr="00F0736F" w:rsidRDefault="001D7D6D" w:rsidP="001D7D6D">
      <w:pPr>
        <w:ind w:firstLine="709"/>
        <w:jc w:val="both"/>
        <w:rPr>
          <w:color w:val="000000" w:themeColor="text1"/>
        </w:rPr>
      </w:pPr>
    </w:p>
    <w:tbl>
      <w:tblPr>
        <w:tblW w:w="0" w:type="auto"/>
        <w:tblInd w:w="108" w:type="dxa"/>
        <w:tblLayout w:type="fixed"/>
        <w:tblLook w:val="0000" w:firstRow="0" w:lastRow="0" w:firstColumn="0" w:lastColumn="0" w:noHBand="0" w:noVBand="0"/>
      </w:tblPr>
      <w:tblGrid>
        <w:gridCol w:w="3119"/>
        <w:gridCol w:w="1843"/>
        <w:gridCol w:w="892"/>
        <w:gridCol w:w="1136"/>
        <w:gridCol w:w="1264"/>
        <w:gridCol w:w="1385"/>
      </w:tblGrid>
      <w:tr w:rsidR="001D7D6D" w:rsidRPr="00F0736F" w14:paraId="571E7DCC" w14:textId="77777777" w:rsidTr="00B155C8">
        <w:trPr>
          <w:trHeight w:val="288"/>
        </w:trPr>
        <w:tc>
          <w:tcPr>
            <w:tcW w:w="3119" w:type="dxa"/>
            <w:vMerge w:val="restart"/>
            <w:tcBorders>
              <w:top w:val="single" w:sz="4" w:space="0" w:color="000000"/>
              <w:left w:val="single" w:sz="4" w:space="0" w:color="000000"/>
              <w:bottom w:val="single" w:sz="4" w:space="0" w:color="000000"/>
            </w:tcBorders>
            <w:shd w:val="clear" w:color="auto" w:fill="auto"/>
            <w:vAlign w:val="center"/>
          </w:tcPr>
          <w:p w14:paraId="18FC90CB"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Департамент экологии</w:t>
            </w:r>
          </w:p>
        </w:tc>
        <w:tc>
          <w:tcPr>
            <w:tcW w:w="1843" w:type="dxa"/>
            <w:tcBorders>
              <w:top w:val="single" w:sz="4" w:space="0" w:color="000000"/>
              <w:left w:val="single" w:sz="4" w:space="0" w:color="000000"/>
              <w:bottom w:val="single" w:sz="4" w:space="0" w:color="000000"/>
            </w:tcBorders>
            <w:shd w:val="clear" w:color="auto" w:fill="auto"/>
            <w:vAlign w:val="center"/>
          </w:tcPr>
          <w:p w14:paraId="2C4B6841"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Размещенные отходы в пределах зоны интереса</w:t>
            </w:r>
          </w:p>
        </w:tc>
        <w:tc>
          <w:tcPr>
            <w:tcW w:w="46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EB5B68"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Текущее состояние из числа обследованных</w:t>
            </w:r>
          </w:p>
        </w:tc>
      </w:tr>
      <w:tr w:rsidR="001D7D6D" w:rsidRPr="00F0736F" w14:paraId="3C41123C" w14:textId="77777777" w:rsidTr="00B155C8">
        <w:trPr>
          <w:trHeight w:val="288"/>
        </w:trPr>
        <w:tc>
          <w:tcPr>
            <w:tcW w:w="3119" w:type="dxa"/>
            <w:vMerge/>
            <w:tcBorders>
              <w:top w:val="single" w:sz="4" w:space="0" w:color="000000"/>
              <w:left w:val="single" w:sz="4" w:space="0" w:color="000000"/>
              <w:bottom w:val="single" w:sz="4" w:space="0" w:color="000000"/>
            </w:tcBorders>
            <w:shd w:val="clear" w:color="auto" w:fill="auto"/>
            <w:vAlign w:val="center"/>
          </w:tcPr>
          <w:p w14:paraId="47CCCCDB" w14:textId="77777777" w:rsidR="001D7D6D" w:rsidRPr="00F0736F" w:rsidRDefault="001D7D6D" w:rsidP="00B155C8">
            <w:pPr>
              <w:snapToGrid w:val="0"/>
              <w:ind w:firstLine="709"/>
              <w:jc w:val="both"/>
              <w:rPr>
                <w:rFonts w:ascii="Times New Roman" w:hAnsi="Times New Roman" w:cs="Times New Roman"/>
                <w:color w:val="000000" w:themeColor="text1"/>
                <w:sz w:val="20"/>
                <w:szCs w:val="20"/>
              </w:rPr>
            </w:pPr>
          </w:p>
        </w:tc>
        <w:tc>
          <w:tcPr>
            <w:tcW w:w="1843" w:type="dxa"/>
            <w:vMerge w:val="restart"/>
            <w:tcBorders>
              <w:top w:val="single" w:sz="4" w:space="0" w:color="000000"/>
              <w:left w:val="single" w:sz="4" w:space="0" w:color="000000"/>
              <w:bottom w:val="single" w:sz="4" w:space="0" w:color="000000"/>
            </w:tcBorders>
            <w:shd w:val="clear" w:color="auto" w:fill="auto"/>
            <w:vAlign w:val="center"/>
          </w:tcPr>
          <w:p w14:paraId="16DBCDEB"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Несанкциони-рованный</w:t>
            </w:r>
          </w:p>
        </w:tc>
        <w:tc>
          <w:tcPr>
            <w:tcW w:w="2028" w:type="dxa"/>
            <w:gridSpan w:val="2"/>
            <w:tcBorders>
              <w:top w:val="single" w:sz="4" w:space="0" w:color="000000"/>
              <w:left w:val="single" w:sz="4" w:space="0" w:color="000000"/>
              <w:bottom w:val="single" w:sz="4" w:space="0" w:color="000000"/>
            </w:tcBorders>
            <w:shd w:val="clear" w:color="auto" w:fill="auto"/>
            <w:vAlign w:val="center"/>
          </w:tcPr>
          <w:p w14:paraId="09777A7B"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Выезды ДЭ</w:t>
            </w:r>
          </w:p>
        </w:tc>
        <w:tc>
          <w:tcPr>
            <w:tcW w:w="26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A26673"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Утилизировано</w:t>
            </w:r>
          </w:p>
        </w:tc>
      </w:tr>
      <w:tr w:rsidR="001D7D6D" w:rsidRPr="00F0736F" w14:paraId="7C112534" w14:textId="77777777" w:rsidTr="00B155C8">
        <w:trPr>
          <w:trHeight w:val="288"/>
        </w:trPr>
        <w:tc>
          <w:tcPr>
            <w:tcW w:w="3119" w:type="dxa"/>
            <w:vMerge/>
            <w:tcBorders>
              <w:top w:val="single" w:sz="4" w:space="0" w:color="000000"/>
              <w:left w:val="single" w:sz="4" w:space="0" w:color="000000"/>
              <w:bottom w:val="single" w:sz="4" w:space="0" w:color="000000"/>
            </w:tcBorders>
            <w:shd w:val="clear" w:color="auto" w:fill="auto"/>
            <w:vAlign w:val="center"/>
          </w:tcPr>
          <w:p w14:paraId="27655413" w14:textId="77777777" w:rsidR="001D7D6D" w:rsidRPr="00F0736F" w:rsidRDefault="001D7D6D" w:rsidP="00B155C8">
            <w:pPr>
              <w:snapToGrid w:val="0"/>
              <w:ind w:firstLine="709"/>
              <w:jc w:val="both"/>
              <w:rPr>
                <w:rFonts w:ascii="Times New Roman" w:hAnsi="Times New Roman" w:cs="Times New Roman"/>
                <w:color w:val="000000" w:themeColor="text1"/>
                <w:sz w:val="20"/>
                <w:szCs w:val="20"/>
              </w:rPr>
            </w:pPr>
          </w:p>
        </w:tc>
        <w:tc>
          <w:tcPr>
            <w:tcW w:w="1843" w:type="dxa"/>
            <w:vMerge/>
            <w:tcBorders>
              <w:top w:val="single" w:sz="4" w:space="0" w:color="000000"/>
              <w:left w:val="single" w:sz="4" w:space="0" w:color="000000"/>
              <w:bottom w:val="single" w:sz="4" w:space="0" w:color="000000"/>
            </w:tcBorders>
            <w:shd w:val="clear" w:color="auto" w:fill="auto"/>
            <w:vAlign w:val="center"/>
          </w:tcPr>
          <w:p w14:paraId="7557334B" w14:textId="77777777" w:rsidR="001D7D6D" w:rsidRPr="00F0736F" w:rsidRDefault="001D7D6D" w:rsidP="00B155C8">
            <w:pPr>
              <w:snapToGrid w:val="0"/>
              <w:ind w:firstLine="709"/>
              <w:jc w:val="both"/>
              <w:rPr>
                <w:rFonts w:ascii="Times New Roman" w:hAnsi="Times New Roman" w:cs="Times New Roman"/>
                <w:color w:val="000000" w:themeColor="text1"/>
                <w:sz w:val="20"/>
                <w:szCs w:val="20"/>
              </w:rPr>
            </w:pPr>
          </w:p>
        </w:tc>
        <w:tc>
          <w:tcPr>
            <w:tcW w:w="892" w:type="dxa"/>
            <w:tcBorders>
              <w:top w:val="single" w:sz="4" w:space="0" w:color="000000"/>
              <w:left w:val="single" w:sz="4" w:space="0" w:color="000000"/>
              <w:bottom w:val="single" w:sz="4" w:space="0" w:color="000000"/>
            </w:tcBorders>
            <w:shd w:val="clear" w:color="auto" w:fill="auto"/>
            <w:vAlign w:val="center"/>
          </w:tcPr>
          <w:p w14:paraId="2D57AEA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Кол-во</w:t>
            </w:r>
          </w:p>
        </w:tc>
        <w:tc>
          <w:tcPr>
            <w:tcW w:w="1136" w:type="dxa"/>
            <w:tcBorders>
              <w:top w:val="single" w:sz="4" w:space="0" w:color="000000"/>
              <w:left w:val="single" w:sz="4" w:space="0" w:color="000000"/>
              <w:bottom w:val="single" w:sz="4" w:space="0" w:color="000000"/>
            </w:tcBorders>
            <w:shd w:val="clear" w:color="auto" w:fill="auto"/>
            <w:vAlign w:val="center"/>
          </w:tcPr>
          <w:p w14:paraId="17D3C71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264" w:type="dxa"/>
            <w:tcBorders>
              <w:top w:val="single" w:sz="4" w:space="0" w:color="000000"/>
              <w:left w:val="single" w:sz="4" w:space="0" w:color="000000"/>
              <w:bottom w:val="single" w:sz="4" w:space="0" w:color="000000"/>
            </w:tcBorders>
            <w:shd w:val="clear" w:color="auto" w:fill="auto"/>
            <w:vAlign w:val="center"/>
          </w:tcPr>
          <w:p w14:paraId="328953FC"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Кол-во</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BED7"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r>
      <w:tr w:rsidR="001D7D6D" w:rsidRPr="00F0736F" w14:paraId="2540EE51"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38CD39B2"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город  Нур-Султан</w:t>
            </w:r>
          </w:p>
        </w:tc>
        <w:tc>
          <w:tcPr>
            <w:tcW w:w="1843" w:type="dxa"/>
            <w:tcBorders>
              <w:top w:val="single" w:sz="4" w:space="0" w:color="000000"/>
              <w:left w:val="single" w:sz="4" w:space="0" w:color="000000"/>
              <w:bottom w:val="single" w:sz="4" w:space="0" w:color="000000"/>
            </w:tcBorders>
            <w:shd w:val="clear" w:color="auto" w:fill="auto"/>
            <w:vAlign w:val="bottom"/>
          </w:tcPr>
          <w:p w14:paraId="342B3A9B"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439</w:t>
            </w:r>
          </w:p>
        </w:tc>
        <w:tc>
          <w:tcPr>
            <w:tcW w:w="892" w:type="dxa"/>
            <w:tcBorders>
              <w:top w:val="single" w:sz="4" w:space="0" w:color="000000"/>
              <w:left w:val="single" w:sz="4" w:space="0" w:color="000000"/>
              <w:bottom w:val="single" w:sz="4" w:space="0" w:color="000000"/>
            </w:tcBorders>
            <w:shd w:val="clear" w:color="auto" w:fill="auto"/>
            <w:vAlign w:val="bottom"/>
          </w:tcPr>
          <w:p w14:paraId="7974171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125</w:t>
            </w:r>
          </w:p>
        </w:tc>
        <w:tc>
          <w:tcPr>
            <w:tcW w:w="1136" w:type="dxa"/>
            <w:tcBorders>
              <w:top w:val="single" w:sz="4" w:space="0" w:color="000000"/>
              <w:left w:val="single" w:sz="4" w:space="0" w:color="000000"/>
              <w:bottom w:val="single" w:sz="4" w:space="0" w:color="000000"/>
            </w:tcBorders>
            <w:shd w:val="clear" w:color="auto" w:fill="auto"/>
            <w:vAlign w:val="bottom"/>
          </w:tcPr>
          <w:p w14:paraId="75A68B78"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w:t>
            </w:r>
          </w:p>
        </w:tc>
        <w:tc>
          <w:tcPr>
            <w:tcW w:w="1264" w:type="dxa"/>
            <w:tcBorders>
              <w:top w:val="single" w:sz="4" w:space="0" w:color="000000"/>
              <w:left w:val="single" w:sz="4" w:space="0" w:color="000000"/>
              <w:bottom w:val="single" w:sz="4" w:space="0" w:color="000000"/>
            </w:tcBorders>
            <w:shd w:val="clear" w:color="auto" w:fill="auto"/>
            <w:vAlign w:val="bottom"/>
          </w:tcPr>
          <w:p w14:paraId="11416AC4"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A99189"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w:t>
            </w:r>
          </w:p>
        </w:tc>
      </w:tr>
      <w:tr w:rsidR="001D7D6D" w:rsidRPr="00F0736F" w14:paraId="66646258"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47036015"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город Алматы</w:t>
            </w:r>
          </w:p>
        </w:tc>
        <w:tc>
          <w:tcPr>
            <w:tcW w:w="1843" w:type="dxa"/>
            <w:tcBorders>
              <w:top w:val="single" w:sz="4" w:space="0" w:color="000000"/>
              <w:left w:val="single" w:sz="4" w:space="0" w:color="000000"/>
              <w:bottom w:val="single" w:sz="4" w:space="0" w:color="000000"/>
            </w:tcBorders>
            <w:shd w:val="clear" w:color="auto" w:fill="auto"/>
            <w:vAlign w:val="bottom"/>
          </w:tcPr>
          <w:p w14:paraId="6789EA7B"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51</w:t>
            </w:r>
          </w:p>
        </w:tc>
        <w:tc>
          <w:tcPr>
            <w:tcW w:w="892" w:type="dxa"/>
            <w:tcBorders>
              <w:top w:val="single" w:sz="4" w:space="0" w:color="000000"/>
              <w:left w:val="single" w:sz="4" w:space="0" w:color="000000"/>
              <w:bottom w:val="single" w:sz="4" w:space="0" w:color="000000"/>
            </w:tcBorders>
            <w:shd w:val="clear" w:color="auto" w:fill="auto"/>
            <w:vAlign w:val="bottom"/>
          </w:tcPr>
          <w:p w14:paraId="30F55D4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136" w:type="dxa"/>
            <w:tcBorders>
              <w:top w:val="single" w:sz="4" w:space="0" w:color="000000"/>
              <w:left w:val="single" w:sz="4" w:space="0" w:color="000000"/>
              <w:bottom w:val="single" w:sz="4" w:space="0" w:color="000000"/>
            </w:tcBorders>
            <w:shd w:val="clear" w:color="auto" w:fill="auto"/>
            <w:vAlign w:val="bottom"/>
          </w:tcPr>
          <w:p w14:paraId="5007680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w:t>
            </w:r>
          </w:p>
        </w:tc>
        <w:tc>
          <w:tcPr>
            <w:tcW w:w="1264" w:type="dxa"/>
            <w:tcBorders>
              <w:top w:val="single" w:sz="4" w:space="0" w:color="000000"/>
              <w:left w:val="single" w:sz="4" w:space="0" w:color="000000"/>
              <w:bottom w:val="single" w:sz="4" w:space="0" w:color="000000"/>
            </w:tcBorders>
            <w:shd w:val="clear" w:color="auto" w:fill="auto"/>
            <w:vAlign w:val="bottom"/>
          </w:tcPr>
          <w:p w14:paraId="472E66C0"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8B2E8"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25</w:t>
            </w:r>
          </w:p>
        </w:tc>
      </w:tr>
      <w:tr w:rsidR="001D7D6D" w:rsidRPr="00F0736F" w14:paraId="5EF2B470"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341DB1AC"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город Шымкент</w:t>
            </w:r>
          </w:p>
        </w:tc>
        <w:tc>
          <w:tcPr>
            <w:tcW w:w="1843" w:type="dxa"/>
            <w:tcBorders>
              <w:top w:val="single" w:sz="4" w:space="0" w:color="000000"/>
              <w:left w:val="single" w:sz="4" w:space="0" w:color="000000"/>
              <w:bottom w:val="single" w:sz="4" w:space="0" w:color="000000"/>
            </w:tcBorders>
            <w:shd w:val="clear" w:color="auto" w:fill="auto"/>
            <w:vAlign w:val="bottom"/>
          </w:tcPr>
          <w:p w14:paraId="7235D5F1"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320</w:t>
            </w:r>
          </w:p>
        </w:tc>
        <w:tc>
          <w:tcPr>
            <w:tcW w:w="892" w:type="dxa"/>
            <w:tcBorders>
              <w:top w:val="single" w:sz="4" w:space="0" w:color="000000"/>
              <w:left w:val="single" w:sz="4" w:space="0" w:color="000000"/>
              <w:bottom w:val="single" w:sz="4" w:space="0" w:color="000000"/>
            </w:tcBorders>
            <w:shd w:val="clear" w:color="auto" w:fill="auto"/>
            <w:vAlign w:val="bottom"/>
          </w:tcPr>
          <w:p w14:paraId="165D832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192</w:t>
            </w:r>
          </w:p>
        </w:tc>
        <w:tc>
          <w:tcPr>
            <w:tcW w:w="1136" w:type="dxa"/>
            <w:tcBorders>
              <w:top w:val="single" w:sz="4" w:space="0" w:color="000000"/>
              <w:left w:val="single" w:sz="4" w:space="0" w:color="000000"/>
              <w:bottom w:val="single" w:sz="4" w:space="0" w:color="000000"/>
            </w:tcBorders>
            <w:shd w:val="clear" w:color="auto" w:fill="auto"/>
            <w:vAlign w:val="bottom"/>
          </w:tcPr>
          <w:p w14:paraId="1C7E1C4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61</w:t>
            </w:r>
          </w:p>
        </w:tc>
        <w:tc>
          <w:tcPr>
            <w:tcW w:w="1264" w:type="dxa"/>
            <w:tcBorders>
              <w:top w:val="single" w:sz="4" w:space="0" w:color="000000"/>
              <w:left w:val="single" w:sz="4" w:space="0" w:color="000000"/>
              <w:bottom w:val="single" w:sz="4" w:space="0" w:color="000000"/>
            </w:tcBorders>
            <w:shd w:val="clear" w:color="auto" w:fill="auto"/>
            <w:vAlign w:val="bottom"/>
          </w:tcPr>
          <w:p w14:paraId="2D10B6B3"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DCD1C"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w:t>
            </w:r>
          </w:p>
        </w:tc>
      </w:tr>
      <w:tr w:rsidR="001D7D6D" w:rsidRPr="00F0736F" w14:paraId="112397FB"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200123E7"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Акмолинская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66CB0804"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1704</w:t>
            </w:r>
          </w:p>
        </w:tc>
        <w:tc>
          <w:tcPr>
            <w:tcW w:w="892" w:type="dxa"/>
            <w:tcBorders>
              <w:top w:val="single" w:sz="4" w:space="0" w:color="000000"/>
              <w:left w:val="single" w:sz="4" w:space="0" w:color="000000"/>
              <w:bottom w:val="single" w:sz="4" w:space="0" w:color="000000"/>
            </w:tcBorders>
            <w:shd w:val="clear" w:color="auto" w:fill="auto"/>
            <w:vAlign w:val="bottom"/>
          </w:tcPr>
          <w:p w14:paraId="15FF7D03"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362</w:t>
            </w:r>
          </w:p>
        </w:tc>
        <w:tc>
          <w:tcPr>
            <w:tcW w:w="1136" w:type="dxa"/>
            <w:tcBorders>
              <w:top w:val="single" w:sz="4" w:space="0" w:color="000000"/>
              <w:left w:val="single" w:sz="4" w:space="0" w:color="000000"/>
              <w:bottom w:val="single" w:sz="4" w:space="0" w:color="000000"/>
            </w:tcBorders>
            <w:shd w:val="clear" w:color="auto" w:fill="auto"/>
            <w:vAlign w:val="bottom"/>
          </w:tcPr>
          <w:p w14:paraId="056BA3B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22</w:t>
            </w:r>
          </w:p>
        </w:tc>
        <w:tc>
          <w:tcPr>
            <w:tcW w:w="1264" w:type="dxa"/>
            <w:tcBorders>
              <w:top w:val="single" w:sz="4" w:space="0" w:color="000000"/>
              <w:left w:val="single" w:sz="4" w:space="0" w:color="000000"/>
              <w:bottom w:val="single" w:sz="4" w:space="0" w:color="000000"/>
            </w:tcBorders>
            <w:shd w:val="clear" w:color="auto" w:fill="auto"/>
            <w:vAlign w:val="bottom"/>
          </w:tcPr>
          <w:p w14:paraId="0D74BC90"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2974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w:t>
            </w:r>
          </w:p>
        </w:tc>
      </w:tr>
      <w:tr w:rsidR="001D7D6D" w:rsidRPr="00F0736F" w14:paraId="451456F6"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1D8A2957"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Актюбинская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5860A813"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633</w:t>
            </w:r>
          </w:p>
        </w:tc>
        <w:tc>
          <w:tcPr>
            <w:tcW w:w="892" w:type="dxa"/>
            <w:tcBorders>
              <w:top w:val="single" w:sz="4" w:space="0" w:color="000000"/>
              <w:left w:val="single" w:sz="4" w:space="0" w:color="000000"/>
              <w:bottom w:val="single" w:sz="4" w:space="0" w:color="000000"/>
            </w:tcBorders>
            <w:shd w:val="clear" w:color="auto" w:fill="auto"/>
            <w:vAlign w:val="bottom"/>
          </w:tcPr>
          <w:p w14:paraId="0F1CC6F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620</w:t>
            </w:r>
          </w:p>
        </w:tc>
        <w:tc>
          <w:tcPr>
            <w:tcW w:w="1136" w:type="dxa"/>
            <w:tcBorders>
              <w:top w:val="single" w:sz="4" w:space="0" w:color="000000"/>
              <w:left w:val="single" w:sz="4" w:space="0" w:color="000000"/>
              <w:bottom w:val="single" w:sz="4" w:space="0" w:color="000000"/>
            </w:tcBorders>
            <w:shd w:val="clear" w:color="auto" w:fill="auto"/>
            <w:vAlign w:val="bottom"/>
          </w:tcPr>
          <w:p w14:paraId="5E09679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98</w:t>
            </w:r>
          </w:p>
        </w:tc>
        <w:tc>
          <w:tcPr>
            <w:tcW w:w="1264" w:type="dxa"/>
            <w:tcBorders>
              <w:top w:val="single" w:sz="4" w:space="0" w:color="000000"/>
              <w:left w:val="single" w:sz="4" w:space="0" w:color="000000"/>
              <w:bottom w:val="single" w:sz="4" w:space="0" w:color="000000"/>
            </w:tcBorders>
            <w:shd w:val="clear" w:color="auto" w:fill="auto"/>
            <w:vAlign w:val="bottom"/>
          </w:tcPr>
          <w:p w14:paraId="29D8DE3C"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2625C"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w:t>
            </w:r>
          </w:p>
        </w:tc>
      </w:tr>
      <w:tr w:rsidR="001D7D6D" w:rsidRPr="00F0736F" w14:paraId="282B11D6"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3858F8CE"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Алматинская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484DBDB8"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806</w:t>
            </w:r>
          </w:p>
        </w:tc>
        <w:tc>
          <w:tcPr>
            <w:tcW w:w="892" w:type="dxa"/>
            <w:tcBorders>
              <w:top w:val="single" w:sz="4" w:space="0" w:color="000000"/>
              <w:left w:val="single" w:sz="4" w:space="0" w:color="000000"/>
              <w:bottom w:val="single" w:sz="4" w:space="0" w:color="000000"/>
            </w:tcBorders>
            <w:shd w:val="clear" w:color="auto" w:fill="auto"/>
            <w:vAlign w:val="bottom"/>
          </w:tcPr>
          <w:p w14:paraId="69740F3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47</w:t>
            </w:r>
          </w:p>
        </w:tc>
        <w:tc>
          <w:tcPr>
            <w:tcW w:w="1136" w:type="dxa"/>
            <w:tcBorders>
              <w:top w:val="single" w:sz="4" w:space="0" w:color="000000"/>
              <w:left w:val="single" w:sz="4" w:space="0" w:color="000000"/>
              <w:bottom w:val="single" w:sz="4" w:space="0" w:color="000000"/>
            </w:tcBorders>
            <w:shd w:val="clear" w:color="auto" w:fill="auto"/>
            <w:vAlign w:val="bottom"/>
          </w:tcPr>
          <w:p w14:paraId="2479775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w:t>
            </w:r>
          </w:p>
        </w:tc>
        <w:tc>
          <w:tcPr>
            <w:tcW w:w="1264" w:type="dxa"/>
            <w:tcBorders>
              <w:top w:val="single" w:sz="4" w:space="0" w:color="000000"/>
              <w:left w:val="single" w:sz="4" w:space="0" w:color="000000"/>
              <w:bottom w:val="single" w:sz="4" w:space="0" w:color="000000"/>
            </w:tcBorders>
            <w:shd w:val="clear" w:color="auto" w:fill="auto"/>
            <w:vAlign w:val="bottom"/>
          </w:tcPr>
          <w:p w14:paraId="62E533A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C6E9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w:t>
            </w:r>
          </w:p>
        </w:tc>
      </w:tr>
      <w:tr w:rsidR="001D7D6D" w:rsidRPr="00F0736F" w14:paraId="23089B40"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17581211"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Атырауская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28B9C90E"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710</w:t>
            </w:r>
          </w:p>
        </w:tc>
        <w:tc>
          <w:tcPr>
            <w:tcW w:w="892" w:type="dxa"/>
            <w:tcBorders>
              <w:top w:val="single" w:sz="4" w:space="0" w:color="000000"/>
              <w:left w:val="single" w:sz="4" w:space="0" w:color="000000"/>
              <w:bottom w:val="single" w:sz="4" w:space="0" w:color="000000"/>
            </w:tcBorders>
            <w:shd w:val="clear" w:color="auto" w:fill="auto"/>
            <w:vAlign w:val="bottom"/>
          </w:tcPr>
          <w:p w14:paraId="7A62DE5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558</w:t>
            </w:r>
          </w:p>
        </w:tc>
        <w:tc>
          <w:tcPr>
            <w:tcW w:w="1136" w:type="dxa"/>
            <w:tcBorders>
              <w:top w:val="single" w:sz="4" w:space="0" w:color="000000"/>
              <w:left w:val="single" w:sz="4" w:space="0" w:color="000000"/>
              <w:bottom w:val="single" w:sz="4" w:space="0" w:color="000000"/>
            </w:tcBorders>
            <w:shd w:val="clear" w:color="auto" w:fill="auto"/>
            <w:vAlign w:val="bottom"/>
          </w:tcPr>
          <w:p w14:paraId="3DF9DCD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79</w:t>
            </w:r>
          </w:p>
        </w:tc>
        <w:tc>
          <w:tcPr>
            <w:tcW w:w="1264" w:type="dxa"/>
            <w:tcBorders>
              <w:top w:val="single" w:sz="4" w:space="0" w:color="000000"/>
              <w:left w:val="single" w:sz="4" w:space="0" w:color="000000"/>
              <w:bottom w:val="single" w:sz="4" w:space="0" w:color="000000"/>
            </w:tcBorders>
            <w:shd w:val="clear" w:color="auto" w:fill="auto"/>
            <w:vAlign w:val="bottom"/>
          </w:tcPr>
          <w:p w14:paraId="359B2251"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045F5"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w:t>
            </w:r>
          </w:p>
        </w:tc>
      </w:tr>
      <w:tr w:rsidR="001D7D6D" w:rsidRPr="00F0736F" w14:paraId="1A33AAE5"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1C38B886"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Восточно-Казахстанская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470BB117"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425</w:t>
            </w:r>
          </w:p>
        </w:tc>
        <w:tc>
          <w:tcPr>
            <w:tcW w:w="892" w:type="dxa"/>
            <w:tcBorders>
              <w:top w:val="single" w:sz="4" w:space="0" w:color="000000"/>
              <w:left w:val="single" w:sz="4" w:space="0" w:color="000000"/>
              <w:bottom w:val="single" w:sz="4" w:space="0" w:color="000000"/>
            </w:tcBorders>
            <w:shd w:val="clear" w:color="auto" w:fill="auto"/>
            <w:vAlign w:val="bottom"/>
          </w:tcPr>
          <w:p w14:paraId="269592F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413</w:t>
            </w:r>
          </w:p>
        </w:tc>
        <w:tc>
          <w:tcPr>
            <w:tcW w:w="1136" w:type="dxa"/>
            <w:tcBorders>
              <w:top w:val="single" w:sz="4" w:space="0" w:color="000000"/>
              <w:left w:val="single" w:sz="4" w:space="0" w:color="000000"/>
              <w:bottom w:val="single" w:sz="4" w:space="0" w:color="000000"/>
            </w:tcBorders>
            <w:shd w:val="clear" w:color="auto" w:fill="auto"/>
            <w:vAlign w:val="bottom"/>
          </w:tcPr>
          <w:p w14:paraId="53344F9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99</w:t>
            </w:r>
          </w:p>
        </w:tc>
        <w:tc>
          <w:tcPr>
            <w:tcW w:w="1264" w:type="dxa"/>
            <w:tcBorders>
              <w:top w:val="single" w:sz="4" w:space="0" w:color="000000"/>
              <w:left w:val="single" w:sz="4" w:space="0" w:color="000000"/>
              <w:bottom w:val="single" w:sz="4" w:space="0" w:color="000000"/>
            </w:tcBorders>
            <w:shd w:val="clear" w:color="auto" w:fill="auto"/>
            <w:vAlign w:val="bottom"/>
          </w:tcPr>
          <w:p w14:paraId="18DD6A3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048C0"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w:t>
            </w:r>
          </w:p>
        </w:tc>
      </w:tr>
      <w:tr w:rsidR="001D7D6D" w:rsidRPr="00F0736F" w14:paraId="7D1D6C75"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4B2FCF0F"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Жамбылская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04275CD0"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352</w:t>
            </w:r>
          </w:p>
        </w:tc>
        <w:tc>
          <w:tcPr>
            <w:tcW w:w="892" w:type="dxa"/>
            <w:tcBorders>
              <w:top w:val="single" w:sz="4" w:space="0" w:color="000000"/>
              <w:left w:val="single" w:sz="4" w:space="0" w:color="000000"/>
              <w:bottom w:val="single" w:sz="4" w:space="0" w:color="000000"/>
            </w:tcBorders>
            <w:shd w:val="clear" w:color="auto" w:fill="auto"/>
            <w:vAlign w:val="bottom"/>
          </w:tcPr>
          <w:p w14:paraId="752057F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563</w:t>
            </w:r>
          </w:p>
        </w:tc>
        <w:tc>
          <w:tcPr>
            <w:tcW w:w="1136" w:type="dxa"/>
            <w:tcBorders>
              <w:top w:val="single" w:sz="4" w:space="0" w:color="000000"/>
              <w:left w:val="single" w:sz="4" w:space="0" w:color="000000"/>
              <w:bottom w:val="single" w:sz="4" w:space="0" w:color="000000"/>
            </w:tcBorders>
            <w:shd w:val="clear" w:color="auto" w:fill="auto"/>
            <w:vAlign w:val="bottom"/>
          </w:tcPr>
          <w:p w14:paraId="74DCD9EE"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c>
          <w:tcPr>
            <w:tcW w:w="1264" w:type="dxa"/>
            <w:tcBorders>
              <w:top w:val="single" w:sz="4" w:space="0" w:color="000000"/>
              <w:left w:val="single" w:sz="4" w:space="0" w:color="000000"/>
              <w:bottom w:val="single" w:sz="4" w:space="0" w:color="000000"/>
            </w:tcBorders>
            <w:shd w:val="clear" w:color="auto" w:fill="auto"/>
            <w:vAlign w:val="bottom"/>
          </w:tcPr>
          <w:p w14:paraId="57A168E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303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195D1"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87</w:t>
            </w:r>
          </w:p>
        </w:tc>
      </w:tr>
      <w:tr w:rsidR="001D7D6D" w:rsidRPr="00F0736F" w14:paraId="43F5CA3B"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6CD6B62B"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Западно-Казахстанская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04177E98"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483</w:t>
            </w:r>
          </w:p>
        </w:tc>
        <w:tc>
          <w:tcPr>
            <w:tcW w:w="892" w:type="dxa"/>
            <w:tcBorders>
              <w:top w:val="single" w:sz="4" w:space="0" w:color="000000"/>
              <w:left w:val="single" w:sz="4" w:space="0" w:color="000000"/>
              <w:bottom w:val="single" w:sz="4" w:space="0" w:color="000000"/>
            </w:tcBorders>
            <w:shd w:val="clear" w:color="auto" w:fill="auto"/>
            <w:vAlign w:val="bottom"/>
          </w:tcPr>
          <w:p w14:paraId="1460412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209</w:t>
            </w:r>
          </w:p>
        </w:tc>
        <w:tc>
          <w:tcPr>
            <w:tcW w:w="1136" w:type="dxa"/>
            <w:tcBorders>
              <w:top w:val="single" w:sz="4" w:space="0" w:color="000000"/>
              <w:left w:val="single" w:sz="4" w:space="0" w:color="000000"/>
              <w:bottom w:val="single" w:sz="4" w:space="0" w:color="000000"/>
            </w:tcBorders>
            <w:shd w:val="clear" w:color="auto" w:fill="auto"/>
            <w:vAlign w:val="bottom"/>
          </w:tcPr>
          <w:p w14:paraId="4BAFFD8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w:t>
            </w:r>
          </w:p>
        </w:tc>
        <w:tc>
          <w:tcPr>
            <w:tcW w:w="1264" w:type="dxa"/>
            <w:tcBorders>
              <w:top w:val="single" w:sz="4" w:space="0" w:color="000000"/>
              <w:left w:val="single" w:sz="4" w:space="0" w:color="000000"/>
              <w:bottom w:val="single" w:sz="4" w:space="0" w:color="000000"/>
            </w:tcBorders>
            <w:shd w:val="clear" w:color="auto" w:fill="auto"/>
            <w:vAlign w:val="bottom"/>
          </w:tcPr>
          <w:p w14:paraId="399F3DF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112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9704B"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23</w:t>
            </w:r>
          </w:p>
        </w:tc>
      </w:tr>
      <w:tr w:rsidR="001D7D6D" w:rsidRPr="00F0736F" w14:paraId="271BAAFC"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475C233B"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Карагандинская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34C07A8E"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675</w:t>
            </w:r>
          </w:p>
        </w:tc>
        <w:tc>
          <w:tcPr>
            <w:tcW w:w="892" w:type="dxa"/>
            <w:tcBorders>
              <w:top w:val="single" w:sz="4" w:space="0" w:color="000000"/>
              <w:left w:val="single" w:sz="4" w:space="0" w:color="000000"/>
              <w:bottom w:val="single" w:sz="4" w:space="0" w:color="000000"/>
            </w:tcBorders>
            <w:shd w:val="clear" w:color="auto" w:fill="auto"/>
            <w:vAlign w:val="bottom"/>
          </w:tcPr>
          <w:p w14:paraId="572A778C"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176</w:t>
            </w:r>
          </w:p>
        </w:tc>
        <w:tc>
          <w:tcPr>
            <w:tcW w:w="1136" w:type="dxa"/>
            <w:tcBorders>
              <w:top w:val="single" w:sz="4" w:space="0" w:color="000000"/>
              <w:left w:val="single" w:sz="4" w:space="0" w:color="000000"/>
              <w:bottom w:val="single" w:sz="4" w:space="0" w:color="000000"/>
            </w:tcBorders>
            <w:shd w:val="clear" w:color="auto" w:fill="auto"/>
            <w:vAlign w:val="bottom"/>
          </w:tcPr>
          <w:p w14:paraId="13390729"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c>
          <w:tcPr>
            <w:tcW w:w="1264" w:type="dxa"/>
            <w:tcBorders>
              <w:top w:val="single" w:sz="4" w:space="0" w:color="000000"/>
              <w:left w:val="single" w:sz="4" w:space="0" w:color="000000"/>
              <w:bottom w:val="single" w:sz="4" w:space="0" w:color="000000"/>
            </w:tcBorders>
            <w:shd w:val="clear" w:color="auto" w:fill="auto"/>
            <w:vAlign w:val="bottom"/>
          </w:tcPr>
          <w:p w14:paraId="0DD4667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176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6ADFE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26</w:t>
            </w:r>
          </w:p>
        </w:tc>
      </w:tr>
      <w:tr w:rsidR="001D7D6D" w:rsidRPr="00F0736F" w14:paraId="3EA851D5"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6B7B3CC4"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Костанайская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71D72662"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346</w:t>
            </w:r>
          </w:p>
        </w:tc>
        <w:tc>
          <w:tcPr>
            <w:tcW w:w="892" w:type="dxa"/>
            <w:tcBorders>
              <w:top w:val="single" w:sz="4" w:space="0" w:color="000000"/>
              <w:left w:val="single" w:sz="4" w:space="0" w:color="000000"/>
              <w:bottom w:val="single" w:sz="4" w:space="0" w:color="000000"/>
            </w:tcBorders>
            <w:shd w:val="clear" w:color="auto" w:fill="auto"/>
            <w:vAlign w:val="bottom"/>
          </w:tcPr>
          <w:p w14:paraId="65E86F1E"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349</w:t>
            </w:r>
          </w:p>
        </w:tc>
        <w:tc>
          <w:tcPr>
            <w:tcW w:w="1136" w:type="dxa"/>
            <w:tcBorders>
              <w:top w:val="single" w:sz="4" w:space="0" w:color="000000"/>
              <w:left w:val="single" w:sz="4" w:space="0" w:color="000000"/>
              <w:bottom w:val="single" w:sz="4" w:space="0" w:color="000000"/>
            </w:tcBorders>
            <w:shd w:val="clear" w:color="auto" w:fill="auto"/>
            <w:vAlign w:val="bottom"/>
          </w:tcPr>
          <w:p w14:paraId="20FBB2E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c>
          <w:tcPr>
            <w:tcW w:w="1264" w:type="dxa"/>
            <w:tcBorders>
              <w:top w:val="single" w:sz="4" w:space="0" w:color="000000"/>
              <w:left w:val="single" w:sz="4" w:space="0" w:color="000000"/>
              <w:bottom w:val="single" w:sz="4" w:space="0" w:color="000000"/>
            </w:tcBorders>
            <w:shd w:val="clear" w:color="auto" w:fill="auto"/>
            <w:vAlign w:val="bottom"/>
          </w:tcPr>
          <w:p w14:paraId="730C36E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152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3A2C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w:t>
            </w:r>
          </w:p>
        </w:tc>
      </w:tr>
      <w:tr w:rsidR="001D7D6D" w:rsidRPr="00F0736F" w14:paraId="596A2FDE"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5A58324B"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Кызылординская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048E3FE4"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240</w:t>
            </w:r>
          </w:p>
        </w:tc>
        <w:tc>
          <w:tcPr>
            <w:tcW w:w="892" w:type="dxa"/>
            <w:tcBorders>
              <w:top w:val="single" w:sz="4" w:space="0" w:color="000000"/>
              <w:left w:val="single" w:sz="4" w:space="0" w:color="000000"/>
              <w:bottom w:val="single" w:sz="4" w:space="0" w:color="000000"/>
            </w:tcBorders>
            <w:shd w:val="clear" w:color="auto" w:fill="auto"/>
            <w:vAlign w:val="bottom"/>
          </w:tcPr>
          <w:p w14:paraId="6035BCBB"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330</w:t>
            </w:r>
          </w:p>
        </w:tc>
        <w:tc>
          <w:tcPr>
            <w:tcW w:w="1136" w:type="dxa"/>
            <w:tcBorders>
              <w:top w:val="single" w:sz="4" w:space="0" w:color="000000"/>
              <w:left w:val="single" w:sz="4" w:space="0" w:color="000000"/>
              <w:bottom w:val="single" w:sz="4" w:space="0" w:color="000000"/>
            </w:tcBorders>
            <w:shd w:val="clear" w:color="auto" w:fill="auto"/>
            <w:vAlign w:val="bottom"/>
          </w:tcPr>
          <w:p w14:paraId="089646E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c>
          <w:tcPr>
            <w:tcW w:w="1264" w:type="dxa"/>
            <w:tcBorders>
              <w:top w:val="single" w:sz="4" w:space="0" w:color="000000"/>
              <w:left w:val="single" w:sz="4" w:space="0" w:color="000000"/>
              <w:bottom w:val="single" w:sz="4" w:space="0" w:color="000000"/>
            </w:tcBorders>
            <w:shd w:val="clear" w:color="auto" w:fill="auto"/>
            <w:vAlign w:val="bottom"/>
          </w:tcPr>
          <w:p w14:paraId="082AADC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9D5C1"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43</w:t>
            </w:r>
          </w:p>
        </w:tc>
      </w:tr>
      <w:tr w:rsidR="001D7D6D" w:rsidRPr="00F0736F" w14:paraId="67405D79"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59BB40EC"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Мангистауская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7FB67F70"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181</w:t>
            </w:r>
          </w:p>
        </w:tc>
        <w:tc>
          <w:tcPr>
            <w:tcW w:w="892" w:type="dxa"/>
            <w:tcBorders>
              <w:top w:val="single" w:sz="4" w:space="0" w:color="000000"/>
              <w:left w:val="single" w:sz="4" w:space="0" w:color="000000"/>
              <w:bottom w:val="single" w:sz="4" w:space="0" w:color="000000"/>
            </w:tcBorders>
            <w:shd w:val="clear" w:color="auto" w:fill="auto"/>
            <w:vAlign w:val="bottom"/>
          </w:tcPr>
          <w:p w14:paraId="1743E67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199</w:t>
            </w:r>
          </w:p>
        </w:tc>
        <w:tc>
          <w:tcPr>
            <w:tcW w:w="1136" w:type="dxa"/>
            <w:tcBorders>
              <w:top w:val="single" w:sz="4" w:space="0" w:color="000000"/>
              <w:left w:val="single" w:sz="4" w:space="0" w:color="000000"/>
              <w:bottom w:val="single" w:sz="4" w:space="0" w:color="000000"/>
            </w:tcBorders>
            <w:shd w:val="clear" w:color="auto" w:fill="auto"/>
            <w:vAlign w:val="bottom"/>
          </w:tcPr>
          <w:p w14:paraId="22EE64E3"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100</w:t>
            </w:r>
          </w:p>
        </w:tc>
        <w:tc>
          <w:tcPr>
            <w:tcW w:w="1264" w:type="dxa"/>
            <w:tcBorders>
              <w:top w:val="single" w:sz="4" w:space="0" w:color="000000"/>
              <w:left w:val="single" w:sz="4" w:space="0" w:color="000000"/>
              <w:bottom w:val="single" w:sz="4" w:space="0" w:color="000000"/>
            </w:tcBorders>
            <w:shd w:val="clear" w:color="auto" w:fill="auto"/>
            <w:vAlign w:val="bottom"/>
          </w:tcPr>
          <w:p w14:paraId="2EA12EA2"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86D257"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32</w:t>
            </w:r>
          </w:p>
        </w:tc>
      </w:tr>
      <w:tr w:rsidR="001D7D6D" w:rsidRPr="00F0736F" w14:paraId="0D7CF157"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2B4ECD31"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Павлодарская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0922894D"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601</w:t>
            </w:r>
          </w:p>
        </w:tc>
        <w:tc>
          <w:tcPr>
            <w:tcW w:w="892" w:type="dxa"/>
            <w:tcBorders>
              <w:top w:val="single" w:sz="4" w:space="0" w:color="000000"/>
              <w:left w:val="single" w:sz="4" w:space="0" w:color="000000"/>
              <w:bottom w:val="single" w:sz="4" w:space="0" w:color="000000"/>
            </w:tcBorders>
            <w:shd w:val="clear" w:color="auto" w:fill="auto"/>
            <w:vAlign w:val="bottom"/>
          </w:tcPr>
          <w:p w14:paraId="0CFA00CE"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385</w:t>
            </w:r>
          </w:p>
        </w:tc>
        <w:tc>
          <w:tcPr>
            <w:tcW w:w="1136" w:type="dxa"/>
            <w:tcBorders>
              <w:top w:val="single" w:sz="4" w:space="0" w:color="000000"/>
              <w:left w:val="single" w:sz="4" w:space="0" w:color="000000"/>
              <w:bottom w:val="single" w:sz="4" w:space="0" w:color="000000"/>
            </w:tcBorders>
            <w:shd w:val="clear" w:color="auto" w:fill="auto"/>
            <w:vAlign w:val="bottom"/>
          </w:tcPr>
          <w:p w14:paraId="6DFD8A4B"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65</w:t>
            </w:r>
          </w:p>
        </w:tc>
        <w:tc>
          <w:tcPr>
            <w:tcW w:w="1264" w:type="dxa"/>
            <w:tcBorders>
              <w:top w:val="single" w:sz="4" w:space="0" w:color="000000"/>
              <w:left w:val="single" w:sz="4" w:space="0" w:color="000000"/>
              <w:bottom w:val="single" w:sz="4" w:space="0" w:color="000000"/>
            </w:tcBorders>
            <w:shd w:val="clear" w:color="auto" w:fill="auto"/>
            <w:vAlign w:val="bottom"/>
          </w:tcPr>
          <w:p w14:paraId="32AF4693"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33B77"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13</w:t>
            </w:r>
          </w:p>
        </w:tc>
      </w:tr>
      <w:tr w:rsidR="001D7D6D" w:rsidRPr="00F0736F" w14:paraId="74394B74"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0D43576C"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Северо-Казахстанская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6B7D8247"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714</w:t>
            </w:r>
          </w:p>
        </w:tc>
        <w:tc>
          <w:tcPr>
            <w:tcW w:w="892" w:type="dxa"/>
            <w:tcBorders>
              <w:top w:val="single" w:sz="4" w:space="0" w:color="000000"/>
              <w:left w:val="single" w:sz="4" w:space="0" w:color="000000"/>
              <w:bottom w:val="single" w:sz="4" w:space="0" w:color="000000"/>
            </w:tcBorders>
            <w:shd w:val="clear" w:color="auto" w:fill="auto"/>
            <w:vAlign w:val="bottom"/>
          </w:tcPr>
          <w:p w14:paraId="48FBD8E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310</w:t>
            </w:r>
          </w:p>
        </w:tc>
        <w:tc>
          <w:tcPr>
            <w:tcW w:w="1136" w:type="dxa"/>
            <w:tcBorders>
              <w:top w:val="single" w:sz="4" w:space="0" w:color="000000"/>
              <w:left w:val="single" w:sz="4" w:space="0" w:color="000000"/>
              <w:bottom w:val="single" w:sz="4" w:space="0" w:color="000000"/>
            </w:tcBorders>
            <w:shd w:val="clear" w:color="auto" w:fill="auto"/>
            <w:vAlign w:val="bottom"/>
          </w:tcPr>
          <w:p w14:paraId="00BCDA2F"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w:t>
            </w:r>
          </w:p>
        </w:tc>
        <w:tc>
          <w:tcPr>
            <w:tcW w:w="1264" w:type="dxa"/>
            <w:tcBorders>
              <w:top w:val="single" w:sz="4" w:space="0" w:color="000000"/>
              <w:left w:val="single" w:sz="4" w:space="0" w:color="000000"/>
              <w:bottom w:val="single" w:sz="4" w:space="0" w:color="000000"/>
            </w:tcBorders>
            <w:shd w:val="clear" w:color="auto" w:fill="auto"/>
            <w:vAlign w:val="bottom"/>
          </w:tcPr>
          <w:p w14:paraId="680ADC64"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85</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B5E5B0"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12</w:t>
            </w:r>
          </w:p>
        </w:tc>
      </w:tr>
      <w:tr w:rsidR="001D7D6D" w:rsidRPr="00F0736F" w14:paraId="54199F47"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55109C06" w14:textId="77777777" w:rsidR="001D7D6D" w:rsidRPr="00F0736F" w:rsidRDefault="001D7D6D" w:rsidP="00B155C8">
            <w:pPr>
              <w:pStyle w:val="LTGliederung6"/>
              <w:ind w:firstLine="11"/>
              <w:contextualSpacing/>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Туркестанская область</w:t>
            </w:r>
          </w:p>
        </w:tc>
        <w:tc>
          <w:tcPr>
            <w:tcW w:w="1843" w:type="dxa"/>
            <w:tcBorders>
              <w:top w:val="single" w:sz="4" w:space="0" w:color="000000"/>
              <w:left w:val="single" w:sz="4" w:space="0" w:color="000000"/>
              <w:bottom w:val="single" w:sz="4" w:space="0" w:color="000000"/>
            </w:tcBorders>
            <w:shd w:val="clear" w:color="auto" w:fill="auto"/>
            <w:vAlign w:val="bottom"/>
          </w:tcPr>
          <w:p w14:paraId="793E67D2"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892" w:type="dxa"/>
            <w:tcBorders>
              <w:top w:val="single" w:sz="4" w:space="0" w:color="000000"/>
              <w:left w:val="single" w:sz="4" w:space="0" w:color="000000"/>
              <w:bottom w:val="single" w:sz="4" w:space="0" w:color="000000"/>
            </w:tcBorders>
            <w:shd w:val="clear" w:color="auto" w:fill="auto"/>
            <w:vAlign w:val="bottom"/>
          </w:tcPr>
          <w:p w14:paraId="6A21D4B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136" w:type="dxa"/>
            <w:tcBorders>
              <w:top w:val="single" w:sz="4" w:space="0" w:color="000000"/>
              <w:left w:val="single" w:sz="4" w:space="0" w:color="000000"/>
              <w:bottom w:val="single" w:sz="4" w:space="0" w:color="000000"/>
            </w:tcBorders>
            <w:shd w:val="clear" w:color="auto" w:fill="auto"/>
            <w:vAlign w:val="bottom"/>
          </w:tcPr>
          <w:p w14:paraId="2EEAE413"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264" w:type="dxa"/>
            <w:tcBorders>
              <w:top w:val="single" w:sz="4" w:space="0" w:color="000000"/>
              <w:left w:val="single" w:sz="4" w:space="0" w:color="000000"/>
              <w:bottom w:val="single" w:sz="4" w:space="0" w:color="000000"/>
            </w:tcBorders>
            <w:shd w:val="clear" w:color="auto" w:fill="auto"/>
            <w:vAlign w:val="bottom"/>
          </w:tcPr>
          <w:p w14:paraId="043C7417"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E38E6"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0</w:t>
            </w:r>
          </w:p>
        </w:tc>
      </w:tr>
      <w:tr w:rsidR="001D7D6D" w:rsidRPr="00F0736F" w14:paraId="02D19BAF" w14:textId="77777777" w:rsidTr="00B155C8">
        <w:trPr>
          <w:trHeight w:val="288"/>
        </w:trPr>
        <w:tc>
          <w:tcPr>
            <w:tcW w:w="3119" w:type="dxa"/>
            <w:tcBorders>
              <w:top w:val="single" w:sz="4" w:space="0" w:color="000000"/>
              <w:left w:val="single" w:sz="4" w:space="0" w:color="000000"/>
              <w:bottom w:val="single" w:sz="4" w:space="0" w:color="000000"/>
            </w:tcBorders>
            <w:shd w:val="clear" w:color="auto" w:fill="auto"/>
            <w:vAlign w:val="bottom"/>
          </w:tcPr>
          <w:p w14:paraId="76004AD2" w14:textId="77777777" w:rsidR="001D7D6D" w:rsidRPr="00F0736F" w:rsidRDefault="001D7D6D" w:rsidP="00B155C8">
            <w:pPr>
              <w:pStyle w:val="LTGliederung6"/>
              <w:ind w:firstLine="11"/>
              <w:contextualSpacing/>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Всего</w:t>
            </w:r>
          </w:p>
        </w:tc>
        <w:tc>
          <w:tcPr>
            <w:tcW w:w="1843" w:type="dxa"/>
            <w:tcBorders>
              <w:top w:val="single" w:sz="4" w:space="0" w:color="000000"/>
              <w:left w:val="single" w:sz="4" w:space="0" w:color="000000"/>
              <w:bottom w:val="single" w:sz="4" w:space="0" w:color="000000"/>
            </w:tcBorders>
            <w:shd w:val="clear" w:color="auto" w:fill="auto"/>
            <w:vAlign w:val="bottom"/>
          </w:tcPr>
          <w:p w14:paraId="044346F0" w14:textId="77777777" w:rsidR="001D7D6D" w:rsidRPr="00F0736F" w:rsidRDefault="001D7D6D" w:rsidP="00B155C8">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8680</w:t>
            </w:r>
          </w:p>
        </w:tc>
        <w:tc>
          <w:tcPr>
            <w:tcW w:w="892" w:type="dxa"/>
            <w:tcBorders>
              <w:top w:val="single" w:sz="4" w:space="0" w:color="000000"/>
              <w:left w:val="single" w:sz="4" w:space="0" w:color="000000"/>
              <w:bottom w:val="single" w:sz="4" w:space="0" w:color="000000"/>
            </w:tcBorders>
            <w:shd w:val="clear" w:color="auto" w:fill="auto"/>
            <w:vAlign w:val="bottom"/>
          </w:tcPr>
          <w:p w14:paraId="2405275A"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4851</w:t>
            </w:r>
          </w:p>
        </w:tc>
        <w:tc>
          <w:tcPr>
            <w:tcW w:w="1136" w:type="dxa"/>
            <w:tcBorders>
              <w:top w:val="single" w:sz="4" w:space="0" w:color="000000"/>
              <w:left w:val="single" w:sz="4" w:space="0" w:color="000000"/>
              <w:bottom w:val="single" w:sz="4" w:space="0" w:color="000000"/>
            </w:tcBorders>
            <w:shd w:val="clear" w:color="auto" w:fill="auto"/>
            <w:vAlign w:val="bottom"/>
          </w:tcPr>
          <w:p w14:paraId="74C36A14"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57</w:t>
            </w:r>
          </w:p>
        </w:tc>
        <w:tc>
          <w:tcPr>
            <w:tcW w:w="1264" w:type="dxa"/>
            <w:tcBorders>
              <w:top w:val="single" w:sz="4" w:space="0" w:color="000000"/>
              <w:left w:val="single" w:sz="4" w:space="0" w:color="000000"/>
              <w:bottom w:val="single" w:sz="4" w:space="0" w:color="000000"/>
            </w:tcBorders>
            <w:shd w:val="clear" w:color="auto" w:fill="auto"/>
            <w:vAlign w:val="bottom"/>
          </w:tcPr>
          <w:p w14:paraId="07C97EE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1408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6EEBD"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16</w:t>
            </w:r>
          </w:p>
        </w:tc>
      </w:tr>
    </w:tbl>
    <w:p w14:paraId="3E4E45F1"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5BDDFF53" w14:textId="77777777" w:rsidR="001D7D6D" w:rsidRPr="00F0736F" w:rsidRDefault="001D7D6D" w:rsidP="001D7D6D">
      <w:pPr>
        <w:ind w:firstLine="709"/>
        <w:jc w:val="both"/>
        <w:rPr>
          <w:rFonts w:ascii="Times New Roman" w:hAnsi="Times New Roman" w:cs="Times New Roman"/>
          <w:color w:val="000000" w:themeColor="text1"/>
        </w:rPr>
      </w:pPr>
    </w:p>
    <w:p w14:paraId="6E98FCA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В целях развития сферы переработки ТБО внесены следующие поправки в Экологический кодекс: </w:t>
      </w:r>
    </w:p>
    <w:p w14:paraId="7E2162E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 введены понятия «раздельный сбор коммунальных отходов», «вторичное сырье», установлены требования к ним; </w:t>
      </w:r>
    </w:p>
    <w:p w14:paraId="61DC998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введены расширенные обязательства производителей (импортеров);</w:t>
      </w:r>
    </w:p>
    <w:p w14:paraId="66FAA6E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введен запрет на захоронение на полигонах некоторых видов отходов.</w:t>
      </w:r>
    </w:p>
    <w:p w14:paraId="38E119F2" w14:textId="77777777" w:rsidR="001D7D6D" w:rsidRPr="00F0736F" w:rsidRDefault="001D7D6D" w:rsidP="001D7D6D">
      <w:pPr>
        <w:ind w:firstLine="709"/>
        <w:jc w:val="both"/>
        <w:rPr>
          <w:color w:val="000000" w:themeColor="text1"/>
        </w:rPr>
      </w:pPr>
      <w:r w:rsidRPr="00F0736F">
        <w:rPr>
          <w:rFonts w:ascii="Times New Roman" w:eastAsia="Calibri" w:hAnsi="Times New Roman" w:cs="Times New Roman"/>
          <w:color w:val="000000" w:themeColor="text1"/>
        </w:rPr>
        <w:t>С 2016 года запрещено производить захоронение на полигонах ртутьсодержащих ламп и приборов; лом металлов; отработанные масла и жидкости; батареи; электронные отходы. С 1 января 2019 года вступил в силу запрет на захоронение пластмассы; макулатуры, картона и отходов бумаги, стекла, а с 2021 года вступает запрет на строительные и пищевые отходы</w:t>
      </w:r>
      <w:r w:rsidRPr="00F0736F">
        <w:rPr>
          <w:rFonts w:ascii="Times New Roman" w:hAnsi="Times New Roman" w:cs="Times New Roman"/>
          <w:iCs/>
          <w:color w:val="000000" w:themeColor="text1"/>
        </w:rPr>
        <w:t>.</w:t>
      </w:r>
    </w:p>
    <w:p w14:paraId="2EAD3DB2"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 местном уровне вопросы обращения с отходами рассматриваются в программах развития соответствующих территорий. В рамках пункта 15 Общенационального плана (ОНП) по реализации Послания Главы государства народу Казахстана от 10 января 2018 года «Новые возможности развития в условиях четвертой промышленной революции» акиматами областей, городов Нур-Султан, Алматы и Шымкент разработаны и утверждены Комплексы мер по современной утилизации и переработке ТБО с широким вовлечением субъектов малого и среднего бизнеса. Комплекс мер предусматривает регулирование сотрудничества с бизнесом, привлечение инвестиций, а также создание благоприятных условий для инвесторов. Мероприятия Комплексов мер реализуются в соответствии с установленными сроками. Со стороны Министерства экологии, геологии и природных ресурсов осуществляется координация и мониторинг их исполнения. </w:t>
      </w:r>
    </w:p>
    <w:p w14:paraId="472494E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Также утверждены и реализуются Дорожные карты по внедрению раздельного сбора, сортировки, утилизации и переработки ТБО до 2020 года (далее – Дорожные карты) для развития отрасли сбора, сортировки и переработки отходов, а также координации работы в регионах и выработки единого подхода. </w:t>
      </w:r>
    </w:p>
    <w:p w14:paraId="61714772"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рамках Дорожных карт в регионах страны поэтапно внедряется раздельный сбор, сортировка и переработка ТБО и создается инфраструктура по раздельному сбору ТБО. На конец 2019 года в рамках РОП в регионах установлены 2321 контейнер для сбора ртутных ламп, 12196 контейнеров для раздельного сбора, 150 контейнеров для электрооборудования. Создано 147 пунктов приема вторсырья.</w:t>
      </w:r>
    </w:p>
    <w:p w14:paraId="51CEBEF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Так, раздельный сбор внедряется в Акмолинской (г. Кокшетау, районные центры Щучинск, Степногорск, Атбасар, пос. Бурабай), Актюбинской (г. Актобе, г. Алга, пос. Шубаркудук), Алматинской (г. Талдыкорган), Атырауской (г. Атырау, Кызылкогинский район), Жамбылской (г. Тараз), Западно-Казахстанской (г. Уральск), Карагандинской (г. Караганда, г. Темиртау), Костанайской (г. Костанай, г. Рудный, г. Житикара, пос. Затобольск), Мангистауской (г. Актау), Северо-Казахстанской (г. Петропавловск), Южно-Казахстанской (г. Шымкент) областях, в городе Нур-Султан. </w:t>
      </w:r>
    </w:p>
    <w:p w14:paraId="03813924"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итогам 2019 года по республике из 204 городов и районов раздельный сбор на разных этапах внедрен в 51, а сортировка – в 30 населенных пунктах.</w:t>
      </w:r>
    </w:p>
    <w:p w14:paraId="0F79D60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При этом раздельный сбор отходов и сортировка внедряется как в крупных городах, так и в районах. На сортировочных комплексах созданы свыше тысячи рабочих мест.</w:t>
      </w:r>
    </w:p>
    <w:p w14:paraId="501463A5"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Наибольшее количество населенных пунктов, где внедрен раздельный сбор в Западно-Казахстанской области (13), а сортировка ТБО в Костанайской области (таблица 1.5.7., 1.5.8.). </w:t>
      </w:r>
    </w:p>
    <w:p w14:paraId="393F8503" w14:textId="77777777" w:rsidR="001D7D6D" w:rsidRPr="00F0736F" w:rsidRDefault="001D7D6D" w:rsidP="001D7D6D">
      <w:pPr>
        <w:ind w:firstLine="709"/>
        <w:jc w:val="both"/>
        <w:rPr>
          <w:color w:val="000000" w:themeColor="text1"/>
        </w:rPr>
      </w:pPr>
    </w:p>
    <w:p w14:paraId="54DE964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Таблица 1.5.7. Количество предприятий, занятых раздельным сбором, сортировкой и переработкой ТБО</w:t>
      </w:r>
      <w:r w:rsidRPr="00F0736F">
        <w:rPr>
          <w:rFonts w:ascii="Times New Roman" w:hAnsi="Times New Roman" w:cs="Times New Roman"/>
          <w:i/>
          <w:color w:val="000000" w:themeColor="text1"/>
        </w:rPr>
        <w:t xml:space="preserve"> </w:t>
      </w:r>
    </w:p>
    <w:p w14:paraId="7A385252" w14:textId="77777777" w:rsidR="001D7D6D" w:rsidRPr="00F0736F" w:rsidRDefault="001D7D6D" w:rsidP="001D7D6D">
      <w:pPr>
        <w:ind w:firstLine="709"/>
        <w:jc w:val="both"/>
        <w:rPr>
          <w:color w:val="000000" w:themeColor="text1"/>
        </w:rPr>
      </w:pPr>
    </w:p>
    <w:tbl>
      <w:tblPr>
        <w:tblW w:w="0" w:type="auto"/>
        <w:tblInd w:w="170" w:type="dxa"/>
        <w:tblLayout w:type="fixed"/>
        <w:tblLook w:val="0000" w:firstRow="0" w:lastRow="0" w:firstColumn="0" w:lastColumn="0" w:noHBand="0" w:noVBand="0"/>
      </w:tblPr>
      <w:tblGrid>
        <w:gridCol w:w="1289"/>
        <w:gridCol w:w="2193"/>
        <w:gridCol w:w="2089"/>
        <w:gridCol w:w="2305"/>
        <w:gridCol w:w="1902"/>
      </w:tblGrid>
      <w:tr w:rsidR="001D7D6D" w:rsidRPr="00F0736F" w14:paraId="77063B09" w14:textId="77777777" w:rsidTr="00B155C8">
        <w:tc>
          <w:tcPr>
            <w:tcW w:w="1289" w:type="dxa"/>
            <w:tcBorders>
              <w:top w:val="single" w:sz="4" w:space="0" w:color="000000"/>
              <w:left w:val="single" w:sz="4" w:space="0" w:color="000000"/>
              <w:bottom w:val="single" w:sz="4" w:space="0" w:color="000000"/>
            </w:tcBorders>
            <w:shd w:val="clear" w:color="auto" w:fill="auto"/>
          </w:tcPr>
          <w:p w14:paraId="5DBB11E4" w14:textId="77777777" w:rsidR="001D7D6D" w:rsidRPr="00F0736F" w:rsidRDefault="001D7D6D" w:rsidP="00B155C8">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Рейтинг по раздельно</w:t>
            </w:r>
          </w:p>
          <w:p w14:paraId="6CAA4CA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му сбору</w:t>
            </w:r>
          </w:p>
        </w:tc>
        <w:tc>
          <w:tcPr>
            <w:tcW w:w="2193" w:type="dxa"/>
            <w:tcBorders>
              <w:top w:val="single" w:sz="4" w:space="0" w:color="000000"/>
              <w:left w:val="single" w:sz="4" w:space="0" w:color="000000"/>
              <w:bottom w:val="single" w:sz="4" w:space="0" w:color="000000"/>
            </w:tcBorders>
            <w:shd w:val="clear" w:color="auto" w:fill="auto"/>
          </w:tcPr>
          <w:p w14:paraId="5C4B103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Регион</w:t>
            </w:r>
          </w:p>
        </w:tc>
        <w:tc>
          <w:tcPr>
            <w:tcW w:w="2089" w:type="dxa"/>
            <w:tcBorders>
              <w:top w:val="single" w:sz="4" w:space="0" w:color="000000"/>
              <w:left w:val="single" w:sz="4" w:space="0" w:color="000000"/>
              <w:bottom w:val="single" w:sz="4" w:space="0" w:color="000000"/>
            </w:tcBorders>
            <w:shd w:val="clear" w:color="auto" w:fill="auto"/>
          </w:tcPr>
          <w:p w14:paraId="46BAB3ED"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Количество населенных пунктов, где внедрен раздельный сбор ТБО</w:t>
            </w:r>
          </w:p>
        </w:tc>
        <w:tc>
          <w:tcPr>
            <w:tcW w:w="2305" w:type="dxa"/>
            <w:tcBorders>
              <w:top w:val="single" w:sz="4" w:space="0" w:color="000000"/>
              <w:left w:val="single" w:sz="4" w:space="0" w:color="000000"/>
              <w:bottom w:val="single" w:sz="4" w:space="0" w:color="000000"/>
            </w:tcBorders>
            <w:shd w:val="clear" w:color="auto" w:fill="auto"/>
          </w:tcPr>
          <w:p w14:paraId="039554AE"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Количество населенных пунктов, где внедрена сортировка ТБО</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2DE58ED"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Количество предприятий по переработке ТБО</w:t>
            </w:r>
          </w:p>
        </w:tc>
      </w:tr>
      <w:tr w:rsidR="001D7D6D" w:rsidRPr="00F0736F" w14:paraId="437BCC9A" w14:textId="77777777" w:rsidTr="00B155C8">
        <w:tc>
          <w:tcPr>
            <w:tcW w:w="1289" w:type="dxa"/>
            <w:tcBorders>
              <w:top w:val="single" w:sz="4" w:space="0" w:color="000000"/>
              <w:left w:val="single" w:sz="4" w:space="0" w:color="000000"/>
              <w:bottom w:val="single" w:sz="4" w:space="0" w:color="000000"/>
            </w:tcBorders>
            <w:shd w:val="clear" w:color="auto" w:fill="auto"/>
          </w:tcPr>
          <w:p w14:paraId="4513B84A" w14:textId="77777777" w:rsidR="001D7D6D" w:rsidRPr="00F0736F" w:rsidRDefault="001D7D6D" w:rsidP="00B155C8">
            <w:pPr>
              <w:snapToGrid w:val="0"/>
              <w:jc w:val="center"/>
              <w:rPr>
                <w:rFonts w:ascii="Times New Roman" w:hAnsi="Times New Roman" w:cs="Times New Roman"/>
                <w:color w:val="000000" w:themeColor="text1"/>
                <w:sz w:val="20"/>
                <w:szCs w:val="20"/>
              </w:rPr>
            </w:pPr>
          </w:p>
        </w:tc>
        <w:tc>
          <w:tcPr>
            <w:tcW w:w="2193" w:type="dxa"/>
            <w:tcBorders>
              <w:top w:val="single" w:sz="4" w:space="0" w:color="000000"/>
              <w:left w:val="single" w:sz="4" w:space="0" w:color="000000"/>
              <w:bottom w:val="single" w:sz="4" w:space="0" w:color="000000"/>
            </w:tcBorders>
            <w:shd w:val="clear" w:color="auto" w:fill="auto"/>
          </w:tcPr>
          <w:p w14:paraId="2091B7A4"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РК</w:t>
            </w:r>
          </w:p>
        </w:tc>
        <w:tc>
          <w:tcPr>
            <w:tcW w:w="2089" w:type="dxa"/>
            <w:tcBorders>
              <w:top w:val="single" w:sz="4" w:space="0" w:color="000000"/>
              <w:left w:val="single" w:sz="4" w:space="0" w:color="000000"/>
              <w:bottom w:val="single" w:sz="4" w:space="0" w:color="000000"/>
            </w:tcBorders>
            <w:shd w:val="clear" w:color="auto" w:fill="auto"/>
          </w:tcPr>
          <w:p w14:paraId="113ED05E"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51</w:t>
            </w:r>
          </w:p>
        </w:tc>
        <w:tc>
          <w:tcPr>
            <w:tcW w:w="2305" w:type="dxa"/>
            <w:tcBorders>
              <w:top w:val="single" w:sz="4" w:space="0" w:color="000000"/>
              <w:left w:val="single" w:sz="4" w:space="0" w:color="000000"/>
              <w:bottom w:val="single" w:sz="4" w:space="0" w:color="000000"/>
            </w:tcBorders>
            <w:shd w:val="clear" w:color="auto" w:fill="auto"/>
          </w:tcPr>
          <w:p w14:paraId="31CC6C0F"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30</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A5A40F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170</w:t>
            </w:r>
          </w:p>
        </w:tc>
      </w:tr>
      <w:tr w:rsidR="001D7D6D" w:rsidRPr="00F0736F" w14:paraId="205F4485" w14:textId="77777777" w:rsidTr="00B155C8">
        <w:tc>
          <w:tcPr>
            <w:tcW w:w="1289" w:type="dxa"/>
            <w:tcBorders>
              <w:top w:val="single" w:sz="4" w:space="0" w:color="000000"/>
              <w:left w:val="single" w:sz="4" w:space="0" w:color="000000"/>
              <w:bottom w:val="single" w:sz="4" w:space="0" w:color="000000"/>
            </w:tcBorders>
            <w:shd w:val="clear" w:color="auto" w:fill="auto"/>
          </w:tcPr>
          <w:p w14:paraId="7F650D9A"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2193" w:type="dxa"/>
            <w:tcBorders>
              <w:top w:val="single" w:sz="4" w:space="0" w:color="000000"/>
              <w:left w:val="single" w:sz="4" w:space="0" w:color="000000"/>
              <w:bottom w:val="single" w:sz="4" w:space="0" w:color="000000"/>
            </w:tcBorders>
            <w:shd w:val="clear" w:color="auto" w:fill="auto"/>
          </w:tcPr>
          <w:p w14:paraId="62C7CF18"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ЗКО</w:t>
            </w:r>
          </w:p>
        </w:tc>
        <w:tc>
          <w:tcPr>
            <w:tcW w:w="2089" w:type="dxa"/>
            <w:tcBorders>
              <w:top w:val="single" w:sz="4" w:space="0" w:color="000000"/>
              <w:left w:val="single" w:sz="4" w:space="0" w:color="000000"/>
              <w:bottom w:val="single" w:sz="4" w:space="0" w:color="000000"/>
            </w:tcBorders>
            <w:shd w:val="clear" w:color="auto" w:fill="auto"/>
          </w:tcPr>
          <w:p w14:paraId="2660B931"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13</w:t>
            </w:r>
          </w:p>
        </w:tc>
        <w:tc>
          <w:tcPr>
            <w:tcW w:w="2305" w:type="dxa"/>
            <w:tcBorders>
              <w:top w:val="single" w:sz="4" w:space="0" w:color="000000"/>
              <w:left w:val="single" w:sz="4" w:space="0" w:color="000000"/>
              <w:bottom w:val="single" w:sz="4" w:space="0" w:color="000000"/>
            </w:tcBorders>
            <w:shd w:val="clear" w:color="auto" w:fill="auto"/>
          </w:tcPr>
          <w:p w14:paraId="67AD4EB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7EB27C80"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15</w:t>
            </w:r>
          </w:p>
        </w:tc>
      </w:tr>
      <w:tr w:rsidR="001D7D6D" w:rsidRPr="00F0736F" w14:paraId="6F31DA4D" w14:textId="77777777" w:rsidTr="00B155C8">
        <w:tc>
          <w:tcPr>
            <w:tcW w:w="1289" w:type="dxa"/>
            <w:tcBorders>
              <w:top w:val="single" w:sz="4" w:space="0" w:color="000000"/>
              <w:left w:val="single" w:sz="4" w:space="0" w:color="000000"/>
              <w:bottom w:val="single" w:sz="4" w:space="0" w:color="000000"/>
            </w:tcBorders>
            <w:shd w:val="clear" w:color="auto" w:fill="auto"/>
          </w:tcPr>
          <w:p w14:paraId="01D46C4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193" w:type="dxa"/>
            <w:tcBorders>
              <w:top w:val="single" w:sz="4" w:space="0" w:color="000000"/>
              <w:left w:val="single" w:sz="4" w:space="0" w:color="000000"/>
              <w:bottom w:val="single" w:sz="4" w:space="0" w:color="000000"/>
            </w:tcBorders>
            <w:shd w:val="clear" w:color="auto" w:fill="auto"/>
          </w:tcPr>
          <w:p w14:paraId="4D4A779F"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Костанайская</w:t>
            </w:r>
          </w:p>
        </w:tc>
        <w:tc>
          <w:tcPr>
            <w:tcW w:w="2089" w:type="dxa"/>
            <w:tcBorders>
              <w:top w:val="single" w:sz="4" w:space="0" w:color="000000"/>
              <w:left w:val="single" w:sz="4" w:space="0" w:color="000000"/>
              <w:bottom w:val="single" w:sz="4" w:space="0" w:color="000000"/>
            </w:tcBorders>
            <w:shd w:val="clear" w:color="auto" w:fill="auto"/>
          </w:tcPr>
          <w:p w14:paraId="3CDBDF7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7</w:t>
            </w:r>
          </w:p>
        </w:tc>
        <w:tc>
          <w:tcPr>
            <w:tcW w:w="2305" w:type="dxa"/>
            <w:tcBorders>
              <w:top w:val="single" w:sz="4" w:space="0" w:color="000000"/>
              <w:left w:val="single" w:sz="4" w:space="0" w:color="000000"/>
              <w:bottom w:val="single" w:sz="4" w:space="0" w:color="000000"/>
            </w:tcBorders>
            <w:shd w:val="clear" w:color="auto" w:fill="auto"/>
          </w:tcPr>
          <w:p w14:paraId="5A18946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9</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7C01E16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8</w:t>
            </w:r>
          </w:p>
        </w:tc>
      </w:tr>
      <w:tr w:rsidR="001D7D6D" w:rsidRPr="00F0736F" w14:paraId="236A7407" w14:textId="77777777" w:rsidTr="00B155C8">
        <w:tc>
          <w:tcPr>
            <w:tcW w:w="1289" w:type="dxa"/>
            <w:tcBorders>
              <w:top w:val="single" w:sz="4" w:space="0" w:color="000000"/>
              <w:left w:val="single" w:sz="4" w:space="0" w:color="000000"/>
              <w:bottom w:val="single" w:sz="4" w:space="0" w:color="000000"/>
            </w:tcBorders>
            <w:shd w:val="clear" w:color="auto" w:fill="auto"/>
          </w:tcPr>
          <w:p w14:paraId="6690B5B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3</w:t>
            </w:r>
          </w:p>
        </w:tc>
        <w:tc>
          <w:tcPr>
            <w:tcW w:w="2193" w:type="dxa"/>
            <w:tcBorders>
              <w:top w:val="single" w:sz="4" w:space="0" w:color="000000"/>
              <w:left w:val="single" w:sz="4" w:space="0" w:color="000000"/>
              <w:bottom w:val="single" w:sz="4" w:space="0" w:color="000000"/>
            </w:tcBorders>
            <w:shd w:val="clear" w:color="auto" w:fill="auto"/>
          </w:tcPr>
          <w:p w14:paraId="5898A737"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Акмолинская область</w:t>
            </w:r>
          </w:p>
        </w:tc>
        <w:tc>
          <w:tcPr>
            <w:tcW w:w="2089" w:type="dxa"/>
            <w:tcBorders>
              <w:top w:val="single" w:sz="4" w:space="0" w:color="000000"/>
              <w:left w:val="single" w:sz="4" w:space="0" w:color="000000"/>
              <w:bottom w:val="single" w:sz="4" w:space="0" w:color="000000"/>
            </w:tcBorders>
            <w:shd w:val="clear" w:color="auto" w:fill="auto"/>
          </w:tcPr>
          <w:p w14:paraId="7353D27A"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w:t>
            </w:r>
          </w:p>
        </w:tc>
        <w:tc>
          <w:tcPr>
            <w:tcW w:w="2305" w:type="dxa"/>
            <w:tcBorders>
              <w:top w:val="single" w:sz="4" w:space="0" w:color="000000"/>
              <w:left w:val="single" w:sz="4" w:space="0" w:color="000000"/>
              <w:bottom w:val="single" w:sz="4" w:space="0" w:color="000000"/>
            </w:tcBorders>
            <w:shd w:val="clear" w:color="auto" w:fill="auto"/>
          </w:tcPr>
          <w:p w14:paraId="71BE88EE"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59800F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r>
      <w:tr w:rsidR="001D7D6D" w:rsidRPr="00F0736F" w14:paraId="04CD81A8" w14:textId="77777777" w:rsidTr="00B155C8">
        <w:tc>
          <w:tcPr>
            <w:tcW w:w="1289" w:type="dxa"/>
            <w:tcBorders>
              <w:top w:val="single" w:sz="4" w:space="0" w:color="000000"/>
              <w:left w:val="single" w:sz="4" w:space="0" w:color="000000"/>
              <w:bottom w:val="single" w:sz="4" w:space="0" w:color="000000"/>
            </w:tcBorders>
            <w:shd w:val="clear" w:color="auto" w:fill="auto"/>
          </w:tcPr>
          <w:p w14:paraId="45F1F80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4</w:t>
            </w:r>
          </w:p>
        </w:tc>
        <w:tc>
          <w:tcPr>
            <w:tcW w:w="2193" w:type="dxa"/>
            <w:tcBorders>
              <w:top w:val="single" w:sz="4" w:space="0" w:color="000000"/>
              <w:left w:val="single" w:sz="4" w:space="0" w:color="000000"/>
              <w:bottom w:val="single" w:sz="4" w:space="0" w:color="000000"/>
            </w:tcBorders>
            <w:shd w:val="clear" w:color="auto" w:fill="auto"/>
          </w:tcPr>
          <w:p w14:paraId="6EC4E2F5"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Алматинская</w:t>
            </w:r>
          </w:p>
        </w:tc>
        <w:tc>
          <w:tcPr>
            <w:tcW w:w="2089" w:type="dxa"/>
            <w:tcBorders>
              <w:top w:val="single" w:sz="4" w:space="0" w:color="000000"/>
              <w:left w:val="single" w:sz="4" w:space="0" w:color="000000"/>
              <w:bottom w:val="single" w:sz="4" w:space="0" w:color="000000"/>
            </w:tcBorders>
            <w:shd w:val="clear" w:color="auto" w:fill="auto"/>
          </w:tcPr>
          <w:p w14:paraId="1243B69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4</w:t>
            </w:r>
          </w:p>
        </w:tc>
        <w:tc>
          <w:tcPr>
            <w:tcW w:w="2305" w:type="dxa"/>
            <w:tcBorders>
              <w:top w:val="single" w:sz="4" w:space="0" w:color="000000"/>
              <w:left w:val="single" w:sz="4" w:space="0" w:color="000000"/>
              <w:bottom w:val="single" w:sz="4" w:space="0" w:color="000000"/>
            </w:tcBorders>
            <w:shd w:val="clear" w:color="auto" w:fill="auto"/>
          </w:tcPr>
          <w:p w14:paraId="4AC13DD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726E194D"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8</w:t>
            </w:r>
          </w:p>
        </w:tc>
      </w:tr>
      <w:tr w:rsidR="001D7D6D" w:rsidRPr="00F0736F" w14:paraId="1E13A9B1" w14:textId="77777777" w:rsidTr="00B155C8">
        <w:tc>
          <w:tcPr>
            <w:tcW w:w="1289" w:type="dxa"/>
            <w:tcBorders>
              <w:top w:val="single" w:sz="4" w:space="0" w:color="000000"/>
              <w:left w:val="single" w:sz="4" w:space="0" w:color="000000"/>
              <w:bottom w:val="single" w:sz="4" w:space="0" w:color="000000"/>
            </w:tcBorders>
            <w:shd w:val="clear" w:color="auto" w:fill="auto"/>
          </w:tcPr>
          <w:p w14:paraId="5AF3C60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w:t>
            </w:r>
          </w:p>
        </w:tc>
        <w:tc>
          <w:tcPr>
            <w:tcW w:w="2193" w:type="dxa"/>
            <w:tcBorders>
              <w:top w:val="single" w:sz="4" w:space="0" w:color="000000"/>
              <w:left w:val="single" w:sz="4" w:space="0" w:color="000000"/>
              <w:bottom w:val="single" w:sz="4" w:space="0" w:color="000000"/>
            </w:tcBorders>
            <w:shd w:val="clear" w:color="auto" w:fill="auto"/>
          </w:tcPr>
          <w:p w14:paraId="5501A727"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Павлодарская</w:t>
            </w:r>
          </w:p>
        </w:tc>
        <w:tc>
          <w:tcPr>
            <w:tcW w:w="2089" w:type="dxa"/>
            <w:tcBorders>
              <w:top w:val="single" w:sz="4" w:space="0" w:color="000000"/>
              <w:left w:val="single" w:sz="4" w:space="0" w:color="000000"/>
              <w:bottom w:val="single" w:sz="4" w:space="0" w:color="000000"/>
            </w:tcBorders>
            <w:shd w:val="clear" w:color="auto" w:fill="auto"/>
          </w:tcPr>
          <w:p w14:paraId="3B76797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3</w:t>
            </w:r>
          </w:p>
        </w:tc>
        <w:tc>
          <w:tcPr>
            <w:tcW w:w="2305" w:type="dxa"/>
            <w:tcBorders>
              <w:top w:val="single" w:sz="4" w:space="0" w:color="000000"/>
              <w:left w:val="single" w:sz="4" w:space="0" w:color="000000"/>
              <w:bottom w:val="single" w:sz="4" w:space="0" w:color="000000"/>
            </w:tcBorders>
            <w:shd w:val="clear" w:color="auto" w:fill="auto"/>
          </w:tcPr>
          <w:p w14:paraId="4B1F3641"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7713BE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r>
      <w:tr w:rsidR="001D7D6D" w:rsidRPr="00F0736F" w14:paraId="719513C9" w14:textId="77777777" w:rsidTr="00B155C8">
        <w:tc>
          <w:tcPr>
            <w:tcW w:w="1289" w:type="dxa"/>
            <w:tcBorders>
              <w:top w:val="single" w:sz="4" w:space="0" w:color="000000"/>
              <w:left w:val="single" w:sz="4" w:space="0" w:color="000000"/>
              <w:bottom w:val="single" w:sz="4" w:space="0" w:color="000000"/>
            </w:tcBorders>
            <w:shd w:val="clear" w:color="auto" w:fill="auto"/>
          </w:tcPr>
          <w:p w14:paraId="7361BB8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c>
          <w:tcPr>
            <w:tcW w:w="2193" w:type="dxa"/>
            <w:tcBorders>
              <w:top w:val="single" w:sz="4" w:space="0" w:color="000000"/>
              <w:left w:val="single" w:sz="4" w:space="0" w:color="000000"/>
              <w:bottom w:val="single" w:sz="4" w:space="0" w:color="000000"/>
            </w:tcBorders>
            <w:shd w:val="clear" w:color="auto" w:fill="auto"/>
          </w:tcPr>
          <w:p w14:paraId="0764D84F"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Актюбинская</w:t>
            </w:r>
          </w:p>
        </w:tc>
        <w:tc>
          <w:tcPr>
            <w:tcW w:w="2089" w:type="dxa"/>
            <w:tcBorders>
              <w:top w:val="single" w:sz="4" w:space="0" w:color="000000"/>
              <w:left w:val="single" w:sz="4" w:space="0" w:color="000000"/>
              <w:bottom w:val="single" w:sz="4" w:space="0" w:color="000000"/>
            </w:tcBorders>
            <w:shd w:val="clear" w:color="auto" w:fill="auto"/>
          </w:tcPr>
          <w:p w14:paraId="42CAF84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3</w:t>
            </w:r>
          </w:p>
        </w:tc>
        <w:tc>
          <w:tcPr>
            <w:tcW w:w="2305" w:type="dxa"/>
            <w:tcBorders>
              <w:top w:val="single" w:sz="4" w:space="0" w:color="000000"/>
              <w:left w:val="single" w:sz="4" w:space="0" w:color="000000"/>
              <w:bottom w:val="single" w:sz="4" w:space="0" w:color="000000"/>
            </w:tcBorders>
            <w:shd w:val="clear" w:color="auto" w:fill="auto"/>
          </w:tcPr>
          <w:p w14:paraId="7FA3DB1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C18E1A3"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16</w:t>
            </w:r>
          </w:p>
        </w:tc>
      </w:tr>
      <w:tr w:rsidR="001D7D6D" w:rsidRPr="00F0736F" w14:paraId="1443BE41" w14:textId="77777777" w:rsidTr="00B155C8">
        <w:tc>
          <w:tcPr>
            <w:tcW w:w="1289" w:type="dxa"/>
            <w:tcBorders>
              <w:top w:val="single" w:sz="4" w:space="0" w:color="000000"/>
              <w:left w:val="single" w:sz="4" w:space="0" w:color="000000"/>
              <w:bottom w:val="single" w:sz="4" w:space="0" w:color="000000"/>
            </w:tcBorders>
            <w:shd w:val="clear" w:color="auto" w:fill="auto"/>
          </w:tcPr>
          <w:p w14:paraId="7F25039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7</w:t>
            </w:r>
          </w:p>
        </w:tc>
        <w:tc>
          <w:tcPr>
            <w:tcW w:w="2193" w:type="dxa"/>
            <w:tcBorders>
              <w:top w:val="single" w:sz="4" w:space="0" w:color="000000"/>
              <w:left w:val="single" w:sz="4" w:space="0" w:color="000000"/>
              <w:bottom w:val="single" w:sz="4" w:space="0" w:color="000000"/>
            </w:tcBorders>
            <w:shd w:val="clear" w:color="auto" w:fill="auto"/>
          </w:tcPr>
          <w:p w14:paraId="4A07EEE8"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Атырауская</w:t>
            </w:r>
          </w:p>
        </w:tc>
        <w:tc>
          <w:tcPr>
            <w:tcW w:w="2089" w:type="dxa"/>
            <w:tcBorders>
              <w:top w:val="single" w:sz="4" w:space="0" w:color="000000"/>
              <w:left w:val="single" w:sz="4" w:space="0" w:color="000000"/>
              <w:bottom w:val="single" w:sz="4" w:space="0" w:color="000000"/>
            </w:tcBorders>
            <w:shd w:val="clear" w:color="auto" w:fill="auto"/>
          </w:tcPr>
          <w:p w14:paraId="2D650A88"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1851CB7D"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4F84A3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r>
      <w:tr w:rsidR="001D7D6D" w:rsidRPr="00F0736F" w14:paraId="3860BCDA" w14:textId="77777777" w:rsidTr="00B155C8">
        <w:trPr>
          <w:trHeight w:val="276"/>
        </w:trPr>
        <w:tc>
          <w:tcPr>
            <w:tcW w:w="1289" w:type="dxa"/>
            <w:tcBorders>
              <w:top w:val="single" w:sz="4" w:space="0" w:color="000000"/>
              <w:left w:val="single" w:sz="4" w:space="0" w:color="000000"/>
              <w:bottom w:val="single" w:sz="4" w:space="0" w:color="000000"/>
            </w:tcBorders>
            <w:shd w:val="clear" w:color="auto" w:fill="auto"/>
          </w:tcPr>
          <w:p w14:paraId="05E685C7"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8</w:t>
            </w:r>
          </w:p>
        </w:tc>
        <w:tc>
          <w:tcPr>
            <w:tcW w:w="2193" w:type="dxa"/>
            <w:tcBorders>
              <w:top w:val="single" w:sz="4" w:space="0" w:color="000000"/>
              <w:left w:val="single" w:sz="4" w:space="0" w:color="000000"/>
              <w:bottom w:val="single" w:sz="4" w:space="0" w:color="000000"/>
            </w:tcBorders>
            <w:shd w:val="clear" w:color="auto" w:fill="auto"/>
          </w:tcPr>
          <w:p w14:paraId="77A6E5AD"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Жамбылская</w:t>
            </w:r>
          </w:p>
        </w:tc>
        <w:tc>
          <w:tcPr>
            <w:tcW w:w="2089" w:type="dxa"/>
            <w:tcBorders>
              <w:top w:val="single" w:sz="4" w:space="0" w:color="000000"/>
              <w:left w:val="single" w:sz="4" w:space="0" w:color="000000"/>
              <w:bottom w:val="single" w:sz="4" w:space="0" w:color="000000"/>
            </w:tcBorders>
            <w:shd w:val="clear" w:color="auto" w:fill="auto"/>
          </w:tcPr>
          <w:p w14:paraId="58C61B80"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4319EEDE"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0</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54ED8DA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9</w:t>
            </w:r>
          </w:p>
        </w:tc>
      </w:tr>
      <w:tr w:rsidR="001D7D6D" w:rsidRPr="00F0736F" w14:paraId="3A79C6DC" w14:textId="77777777" w:rsidTr="00B155C8">
        <w:tc>
          <w:tcPr>
            <w:tcW w:w="1289" w:type="dxa"/>
            <w:tcBorders>
              <w:top w:val="single" w:sz="4" w:space="0" w:color="000000"/>
              <w:left w:val="single" w:sz="4" w:space="0" w:color="000000"/>
              <w:bottom w:val="single" w:sz="4" w:space="0" w:color="000000"/>
            </w:tcBorders>
            <w:shd w:val="clear" w:color="auto" w:fill="auto"/>
          </w:tcPr>
          <w:p w14:paraId="7239C7F7"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9</w:t>
            </w:r>
          </w:p>
        </w:tc>
        <w:tc>
          <w:tcPr>
            <w:tcW w:w="2193" w:type="dxa"/>
            <w:tcBorders>
              <w:top w:val="single" w:sz="4" w:space="0" w:color="000000"/>
              <w:left w:val="single" w:sz="4" w:space="0" w:color="000000"/>
              <w:bottom w:val="single" w:sz="4" w:space="0" w:color="000000"/>
            </w:tcBorders>
            <w:shd w:val="clear" w:color="auto" w:fill="auto"/>
          </w:tcPr>
          <w:p w14:paraId="2DB94797"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Карагандинская</w:t>
            </w:r>
          </w:p>
        </w:tc>
        <w:tc>
          <w:tcPr>
            <w:tcW w:w="2089" w:type="dxa"/>
            <w:tcBorders>
              <w:top w:val="single" w:sz="4" w:space="0" w:color="000000"/>
              <w:left w:val="single" w:sz="4" w:space="0" w:color="000000"/>
              <w:bottom w:val="single" w:sz="4" w:space="0" w:color="000000"/>
            </w:tcBorders>
            <w:shd w:val="clear" w:color="auto" w:fill="auto"/>
          </w:tcPr>
          <w:p w14:paraId="37FC453F"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63F9501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6E83344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8</w:t>
            </w:r>
          </w:p>
        </w:tc>
      </w:tr>
      <w:tr w:rsidR="001D7D6D" w:rsidRPr="00F0736F" w14:paraId="741267F4" w14:textId="77777777" w:rsidTr="00B155C8">
        <w:tc>
          <w:tcPr>
            <w:tcW w:w="1289" w:type="dxa"/>
            <w:tcBorders>
              <w:top w:val="single" w:sz="4" w:space="0" w:color="000000"/>
              <w:left w:val="single" w:sz="4" w:space="0" w:color="000000"/>
              <w:bottom w:val="single" w:sz="4" w:space="0" w:color="000000"/>
            </w:tcBorders>
            <w:shd w:val="clear" w:color="auto" w:fill="auto"/>
          </w:tcPr>
          <w:p w14:paraId="6CCEC6F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10</w:t>
            </w:r>
          </w:p>
        </w:tc>
        <w:tc>
          <w:tcPr>
            <w:tcW w:w="2193" w:type="dxa"/>
            <w:tcBorders>
              <w:top w:val="single" w:sz="4" w:space="0" w:color="000000"/>
              <w:left w:val="single" w:sz="4" w:space="0" w:color="000000"/>
              <w:bottom w:val="single" w:sz="4" w:space="0" w:color="000000"/>
            </w:tcBorders>
            <w:shd w:val="clear" w:color="auto" w:fill="auto"/>
          </w:tcPr>
          <w:p w14:paraId="53B36118"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Туркестанская</w:t>
            </w:r>
          </w:p>
        </w:tc>
        <w:tc>
          <w:tcPr>
            <w:tcW w:w="2089" w:type="dxa"/>
            <w:tcBorders>
              <w:top w:val="single" w:sz="4" w:space="0" w:color="000000"/>
              <w:left w:val="single" w:sz="4" w:space="0" w:color="000000"/>
              <w:bottom w:val="single" w:sz="4" w:space="0" w:color="000000"/>
            </w:tcBorders>
            <w:shd w:val="clear" w:color="auto" w:fill="auto"/>
          </w:tcPr>
          <w:p w14:paraId="23A0C9A3"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6A64259D"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F03E91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9</w:t>
            </w:r>
          </w:p>
        </w:tc>
      </w:tr>
      <w:tr w:rsidR="001D7D6D" w:rsidRPr="00F0736F" w14:paraId="36B60B96" w14:textId="77777777" w:rsidTr="00B155C8">
        <w:tc>
          <w:tcPr>
            <w:tcW w:w="1289" w:type="dxa"/>
            <w:tcBorders>
              <w:top w:val="single" w:sz="4" w:space="0" w:color="000000"/>
              <w:left w:val="single" w:sz="4" w:space="0" w:color="000000"/>
              <w:bottom w:val="single" w:sz="4" w:space="0" w:color="000000"/>
            </w:tcBorders>
            <w:shd w:val="clear" w:color="auto" w:fill="auto"/>
          </w:tcPr>
          <w:p w14:paraId="012AEFD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11</w:t>
            </w:r>
          </w:p>
        </w:tc>
        <w:tc>
          <w:tcPr>
            <w:tcW w:w="2193" w:type="dxa"/>
            <w:tcBorders>
              <w:top w:val="single" w:sz="4" w:space="0" w:color="000000"/>
              <w:left w:val="single" w:sz="4" w:space="0" w:color="000000"/>
              <w:bottom w:val="single" w:sz="4" w:space="0" w:color="000000"/>
            </w:tcBorders>
            <w:shd w:val="clear" w:color="auto" w:fill="auto"/>
          </w:tcPr>
          <w:p w14:paraId="674073E8"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Мангистауская</w:t>
            </w:r>
          </w:p>
        </w:tc>
        <w:tc>
          <w:tcPr>
            <w:tcW w:w="2089" w:type="dxa"/>
            <w:tcBorders>
              <w:top w:val="single" w:sz="4" w:space="0" w:color="000000"/>
              <w:left w:val="single" w:sz="4" w:space="0" w:color="000000"/>
              <w:bottom w:val="single" w:sz="4" w:space="0" w:color="000000"/>
            </w:tcBorders>
            <w:shd w:val="clear" w:color="auto" w:fill="auto"/>
          </w:tcPr>
          <w:p w14:paraId="2EAB72D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02613BB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673D536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w:t>
            </w:r>
          </w:p>
        </w:tc>
      </w:tr>
      <w:tr w:rsidR="001D7D6D" w:rsidRPr="00F0736F" w14:paraId="3ECA246E" w14:textId="77777777" w:rsidTr="00B155C8">
        <w:tc>
          <w:tcPr>
            <w:tcW w:w="1289" w:type="dxa"/>
            <w:tcBorders>
              <w:top w:val="single" w:sz="4" w:space="0" w:color="000000"/>
              <w:left w:val="single" w:sz="4" w:space="0" w:color="000000"/>
              <w:bottom w:val="single" w:sz="4" w:space="0" w:color="000000"/>
            </w:tcBorders>
            <w:shd w:val="clear" w:color="auto" w:fill="auto"/>
          </w:tcPr>
          <w:p w14:paraId="00E75090"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12</w:t>
            </w:r>
          </w:p>
        </w:tc>
        <w:tc>
          <w:tcPr>
            <w:tcW w:w="2193" w:type="dxa"/>
            <w:tcBorders>
              <w:top w:val="single" w:sz="4" w:space="0" w:color="000000"/>
              <w:left w:val="single" w:sz="4" w:space="0" w:color="000000"/>
              <w:bottom w:val="single" w:sz="4" w:space="0" w:color="000000"/>
            </w:tcBorders>
            <w:shd w:val="clear" w:color="auto" w:fill="auto"/>
          </w:tcPr>
          <w:p w14:paraId="450A5A56"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СКО</w:t>
            </w:r>
          </w:p>
        </w:tc>
        <w:tc>
          <w:tcPr>
            <w:tcW w:w="2089" w:type="dxa"/>
            <w:tcBorders>
              <w:top w:val="single" w:sz="4" w:space="0" w:color="000000"/>
              <w:left w:val="single" w:sz="4" w:space="0" w:color="000000"/>
              <w:bottom w:val="single" w:sz="4" w:space="0" w:color="000000"/>
            </w:tcBorders>
            <w:shd w:val="clear" w:color="auto" w:fill="auto"/>
          </w:tcPr>
          <w:p w14:paraId="39386DA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w:t>
            </w:r>
          </w:p>
        </w:tc>
        <w:tc>
          <w:tcPr>
            <w:tcW w:w="2305" w:type="dxa"/>
            <w:tcBorders>
              <w:top w:val="single" w:sz="4" w:space="0" w:color="000000"/>
              <w:left w:val="single" w:sz="4" w:space="0" w:color="000000"/>
              <w:bottom w:val="single" w:sz="4" w:space="0" w:color="000000"/>
            </w:tcBorders>
            <w:shd w:val="clear" w:color="auto" w:fill="auto"/>
          </w:tcPr>
          <w:p w14:paraId="44D3B83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0</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94F35A8"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9</w:t>
            </w:r>
          </w:p>
        </w:tc>
      </w:tr>
      <w:tr w:rsidR="001D7D6D" w:rsidRPr="00F0736F" w14:paraId="497D33F7" w14:textId="77777777" w:rsidTr="00B155C8">
        <w:tc>
          <w:tcPr>
            <w:tcW w:w="1289" w:type="dxa"/>
            <w:tcBorders>
              <w:top w:val="single" w:sz="4" w:space="0" w:color="000000"/>
              <w:left w:val="single" w:sz="4" w:space="0" w:color="000000"/>
              <w:bottom w:val="single" w:sz="4" w:space="0" w:color="000000"/>
            </w:tcBorders>
            <w:shd w:val="clear" w:color="auto" w:fill="auto"/>
          </w:tcPr>
          <w:p w14:paraId="6BE464DA"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13</w:t>
            </w:r>
          </w:p>
        </w:tc>
        <w:tc>
          <w:tcPr>
            <w:tcW w:w="2193" w:type="dxa"/>
            <w:tcBorders>
              <w:top w:val="single" w:sz="4" w:space="0" w:color="000000"/>
              <w:left w:val="single" w:sz="4" w:space="0" w:color="000000"/>
              <w:bottom w:val="single" w:sz="4" w:space="0" w:color="000000"/>
            </w:tcBorders>
            <w:shd w:val="clear" w:color="auto" w:fill="auto"/>
          </w:tcPr>
          <w:p w14:paraId="33FDF7AE"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ВКО</w:t>
            </w:r>
          </w:p>
        </w:tc>
        <w:tc>
          <w:tcPr>
            <w:tcW w:w="2089" w:type="dxa"/>
            <w:tcBorders>
              <w:top w:val="single" w:sz="4" w:space="0" w:color="000000"/>
              <w:left w:val="single" w:sz="4" w:space="0" w:color="000000"/>
              <w:bottom w:val="single" w:sz="4" w:space="0" w:color="000000"/>
            </w:tcBorders>
            <w:shd w:val="clear" w:color="auto" w:fill="auto"/>
          </w:tcPr>
          <w:p w14:paraId="3113AB0C"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2305" w:type="dxa"/>
            <w:tcBorders>
              <w:top w:val="single" w:sz="4" w:space="0" w:color="000000"/>
              <w:left w:val="single" w:sz="4" w:space="0" w:color="000000"/>
              <w:bottom w:val="single" w:sz="4" w:space="0" w:color="000000"/>
            </w:tcBorders>
            <w:shd w:val="clear" w:color="auto" w:fill="auto"/>
          </w:tcPr>
          <w:p w14:paraId="5A95C738"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F08A3B5"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17</w:t>
            </w:r>
          </w:p>
        </w:tc>
      </w:tr>
      <w:tr w:rsidR="001D7D6D" w:rsidRPr="00F0736F" w14:paraId="12260E0B" w14:textId="77777777" w:rsidTr="00B155C8">
        <w:tc>
          <w:tcPr>
            <w:tcW w:w="1289" w:type="dxa"/>
            <w:tcBorders>
              <w:top w:val="single" w:sz="4" w:space="0" w:color="000000"/>
              <w:left w:val="single" w:sz="4" w:space="0" w:color="000000"/>
              <w:bottom w:val="single" w:sz="4" w:space="0" w:color="000000"/>
            </w:tcBorders>
            <w:shd w:val="clear" w:color="auto" w:fill="auto"/>
          </w:tcPr>
          <w:p w14:paraId="633F6312"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14</w:t>
            </w:r>
          </w:p>
        </w:tc>
        <w:tc>
          <w:tcPr>
            <w:tcW w:w="2193" w:type="dxa"/>
            <w:tcBorders>
              <w:top w:val="single" w:sz="4" w:space="0" w:color="000000"/>
              <w:left w:val="single" w:sz="4" w:space="0" w:color="000000"/>
              <w:bottom w:val="single" w:sz="4" w:space="0" w:color="000000"/>
            </w:tcBorders>
            <w:shd w:val="clear" w:color="auto" w:fill="auto"/>
          </w:tcPr>
          <w:p w14:paraId="11C8894D"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Нур-Султан</w:t>
            </w:r>
          </w:p>
        </w:tc>
        <w:tc>
          <w:tcPr>
            <w:tcW w:w="2089" w:type="dxa"/>
            <w:tcBorders>
              <w:top w:val="single" w:sz="4" w:space="0" w:color="000000"/>
              <w:left w:val="single" w:sz="4" w:space="0" w:color="000000"/>
              <w:bottom w:val="single" w:sz="4" w:space="0" w:color="000000"/>
            </w:tcBorders>
            <w:shd w:val="clear" w:color="auto" w:fill="auto"/>
          </w:tcPr>
          <w:p w14:paraId="554807B1"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2305" w:type="dxa"/>
            <w:tcBorders>
              <w:top w:val="single" w:sz="4" w:space="0" w:color="000000"/>
              <w:left w:val="single" w:sz="4" w:space="0" w:color="000000"/>
              <w:bottom w:val="single" w:sz="4" w:space="0" w:color="000000"/>
            </w:tcBorders>
            <w:shd w:val="clear" w:color="auto" w:fill="auto"/>
          </w:tcPr>
          <w:p w14:paraId="475BFE65"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2F3B548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r>
      <w:tr w:rsidR="001D7D6D" w:rsidRPr="00F0736F" w14:paraId="6E06B81B" w14:textId="77777777" w:rsidTr="00B155C8">
        <w:tc>
          <w:tcPr>
            <w:tcW w:w="1289" w:type="dxa"/>
            <w:tcBorders>
              <w:top w:val="single" w:sz="4" w:space="0" w:color="000000"/>
              <w:left w:val="single" w:sz="4" w:space="0" w:color="000000"/>
              <w:bottom w:val="single" w:sz="4" w:space="0" w:color="000000"/>
            </w:tcBorders>
            <w:shd w:val="clear" w:color="auto" w:fill="auto"/>
          </w:tcPr>
          <w:p w14:paraId="58F5776A"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15</w:t>
            </w:r>
          </w:p>
        </w:tc>
        <w:tc>
          <w:tcPr>
            <w:tcW w:w="2193" w:type="dxa"/>
            <w:tcBorders>
              <w:top w:val="single" w:sz="4" w:space="0" w:color="000000"/>
              <w:left w:val="single" w:sz="4" w:space="0" w:color="000000"/>
              <w:bottom w:val="single" w:sz="4" w:space="0" w:color="000000"/>
            </w:tcBorders>
            <w:shd w:val="clear" w:color="auto" w:fill="auto"/>
          </w:tcPr>
          <w:p w14:paraId="5BF2F8EB"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Шымкент</w:t>
            </w:r>
          </w:p>
        </w:tc>
        <w:tc>
          <w:tcPr>
            <w:tcW w:w="2089" w:type="dxa"/>
            <w:tcBorders>
              <w:top w:val="single" w:sz="4" w:space="0" w:color="000000"/>
              <w:left w:val="single" w:sz="4" w:space="0" w:color="000000"/>
              <w:bottom w:val="single" w:sz="4" w:space="0" w:color="000000"/>
            </w:tcBorders>
            <w:shd w:val="clear" w:color="auto" w:fill="auto"/>
          </w:tcPr>
          <w:p w14:paraId="1344404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2305" w:type="dxa"/>
            <w:tcBorders>
              <w:top w:val="single" w:sz="4" w:space="0" w:color="000000"/>
              <w:left w:val="single" w:sz="4" w:space="0" w:color="000000"/>
              <w:bottom w:val="single" w:sz="4" w:space="0" w:color="000000"/>
            </w:tcBorders>
            <w:shd w:val="clear" w:color="auto" w:fill="auto"/>
          </w:tcPr>
          <w:p w14:paraId="3C632675"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2C72C9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6</w:t>
            </w:r>
          </w:p>
        </w:tc>
      </w:tr>
      <w:tr w:rsidR="001D7D6D" w:rsidRPr="00F0736F" w14:paraId="6DC63DC8" w14:textId="77777777" w:rsidTr="00B155C8">
        <w:tc>
          <w:tcPr>
            <w:tcW w:w="1289" w:type="dxa"/>
            <w:tcBorders>
              <w:top w:val="single" w:sz="4" w:space="0" w:color="000000"/>
              <w:left w:val="single" w:sz="4" w:space="0" w:color="000000"/>
              <w:bottom w:val="single" w:sz="4" w:space="0" w:color="000000"/>
            </w:tcBorders>
            <w:shd w:val="clear" w:color="auto" w:fill="auto"/>
          </w:tcPr>
          <w:p w14:paraId="12D1CB70"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16</w:t>
            </w:r>
          </w:p>
        </w:tc>
        <w:tc>
          <w:tcPr>
            <w:tcW w:w="2193" w:type="dxa"/>
            <w:tcBorders>
              <w:top w:val="single" w:sz="4" w:space="0" w:color="000000"/>
              <w:left w:val="single" w:sz="4" w:space="0" w:color="000000"/>
              <w:bottom w:val="single" w:sz="4" w:space="0" w:color="000000"/>
            </w:tcBorders>
            <w:shd w:val="clear" w:color="auto" w:fill="auto"/>
          </w:tcPr>
          <w:p w14:paraId="15764342"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Кызылординская</w:t>
            </w:r>
          </w:p>
        </w:tc>
        <w:tc>
          <w:tcPr>
            <w:tcW w:w="2089" w:type="dxa"/>
            <w:tcBorders>
              <w:top w:val="single" w:sz="4" w:space="0" w:color="000000"/>
              <w:left w:val="single" w:sz="4" w:space="0" w:color="000000"/>
              <w:bottom w:val="single" w:sz="4" w:space="0" w:color="000000"/>
            </w:tcBorders>
            <w:shd w:val="clear" w:color="auto" w:fill="auto"/>
          </w:tcPr>
          <w:p w14:paraId="74FEFDF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2305" w:type="dxa"/>
            <w:tcBorders>
              <w:top w:val="single" w:sz="4" w:space="0" w:color="000000"/>
              <w:left w:val="single" w:sz="4" w:space="0" w:color="000000"/>
              <w:bottom w:val="single" w:sz="4" w:space="0" w:color="000000"/>
            </w:tcBorders>
            <w:shd w:val="clear" w:color="auto" w:fill="auto"/>
          </w:tcPr>
          <w:p w14:paraId="7561AF0A"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0</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F850965"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4</w:t>
            </w:r>
          </w:p>
        </w:tc>
      </w:tr>
      <w:tr w:rsidR="001D7D6D" w:rsidRPr="00F0736F" w14:paraId="5B0866CD" w14:textId="77777777" w:rsidTr="00B155C8">
        <w:trPr>
          <w:trHeight w:val="83"/>
        </w:trPr>
        <w:tc>
          <w:tcPr>
            <w:tcW w:w="1289" w:type="dxa"/>
            <w:tcBorders>
              <w:top w:val="single" w:sz="4" w:space="0" w:color="000000"/>
              <w:left w:val="single" w:sz="4" w:space="0" w:color="000000"/>
              <w:bottom w:val="single" w:sz="4" w:space="0" w:color="000000"/>
            </w:tcBorders>
            <w:shd w:val="clear" w:color="auto" w:fill="auto"/>
          </w:tcPr>
          <w:p w14:paraId="693D168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17</w:t>
            </w:r>
          </w:p>
        </w:tc>
        <w:tc>
          <w:tcPr>
            <w:tcW w:w="2193" w:type="dxa"/>
            <w:tcBorders>
              <w:top w:val="single" w:sz="4" w:space="0" w:color="000000"/>
              <w:left w:val="single" w:sz="4" w:space="0" w:color="000000"/>
              <w:bottom w:val="single" w:sz="4" w:space="0" w:color="000000"/>
            </w:tcBorders>
            <w:shd w:val="clear" w:color="auto" w:fill="auto"/>
          </w:tcPr>
          <w:p w14:paraId="6796BA1F"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Алматы</w:t>
            </w:r>
          </w:p>
        </w:tc>
        <w:tc>
          <w:tcPr>
            <w:tcW w:w="2089" w:type="dxa"/>
            <w:tcBorders>
              <w:top w:val="single" w:sz="4" w:space="0" w:color="000000"/>
              <w:left w:val="single" w:sz="4" w:space="0" w:color="000000"/>
              <w:bottom w:val="single" w:sz="4" w:space="0" w:color="000000"/>
            </w:tcBorders>
            <w:shd w:val="clear" w:color="auto" w:fill="auto"/>
          </w:tcPr>
          <w:p w14:paraId="1C6F191F"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0</w:t>
            </w:r>
          </w:p>
        </w:tc>
        <w:tc>
          <w:tcPr>
            <w:tcW w:w="2305" w:type="dxa"/>
            <w:tcBorders>
              <w:top w:val="single" w:sz="4" w:space="0" w:color="000000"/>
              <w:left w:val="single" w:sz="4" w:space="0" w:color="000000"/>
              <w:bottom w:val="single" w:sz="4" w:space="0" w:color="000000"/>
            </w:tcBorders>
            <w:shd w:val="clear" w:color="auto" w:fill="auto"/>
          </w:tcPr>
          <w:p w14:paraId="6D237647"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47D6E98"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12</w:t>
            </w:r>
          </w:p>
        </w:tc>
      </w:tr>
    </w:tbl>
    <w:p w14:paraId="6C5CBF68"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3D27D911" w14:textId="77777777" w:rsidR="001D7D6D" w:rsidRPr="00F0736F" w:rsidRDefault="001D7D6D" w:rsidP="001D7D6D">
      <w:pPr>
        <w:ind w:firstLine="709"/>
        <w:jc w:val="both"/>
        <w:rPr>
          <w:rFonts w:ascii="Times New Roman" w:hAnsi="Times New Roman" w:cs="Times New Roman"/>
          <w:color w:val="000000" w:themeColor="text1"/>
        </w:rPr>
      </w:pPr>
    </w:p>
    <w:p w14:paraId="3CBF246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Таблица 1.5.8. Рейтинг областей по созданию инфраструктуры раздельного сбора ТБО</w:t>
      </w:r>
    </w:p>
    <w:p w14:paraId="0BE3C12F" w14:textId="77777777" w:rsidR="001D7D6D" w:rsidRPr="00F0736F" w:rsidRDefault="001D7D6D" w:rsidP="001D7D6D">
      <w:pPr>
        <w:ind w:firstLine="709"/>
        <w:jc w:val="both"/>
        <w:rPr>
          <w:color w:val="000000" w:themeColor="text1"/>
        </w:rPr>
      </w:pPr>
    </w:p>
    <w:tbl>
      <w:tblPr>
        <w:tblW w:w="9639" w:type="dxa"/>
        <w:tblInd w:w="250" w:type="dxa"/>
        <w:tblLayout w:type="fixed"/>
        <w:tblLook w:val="0000" w:firstRow="0" w:lastRow="0" w:firstColumn="0" w:lastColumn="0" w:noHBand="0" w:noVBand="0"/>
      </w:tblPr>
      <w:tblGrid>
        <w:gridCol w:w="1416"/>
        <w:gridCol w:w="2270"/>
        <w:gridCol w:w="1559"/>
        <w:gridCol w:w="1559"/>
        <w:gridCol w:w="1580"/>
        <w:gridCol w:w="1255"/>
      </w:tblGrid>
      <w:tr w:rsidR="001D7D6D" w:rsidRPr="00F0736F" w14:paraId="45694E21" w14:textId="77777777" w:rsidTr="00B155C8">
        <w:tc>
          <w:tcPr>
            <w:tcW w:w="1416" w:type="dxa"/>
            <w:tcBorders>
              <w:top w:val="single" w:sz="4" w:space="0" w:color="000000"/>
              <w:left w:val="single" w:sz="4" w:space="0" w:color="000000"/>
              <w:bottom w:val="single" w:sz="4" w:space="0" w:color="000000"/>
            </w:tcBorders>
            <w:shd w:val="clear" w:color="auto" w:fill="auto"/>
          </w:tcPr>
          <w:p w14:paraId="3B76EC0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Рейтинг</w:t>
            </w:r>
          </w:p>
          <w:p w14:paraId="5C49E57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активности по механизму РОП</w:t>
            </w:r>
          </w:p>
        </w:tc>
        <w:tc>
          <w:tcPr>
            <w:tcW w:w="2270" w:type="dxa"/>
            <w:tcBorders>
              <w:top w:val="single" w:sz="4" w:space="0" w:color="000000"/>
              <w:left w:val="single" w:sz="4" w:space="0" w:color="000000"/>
              <w:bottom w:val="single" w:sz="4" w:space="0" w:color="000000"/>
            </w:tcBorders>
            <w:shd w:val="clear" w:color="auto" w:fill="auto"/>
          </w:tcPr>
          <w:p w14:paraId="19F40788"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Регион</w:t>
            </w:r>
          </w:p>
        </w:tc>
        <w:tc>
          <w:tcPr>
            <w:tcW w:w="1559" w:type="dxa"/>
            <w:tcBorders>
              <w:top w:val="single" w:sz="4" w:space="0" w:color="000000"/>
              <w:left w:val="single" w:sz="4" w:space="0" w:color="000000"/>
              <w:bottom w:val="single" w:sz="4" w:space="0" w:color="000000"/>
            </w:tcBorders>
            <w:shd w:val="clear" w:color="auto" w:fill="auto"/>
          </w:tcPr>
          <w:p w14:paraId="41D199F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Количество контейнеров для ртутных ламп и батарей</w:t>
            </w:r>
          </w:p>
        </w:tc>
        <w:tc>
          <w:tcPr>
            <w:tcW w:w="1559" w:type="dxa"/>
            <w:tcBorders>
              <w:top w:val="single" w:sz="4" w:space="0" w:color="000000"/>
              <w:left w:val="single" w:sz="4" w:space="0" w:color="000000"/>
              <w:bottom w:val="single" w:sz="4" w:space="0" w:color="000000"/>
            </w:tcBorders>
            <w:shd w:val="clear" w:color="auto" w:fill="auto"/>
          </w:tcPr>
          <w:p w14:paraId="210C5CF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Количество контейнеров для раздельного сбора</w:t>
            </w:r>
          </w:p>
        </w:tc>
        <w:tc>
          <w:tcPr>
            <w:tcW w:w="1580" w:type="dxa"/>
            <w:tcBorders>
              <w:top w:val="single" w:sz="4" w:space="0" w:color="000000"/>
              <w:left w:val="single" w:sz="4" w:space="0" w:color="000000"/>
              <w:bottom w:val="single" w:sz="4" w:space="0" w:color="000000"/>
            </w:tcBorders>
            <w:shd w:val="clear" w:color="auto" w:fill="auto"/>
          </w:tcPr>
          <w:p w14:paraId="725841F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Количество контейнеров для электрооборудования</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EE72AFF"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Количество пунктов приема ТБО</w:t>
            </w:r>
          </w:p>
        </w:tc>
      </w:tr>
      <w:tr w:rsidR="001D7D6D" w:rsidRPr="00F0736F" w14:paraId="34A81506" w14:textId="77777777" w:rsidTr="00B155C8">
        <w:tc>
          <w:tcPr>
            <w:tcW w:w="1416" w:type="dxa"/>
            <w:tcBorders>
              <w:top w:val="single" w:sz="4" w:space="0" w:color="000000"/>
              <w:left w:val="single" w:sz="4" w:space="0" w:color="000000"/>
              <w:bottom w:val="single" w:sz="4" w:space="0" w:color="000000"/>
            </w:tcBorders>
            <w:shd w:val="clear" w:color="auto" w:fill="auto"/>
          </w:tcPr>
          <w:p w14:paraId="73E72B7D" w14:textId="77777777" w:rsidR="001D7D6D" w:rsidRPr="00F0736F" w:rsidRDefault="001D7D6D" w:rsidP="00B155C8">
            <w:pPr>
              <w:snapToGrid w:val="0"/>
              <w:ind w:firstLine="34"/>
              <w:jc w:val="both"/>
              <w:rPr>
                <w:rFonts w:ascii="Times New Roman" w:hAnsi="Times New Roman" w:cs="Times New Roman"/>
                <w:color w:val="000000" w:themeColor="text1"/>
                <w:sz w:val="20"/>
                <w:szCs w:val="20"/>
              </w:rPr>
            </w:pPr>
          </w:p>
        </w:tc>
        <w:tc>
          <w:tcPr>
            <w:tcW w:w="2270" w:type="dxa"/>
            <w:tcBorders>
              <w:top w:val="single" w:sz="4" w:space="0" w:color="000000"/>
              <w:left w:val="single" w:sz="4" w:space="0" w:color="000000"/>
              <w:bottom w:val="single" w:sz="4" w:space="0" w:color="000000"/>
            </w:tcBorders>
            <w:shd w:val="clear" w:color="auto" w:fill="auto"/>
          </w:tcPr>
          <w:p w14:paraId="067C6302"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РК</w:t>
            </w:r>
          </w:p>
        </w:tc>
        <w:tc>
          <w:tcPr>
            <w:tcW w:w="1559" w:type="dxa"/>
            <w:tcBorders>
              <w:top w:val="single" w:sz="4" w:space="0" w:color="000000"/>
              <w:left w:val="single" w:sz="4" w:space="0" w:color="000000"/>
              <w:bottom w:val="single" w:sz="4" w:space="0" w:color="000000"/>
            </w:tcBorders>
            <w:shd w:val="clear" w:color="auto" w:fill="auto"/>
          </w:tcPr>
          <w:p w14:paraId="6CEEFC4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2 321</w:t>
            </w:r>
          </w:p>
        </w:tc>
        <w:tc>
          <w:tcPr>
            <w:tcW w:w="1559" w:type="dxa"/>
            <w:tcBorders>
              <w:top w:val="single" w:sz="4" w:space="0" w:color="000000"/>
              <w:left w:val="single" w:sz="4" w:space="0" w:color="000000"/>
              <w:bottom w:val="single" w:sz="4" w:space="0" w:color="000000"/>
            </w:tcBorders>
            <w:shd w:val="clear" w:color="auto" w:fill="auto"/>
          </w:tcPr>
          <w:p w14:paraId="2751CEC5"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1 2196</w:t>
            </w:r>
          </w:p>
        </w:tc>
        <w:tc>
          <w:tcPr>
            <w:tcW w:w="1580" w:type="dxa"/>
            <w:tcBorders>
              <w:top w:val="single" w:sz="4" w:space="0" w:color="000000"/>
              <w:left w:val="single" w:sz="4" w:space="0" w:color="000000"/>
              <w:bottom w:val="single" w:sz="4" w:space="0" w:color="000000"/>
            </w:tcBorders>
            <w:shd w:val="clear" w:color="auto" w:fill="auto"/>
          </w:tcPr>
          <w:p w14:paraId="0876296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150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81FBD25"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147</w:t>
            </w:r>
          </w:p>
        </w:tc>
      </w:tr>
      <w:tr w:rsidR="001D7D6D" w:rsidRPr="00F0736F" w14:paraId="05EAC649" w14:textId="77777777" w:rsidTr="00B155C8">
        <w:tc>
          <w:tcPr>
            <w:tcW w:w="1416" w:type="dxa"/>
            <w:tcBorders>
              <w:top w:val="single" w:sz="4" w:space="0" w:color="000000"/>
              <w:left w:val="single" w:sz="4" w:space="0" w:color="000000"/>
              <w:bottom w:val="single" w:sz="4" w:space="0" w:color="000000"/>
            </w:tcBorders>
            <w:shd w:val="clear" w:color="auto" w:fill="auto"/>
          </w:tcPr>
          <w:p w14:paraId="2F3B663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w:t>
            </w:r>
          </w:p>
        </w:tc>
        <w:tc>
          <w:tcPr>
            <w:tcW w:w="2270" w:type="dxa"/>
            <w:tcBorders>
              <w:top w:val="single" w:sz="4" w:space="0" w:color="000000"/>
              <w:left w:val="single" w:sz="4" w:space="0" w:color="000000"/>
              <w:bottom w:val="single" w:sz="4" w:space="0" w:color="000000"/>
            </w:tcBorders>
            <w:shd w:val="clear" w:color="auto" w:fill="auto"/>
          </w:tcPr>
          <w:p w14:paraId="14CC2591"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Нур-Султан</w:t>
            </w:r>
          </w:p>
        </w:tc>
        <w:tc>
          <w:tcPr>
            <w:tcW w:w="1559" w:type="dxa"/>
            <w:tcBorders>
              <w:top w:val="single" w:sz="4" w:space="0" w:color="000000"/>
              <w:left w:val="single" w:sz="4" w:space="0" w:color="000000"/>
              <w:bottom w:val="single" w:sz="4" w:space="0" w:color="000000"/>
            </w:tcBorders>
            <w:shd w:val="clear" w:color="auto" w:fill="auto"/>
          </w:tcPr>
          <w:p w14:paraId="76C9F54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370</w:t>
            </w:r>
          </w:p>
        </w:tc>
        <w:tc>
          <w:tcPr>
            <w:tcW w:w="1559" w:type="dxa"/>
            <w:tcBorders>
              <w:top w:val="single" w:sz="4" w:space="0" w:color="000000"/>
              <w:left w:val="single" w:sz="4" w:space="0" w:color="000000"/>
              <w:bottom w:val="single" w:sz="4" w:space="0" w:color="000000"/>
            </w:tcBorders>
            <w:shd w:val="clear" w:color="auto" w:fill="auto"/>
          </w:tcPr>
          <w:p w14:paraId="3CD2A6B0"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6 276</w:t>
            </w:r>
          </w:p>
        </w:tc>
        <w:tc>
          <w:tcPr>
            <w:tcW w:w="1580" w:type="dxa"/>
            <w:tcBorders>
              <w:top w:val="single" w:sz="4" w:space="0" w:color="000000"/>
              <w:left w:val="single" w:sz="4" w:space="0" w:color="000000"/>
              <w:bottom w:val="single" w:sz="4" w:space="0" w:color="000000"/>
            </w:tcBorders>
            <w:shd w:val="clear" w:color="auto" w:fill="auto"/>
          </w:tcPr>
          <w:p w14:paraId="78519350"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C8D5B0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32</w:t>
            </w:r>
          </w:p>
        </w:tc>
      </w:tr>
      <w:tr w:rsidR="001D7D6D" w:rsidRPr="00F0736F" w14:paraId="5DA68A36" w14:textId="77777777" w:rsidTr="00B155C8">
        <w:tc>
          <w:tcPr>
            <w:tcW w:w="1416" w:type="dxa"/>
            <w:tcBorders>
              <w:top w:val="single" w:sz="4" w:space="0" w:color="000000"/>
              <w:left w:val="single" w:sz="4" w:space="0" w:color="000000"/>
              <w:bottom w:val="single" w:sz="4" w:space="0" w:color="000000"/>
            </w:tcBorders>
            <w:shd w:val="clear" w:color="auto" w:fill="auto"/>
          </w:tcPr>
          <w:p w14:paraId="1AC599C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2</w:t>
            </w:r>
          </w:p>
        </w:tc>
        <w:tc>
          <w:tcPr>
            <w:tcW w:w="2270" w:type="dxa"/>
            <w:tcBorders>
              <w:top w:val="single" w:sz="4" w:space="0" w:color="000000"/>
              <w:left w:val="single" w:sz="4" w:space="0" w:color="000000"/>
              <w:bottom w:val="single" w:sz="4" w:space="0" w:color="000000"/>
            </w:tcBorders>
            <w:shd w:val="clear" w:color="auto" w:fill="auto"/>
          </w:tcPr>
          <w:p w14:paraId="29A9A7DC"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Алматы и Алматинская область</w:t>
            </w:r>
          </w:p>
        </w:tc>
        <w:tc>
          <w:tcPr>
            <w:tcW w:w="1559" w:type="dxa"/>
            <w:tcBorders>
              <w:top w:val="single" w:sz="4" w:space="0" w:color="000000"/>
              <w:left w:val="single" w:sz="4" w:space="0" w:color="000000"/>
              <w:bottom w:val="single" w:sz="4" w:space="0" w:color="000000"/>
            </w:tcBorders>
            <w:shd w:val="clear" w:color="auto" w:fill="auto"/>
          </w:tcPr>
          <w:p w14:paraId="6C9975B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190</w:t>
            </w:r>
          </w:p>
        </w:tc>
        <w:tc>
          <w:tcPr>
            <w:tcW w:w="1559" w:type="dxa"/>
            <w:tcBorders>
              <w:top w:val="single" w:sz="4" w:space="0" w:color="000000"/>
              <w:left w:val="single" w:sz="4" w:space="0" w:color="000000"/>
              <w:bottom w:val="single" w:sz="4" w:space="0" w:color="000000"/>
            </w:tcBorders>
            <w:shd w:val="clear" w:color="auto" w:fill="auto"/>
          </w:tcPr>
          <w:p w14:paraId="5645E2AB"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1 457</w:t>
            </w:r>
          </w:p>
        </w:tc>
        <w:tc>
          <w:tcPr>
            <w:tcW w:w="1580" w:type="dxa"/>
            <w:tcBorders>
              <w:top w:val="single" w:sz="4" w:space="0" w:color="000000"/>
              <w:left w:val="single" w:sz="4" w:space="0" w:color="000000"/>
              <w:bottom w:val="single" w:sz="4" w:space="0" w:color="000000"/>
            </w:tcBorders>
            <w:shd w:val="clear" w:color="auto" w:fill="auto"/>
          </w:tcPr>
          <w:p w14:paraId="5215974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600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158905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78</w:t>
            </w:r>
          </w:p>
        </w:tc>
      </w:tr>
      <w:tr w:rsidR="001D7D6D" w:rsidRPr="00F0736F" w14:paraId="5CF3691D" w14:textId="77777777" w:rsidTr="00B155C8">
        <w:tc>
          <w:tcPr>
            <w:tcW w:w="1416" w:type="dxa"/>
            <w:tcBorders>
              <w:top w:val="single" w:sz="4" w:space="0" w:color="000000"/>
              <w:left w:val="single" w:sz="4" w:space="0" w:color="000000"/>
              <w:bottom w:val="single" w:sz="4" w:space="0" w:color="000000"/>
            </w:tcBorders>
            <w:shd w:val="clear" w:color="auto" w:fill="auto"/>
          </w:tcPr>
          <w:p w14:paraId="59111853"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w:t>
            </w:r>
          </w:p>
        </w:tc>
        <w:tc>
          <w:tcPr>
            <w:tcW w:w="2270" w:type="dxa"/>
            <w:tcBorders>
              <w:top w:val="single" w:sz="4" w:space="0" w:color="000000"/>
              <w:left w:val="single" w:sz="4" w:space="0" w:color="000000"/>
              <w:bottom w:val="single" w:sz="4" w:space="0" w:color="000000"/>
            </w:tcBorders>
            <w:shd w:val="clear" w:color="auto" w:fill="auto"/>
          </w:tcPr>
          <w:p w14:paraId="7FDF18C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Карагандинская область</w:t>
            </w:r>
          </w:p>
        </w:tc>
        <w:tc>
          <w:tcPr>
            <w:tcW w:w="1559" w:type="dxa"/>
            <w:tcBorders>
              <w:top w:val="single" w:sz="4" w:space="0" w:color="000000"/>
              <w:left w:val="single" w:sz="4" w:space="0" w:color="000000"/>
              <w:bottom w:val="single" w:sz="4" w:space="0" w:color="000000"/>
            </w:tcBorders>
            <w:shd w:val="clear" w:color="auto" w:fill="auto"/>
          </w:tcPr>
          <w:p w14:paraId="2CC617A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59" w:type="dxa"/>
            <w:tcBorders>
              <w:top w:val="single" w:sz="4" w:space="0" w:color="000000"/>
              <w:left w:val="single" w:sz="4" w:space="0" w:color="000000"/>
              <w:bottom w:val="single" w:sz="4" w:space="0" w:color="000000"/>
            </w:tcBorders>
            <w:shd w:val="clear" w:color="auto" w:fill="auto"/>
          </w:tcPr>
          <w:p w14:paraId="4685623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1 755</w:t>
            </w:r>
          </w:p>
        </w:tc>
        <w:tc>
          <w:tcPr>
            <w:tcW w:w="1580" w:type="dxa"/>
            <w:tcBorders>
              <w:top w:val="single" w:sz="4" w:space="0" w:color="000000"/>
              <w:left w:val="single" w:sz="4" w:space="0" w:color="000000"/>
              <w:bottom w:val="single" w:sz="4" w:space="0" w:color="000000"/>
            </w:tcBorders>
            <w:shd w:val="clear" w:color="auto" w:fill="auto"/>
          </w:tcPr>
          <w:p w14:paraId="0615B2F3"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97EB50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16</w:t>
            </w:r>
          </w:p>
        </w:tc>
      </w:tr>
      <w:tr w:rsidR="001D7D6D" w:rsidRPr="00F0736F" w14:paraId="68D0B599" w14:textId="77777777" w:rsidTr="00B155C8">
        <w:tc>
          <w:tcPr>
            <w:tcW w:w="1416" w:type="dxa"/>
            <w:tcBorders>
              <w:top w:val="single" w:sz="4" w:space="0" w:color="000000"/>
              <w:left w:val="single" w:sz="4" w:space="0" w:color="000000"/>
              <w:bottom w:val="single" w:sz="4" w:space="0" w:color="000000"/>
            </w:tcBorders>
            <w:shd w:val="clear" w:color="auto" w:fill="auto"/>
          </w:tcPr>
          <w:p w14:paraId="011477BF"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4</w:t>
            </w:r>
          </w:p>
        </w:tc>
        <w:tc>
          <w:tcPr>
            <w:tcW w:w="2270" w:type="dxa"/>
            <w:tcBorders>
              <w:top w:val="single" w:sz="4" w:space="0" w:color="000000"/>
              <w:left w:val="single" w:sz="4" w:space="0" w:color="000000"/>
              <w:bottom w:val="single" w:sz="4" w:space="0" w:color="000000"/>
            </w:tcBorders>
            <w:shd w:val="clear" w:color="auto" w:fill="auto"/>
          </w:tcPr>
          <w:p w14:paraId="094297A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Павлодарская область</w:t>
            </w:r>
          </w:p>
        </w:tc>
        <w:tc>
          <w:tcPr>
            <w:tcW w:w="1559" w:type="dxa"/>
            <w:tcBorders>
              <w:top w:val="single" w:sz="4" w:space="0" w:color="000000"/>
              <w:left w:val="single" w:sz="4" w:space="0" w:color="000000"/>
              <w:bottom w:val="single" w:sz="4" w:space="0" w:color="000000"/>
            </w:tcBorders>
            <w:shd w:val="clear" w:color="auto" w:fill="auto"/>
          </w:tcPr>
          <w:p w14:paraId="5AC1B80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200</w:t>
            </w:r>
          </w:p>
        </w:tc>
        <w:tc>
          <w:tcPr>
            <w:tcW w:w="1559" w:type="dxa"/>
            <w:tcBorders>
              <w:top w:val="single" w:sz="4" w:space="0" w:color="000000"/>
              <w:left w:val="single" w:sz="4" w:space="0" w:color="000000"/>
              <w:bottom w:val="single" w:sz="4" w:space="0" w:color="000000"/>
            </w:tcBorders>
            <w:shd w:val="clear" w:color="auto" w:fill="auto"/>
          </w:tcPr>
          <w:p w14:paraId="54BD539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422</w:t>
            </w:r>
          </w:p>
        </w:tc>
        <w:tc>
          <w:tcPr>
            <w:tcW w:w="1580" w:type="dxa"/>
            <w:tcBorders>
              <w:top w:val="single" w:sz="4" w:space="0" w:color="000000"/>
              <w:left w:val="single" w:sz="4" w:space="0" w:color="000000"/>
              <w:bottom w:val="single" w:sz="4" w:space="0" w:color="000000"/>
            </w:tcBorders>
            <w:shd w:val="clear" w:color="auto" w:fill="auto"/>
          </w:tcPr>
          <w:p w14:paraId="7E3BEF9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20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C634EB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03130F77" w14:textId="77777777" w:rsidTr="00B155C8">
        <w:tc>
          <w:tcPr>
            <w:tcW w:w="1416" w:type="dxa"/>
            <w:tcBorders>
              <w:top w:val="single" w:sz="4" w:space="0" w:color="000000"/>
              <w:left w:val="single" w:sz="4" w:space="0" w:color="000000"/>
              <w:bottom w:val="single" w:sz="4" w:space="0" w:color="000000"/>
            </w:tcBorders>
            <w:shd w:val="clear" w:color="auto" w:fill="auto"/>
          </w:tcPr>
          <w:p w14:paraId="29D3A1F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5</w:t>
            </w:r>
          </w:p>
        </w:tc>
        <w:tc>
          <w:tcPr>
            <w:tcW w:w="2270" w:type="dxa"/>
            <w:tcBorders>
              <w:top w:val="single" w:sz="4" w:space="0" w:color="000000"/>
              <w:left w:val="single" w:sz="4" w:space="0" w:color="000000"/>
              <w:bottom w:val="single" w:sz="4" w:space="0" w:color="000000"/>
            </w:tcBorders>
            <w:shd w:val="clear" w:color="auto" w:fill="auto"/>
          </w:tcPr>
          <w:p w14:paraId="36F99CC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Костанайская область</w:t>
            </w:r>
          </w:p>
        </w:tc>
        <w:tc>
          <w:tcPr>
            <w:tcW w:w="1559" w:type="dxa"/>
            <w:tcBorders>
              <w:top w:val="single" w:sz="4" w:space="0" w:color="000000"/>
              <w:left w:val="single" w:sz="4" w:space="0" w:color="000000"/>
              <w:bottom w:val="single" w:sz="4" w:space="0" w:color="000000"/>
            </w:tcBorders>
            <w:shd w:val="clear" w:color="auto" w:fill="auto"/>
          </w:tcPr>
          <w:p w14:paraId="2101726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145</w:t>
            </w:r>
          </w:p>
        </w:tc>
        <w:tc>
          <w:tcPr>
            <w:tcW w:w="1559" w:type="dxa"/>
            <w:tcBorders>
              <w:top w:val="single" w:sz="4" w:space="0" w:color="000000"/>
              <w:left w:val="single" w:sz="4" w:space="0" w:color="000000"/>
              <w:bottom w:val="single" w:sz="4" w:space="0" w:color="000000"/>
            </w:tcBorders>
            <w:shd w:val="clear" w:color="auto" w:fill="auto"/>
          </w:tcPr>
          <w:p w14:paraId="4F8E1AD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587</w:t>
            </w:r>
          </w:p>
        </w:tc>
        <w:tc>
          <w:tcPr>
            <w:tcW w:w="1580" w:type="dxa"/>
            <w:tcBorders>
              <w:top w:val="single" w:sz="4" w:space="0" w:color="000000"/>
              <w:left w:val="single" w:sz="4" w:space="0" w:color="000000"/>
              <w:bottom w:val="single" w:sz="4" w:space="0" w:color="000000"/>
            </w:tcBorders>
            <w:shd w:val="clear" w:color="auto" w:fill="auto"/>
          </w:tcPr>
          <w:p w14:paraId="19A903B3"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3FFB01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7C026DBC" w14:textId="77777777" w:rsidTr="00B155C8">
        <w:tc>
          <w:tcPr>
            <w:tcW w:w="1416" w:type="dxa"/>
            <w:tcBorders>
              <w:top w:val="single" w:sz="4" w:space="0" w:color="000000"/>
              <w:left w:val="single" w:sz="4" w:space="0" w:color="000000"/>
              <w:bottom w:val="single" w:sz="4" w:space="0" w:color="000000"/>
            </w:tcBorders>
            <w:shd w:val="clear" w:color="auto" w:fill="auto"/>
          </w:tcPr>
          <w:p w14:paraId="0D45090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6</w:t>
            </w:r>
          </w:p>
        </w:tc>
        <w:tc>
          <w:tcPr>
            <w:tcW w:w="2270" w:type="dxa"/>
            <w:tcBorders>
              <w:top w:val="single" w:sz="4" w:space="0" w:color="000000"/>
              <w:left w:val="single" w:sz="4" w:space="0" w:color="000000"/>
              <w:bottom w:val="single" w:sz="4" w:space="0" w:color="000000"/>
            </w:tcBorders>
            <w:shd w:val="clear" w:color="auto" w:fill="auto"/>
          </w:tcPr>
          <w:p w14:paraId="2C78C96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СКО</w:t>
            </w:r>
          </w:p>
        </w:tc>
        <w:tc>
          <w:tcPr>
            <w:tcW w:w="1559" w:type="dxa"/>
            <w:tcBorders>
              <w:top w:val="single" w:sz="4" w:space="0" w:color="000000"/>
              <w:left w:val="single" w:sz="4" w:space="0" w:color="000000"/>
              <w:bottom w:val="single" w:sz="4" w:space="0" w:color="000000"/>
            </w:tcBorders>
            <w:shd w:val="clear" w:color="auto" w:fill="auto"/>
          </w:tcPr>
          <w:p w14:paraId="30D38685"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79</w:t>
            </w:r>
          </w:p>
        </w:tc>
        <w:tc>
          <w:tcPr>
            <w:tcW w:w="1559" w:type="dxa"/>
            <w:tcBorders>
              <w:top w:val="single" w:sz="4" w:space="0" w:color="000000"/>
              <w:left w:val="single" w:sz="4" w:space="0" w:color="000000"/>
              <w:bottom w:val="single" w:sz="4" w:space="0" w:color="000000"/>
            </w:tcBorders>
            <w:shd w:val="clear" w:color="auto" w:fill="auto"/>
          </w:tcPr>
          <w:p w14:paraId="3DDC6E8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766</w:t>
            </w:r>
          </w:p>
        </w:tc>
        <w:tc>
          <w:tcPr>
            <w:tcW w:w="1580" w:type="dxa"/>
            <w:tcBorders>
              <w:top w:val="single" w:sz="4" w:space="0" w:color="000000"/>
              <w:left w:val="single" w:sz="4" w:space="0" w:color="000000"/>
              <w:bottom w:val="single" w:sz="4" w:space="0" w:color="000000"/>
            </w:tcBorders>
            <w:shd w:val="clear" w:color="auto" w:fill="auto"/>
          </w:tcPr>
          <w:p w14:paraId="4C89EB5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215DE6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5216E7D5" w14:textId="77777777" w:rsidTr="00B155C8">
        <w:tc>
          <w:tcPr>
            <w:tcW w:w="1416" w:type="dxa"/>
            <w:tcBorders>
              <w:top w:val="single" w:sz="4" w:space="0" w:color="000000"/>
              <w:left w:val="single" w:sz="4" w:space="0" w:color="000000"/>
              <w:bottom w:val="single" w:sz="4" w:space="0" w:color="000000"/>
            </w:tcBorders>
            <w:shd w:val="clear" w:color="auto" w:fill="auto"/>
          </w:tcPr>
          <w:p w14:paraId="0438AE5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7</w:t>
            </w:r>
          </w:p>
        </w:tc>
        <w:tc>
          <w:tcPr>
            <w:tcW w:w="2270" w:type="dxa"/>
            <w:tcBorders>
              <w:top w:val="single" w:sz="4" w:space="0" w:color="000000"/>
              <w:left w:val="single" w:sz="4" w:space="0" w:color="000000"/>
              <w:bottom w:val="single" w:sz="4" w:space="0" w:color="000000"/>
            </w:tcBorders>
            <w:shd w:val="clear" w:color="auto" w:fill="auto"/>
          </w:tcPr>
          <w:p w14:paraId="0D85594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ВКО</w:t>
            </w:r>
          </w:p>
        </w:tc>
        <w:tc>
          <w:tcPr>
            <w:tcW w:w="1559" w:type="dxa"/>
            <w:tcBorders>
              <w:top w:val="single" w:sz="4" w:space="0" w:color="000000"/>
              <w:left w:val="single" w:sz="4" w:space="0" w:color="000000"/>
              <w:bottom w:val="single" w:sz="4" w:space="0" w:color="000000"/>
            </w:tcBorders>
            <w:shd w:val="clear" w:color="auto" w:fill="auto"/>
          </w:tcPr>
          <w:p w14:paraId="4FBF0DE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59" w:type="dxa"/>
            <w:tcBorders>
              <w:top w:val="single" w:sz="4" w:space="0" w:color="000000"/>
              <w:left w:val="single" w:sz="4" w:space="0" w:color="000000"/>
              <w:bottom w:val="single" w:sz="4" w:space="0" w:color="000000"/>
            </w:tcBorders>
            <w:shd w:val="clear" w:color="auto" w:fill="auto"/>
          </w:tcPr>
          <w:p w14:paraId="6F851C3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565</w:t>
            </w:r>
          </w:p>
        </w:tc>
        <w:tc>
          <w:tcPr>
            <w:tcW w:w="1580" w:type="dxa"/>
            <w:tcBorders>
              <w:top w:val="single" w:sz="4" w:space="0" w:color="000000"/>
              <w:left w:val="single" w:sz="4" w:space="0" w:color="000000"/>
              <w:bottom w:val="single" w:sz="4" w:space="0" w:color="000000"/>
            </w:tcBorders>
            <w:shd w:val="clear" w:color="auto" w:fill="auto"/>
          </w:tcPr>
          <w:p w14:paraId="6098B795"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DC7B92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10540082" w14:textId="77777777" w:rsidTr="00B155C8">
        <w:tc>
          <w:tcPr>
            <w:tcW w:w="1416" w:type="dxa"/>
            <w:tcBorders>
              <w:top w:val="single" w:sz="4" w:space="0" w:color="000000"/>
              <w:left w:val="single" w:sz="4" w:space="0" w:color="000000"/>
              <w:bottom w:val="single" w:sz="4" w:space="0" w:color="000000"/>
            </w:tcBorders>
            <w:shd w:val="clear" w:color="auto" w:fill="auto"/>
          </w:tcPr>
          <w:p w14:paraId="53C8A7F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8</w:t>
            </w:r>
          </w:p>
        </w:tc>
        <w:tc>
          <w:tcPr>
            <w:tcW w:w="2270" w:type="dxa"/>
            <w:tcBorders>
              <w:top w:val="single" w:sz="4" w:space="0" w:color="000000"/>
              <w:left w:val="single" w:sz="4" w:space="0" w:color="000000"/>
              <w:bottom w:val="single" w:sz="4" w:space="0" w:color="000000"/>
            </w:tcBorders>
            <w:shd w:val="clear" w:color="auto" w:fill="auto"/>
          </w:tcPr>
          <w:p w14:paraId="53E0F43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Кызылординская область</w:t>
            </w:r>
          </w:p>
        </w:tc>
        <w:tc>
          <w:tcPr>
            <w:tcW w:w="1559" w:type="dxa"/>
            <w:tcBorders>
              <w:top w:val="single" w:sz="4" w:space="0" w:color="000000"/>
              <w:left w:val="single" w:sz="4" w:space="0" w:color="000000"/>
              <w:bottom w:val="single" w:sz="4" w:space="0" w:color="000000"/>
            </w:tcBorders>
            <w:shd w:val="clear" w:color="auto" w:fill="auto"/>
          </w:tcPr>
          <w:p w14:paraId="7806C0D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850</w:t>
            </w:r>
          </w:p>
        </w:tc>
        <w:tc>
          <w:tcPr>
            <w:tcW w:w="1559" w:type="dxa"/>
            <w:tcBorders>
              <w:top w:val="single" w:sz="4" w:space="0" w:color="000000"/>
              <w:left w:val="single" w:sz="4" w:space="0" w:color="000000"/>
              <w:bottom w:val="single" w:sz="4" w:space="0" w:color="000000"/>
            </w:tcBorders>
            <w:shd w:val="clear" w:color="auto" w:fill="auto"/>
          </w:tcPr>
          <w:p w14:paraId="3621F66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4FF629F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1B538E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06E5D7A5" w14:textId="77777777" w:rsidTr="00B155C8">
        <w:tc>
          <w:tcPr>
            <w:tcW w:w="1416" w:type="dxa"/>
            <w:tcBorders>
              <w:top w:val="single" w:sz="4" w:space="0" w:color="000000"/>
              <w:left w:val="single" w:sz="4" w:space="0" w:color="000000"/>
              <w:bottom w:val="single" w:sz="4" w:space="0" w:color="000000"/>
            </w:tcBorders>
            <w:shd w:val="clear" w:color="auto" w:fill="auto"/>
          </w:tcPr>
          <w:p w14:paraId="01A43CD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9</w:t>
            </w:r>
          </w:p>
        </w:tc>
        <w:tc>
          <w:tcPr>
            <w:tcW w:w="2270" w:type="dxa"/>
            <w:tcBorders>
              <w:top w:val="single" w:sz="4" w:space="0" w:color="000000"/>
              <w:left w:val="single" w:sz="4" w:space="0" w:color="000000"/>
              <w:bottom w:val="single" w:sz="4" w:space="0" w:color="000000"/>
            </w:tcBorders>
            <w:shd w:val="clear" w:color="auto" w:fill="auto"/>
          </w:tcPr>
          <w:p w14:paraId="14BFC89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Мангистауская область</w:t>
            </w:r>
          </w:p>
        </w:tc>
        <w:tc>
          <w:tcPr>
            <w:tcW w:w="1559" w:type="dxa"/>
            <w:tcBorders>
              <w:top w:val="single" w:sz="4" w:space="0" w:color="000000"/>
              <w:left w:val="single" w:sz="4" w:space="0" w:color="000000"/>
              <w:bottom w:val="single" w:sz="4" w:space="0" w:color="000000"/>
            </w:tcBorders>
            <w:shd w:val="clear" w:color="auto" w:fill="auto"/>
          </w:tcPr>
          <w:p w14:paraId="1C80498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59" w:type="dxa"/>
            <w:tcBorders>
              <w:top w:val="single" w:sz="4" w:space="0" w:color="000000"/>
              <w:left w:val="single" w:sz="4" w:space="0" w:color="000000"/>
              <w:bottom w:val="single" w:sz="4" w:space="0" w:color="000000"/>
            </w:tcBorders>
            <w:shd w:val="clear" w:color="auto" w:fill="auto"/>
          </w:tcPr>
          <w:p w14:paraId="009206F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368</w:t>
            </w:r>
          </w:p>
        </w:tc>
        <w:tc>
          <w:tcPr>
            <w:tcW w:w="1580" w:type="dxa"/>
            <w:tcBorders>
              <w:top w:val="single" w:sz="4" w:space="0" w:color="000000"/>
              <w:left w:val="single" w:sz="4" w:space="0" w:color="000000"/>
              <w:bottom w:val="single" w:sz="4" w:space="0" w:color="000000"/>
            </w:tcBorders>
            <w:shd w:val="clear" w:color="auto" w:fill="auto"/>
          </w:tcPr>
          <w:p w14:paraId="7D21188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9B7452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9</w:t>
            </w:r>
          </w:p>
        </w:tc>
      </w:tr>
      <w:tr w:rsidR="001D7D6D" w:rsidRPr="00F0736F" w14:paraId="5A7AE331" w14:textId="77777777" w:rsidTr="00B155C8">
        <w:tc>
          <w:tcPr>
            <w:tcW w:w="1416" w:type="dxa"/>
            <w:tcBorders>
              <w:top w:val="single" w:sz="4" w:space="0" w:color="000000"/>
              <w:left w:val="single" w:sz="4" w:space="0" w:color="000000"/>
              <w:bottom w:val="single" w:sz="4" w:space="0" w:color="000000"/>
            </w:tcBorders>
            <w:shd w:val="clear" w:color="auto" w:fill="auto"/>
          </w:tcPr>
          <w:p w14:paraId="3A8E980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10</w:t>
            </w:r>
          </w:p>
        </w:tc>
        <w:tc>
          <w:tcPr>
            <w:tcW w:w="2270" w:type="dxa"/>
            <w:tcBorders>
              <w:top w:val="single" w:sz="4" w:space="0" w:color="000000"/>
              <w:left w:val="single" w:sz="4" w:space="0" w:color="000000"/>
              <w:bottom w:val="single" w:sz="4" w:space="0" w:color="000000"/>
            </w:tcBorders>
            <w:shd w:val="clear" w:color="auto" w:fill="auto"/>
          </w:tcPr>
          <w:p w14:paraId="0B6A27A6"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Акмолинская область</w:t>
            </w:r>
          </w:p>
        </w:tc>
        <w:tc>
          <w:tcPr>
            <w:tcW w:w="1559" w:type="dxa"/>
            <w:tcBorders>
              <w:top w:val="single" w:sz="4" w:space="0" w:color="000000"/>
              <w:left w:val="single" w:sz="4" w:space="0" w:color="000000"/>
              <w:bottom w:val="single" w:sz="4" w:space="0" w:color="000000"/>
            </w:tcBorders>
            <w:shd w:val="clear" w:color="auto" w:fill="auto"/>
          </w:tcPr>
          <w:p w14:paraId="027FB12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154</w:t>
            </w:r>
          </w:p>
        </w:tc>
        <w:tc>
          <w:tcPr>
            <w:tcW w:w="1559" w:type="dxa"/>
            <w:tcBorders>
              <w:top w:val="single" w:sz="4" w:space="0" w:color="000000"/>
              <w:left w:val="single" w:sz="4" w:space="0" w:color="000000"/>
              <w:bottom w:val="single" w:sz="4" w:space="0" w:color="000000"/>
            </w:tcBorders>
            <w:shd w:val="clear" w:color="auto" w:fill="auto"/>
          </w:tcPr>
          <w:p w14:paraId="77BBA7D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7523B7C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64F479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12</w:t>
            </w:r>
          </w:p>
        </w:tc>
      </w:tr>
      <w:tr w:rsidR="001D7D6D" w:rsidRPr="00F0736F" w14:paraId="06D14376" w14:textId="77777777" w:rsidTr="00B155C8">
        <w:tc>
          <w:tcPr>
            <w:tcW w:w="1416" w:type="dxa"/>
            <w:tcBorders>
              <w:top w:val="single" w:sz="4" w:space="0" w:color="000000"/>
              <w:left w:val="single" w:sz="4" w:space="0" w:color="000000"/>
              <w:bottom w:val="single" w:sz="4" w:space="0" w:color="000000"/>
            </w:tcBorders>
            <w:shd w:val="clear" w:color="auto" w:fill="auto"/>
          </w:tcPr>
          <w:p w14:paraId="376ABF9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11</w:t>
            </w:r>
          </w:p>
        </w:tc>
        <w:tc>
          <w:tcPr>
            <w:tcW w:w="2270" w:type="dxa"/>
            <w:tcBorders>
              <w:top w:val="single" w:sz="4" w:space="0" w:color="000000"/>
              <w:left w:val="single" w:sz="4" w:space="0" w:color="000000"/>
              <w:bottom w:val="single" w:sz="4" w:space="0" w:color="000000"/>
            </w:tcBorders>
            <w:shd w:val="clear" w:color="auto" w:fill="auto"/>
          </w:tcPr>
          <w:p w14:paraId="154405A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Актюбинская область</w:t>
            </w:r>
          </w:p>
        </w:tc>
        <w:tc>
          <w:tcPr>
            <w:tcW w:w="1559" w:type="dxa"/>
            <w:tcBorders>
              <w:top w:val="single" w:sz="4" w:space="0" w:color="000000"/>
              <w:left w:val="single" w:sz="4" w:space="0" w:color="000000"/>
              <w:bottom w:val="single" w:sz="4" w:space="0" w:color="000000"/>
            </w:tcBorders>
            <w:shd w:val="clear" w:color="auto" w:fill="auto"/>
          </w:tcPr>
          <w:p w14:paraId="6D9A9C2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133</w:t>
            </w:r>
          </w:p>
        </w:tc>
        <w:tc>
          <w:tcPr>
            <w:tcW w:w="1559" w:type="dxa"/>
            <w:tcBorders>
              <w:top w:val="single" w:sz="4" w:space="0" w:color="000000"/>
              <w:left w:val="single" w:sz="4" w:space="0" w:color="000000"/>
              <w:bottom w:val="single" w:sz="4" w:space="0" w:color="000000"/>
            </w:tcBorders>
            <w:shd w:val="clear" w:color="auto" w:fill="auto"/>
          </w:tcPr>
          <w:p w14:paraId="5F6684D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7B0367A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CAC3DF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60BED19F" w14:textId="77777777" w:rsidTr="00B155C8">
        <w:tc>
          <w:tcPr>
            <w:tcW w:w="1416" w:type="dxa"/>
            <w:tcBorders>
              <w:top w:val="single" w:sz="4" w:space="0" w:color="000000"/>
              <w:left w:val="single" w:sz="4" w:space="0" w:color="000000"/>
              <w:bottom w:val="single" w:sz="4" w:space="0" w:color="000000"/>
            </w:tcBorders>
            <w:shd w:val="clear" w:color="auto" w:fill="auto"/>
          </w:tcPr>
          <w:p w14:paraId="2515B17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12</w:t>
            </w:r>
          </w:p>
        </w:tc>
        <w:tc>
          <w:tcPr>
            <w:tcW w:w="2270" w:type="dxa"/>
            <w:tcBorders>
              <w:top w:val="single" w:sz="4" w:space="0" w:color="000000"/>
              <w:left w:val="single" w:sz="4" w:space="0" w:color="000000"/>
              <w:bottom w:val="single" w:sz="4" w:space="0" w:color="000000"/>
            </w:tcBorders>
            <w:shd w:val="clear" w:color="auto" w:fill="auto"/>
          </w:tcPr>
          <w:p w14:paraId="4C466438"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Жамбылская область</w:t>
            </w:r>
          </w:p>
        </w:tc>
        <w:tc>
          <w:tcPr>
            <w:tcW w:w="1559" w:type="dxa"/>
            <w:tcBorders>
              <w:top w:val="single" w:sz="4" w:space="0" w:color="000000"/>
              <w:left w:val="single" w:sz="4" w:space="0" w:color="000000"/>
              <w:bottom w:val="single" w:sz="4" w:space="0" w:color="000000"/>
            </w:tcBorders>
            <w:shd w:val="clear" w:color="auto" w:fill="auto"/>
          </w:tcPr>
          <w:p w14:paraId="437F9C73"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106</w:t>
            </w:r>
          </w:p>
        </w:tc>
        <w:tc>
          <w:tcPr>
            <w:tcW w:w="1559" w:type="dxa"/>
            <w:tcBorders>
              <w:top w:val="single" w:sz="4" w:space="0" w:color="000000"/>
              <w:left w:val="single" w:sz="4" w:space="0" w:color="000000"/>
              <w:bottom w:val="single" w:sz="4" w:space="0" w:color="000000"/>
            </w:tcBorders>
            <w:shd w:val="clear" w:color="auto" w:fill="auto"/>
          </w:tcPr>
          <w:p w14:paraId="11A1B508"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03AAB1C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673BA4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50E245C2" w14:textId="77777777" w:rsidTr="00B155C8">
        <w:tc>
          <w:tcPr>
            <w:tcW w:w="1416" w:type="dxa"/>
            <w:tcBorders>
              <w:top w:val="single" w:sz="4" w:space="0" w:color="000000"/>
              <w:left w:val="single" w:sz="4" w:space="0" w:color="000000"/>
              <w:bottom w:val="single" w:sz="4" w:space="0" w:color="000000"/>
            </w:tcBorders>
            <w:shd w:val="clear" w:color="auto" w:fill="auto"/>
          </w:tcPr>
          <w:p w14:paraId="137C9CB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13</w:t>
            </w:r>
          </w:p>
        </w:tc>
        <w:tc>
          <w:tcPr>
            <w:tcW w:w="2270" w:type="dxa"/>
            <w:tcBorders>
              <w:top w:val="single" w:sz="4" w:space="0" w:color="000000"/>
              <w:left w:val="single" w:sz="4" w:space="0" w:color="000000"/>
              <w:bottom w:val="single" w:sz="4" w:space="0" w:color="000000"/>
            </w:tcBorders>
            <w:shd w:val="clear" w:color="auto" w:fill="auto"/>
          </w:tcPr>
          <w:p w14:paraId="2E9453F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ЗКО</w:t>
            </w:r>
          </w:p>
        </w:tc>
        <w:tc>
          <w:tcPr>
            <w:tcW w:w="1559" w:type="dxa"/>
            <w:tcBorders>
              <w:top w:val="single" w:sz="4" w:space="0" w:color="000000"/>
              <w:left w:val="single" w:sz="4" w:space="0" w:color="000000"/>
              <w:bottom w:val="single" w:sz="4" w:space="0" w:color="000000"/>
            </w:tcBorders>
            <w:shd w:val="clear" w:color="auto" w:fill="auto"/>
          </w:tcPr>
          <w:p w14:paraId="0B6736BB"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54</w:t>
            </w:r>
          </w:p>
        </w:tc>
        <w:tc>
          <w:tcPr>
            <w:tcW w:w="1559" w:type="dxa"/>
            <w:tcBorders>
              <w:top w:val="single" w:sz="4" w:space="0" w:color="000000"/>
              <w:left w:val="single" w:sz="4" w:space="0" w:color="000000"/>
              <w:bottom w:val="single" w:sz="4" w:space="0" w:color="000000"/>
            </w:tcBorders>
            <w:shd w:val="clear" w:color="auto" w:fill="auto"/>
          </w:tcPr>
          <w:p w14:paraId="11AB564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751A0AC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31B7EF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51FA2EEF" w14:textId="77777777" w:rsidTr="00B155C8">
        <w:tc>
          <w:tcPr>
            <w:tcW w:w="1416" w:type="dxa"/>
            <w:tcBorders>
              <w:top w:val="single" w:sz="4" w:space="0" w:color="000000"/>
              <w:left w:val="single" w:sz="4" w:space="0" w:color="000000"/>
              <w:bottom w:val="single" w:sz="4" w:space="0" w:color="000000"/>
            </w:tcBorders>
            <w:shd w:val="clear" w:color="auto" w:fill="auto"/>
          </w:tcPr>
          <w:p w14:paraId="139B0BA2"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14</w:t>
            </w:r>
          </w:p>
        </w:tc>
        <w:tc>
          <w:tcPr>
            <w:tcW w:w="2270" w:type="dxa"/>
            <w:tcBorders>
              <w:top w:val="single" w:sz="4" w:space="0" w:color="000000"/>
              <w:left w:val="single" w:sz="4" w:space="0" w:color="000000"/>
              <w:bottom w:val="single" w:sz="4" w:space="0" w:color="000000"/>
            </w:tcBorders>
            <w:shd w:val="clear" w:color="auto" w:fill="auto"/>
          </w:tcPr>
          <w:p w14:paraId="3E19FC66"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Атырауская область</w:t>
            </w:r>
          </w:p>
        </w:tc>
        <w:tc>
          <w:tcPr>
            <w:tcW w:w="1559" w:type="dxa"/>
            <w:tcBorders>
              <w:top w:val="single" w:sz="4" w:space="0" w:color="000000"/>
              <w:left w:val="single" w:sz="4" w:space="0" w:color="000000"/>
              <w:bottom w:val="single" w:sz="4" w:space="0" w:color="000000"/>
            </w:tcBorders>
            <w:shd w:val="clear" w:color="auto" w:fill="auto"/>
          </w:tcPr>
          <w:p w14:paraId="05F4B7E4"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40</w:t>
            </w:r>
          </w:p>
        </w:tc>
        <w:tc>
          <w:tcPr>
            <w:tcW w:w="1559" w:type="dxa"/>
            <w:tcBorders>
              <w:top w:val="single" w:sz="4" w:space="0" w:color="000000"/>
              <w:left w:val="single" w:sz="4" w:space="0" w:color="000000"/>
              <w:bottom w:val="single" w:sz="4" w:space="0" w:color="000000"/>
            </w:tcBorders>
            <w:shd w:val="clear" w:color="auto" w:fill="auto"/>
          </w:tcPr>
          <w:p w14:paraId="183F495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4EED928E"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B1C266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1AFAE786" w14:textId="77777777" w:rsidTr="00B155C8">
        <w:tc>
          <w:tcPr>
            <w:tcW w:w="1416" w:type="dxa"/>
            <w:tcBorders>
              <w:top w:val="single" w:sz="4" w:space="0" w:color="000000"/>
              <w:left w:val="single" w:sz="4" w:space="0" w:color="000000"/>
              <w:bottom w:val="single" w:sz="4" w:space="0" w:color="000000"/>
            </w:tcBorders>
            <w:shd w:val="clear" w:color="auto" w:fill="auto"/>
          </w:tcPr>
          <w:p w14:paraId="05E767C9"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15</w:t>
            </w:r>
          </w:p>
        </w:tc>
        <w:tc>
          <w:tcPr>
            <w:tcW w:w="2270" w:type="dxa"/>
            <w:tcBorders>
              <w:top w:val="single" w:sz="4" w:space="0" w:color="000000"/>
              <w:left w:val="single" w:sz="4" w:space="0" w:color="000000"/>
              <w:bottom w:val="single" w:sz="4" w:space="0" w:color="000000"/>
            </w:tcBorders>
            <w:shd w:val="clear" w:color="auto" w:fill="auto"/>
          </w:tcPr>
          <w:p w14:paraId="19853F25"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Шымкент и Туркестанская область</w:t>
            </w:r>
          </w:p>
        </w:tc>
        <w:tc>
          <w:tcPr>
            <w:tcW w:w="1559" w:type="dxa"/>
            <w:tcBorders>
              <w:top w:val="single" w:sz="4" w:space="0" w:color="000000"/>
              <w:left w:val="single" w:sz="4" w:space="0" w:color="000000"/>
              <w:bottom w:val="single" w:sz="4" w:space="0" w:color="000000"/>
            </w:tcBorders>
            <w:shd w:val="clear" w:color="auto" w:fill="auto"/>
          </w:tcPr>
          <w:p w14:paraId="27D43FF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59" w:type="dxa"/>
            <w:tcBorders>
              <w:top w:val="single" w:sz="4" w:space="0" w:color="000000"/>
              <w:left w:val="single" w:sz="4" w:space="0" w:color="000000"/>
              <w:bottom w:val="single" w:sz="4" w:space="0" w:color="000000"/>
            </w:tcBorders>
            <w:shd w:val="clear" w:color="auto" w:fill="auto"/>
          </w:tcPr>
          <w:p w14:paraId="14A6B230"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580" w:type="dxa"/>
            <w:tcBorders>
              <w:top w:val="single" w:sz="4" w:space="0" w:color="000000"/>
              <w:left w:val="single" w:sz="4" w:space="0" w:color="000000"/>
              <w:bottom w:val="single" w:sz="4" w:space="0" w:color="000000"/>
            </w:tcBorders>
            <w:shd w:val="clear" w:color="auto" w:fill="auto"/>
          </w:tcPr>
          <w:p w14:paraId="5A0E8B8A"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B0C1E7F"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0</w:t>
            </w:r>
          </w:p>
        </w:tc>
      </w:tr>
    </w:tbl>
    <w:p w14:paraId="2690BD0C" w14:textId="77777777" w:rsidR="001D7D6D" w:rsidRPr="00F0736F" w:rsidRDefault="001D7D6D" w:rsidP="001D7D6D">
      <w:pPr>
        <w:ind w:firstLine="709"/>
        <w:jc w:val="both"/>
        <w:rPr>
          <w:i/>
          <w:iCs/>
          <w:color w:val="000000" w:themeColor="text1"/>
        </w:rPr>
      </w:pPr>
      <w:r w:rsidRPr="00F0736F">
        <w:rPr>
          <w:rFonts w:ascii="Times New Roman" w:eastAsia="Calibri" w:hAnsi="Times New Roman" w:cs="Times New Roman"/>
          <w:i/>
          <w:iCs/>
          <w:color w:val="000000" w:themeColor="text1"/>
          <w:sz w:val="20"/>
          <w:szCs w:val="20"/>
        </w:rPr>
        <w:t xml:space="preserve">Источник: МЭГПР </w:t>
      </w:r>
    </w:p>
    <w:p w14:paraId="19B14622" w14:textId="77777777" w:rsidR="001D7D6D" w:rsidRPr="00F0736F" w:rsidRDefault="001D7D6D" w:rsidP="001D7D6D">
      <w:pPr>
        <w:ind w:firstLine="709"/>
        <w:jc w:val="both"/>
        <w:rPr>
          <w:rFonts w:ascii="Times New Roman" w:hAnsi="Times New Roman" w:cs="Times New Roman"/>
          <w:color w:val="000000" w:themeColor="text1"/>
          <w:sz w:val="20"/>
          <w:szCs w:val="20"/>
        </w:rPr>
      </w:pPr>
    </w:p>
    <w:p w14:paraId="40DC58D9" w14:textId="77777777" w:rsidR="001D7D6D" w:rsidRPr="00F0736F" w:rsidRDefault="001D7D6D" w:rsidP="001D7D6D">
      <w:pPr>
        <w:ind w:firstLine="709"/>
        <w:jc w:val="both"/>
        <w:rPr>
          <w:rFonts w:ascii="Times New Roman" w:hAnsi="Times New Roman" w:cs="Times New Roman"/>
          <w:color w:val="000000" w:themeColor="text1"/>
        </w:rPr>
      </w:pPr>
    </w:p>
    <w:p w14:paraId="60495625"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Общее количество перерабатывающих предприятий – 170, наибольшее количество предприятий в Восточно-Казахстанской (17), Актюбинской (16) и Западно-Казахстанской областях (15), наименьшее количество в Кызылординской (4), Мангистауской (5) областях. </w:t>
      </w:r>
    </w:p>
    <w:p w14:paraId="787AB70F"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январе 2019 года в селе Баскудык Мунайлинского района Мангистауской области запущена станция сортировки отходов мощностью 50 000 т. в год, на полигоне ТБО в городе Усть-Каменогорск Восточно-Казахстанской области установлена сортировочная линия мощностью 100 тыс. т. в год и феврале в городе Уральск ЗКО на полигоне ТБО запущен мусоросортировочный комплекс мощностью 100 тыс. т. в год.</w:t>
      </w:r>
    </w:p>
    <w:p w14:paraId="16CDB0B0" w14:textId="77777777" w:rsidR="001D7D6D" w:rsidRPr="00F0736F" w:rsidRDefault="001D7D6D" w:rsidP="001D7D6D">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 xml:space="preserve">Всемирным банком и Корейским трастовым фондом, а также Министерством окружающей среды Республики Корея ведутся работы по реализации проектов по обращению с ТБО в городах Алматы, Атырау, Кокшетау и Костанай. </w:t>
      </w:r>
    </w:p>
    <w:p w14:paraId="6C001BB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Реализуются проекты с использованием механизмов ГЧП. К примеру, в 2018 году в городе Алматы в рамках ГЧП реализован проект по строительству мусоросортировочного комплекса мощностью 550 тыс. т. в год.</w:t>
      </w:r>
    </w:p>
    <w:p w14:paraId="5B332147" w14:textId="77777777" w:rsidR="001D7D6D" w:rsidRPr="00F0736F" w:rsidRDefault="001D7D6D" w:rsidP="001D7D6D">
      <w:pP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В 2016 году в Казахстане внедрен </w:t>
      </w:r>
      <w:r w:rsidRPr="00F0736F">
        <w:rPr>
          <w:rFonts w:ascii="Times New Roman" w:eastAsia="Times New Roman" w:hAnsi="Times New Roman" w:cs="Times New Roman"/>
          <w:b/>
          <w:color w:val="000000" w:themeColor="text1"/>
        </w:rPr>
        <w:t>принцип расширенных обязательств производителей (РОП)</w:t>
      </w:r>
      <w:r w:rsidRPr="00F0736F">
        <w:rPr>
          <w:rFonts w:ascii="Times New Roman" w:eastAsia="Times New Roman" w:hAnsi="Times New Roman" w:cs="Times New Roman"/>
          <w:color w:val="000000" w:themeColor="text1"/>
        </w:rPr>
        <w:t xml:space="preserve"> и импортеров на автомобили, шины, масла и аккумуляторы, а в 2017 году – на электрооборудование и упаковку. Механизм РОП позволяет стимулировать и развивать МСБ, увеличить долю переработки отходов, вовлечь в оборот отходы пластика, полиэтилена, макулатуры, стекла, составляющих более 40% объема ТБО. В рамках РОП осуществляется компенсация затрат предприятий за сбор, транспортировку и переработку вторсырья. Благодаря инструменту расширенных обязательств увеличилось количество предприятий малого и среднего бизнеса по сортировке и переработке отходов со 115 в 2016 году до 150 в 2018 и 170 в 2019 годах. </w:t>
      </w:r>
    </w:p>
    <w:p w14:paraId="539081D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Только в 2018 году введено 14 объектов: ИП «Баян» (Акмолинская обл.); ТОО «Astana Clean Time» (г. Нур-Султан); ТОО «Green Technology Industries» (Туркестанская обл.); ТОО «Hill Corparation», ТОО «Евро кристалл» (г. Шымкент); ТОО «Green Recycle» (г. Алматы); ИП «Элемент ресурс», ИП «Уразбек», ТОО «Kostanay eco city» (Костанайская обл.); ТОО «Актау Таза кала», ТОО «Global ecosort» (Мангистауская обл.); ТОО «Кама центр» (ЗКО); ТОО «Экибастуз коммун сервис» (Павлодарская обл.); ТОО «Аксу полигон» (Павлодарская обл.).</w:t>
      </w:r>
    </w:p>
    <w:p w14:paraId="69D15E1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2018 году объем собранных и переработанных автокомпонентов составил 83 700 т., что выше объема 2017 года в 3 раза. Объем собранных и переработанных отходов упаковки составил 95 872 т.ы, что выше объема 2017 года более, чем в 2 раза. Объем собранных и переработанных отходов за 2019 год составил 38 106 т. (таблица 1.5.9.).</w:t>
      </w:r>
    </w:p>
    <w:p w14:paraId="20142593" w14:textId="77777777" w:rsidR="001D7D6D" w:rsidRPr="00F0736F" w:rsidRDefault="001D7D6D" w:rsidP="001D7D6D">
      <w:pPr>
        <w:ind w:firstLine="709"/>
        <w:jc w:val="both"/>
        <w:rPr>
          <w:rFonts w:ascii="Times New Roman" w:hAnsi="Times New Roman" w:cs="Times New Roman"/>
          <w:color w:val="000000" w:themeColor="text1"/>
        </w:rPr>
      </w:pPr>
    </w:p>
    <w:p w14:paraId="3FF2443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Таблица 1.5.9 Количество переработанных отходов в рамках реализации РОП</w:t>
      </w:r>
    </w:p>
    <w:p w14:paraId="4C305E61" w14:textId="77777777" w:rsidR="001D7D6D" w:rsidRPr="00F0736F" w:rsidRDefault="001D7D6D" w:rsidP="001D7D6D">
      <w:pPr>
        <w:ind w:firstLine="709"/>
        <w:jc w:val="both"/>
        <w:rPr>
          <w:color w:val="000000" w:themeColor="text1"/>
        </w:rPr>
      </w:pPr>
    </w:p>
    <w:tbl>
      <w:tblPr>
        <w:tblW w:w="0" w:type="auto"/>
        <w:tblInd w:w="-47" w:type="dxa"/>
        <w:tblLayout w:type="fixed"/>
        <w:tblLook w:val="0000" w:firstRow="0" w:lastRow="0" w:firstColumn="0" w:lastColumn="0" w:noHBand="0" w:noVBand="0"/>
      </w:tblPr>
      <w:tblGrid>
        <w:gridCol w:w="3960"/>
        <w:gridCol w:w="1800"/>
        <w:gridCol w:w="1995"/>
        <w:gridCol w:w="2245"/>
      </w:tblGrid>
      <w:tr w:rsidR="001D7D6D" w:rsidRPr="00F0736F" w14:paraId="75A37D4E" w14:textId="77777777" w:rsidTr="00B155C8">
        <w:tc>
          <w:tcPr>
            <w:tcW w:w="3960" w:type="dxa"/>
            <w:tcBorders>
              <w:top w:val="single" w:sz="4" w:space="0" w:color="000000"/>
              <w:left w:val="single" w:sz="4" w:space="0" w:color="000000"/>
              <w:bottom w:val="single" w:sz="4" w:space="0" w:color="000000"/>
            </w:tcBorders>
            <w:shd w:val="clear" w:color="auto" w:fill="auto"/>
          </w:tcPr>
          <w:p w14:paraId="76A18BFF" w14:textId="77777777" w:rsidR="001D7D6D" w:rsidRPr="00F0736F" w:rsidRDefault="001D7D6D" w:rsidP="00B155C8">
            <w:pPr>
              <w:snapToGrid w:val="0"/>
              <w:ind w:firstLine="47"/>
              <w:jc w:val="both"/>
              <w:rPr>
                <w:rFonts w:ascii="Times New Roman" w:hAnsi="Times New Roman" w:cs="Times New Roman"/>
                <w:color w:val="000000" w:themeColor="text1"/>
                <w:sz w:val="20"/>
                <w:szCs w:val="20"/>
              </w:rPr>
            </w:pPr>
          </w:p>
        </w:tc>
        <w:tc>
          <w:tcPr>
            <w:tcW w:w="1800" w:type="dxa"/>
            <w:tcBorders>
              <w:top w:val="single" w:sz="4" w:space="0" w:color="000000"/>
              <w:left w:val="single" w:sz="4" w:space="0" w:color="000000"/>
              <w:bottom w:val="single" w:sz="4" w:space="0" w:color="000000"/>
            </w:tcBorders>
            <w:shd w:val="clear" w:color="auto" w:fill="auto"/>
          </w:tcPr>
          <w:p w14:paraId="2E84B0E5"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2017</w:t>
            </w:r>
          </w:p>
        </w:tc>
        <w:tc>
          <w:tcPr>
            <w:tcW w:w="1995" w:type="dxa"/>
            <w:tcBorders>
              <w:top w:val="single" w:sz="4" w:space="0" w:color="000000"/>
              <w:left w:val="single" w:sz="4" w:space="0" w:color="000000"/>
              <w:bottom w:val="single" w:sz="4" w:space="0" w:color="000000"/>
            </w:tcBorders>
            <w:shd w:val="clear" w:color="auto" w:fill="auto"/>
          </w:tcPr>
          <w:p w14:paraId="33831364"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2018</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68BA0C5"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2019</w:t>
            </w:r>
          </w:p>
        </w:tc>
      </w:tr>
      <w:tr w:rsidR="001D7D6D" w:rsidRPr="00F0736F" w14:paraId="7368570D" w14:textId="77777777" w:rsidTr="00B155C8">
        <w:tc>
          <w:tcPr>
            <w:tcW w:w="3960" w:type="dxa"/>
            <w:tcBorders>
              <w:top w:val="single" w:sz="4" w:space="0" w:color="000000"/>
              <w:left w:val="single" w:sz="4" w:space="0" w:color="000000"/>
              <w:bottom w:val="single" w:sz="4" w:space="0" w:color="000000"/>
            </w:tcBorders>
            <w:shd w:val="clear" w:color="auto" w:fill="auto"/>
          </w:tcPr>
          <w:p w14:paraId="1C0B0E14" w14:textId="77777777" w:rsidR="001D7D6D" w:rsidRPr="00F0736F" w:rsidRDefault="001D7D6D" w:rsidP="00B155C8">
            <w:pPr>
              <w:snapToGrid w:val="0"/>
              <w:ind w:firstLine="47"/>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собранных и переработанных:</w:t>
            </w:r>
          </w:p>
        </w:tc>
        <w:tc>
          <w:tcPr>
            <w:tcW w:w="1800" w:type="dxa"/>
            <w:tcBorders>
              <w:top w:val="single" w:sz="4" w:space="0" w:color="000000"/>
              <w:left w:val="single" w:sz="4" w:space="0" w:color="000000"/>
              <w:bottom w:val="single" w:sz="4" w:space="0" w:color="000000"/>
            </w:tcBorders>
            <w:shd w:val="clear" w:color="auto" w:fill="auto"/>
          </w:tcPr>
          <w:p w14:paraId="6F27C8BD" w14:textId="77777777" w:rsidR="001D7D6D" w:rsidRPr="00F0736F" w:rsidRDefault="001D7D6D" w:rsidP="00B155C8">
            <w:pPr>
              <w:ind w:firstLine="47"/>
              <w:jc w:val="center"/>
              <w:rPr>
                <w:rFonts w:ascii="Times New Roman" w:hAnsi="Times New Roman" w:cs="Times New Roman"/>
                <w:color w:val="000000" w:themeColor="text1"/>
                <w:sz w:val="20"/>
                <w:szCs w:val="20"/>
              </w:rPr>
            </w:pPr>
          </w:p>
        </w:tc>
        <w:tc>
          <w:tcPr>
            <w:tcW w:w="1995" w:type="dxa"/>
            <w:tcBorders>
              <w:top w:val="single" w:sz="4" w:space="0" w:color="000000"/>
              <w:left w:val="single" w:sz="4" w:space="0" w:color="000000"/>
              <w:bottom w:val="single" w:sz="4" w:space="0" w:color="000000"/>
            </w:tcBorders>
            <w:shd w:val="clear" w:color="auto" w:fill="auto"/>
          </w:tcPr>
          <w:p w14:paraId="644CF2B2" w14:textId="77777777" w:rsidR="001D7D6D" w:rsidRPr="00F0736F" w:rsidRDefault="001D7D6D" w:rsidP="00B155C8">
            <w:pPr>
              <w:ind w:firstLine="47"/>
              <w:jc w:val="center"/>
              <w:rPr>
                <w:rFonts w:ascii="Times New Roman" w:hAnsi="Times New Roman" w:cs="Times New Roman"/>
                <w:color w:val="000000" w:themeColor="text1"/>
                <w:sz w:val="20"/>
                <w:szCs w:val="20"/>
              </w:rPr>
            </w:pP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7077033" w14:textId="77777777" w:rsidR="001D7D6D" w:rsidRPr="00F0736F" w:rsidRDefault="001D7D6D" w:rsidP="00B155C8">
            <w:pPr>
              <w:ind w:firstLine="47"/>
              <w:jc w:val="center"/>
              <w:rPr>
                <w:rFonts w:ascii="Times New Roman" w:hAnsi="Times New Roman" w:cs="Times New Roman"/>
                <w:color w:val="000000" w:themeColor="text1"/>
                <w:sz w:val="20"/>
                <w:szCs w:val="20"/>
              </w:rPr>
            </w:pPr>
          </w:p>
        </w:tc>
      </w:tr>
      <w:tr w:rsidR="001D7D6D" w:rsidRPr="00F0736F" w14:paraId="3A35D33E" w14:textId="77777777" w:rsidTr="00B155C8">
        <w:tc>
          <w:tcPr>
            <w:tcW w:w="3960" w:type="dxa"/>
            <w:tcBorders>
              <w:top w:val="single" w:sz="4" w:space="0" w:color="000000"/>
              <w:left w:val="single" w:sz="4" w:space="0" w:color="000000"/>
              <w:bottom w:val="single" w:sz="4" w:space="0" w:color="000000"/>
            </w:tcBorders>
            <w:shd w:val="clear" w:color="auto" w:fill="auto"/>
          </w:tcPr>
          <w:p w14:paraId="04E077C0"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шин</w:t>
            </w:r>
          </w:p>
        </w:tc>
        <w:tc>
          <w:tcPr>
            <w:tcW w:w="1800" w:type="dxa"/>
            <w:tcBorders>
              <w:top w:val="single" w:sz="4" w:space="0" w:color="000000"/>
              <w:left w:val="single" w:sz="4" w:space="0" w:color="000000"/>
              <w:bottom w:val="single" w:sz="4" w:space="0" w:color="000000"/>
            </w:tcBorders>
            <w:shd w:val="clear" w:color="auto" w:fill="auto"/>
          </w:tcPr>
          <w:p w14:paraId="325EB52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20 047</w:t>
            </w:r>
          </w:p>
        </w:tc>
        <w:tc>
          <w:tcPr>
            <w:tcW w:w="1995" w:type="dxa"/>
            <w:tcBorders>
              <w:top w:val="single" w:sz="4" w:space="0" w:color="000000"/>
              <w:left w:val="single" w:sz="4" w:space="0" w:color="000000"/>
              <w:bottom w:val="single" w:sz="4" w:space="0" w:color="000000"/>
            </w:tcBorders>
            <w:shd w:val="clear" w:color="auto" w:fill="auto"/>
          </w:tcPr>
          <w:p w14:paraId="7657653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27 710</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1D1D71B"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19 001</w:t>
            </w:r>
          </w:p>
        </w:tc>
      </w:tr>
      <w:tr w:rsidR="001D7D6D" w:rsidRPr="00F0736F" w14:paraId="1E961562" w14:textId="77777777" w:rsidTr="00B155C8">
        <w:tc>
          <w:tcPr>
            <w:tcW w:w="3960" w:type="dxa"/>
            <w:tcBorders>
              <w:top w:val="single" w:sz="4" w:space="0" w:color="000000"/>
              <w:left w:val="single" w:sz="4" w:space="0" w:color="000000"/>
              <w:bottom w:val="single" w:sz="4" w:space="0" w:color="000000"/>
            </w:tcBorders>
            <w:shd w:val="clear" w:color="auto" w:fill="auto"/>
          </w:tcPr>
          <w:p w14:paraId="3DF5C059"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масел</w:t>
            </w:r>
          </w:p>
        </w:tc>
        <w:tc>
          <w:tcPr>
            <w:tcW w:w="1800" w:type="dxa"/>
            <w:tcBorders>
              <w:top w:val="single" w:sz="4" w:space="0" w:color="000000"/>
              <w:left w:val="single" w:sz="4" w:space="0" w:color="000000"/>
              <w:bottom w:val="single" w:sz="4" w:space="0" w:color="000000"/>
            </w:tcBorders>
            <w:shd w:val="clear" w:color="auto" w:fill="auto"/>
          </w:tcPr>
          <w:p w14:paraId="17E0F378"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4 198</w:t>
            </w:r>
          </w:p>
        </w:tc>
        <w:tc>
          <w:tcPr>
            <w:tcW w:w="1995" w:type="dxa"/>
            <w:tcBorders>
              <w:top w:val="single" w:sz="4" w:space="0" w:color="000000"/>
              <w:left w:val="single" w:sz="4" w:space="0" w:color="000000"/>
              <w:bottom w:val="single" w:sz="4" w:space="0" w:color="000000"/>
            </w:tcBorders>
            <w:shd w:val="clear" w:color="auto" w:fill="auto"/>
          </w:tcPr>
          <w:p w14:paraId="2BE913F8"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11 252</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7AFCE9D"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16 936</w:t>
            </w:r>
          </w:p>
        </w:tc>
      </w:tr>
      <w:tr w:rsidR="001D7D6D" w:rsidRPr="00F0736F" w14:paraId="1CF742FC" w14:textId="77777777" w:rsidTr="00B155C8">
        <w:tc>
          <w:tcPr>
            <w:tcW w:w="3960" w:type="dxa"/>
            <w:tcBorders>
              <w:top w:val="single" w:sz="4" w:space="0" w:color="000000"/>
              <w:left w:val="single" w:sz="4" w:space="0" w:color="000000"/>
              <w:bottom w:val="single" w:sz="4" w:space="0" w:color="000000"/>
            </w:tcBorders>
            <w:shd w:val="clear" w:color="auto" w:fill="auto"/>
          </w:tcPr>
          <w:p w14:paraId="7EBF1ADA"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аккумуляторы</w:t>
            </w:r>
          </w:p>
        </w:tc>
        <w:tc>
          <w:tcPr>
            <w:tcW w:w="1800" w:type="dxa"/>
            <w:tcBorders>
              <w:top w:val="single" w:sz="4" w:space="0" w:color="000000"/>
              <w:left w:val="single" w:sz="4" w:space="0" w:color="000000"/>
              <w:bottom w:val="single" w:sz="4" w:space="0" w:color="000000"/>
            </w:tcBorders>
            <w:shd w:val="clear" w:color="auto" w:fill="auto"/>
          </w:tcPr>
          <w:p w14:paraId="04761DA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20 000</w:t>
            </w:r>
          </w:p>
        </w:tc>
        <w:tc>
          <w:tcPr>
            <w:tcW w:w="1995" w:type="dxa"/>
            <w:tcBorders>
              <w:top w:val="single" w:sz="4" w:space="0" w:color="000000"/>
              <w:left w:val="single" w:sz="4" w:space="0" w:color="000000"/>
              <w:bottom w:val="single" w:sz="4" w:space="0" w:color="000000"/>
            </w:tcBorders>
            <w:shd w:val="clear" w:color="auto" w:fill="auto"/>
          </w:tcPr>
          <w:p w14:paraId="425B437D"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20 000</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238ED6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10 314</w:t>
            </w:r>
          </w:p>
        </w:tc>
      </w:tr>
      <w:tr w:rsidR="001D7D6D" w:rsidRPr="00F0736F" w14:paraId="56CD5CD0" w14:textId="77777777" w:rsidTr="00B155C8">
        <w:tc>
          <w:tcPr>
            <w:tcW w:w="3960" w:type="dxa"/>
            <w:tcBorders>
              <w:top w:val="single" w:sz="4" w:space="0" w:color="000000"/>
              <w:left w:val="single" w:sz="4" w:space="0" w:color="000000"/>
              <w:bottom w:val="single" w:sz="4" w:space="0" w:color="000000"/>
            </w:tcBorders>
            <w:shd w:val="clear" w:color="auto" w:fill="auto"/>
          </w:tcPr>
          <w:p w14:paraId="54D17F7C"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антифризы</w:t>
            </w:r>
          </w:p>
        </w:tc>
        <w:tc>
          <w:tcPr>
            <w:tcW w:w="1800" w:type="dxa"/>
            <w:tcBorders>
              <w:top w:val="single" w:sz="4" w:space="0" w:color="000000"/>
              <w:left w:val="single" w:sz="4" w:space="0" w:color="000000"/>
              <w:bottom w:val="single" w:sz="4" w:space="0" w:color="000000"/>
            </w:tcBorders>
            <w:shd w:val="clear" w:color="auto" w:fill="auto"/>
          </w:tcPr>
          <w:p w14:paraId="04148BE5"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2 300</w:t>
            </w:r>
          </w:p>
        </w:tc>
        <w:tc>
          <w:tcPr>
            <w:tcW w:w="1995" w:type="dxa"/>
            <w:tcBorders>
              <w:top w:val="single" w:sz="4" w:space="0" w:color="000000"/>
              <w:left w:val="single" w:sz="4" w:space="0" w:color="000000"/>
              <w:bottom w:val="single" w:sz="4" w:space="0" w:color="000000"/>
            </w:tcBorders>
            <w:shd w:val="clear" w:color="auto" w:fill="auto"/>
          </w:tcPr>
          <w:p w14:paraId="23478D7C"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3 400</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B0B97DB"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0</w:t>
            </w:r>
          </w:p>
        </w:tc>
      </w:tr>
      <w:tr w:rsidR="001D7D6D" w:rsidRPr="00F0736F" w14:paraId="71F81C3B" w14:textId="77777777" w:rsidTr="00B155C8">
        <w:tc>
          <w:tcPr>
            <w:tcW w:w="3960" w:type="dxa"/>
            <w:tcBorders>
              <w:top w:val="single" w:sz="4" w:space="0" w:color="000000"/>
              <w:left w:val="single" w:sz="4" w:space="0" w:color="000000"/>
              <w:bottom w:val="single" w:sz="4" w:space="0" w:color="000000"/>
            </w:tcBorders>
            <w:shd w:val="clear" w:color="auto" w:fill="auto"/>
          </w:tcPr>
          <w:p w14:paraId="1F6E7081"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отходы стекол</w:t>
            </w:r>
          </w:p>
        </w:tc>
        <w:tc>
          <w:tcPr>
            <w:tcW w:w="1800" w:type="dxa"/>
            <w:tcBorders>
              <w:top w:val="single" w:sz="4" w:space="0" w:color="000000"/>
              <w:left w:val="single" w:sz="4" w:space="0" w:color="000000"/>
              <w:bottom w:val="single" w:sz="4" w:space="0" w:color="000000"/>
            </w:tcBorders>
            <w:shd w:val="clear" w:color="auto" w:fill="auto"/>
          </w:tcPr>
          <w:p w14:paraId="6ADECFA4"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5 634</w:t>
            </w:r>
          </w:p>
        </w:tc>
        <w:tc>
          <w:tcPr>
            <w:tcW w:w="1995" w:type="dxa"/>
            <w:tcBorders>
              <w:top w:val="single" w:sz="4" w:space="0" w:color="000000"/>
              <w:left w:val="single" w:sz="4" w:space="0" w:color="000000"/>
              <w:bottom w:val="single" w:sz="4" w:space="0" w:color="000000"/>
            </w:tcBorders>
            <w:shd w:val="clear" w:color="auto" w:fill="auto"/>
          </w:tcPr>
          <w:p w14:paraId="00D0AB1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22 772</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03F284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17 854</w:t>
            </w:r>
          </w:p>
        </w:tc>
      </w:tr>
      <w:tr w:rsidR="001D7D6D" w:rsidRPr="00F0736F" w14:paraId="38F5BDE0" w14:textId="77777777" w:rsidTr="00B155C8">
        <w:tc>
          <w:tcPr>
            <w:tcW w:w="3960" w:type="dxa"/>
            <w:tcBorders>
              <w:top w:val="single" w:sz="4" w:space="0" w:color="000000"/>
              <w:left w:val="single" w:sz="4" w:space="0" w:color="000000"/>
              <w:bottom w:val="single" w:sz="4" w:space="0" w:color="000000"/>
            </w:tcBorders>
            <w:shd w:val="clear" w:color="auto" w:fill="auto"/>
          </w:tcPr>
          <w:p w14:paraId="565FE7D6"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Отходы платмасс</w:t>
            </w:r>
          </w:p>
        </w:tc>
        <w:tc>
          <w:tcPr>
            <w:tcW w:w="1800" w:type="dxa"/>
            <w:tcBorders>
              <w:top w:val="single" w:sz="4" w:space="0" w:color="000000"/>
              <w:left w:val="single" w:sz="4" w:space="0" w:color="000000"/>
              <w:bottom w:val="single" w:sz="4" w:space="0" w:color="000000"/>
            </w:tcBorders>
            <w:shd w:val="clear" w:color="auto" w:fill="auto"/>
          </w:tcPr>
          <w:p w14:paraId="384DE5DE"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6 066</w:t>
            </w:r>
          </w:p>
        </w:tc>
        <w:tc>
          <w:tcPr>
            <w:tcW w:w="1995" w:type="dxa"/>
            <w:tcBorders>
              <w:top w:val="single" w:sz="4" w:space="0" w:color="000000"/>
              <w:left w:val="single" w:sz="4" w:space="0" w:color="000000"/>
              <w:bottom w:val="single" w:sz="4" w:space="0" w:color="000000"/>
            </w:tcBorders>
            <w:shd w:val="clear" w:color="auto" w:fill="auto"/>
          </w:tcPr>
          <w:p w14:paraId="1F78496C"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8 995</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4A56A8E"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8 456</w:t>
            </w:r>
          </w:p>
        </w:tc>
      </w:tr>
      <w:tr w:rsidR="001D7D6D" w:rsidRPr="00F0736F" w14:paraId="12E08EE4" w14:textId="77777777" w:rsidTr="00B155C8">
        <w:tc>
          <w:tcPr>
            <w:tcW w:w="3960" w:type="dxa"/>
            <w:tcBorders>
              <w:top w:val="single" w:sz="4" w:space="0" w:color="000000"/>
              <w:left w:val="single" w:sz="4" w:space="0" w:color="000000"/>
              <w:bottom w:val="single" w:sz="4" w:space="0" w:color="000000"/>
            </w:tcBorders>
            <w:shd w:val="clear" w:color="auto" w:fill="auto"/>
          </w:tcPr>
          <w:p w14:paraId="4682109E"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отходы бумаги и картона</w:t>
            </w:r>
          </w:p>
        </w:tc>
        <w:tc>
          <w:tcPr>
            <w:tcW w:w="1800" w:type="dxa"/>
            <w:tcBorders>
              <w:top w:val="single" w:sz="4" w:space="0" w:color="000000"/>
              <w:left w:val="single" w:sz="4" w:space="0" w:color="000000"/>
              <w:bottom w:val="single" w:sz="4" w:space="0" w:color="000000"/>
            </w:tcBorders>
            <w:shd w:val="clear" w:color="auto" w:fill="auto"/>
          </w:tcPr>
          <w:p w14:paraId="06C459DD"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45 025</w:t>
            </w:r>
          </w:p>
        </w:tc>
        <w:tc>
          <w:tcPr>
            <w:tcW w:w="1995" w:type="dxa"/>
            <w:tcBorders>
              <w:top w:val="single" w:sz="4" w:space="0" w:color="000000"/>
              <w:left w:val="single" w:sz="4" w:space="0" w:color="000000"/>
              <w:bottom w:val="single" w:sz="4" w:space="0" w:color="000000"/>
            </w:tcBorders>
            <w:shd w:val="clear" w:color="auto" w:fill="auto"/>
          </w:tcPr>
          <w:p w14:paraId="35B82C4E"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31 595</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5888EF0"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10 828</w:t>
            </w:r>
          </w:p>
        </w:tc>
      </w:tr>
      <w:tr w:rsidR="001D7D6D" w:rsidRPr="00F0736F" w14:paraId="6BAD3BF3" w14:textId="77777777" w:rsidTr="00B155C8">
        <w:tc>
          <w:tcPr>
            <w:tcW w:w="3960" w:type="dxa"/>
            <w:tcBorders>
              <w:top w:val="single" w:sz="4" w:space="0" w:color="000000"/>
              <w:left w:val="single" w:sz="4" w:space="0" w:color="000000"/>
              <w:bottom w:val="single" w:sz="4" w:space="0" w:color="000000"/>
            </w:tcBorders>
            <w:shd w:val="clear" w:color="auto" w:fill="auto"/>
          </w:tcPr>
          <w:p w14:paraId="4BD6847D"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Объем собранной многооборотной стеклянной тары, млн. штук</w:t>
            </w:r>
          </w:p>
        </w:tc>
        <w:tc>
          <w:tcPr>
            <w:tcW w:w="1800" w:type="dxa"/>
            <w:tcBorders>
              <w:top w:val="single" w:sz="4" w:space="0" w:color="000000"/>
              <w:left w:val="single" w:sz="4" w:space="0" w:color="000000"/>
              <w:bottom w:val="single" w:sz="4" w:space="0" w:color="000000"/>
            </w:tcBorders>
            <w:shd w:val="clear" w:color="auto" w:fill="auto"/>
          </w:tcPr>
          <w:p w14:paraId="7FA58A12"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4 334</w:t>
            </w:r>
          </w:p>
        </w:tc>
        <w:tc>
          <w:tcPr>
            <w:tcW w:w="1995" w:type="dxa"/>
            <w:tcBorders>
              <w:top w:val="single" w:sz="4" w:space="0" w:color="000000"/>
              <w:left w:val="single" w:sz="4" w:space="0" w:color="000000"/>
              <w:bottom w:val="single" w:sz="4" w:space="0" w:color="000000"/>
            </w:tcBorders>
            <w:shd w:val="clear" w:color="auto" w:fill="auto"/>
          </w:tcPr>
          <w:p w14:paraId="0CAECC81"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3 621</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8E81CFF"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789</w:t>
            </w:r>
          </w:p>
        </w:tc>
      </w:tr>
      <w:tr w:rsidR="001D7D6D" w:rsidRPr="00F0736F" w14:paraId="50D96FB3" w14:textId="77777777" w:rsidTr="00B155C8">
        <w:tc>
          <w:tcPr>
            <w:tcW w:w="3960" w:type="dxa"/>
            <w:tcBorders>
              <w:top w:val="single" w:sz="4" w:space="0" w:color="000000"/>
              <w:left w:val="single" w:sz="4" w:space="0" w:color="000000"/>
              <w:bottom w:val="single" w:sz="4" w:space="0" w:color="000000"/>
            </w:tcBorders>
            <w:shd w:val="clear" w:color="auto" w:fill="auto"/>
          </w:tcPr>
          <w:p w14:paraId="6FE1C6E5" w14:textId="77777777" w:rsidR="001D7D6D" w:rsidRPr="00F0736F" w:rsidRDefault="001D7D6D" w:rsidP="00B155C8">
            <w:pPr>
              <w:ind w:firstLine="47"/>
              <w:jc w:val="both"/>
              <w:rPr>
                <w:color w:val="000000" w:themeColor="text1"/>
              </w:rPr>
            </w:pPr>
            <w:r w:rsidRPr="00F0736F">
              <w:rPr>
                <w:rFonts w:ascii="Times New Roman" w:hAnsi="Times New Roman" w:cs="Times New Roman"/>
                <w:color w:val="000000" w:themeColor="text1"/>
                <w:sz w:val="20"/>
                <w:szCs w:val="20"/>
              </w:rPr>
              <w:t>Электронные отходы, т.</w:t>
            </w:r>
          </w:p>
        </w:tc>
        <w:tc>
          <w:tcPr>
            <w:tcW w:w="1800" w:type="dxa"/>
            <w:tcBorders>
              <w:top w:val="single" w:sz="4" w:space="0" w:color="000000"/>
              <w:left w:val="single" w:sz="4" w:space="0" w:color="000000"/>
              <w:bottom w:val="single" w:sz="4" w:space="0" w:color="000000"/>
            </w:tcBorders>
            <w:shd w:val="clear" w:color="auto" w:fill="auto"/>
          </w:tcPr>
          <w:p w14:paraId="43983581"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2 461</w:t>
            </w:r>
          </w:p>
        </w:tc>
        <w:tc>
          <w:tcPr>
            <w:tcW w:w="1995" w:type="dxa"/>
            <w:tcBorders>
              <w:top w:val="single" w:sz="4" w:space="0" w:color="000000"/>
              <w:left w:val="single" w:sz="4" w:space="0" w:color="000000"/>
              <w:bottom w:val="single" w:sz="4" w:space="0" w:color="000000"/>
            </w:tcBorders>
            <w:shd w:val="clear" w:color="auto" w:fill="auto"/>
          </w:tcPr>
          <w:p w14:paraId="41496882"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4 666</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83B2A7B" w14:textId="77777777" w:rsidR="001D7D6D" w:rsidRPr="00F0736F" w:rsidRDefault="001D7D6D" w:rsidP="00B155C8">
            <w:pPr>
              <w:ind w:firstLine="47"/>
              <w:jc w:val="center"/>
              <w:rPr>
                <w:color w:val="000000" w:themeColor="text1"/>
              </w:rPr>
            </w:pPr>
            <w:r w:rsidRPr="00F0736F">
              <w:rPr>
                <w:rFonts w:ascii="Times New Roman" w:hAnsi="Times New Roman" w:cs="Times New Roman"/>
                <w:color w:val="000000" w:themeColor="text1"/>
                <w:sz w:val="20"/>
                <w:szCs w:val="20"/>
              </w:rPr>
              <w:t>0</w:t>
            </w:r>
          </w:p>
        </w:tc>
      </w:tr>
    </w:tbl>
    <w:p w14:paraId="409EF6A7" w14:textId="77777777" w:rsidR="001D7D6D" w:rsidRPr="00F0736F" w:rsidRDefault="001D7D6D" w:rsidP="001D7D6D">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2D69293B" w14:textId="77777777" w:rsidR="001D7D6D" w:rsidRPr="00F0736F" w:rsidRDefault="001D7D6D" w:rsidP="001D7D6D">
      <w:pPr>
        <w:ind w:firstLine="709"/>
        <w:jc w:val="both"/>
        <w:rPr>
          <w:rFonts w:ascii="Times New Roman" w:hAnsi="Times New Roman" w:cs="Times New Roman"/>
          <w:color w:val="000000" w:themeColor="text1"/>
        </w:rPr>
      </w:pPr>
    </w:p>
    <w:p w14:paraId="365F77A1"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Утилизация старых автомобилей осуществляется на заводе в городе Караганда с мощностью 50 тыс. автомобилей в год. Производственный процесс завода включает полный цикл утилизации старых автомобилей, начиная от их приемки/доставки на завод до получения вторичного сырья и утилизации в виде сплавов черных и цветных металлов, синтеза газа.</w:t>
      </w:r>
    </w:p>
    <w:p w14:paraId="077D220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С начала действия (21 ноября 2016 года) программы по приему старых автомобилей у населения принято 124,9 тыс. ед. старых автомобилей, что позволило стимулировать бизнес и способствовало появлению новых предприятий.</w:t>
      </w:r>
    </w:p>
    <w:p w14:paraId="668E0A8D" w14:textId="77777777" w:rsidR="001D7D6D" w:rsidRPr="00F0736F" w:rsidRDefault="001D7D6D" w:rsidP="001D7D6D">
      <w:pPr>
        <w:ind w:firstLine="709"/>
        <w:jc w:val="both"/>
        <w:rPr>
          <w:rFonts w:ascii="Times New Roman" w:hAnsi="Times New Roman" w:cs="Times New Roman"/>
          <w:b/>
          <w:i/>
          <w:color w:val="000000" w:themeColor="text1"/>
          <w:u w:val="single"/>
        </w:rPr>
      </w:pPr>
      <w:r w:rsidRPr="00F0736F">
        <w:rPr>
          <w:rFonts w:ascii="Times New Roman" w:hAnsi="Times New Roman" w:cs="Times New Roman"/>
          <w:b/>
          <w:i/>
          <w:color w:val="000000" w:themeColor="text1"/>
          <w:u w:val="single"/>
        </w:rPr>
        <w:t>Меры государственной поддержки сектора переработки отходов</w:t>
      </w:r>
    </w:p>
    <w:p w14:paraId="7237B80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По данным Министерства национальной экономики РК, в рамках Единой программы поддержки и развития бизнеса «Дорожная карта бизнеса 2020» предусмотрен инструмент </w:t>
      </w:r>
      <w:r w:rsidRPr="00F0736F">
        <w:rPr>
          <w:rFonts w:ascii="Times New Roman" w:hAnsi="Times New Roman" w:cs="Times New Roman"/>
          <w:bCs/>
          <w:color w:val="000000" w:themeColor="text1"/>
        </w:rPr>
        <w:t>государственной поддержки</w:t>
      </w:r>
      <w:r w:rsidRPr="00F0736F">
        <w:rPr>
          <w:rFonts w:ascii="Times New Roman" w:hAnsi="Times New Roman" w:cs="Times New Roman"/>
          <w:color w:val="000000" w:themeColor="text1"/>
        </w:rPr>
        <w:t xml:space="preserve"> - выдача государственных грантов. Согласно данной Программе, государственные гранты предоставляются субъектам малого предпринимательства, осуществляющим деятельность в приоритетных секторах экономики, согласно приложению 1 Программы, в том числе деятельность по сбору, обработке и удалению отходов, утилизации отходов, а также рекультивации и прочие услуги в области удаления отходов </w:t>
      </w:r>
      <w:r w:rsidRPr="00F0736F">
        <w:rPr>
          <w:rFonts w:ascii="Times New Roman" w:hAnsi="Times New Roman" w:cs="Times New Roman"/>
          <w:iCs/>
          <w:color w:val="000000" w:themeColor="text1"/>
        </w:rPr>
        <w:t>(ОКЭД 38 и 39)</w:t>
      </w:r>
      <w:r w:rsidRPr="00F0736F">
        <w:rPr>
          <w:rFonts w:ascii="Times New Roman" w:hAnsi="Times New Roman" w:cs="Times New Roman"/>
          <w:color w:val="000000" w:themeColor="text1"/>
        </w:rPr>
        <w:t>.</w:t>
      </w:r>
    </w:p>
    <w:p w14:paraId="5E9C11ED"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Также в рамках Программы предусмотрены такие меры государственной поддержки, как субсидирование ставки вознаграждения и частичное гарантирование по кредитам банков. </w:t>
      </w:r>
    </w:p>
    <w:p w14:paraId="2468973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Предпринимательским кодексом Республики Казахстан от 29 октября 2015 года (далее – Кодекс) предусмотрены инвестиционные преференции юридическим лицам Республики Казахстан при осуществлении инвестиций в фиксированные активы для создания новых, расширения и обновления действующих производств.</w:t>
      </w:r>
      <w:r w:rsidRPr="00F0736F">
        <w:rPr>
          <w:rFonts w:ascii="Times New Roman" w:hAnsi="Times New Roman" w:cs="Times New Roman"/>
          <w:color w:val="000000" w:themeColor="text1"/>
        </w:rPr>
        <w:tab/>
      </w:r>
    </w:p>
    <w:p w14:paraId="5B7E55A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Согласно статье 286 Кодекса инвестиционные преференции предоставляются при реализации юридическим лицом инвестиционного проекта по видам деятельности, включенным в Перечень приоритетных видов деятельности, утвержденный постановлением Правительства Республики Казахстан от 14 января 2016 года № 13 (далее - Перечень).</w:t>
      </w:r>
    </w:p>
    <w:p w14:paraId="18A8A96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Перечне, согласно общему классификатору экономической деятельности, содержатся следующие виды деятельности по классам: 38.12 «Сбор опасных отходов», 38.21 «Обработка и удаление неопасных отходов», 38.32 «Утилизация отсортированных материалов, за исключением переработки отходов и лома черных и цветных металлов».</w:t>
      </w:r>
    </w:p>
    <w:p w14:paraId="1976D38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указанным видам деятельности могут быть предоставлены следующие виды инвестиционных преференций:</w:t>
      </w:r>
    </w:p>
    <w:p w14:paraId="7E9E452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освобождение от обложения таможенными пошлинами и налогом на добавленную стоимость на импорт;</w:t>
      </w:r>
    </w:p>
    <w:p w14:paraId="18CFB1D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государственные натурные гранты.</w:t>
      </w:r>
    </w:p>
    <w:p w14:paraId="72E6B32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Порядок и условия предоставления инвестиционных преференций определены статьями 285 и 286 Кодекса.</w:t>
      </w:r>
    </w:p>
    <w:p w14:paraId="17742A3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lang w:val="kk-KZ"/>
        </w:rPr>
        <w:t xml:space="preserve">Также в рамках </w:t>
      </w:r>
      <w:r w:rsidRPr="00F0736F">
        <w:rPr>
          <w:rFonts w:ascii="Times New Roman" w:hAnsi="Times New Roman" w:cs="Times New Roman"/>
          <w:color w:val="000000" w:themeColor="text1"/>
        </w:rPr>
        <w:t>Государственной программы развития агропромышленного комплекса Республики Казахстан на 2017 – 2021 годы</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предусмотрено</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инвестиционное </w:t>
      </w:r>
      <w:r w:rsidRPr="00F0736F">
        <w:rPr>
          <w:rFonts w:ascii="Times New Roman" w:hAnsi="Times New Roman" w:cs="Times New Roman"/>
          <w:bCs/>
          <w:color w:val="000000" w:themeColor="text1"/>
        </w:rPr>
        <w:t>субсидирование</w:t>
      </w:r>
      <w:r w:rsidRPr="00F0736F">
        <w:rPr>
          <w:rFonts w:ascii="Times New Roman" w:hAnsi="Times New Roman" w:cs="Times New Roman"/>
          <w:bCs/>
          <w:color w:val="000000" w:themeColor="text1"/>
          <w:lang w:val="kk-KZ"/>
        </w:rPr>
        <w:t xml:space="preserve"> </w:t>
      </w:r>
      <w:r w:rsidRPr="00F0736F">
        <w:rPr>
          <w:rFonts w:ascii="Times New Roman" w:hAnsi="Times New Roman" w:cs="Times New Roman"/>
          <w:bCs/>
          <w:color w:val="000000" w:themeColor="text1"/>
        </w:rPr>
        <w:t>товаропроизводителей</w:t>
      </w:r>
      <w:r w:rsidRPr="00F0736F">
        <w:rPr>
          <w:rFonts w:ascii="Times New Roman" w:hAnsi="Times New Roman" w:cs="Times New Roman"/>
          <w:bCs/>
          <w:color w:val="000000" w:themeColor="text1"/>
          <w:lang w:val="kk-KZ"/>
        </w:rPr>
        <w:t xml:space="preserve"> </w:t>
      </w:r>
      <w:r w:rsidRPr="00F0736F">
        <w:rPr>
          <w:rFonts w:ascii="Times New Roman" w:hAnsi="Times New Roman" w:cs="Times New Roman"/>
          <w:color w:val="000000" w:themeColor="text1"/>
        </w:rPr>
        <w:t>по возмещению части расходов, понесенных</w:t>
      </w:r>
      <w:r w:rsidRPr="00F0736F">
        <w:rPr>
          <w:rFonts w:ascii="Times New Roman" w:hAnsi="Times New Roman" w:cs="Times New Roman"/>
          <w:color w:val="000000" w:themeColor="text1"/>
          <w:lang w:val="kk-KZ"/>
        </w:rPr>
        <w:t xml:space="preserve"> при </w:t>
      </w:r>
      <w:r w:rsidRPr="00F0736F">
        <w:rPr>
          <w:rFonts w:ascii="Times New Roman" w:hAnsi="Times New Roman" w:cs="Times New Roman"/>
          <w:color w:val="000000" w:themeColor="text1"/>
        </w:rPr>
        <w:t>приобретении оборудования</w:t>
      </w:r>
      <w:r w:rsidRPr="00F0736F">
        <w:rPr>
          <w:rFonts w:ascii="Times New Roman" w:hAnsi="Times New Roman" w:cs="Times New Roman"/>
          <w:color w:val="000000" w:themeColor="text1"/>
          <w:lang w:val="kk-KZ"/>
        </w:rPr>
        <w:t xml:space="preserve"> по </w:t>
      </w:r>
      <w:r w:rsidRPr="00F0736F">
        <w:rPr>
          <w:rFonts w:ascii="Times New Roman" w:hAnsi="Times New Roman" w:cs="Times New Roman"/>
          <w:color w:val="000000" w:themeColor="text1"/>
        </w:rPr>
        <w:t>переработке</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отходов во вновь сооружаемых свиноводческих</w:t>
      </w:r>
      <w:r w:rsidRPr="00F0736F">
        <w:rPr>
          <w:rFonts w:ascii="Times New Roman" w:hAnsi="Times New Roman" w:cs="Times New Roman"/>
          <w:color w:val="000000" w:themeColor="text1"/>
          <w:lang w:val="kk-KZ"/>
        </w:rPr>
        <w:t xml:space="preserve"> и </w:t>
      </w:r>
      <w:r w:rsidRPr="00F0736F">
        <w:rPr>
          <w:rFonts w:ascii="Times New Roman" w:hAnsi="Times New Roman" w:cs="Times New Roman"/>
          <w:color w:val="000000" w:themeColor="text1"/>
        </w:rPr>
        <w:t>птицеводческих</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хозяйствах</w:t>
      </w:r>
      <w:r w:rsidRPr="00F0736F">
        <w:rPr>
          <w:rFonts w:ascii="Times New Roman" w:hAnsi="Times New Roman" w:cs="Times New Roman"/>
          <w:color w:val="000000" w:themeColor="text1"/>
          <w:lang w:val="kk-KZ"/>
        </w:rPr>
        <w:t>. Однако данная программа полностью не охватывает действующие</w:t>
      </w:r>
      <w:r w:rsidRPr="00F0736F">
        <w:rPr>
          <w:rFonts w:ascii="Times New Roman" w:hAnsi="Times New Roman" w:cs="Times New Roman"/>
          <w:color w:val="000000" w:themeColor="text1"/>
        </w:rPr>
        <w:t xml:space="preserve"> животноводчески</w:t>
      </w:r>
      <w:r w:rsidRPr="00F0736F">
        <w:rPr>
          <w:rFonts w:ascii="Times New Roman" w:hAnsi="Times New Roman" w:cs="Times New Roman"/>
          <w:color w:val="000000" w:themeColor="text1"/>
          <w:lang w:val="kk-KZ"/>
        </w:rPr>
        <w:t>е</w:t>
      </w:r>
      <w:r w:rsidRPr="00F0736F">
        <w:rPr>
          <w:rFonts w:ascii="Times New Roman" w:hAnsi="Times New Roman" w:cs="Times New Roman"/>
          <w:color w:val="000000" w:themeColor="text1"/>
        </w:rPr>
        <w:t xml:space="preserve"> комплекс</w:t>
      </w:r>
      <w:r w:rsidRPr="00F0736F">
        <w:rPr>
          <w:rFonts w:ascii="Times New Roman" w:hAnsi="Times New Roman" w:cs="Times New Roman"/>
          <w:color w:val="000000" w:themeColor="text1"/>
          <w:lang w:val="kk-KZ"/>
        </w:rPr>
        <w:t>ы, многие из которых</w:t>
      </w:r>
      <w:r w:rsidRPr="00F0736F">
        <w:rPr>
          <w:rFonts w:ascii="Times New Roman" w:hAnsi="Times New Roman" w:cs="Times New Roman"/>
          <w:color w:val="000000" w:themeColor="text1"/>
        </w:rPr>
        <w:t xml:space="preserve"> введены в эксплуатацию 25-30 лет назад. Очистное оборудование с тех пор ни разу не модернизировалось, хотя его необходимо капитально модернизировать каждые 10-15 лет по причине износа. </w:t>
      </w:r>
      <w:r w:rsidRPr="00F0736F">
        <w:rPr>
          <w:rFonts w:ascii="Times New Roman" w:hAnsi="Times New Roman" w:cs="Times New Roman"/>
          <w:color w:val="000000" w:themeColor="text1"/>
          <w:lang w:val="kk-KZ"/>
        </w:rPr>
        <w:t>В этой связи, для решения данной проблемы потребуются затраты из государственного бюджета.</w:t>
      </w:r>
    </w:p>
    <w:p w14:paraId="5E84B023"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Налоговым законодательством РК предусмотрены </w:t>
      </w:r>
      <w:r w:rsidRPr="00F0736F">
        <w:rPr>
          <w:rFonts w:ascii="Times New Roman" w:eastAsia="Times New Roman" w:hAnsi="Times New Roman" w:cs="Times New Roman"/>
          <w:bCs/>
          <w:color w:val="000000" w:themeColor="text1"/>
          <w:lang w:eastAsia="ru-RU"/>
        </w:rPr>
        <w:t>налоговые преференции</w:t>
      </w:r>
      <w:r w:rsidRPr="00F0736F">
        <w:rPr>
          <w:rFonts w:ascii="Times New Roman" w:eastAsia="Times New Roman" w:hAnsi="Times New Roman" w:cs="Times New Roman"/>
          <w:color w:val="000000" w:themeColor="text1"/>
          <w:lang w:eastAsia="ru-RU"/>
        </w:rPr>
        <w:t xml:space="preserve"> юридическим лицам, реализующим инвестиционные приоритетные проекты, в рамках которых предусмотрены следующие льготы:</w:t>
      </w:r>
    </w:p>
    <w:p w14:paraId="236609F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освобождение от корпоративного подоходного налога на 10 лет;</w:t>
      </w:r>
    </w:p>
    <w:p w14:paraId="1C999ECE"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освобождение от земельного налога на 10 лет;</w:t>
      </w:r>
    </w:p>
    <w:p w14:paraId="4C6DF64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освобождение от налога на имущество на 8 лет.</w:t>
      </w:r>
    </w:p>
    <w:p w14:paraId="318E4A3A"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Согласно </w:t>
      </w:r>
      <w:r w:rsidRPr="00F0736F">
        <w:rPr>
          <w:rFonts w:ascii="Times New Roman" w:eastAsia="Times New Roman" w:hAnsi="Times New Roman" w:cs="Times New Roman"/>
          <w:color w:val="000000" w:themeColor="text1"/>
          <w:lang w:val="kk-KZ" w:eastAsia="ru-RU"/>
        </w:rPr>
        <w:t>п</w:t>
      </w:r>
      <w:r w:rsidRPr="00F0736F">
        <w:rPr>
          <w:rFonts w:ascii="Times New Roman" w:eastAsia="Times New Roman" w:hAnsi="Times New Roman" w:cs="Times New Roman"/>
          <w:color w:val="000000" w:themeColor="text1"/>
          <w:lang w:eastAsia="ru-RU"/>
        </w:rPr>
        <w:t xml:space="preserve">остановлению Правительства Республики Казахстан от </w:t>
      </w:r>
      <w:r w:rsidRPr="00F0736F">
        <w:rPr>
          <w:rFonts w:ascii="Times New Roman" w:eastAsia="Times New Roman" w:hAnsi="Times New Roman" w:cs="Times New Roman"/>
          <w:color w:val="000000" w:themeColor="text1"/>
          <w:lang w:val="kk-KZ" w:eastAsia="ru-RU"/>
        </w:rPr>
        <w:t>25 августа</w:t>
      </w:r>
      <w:r w:rsidRPr="00F0736F">
        <w:rPr>
          <w:rFonts w:ascii="Times New Roman" w:eastAsia="Times New Roman" w:hAnsi="Times New Roman" w:cs="Times New Roman"/>
          <w:color w:val="000000" w:themeColor="text1"/>
          <w:lang w:eastAsia="ru-RU"/>
        </w:rPr>
        <w:t xml:space="preserve"> 201</w:t>
      </w:r>
      <w:r w:rsidRPr="00F0736F">
        <w:rPr>
          <w:rFonts w:ascii="Times New Roman" w:eastAsia="Times New Roman" w:hAnsi="Times New Roman" w:cs="Times New Roman"/>
          <w:color w:val="000000" w:themeColor="text1"/>
          <w:lang w:val="kk-KZ" w:eastAsia="ru-RU"/>
        </w:rPr>
        <w:t>8</w:t>
      </w:r>
      <w:r w:rsidRPr="00F0736F">
        <w:rPr>
          <w:rFonts w:ascii="Times New Roman" w:eastAsia="Times New Roman" w:hAnsi="Times New Roman" w:cs="Times New Roman"/>
          <w:color w:val="000000" w:themeColor="text1"/>
          <w:lang w:eastAsia="ru-RU"/>
        </w:rPr>
        <w:t xml:space="preserve"> года № </w:t>
      </w:r>
      <w:r w:rsidRPr="00F0736F">
        <w:rPr>
          <w:rFonts w:ascii="Times New Roman" w:eastAsia="Times New Roman" w:hAnsi="Times New Roman" w:cs="Times New Roman"/>
          <w:color w:val="000000" w:themeColor="text1"/>
          <w:lang w:val="kk-KZ" w:eastAsia="ru-RU"/>
        </w:rPr>
        <w:t>522 «Об утверждении Государственной программы поддержки и развития бизнеса «Дорожная карта бизнеса-2020»</w:t>
      </w:r>
      <w:r w:rsidRPr="00F0736F">
        <w:rPr>
          <w:rFonts w:ascii="Times New Roman" w:eastAsia="Times New Roman" w:hAnsi="Times New Roman" w:cs="Times New Roman"/>
          <w:color w:val="000000" w:themeColor="text1"/>
          <w:lang w:eastAsia="ru-RU"/>
        </w:rPr>
        <w:t xml:space="preserve">, сбор, обработка, удаление и утилизация отходов отнесены к приоритетным секторам экономики для потенциальных участников Программы. </w:t>
      </w:r>
    </w:p>
    <w:p w14:paraId="3AC268A4"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соответствии с пунктом 94 Программы, участниками второго направления Программы являются эффективные предприниматели, реализующие и (или) планирующие реализовать собственные проекты в приоритетных секторах экономики, указанных в приложении 1 к Программе.</w:t>
      </w:r>
    </w:p>
    <w:p w14:paraId="4F351FB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рамках второго направления Программы предусмотрены меры государственной поддержки в виде субсидирования ставки вознаграждения по кредитам/договорам финансового лизинга банков/банка развития/лизинговых компаний, частичного гарантирования по кредитам банков/банка развития, развитие производственной (индустриальной) инфраструктуры, создания индустриальных зон, долгосрочного лизингового финансирования.</w:t>
      </w:r>
    </w:p>
    <w:p w14:paraId="440D810C"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Кроме того, Европейским Инвестиционным Банком с Фондом «Даму» подписан рамочный договор на 200 млн. евро для долгосрочного финансирования в Казахстане «зеленых» проектов с возможностью финансирования проектов как государственных предприятий, так и частных (без государственной гарантии на условиях Фонда «Даму»), от 50 тыс. долл. США. </w:t>
      </w:r>
    </w:p>
    <w:p w14:paraId="551C889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Возможна реализация проектов, в том числе по отходам в рамках государственного частного партнерства, разработка отдельной программы для малых проектов. </w:t>
      </w:r>
    </w:p>
    <w:p w14:paraId="42B103E3" w14:textId="77777777" w:rsidR="001D7D6D" w:rsidRPr="00F0736F" w:rsidRDefault="001D7D6D" w:rsidP="001D7D6D">
      <w:pPr>
        <w:ind w:firstLine="709"/>
        <w:jc w:val="both"/>
        <w:rPr>
          <w:rFonts w:ascii="Times New Roman" w:hAnsi="Times New Roman" w:cs="Times New Roman"/>
          <w:color w:val="000000" w:themeColor="text1"/>
        </w:rPr>
      </w:pPr>
    </w:p>
    <w:p w14:paraId="1BEEFF0C" w14:textId="77777777" w:rsidR="001D7D6D" w:rsidRPr="00F0736F" w:rsidRDefault="001D7D6D" w:rsidP="001D7D6D">
      <w:pPr>
        <w:ind w:firstLine="709"/>
        <w:jc w:val="both"/>
        <w:rPr>
          <w:rFonts w:ascii="Times New Roman" w:hAnsi="Times New Roman" w:cs="Times New Roman"/>
          <w:i/>
          <w:color w:val="000000" w:themeColor="text1"/>
          <w:u w:val="single"/>
        </w:rPr>
      </w:pPr>
      <w:r w:rsidRPr="00F0736F">
        <w:rPr>
          <w:rFonts w:ascii="Times New Roman" w:hAnsi="Times New Roman" w:cs="Times New Roman"/>
          <w:b/>
          <w:bCs/>
          <w:i/>
          <w:color w:val="000000" w:themeColor="text1"/>
          <w:u w:val="single"/>
        </w:rPr>
        <w:t>Международное сотрудничество</w:t>
      </w:r>
      <w:r w:rsidRPr="00F0736F">
        <w:rPr>
          <w:rFonts w:ascii="Times New Roman" w:hAnsi="Times New Roman" w:cs="Times New Roman"/>
          <w:i/>
          <w:color w:val="000000" w:themeColor="text1"/>
          <w:u w:val="single"/>
        </w:rPr>
        <w:t xml:space="preserve"> </w:t>
      </w:r>
      <w:r w:rsidRPr="00F0736F">
        <w:rPr>
          <w:rFonts w:ascii="Times New Roman" w:hAnsi="Times New Roman" w:cs="Times New Roman"/>
          <w:b/>
          <w:i/>
          <w:color w:val="000000" w:themeColor="text1"/>
          <w:u w:val="single"/>
        </w:rPr>
        <w:t>в области обращения с отходами</w:t>
      </w:r>
    </w:p>
    <w:p w14:paraId="3ABB323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В Казахстане осуществляется международное сотрудничество в области обращения с отходами. Так, в настоящее время ПРООН, ЮНЕП и Правительство РК осуществляют проект «Укрепление национального потенциала Республики Казахстан в части регулирования химических веществ путем обеспечения соблюдения обязательств по международным многосторонним природоохранным соглашениям» (2019-2021). Целью проекта является поддержка усилий страны по укреплению потенциала для реализации комплексного подхода к регулированию химических веществ на национальном уровне, с целью эффективного выполнения обязательств по Стокгольмской, Базельской и Роттердамской конвенциям, СПРМХВ и содействия ратификации Минаматской конвенции по ртути. </w:t>
      </w:r>
    </w:p>
    <w:p w14:paraId="3A8182E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Также в 2015-2018 годах был реализован проект ПРООН/ГЭФ/Правительство РК «Обновление Национального плана выполнения, интеграция управления стойкими органическими загрязнителями в процесс национального планирования и рационального управления медицинскими отходами в Казахстане». </w:t>
      </w:r>
    </w:p>
    <w:p w14:paraId="1587B07C" w14:textId="77777777" w:rsidR="001D7D6D" w:rsidRPr="00F0736F" w:rsidRDefault="001D7D6D" w:rsidP="001D7D6D">
      <w:pPr>
        <w:ind w:firstLine="709"/>
        <w:jc w:val="both"/>
        <w:rPr>
          <w:rFonts w:ascii="Times New Roman" w:hAnsi="Times New Roman" w:cs="Times New Roman"/>
          <w:color w:val="000000" w:themeColor="text1"/>
        </w:rPr>
      </w:pPr>
    </w:p>
    <w:p w14:paraId="118A535A" w14:textId="77777777" w:rsidR="001D7D6D" w:rsidRPr="00F0736F" w:rsidRDefault="001D7D6D" w:rsidP="001D7D6D">
      <w:pPr>
        <w:ind w:firstLine="709"/>
        <w:jc w:val="both"/>
        <w:rPr>
          <w:color w:val="000000" w:themeColor="text1"/>
          <w:u w:val="single"/>
        </w:rPr>
      </w:pPr>
      <w:r w:rsidRPr="00F0736F">
        <w:rPr>
          <w:rFonts w:ascii="Times New Roman" w:hAnsi="Times New Roman" w:cs="Times New Roman"/>
          <w:b/>
          <w:bCs/>
          <w:i/>
          <w:iCs/>
          <w:color w:val="000000" w:themeColor="text1"/>
          <w:u w:val="single"/>
        </w:rPr>
        <w:t>Международный опыт</w:t>
      </w:r>
    </w:p>
    <w:p w14:paraId="02AC500F"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Наиболее надлежащей практикой в мировом опыте обращения с отходами производства и потребления является соблюдение принципов и требований, изложенных в так называемых «химических» конвенциях: Базельской, Стокгольмской и Роттердамской.</w:t>
      </w:r>
    </w:p>
    <w:p w14:paraId="2787F0F2" w14:textId="77777777" w:rsidR="001D7D6D" w:rsidRPr="00F0736F" w:rsidRDefault="001D7D6D" w:rsidP="001D7D6D">
      <w:pPr>
        <w:ind w:firstLine="709"/>
        <w:jc w:val="both"/>
        <w:rPr>
          <w:rFonts w:ascii="Times New Roman" w:eastAsia="Times New Roman" w:hAnsi="Times New Roman" w:cs="Times New Roman"/>
          <w:bCs/>
          <w:color w:val="000000" w:themeColor="text1"/>
        </w:rPr>
      </w:pPr>
      <w:r w:rsidRPr="00F0736F">
        <w:rPr>
          <w:rFonts w:ascii="Times New Roman" w:eastAsia="Times New Roman" w:hAnsi="Times New Roman" w:cs="Times New Roman"/>
          <w:bCs/>
          <w:color w:val="000000" w:themeColor="text1"/>
        </w:rPr>
        <w:t>По мнению международных экспертов,</w:t>
      </w:r>
      <w:r w:rsidRPr="00F0736F">
        <w:rPr>
          <w:rStyle w:val="a4"/>
          <w:rFonts w:ascii="Times New Roman" w:eastAsia="Calibri" w:hAnsi="Times New Roman" w:cs="Times New Roman"/>
          <w:i/>
          <w:iCs/>
          <w:color w:val="000000" w:themeColor="text1"/>
        </w:rPr>
        <w:footnoteReference w:id="66"/>
      </w:r>
      <w:r w:rsidRPr="00F0736F">
        <w:rPr>
          <w:rFonts w:ascii="Times New Roman" w:eastAsia="Calibri" w:hAnsi="Times New Roman" w:cs="Times New Roman"/>
          <w:i/>
          <w:iCs/>
          <w:color w:val="000000" w:themeColor="text1"/>
        </w:rPr>
        <w:t xml:space="preserve"> </w:t>
      </w:r>
      <w:r w:rsidRPr="00F0736F">
        <w:rPr>
          <w:rFonts w:ascii="Times New Roman" w:eastAsia="Times New Roman" w:hAnsi="Times New Roman" w:cs="Times New Roman"/>
          <w:bCs/>
          <w:color w:val="000000" w:themeColor="text1"/>
        </w:rPr>
        <w:t>создание в Казахстане единого координационного пункта для Базельской, Роттердамской и Стокгольмской конвенций является хорошим подходом к обеспечению согласованной связи с секретариатами этих конвенций. Однако отмечаются недостатки в предоставлении необходимой информации, связанные с недостаточностью кадрового и ресурсного потенциала для выполнения Казахстаном обязательств по этим конвенциям, передачей информации в соответствии с требованиями конвенций по химическим веществам. Казахстан не является участником Минаматской конвенции о ртути, хотя начата подготовительная работа для присоединения к данной Конвенции.</w:t>
      </w:r>
    </w:p>
    <w:p w14:paraId="25332ED0" w14:textId="77777777" w:rsidR="001D7D6D" w:rsidRPr="00F0736F" w:rsidRDefault="001D7D6D" w:rsidP="001D7D6D">
      <w:pPr>
        <w:ind w:firstLine="709"/>
        <w:jc w:val="both"/>
        <w:rPr>
          <w:rFonts w:ascii="Times New Roman" w:eastAsia="Times New Roman" w:hAnsi="Times New Roman" w:cs="Times New Roman"/>
          <w:bCs/>
          <w:i/>
          <w:color w:val="000000" w:themeColor="text1"/>
        </w:rPr>
      </w:pPr>
      <w:r w:rsidRPr="00F0736F">
        <w:rPr>
          <w:rFonts w:ascii="Times New Roman" w:eastAsia="Times New Roman" w:hAnsi="Times New Roman" w:cs="Times New Roman"/>
          <w:bCs/>
          <w:color w:val="000000" w:themeColor="text1"/>
        </w:rPr>
        <w:t>В этой связи Уполномоченному органу в области охраны окружающей среды рекомендовано</w:t>
      </w:r>
      <w:r w:rsidRPr="00F0736F">
        <w:rPr>
          <w:rFonts w:ascii="Times New Roman" w:eastAsia="Times New Roman" w:hAnsi="Times New Roman" w:cs="Times New Roman"/>
          <w:bCs/>
          <w:i/>
          <w:color w:val="000000" w:themeColor="text1"/>
        </w:rPr>
        <w:t>:</w:t>
      </w:r>
    </w:p>
    <w:p w14:paraId="3797A333"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проанализировать работу координационного пункта для трех конвенций по вопросам химических веществ, проработать и внести изменения для расширения возможностей в целях надлежащего выполнения международных обязательств;</w:t>
      </w:r>
    </w:p>
    <w:p w14:paraId="4F5CB9DD"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предпринять необходимые шаги для присоединения к Минаматской конвенции о ртути.</w:t>
      </w:r>
    </w:p>
    <w:p w14:paraId="33532110" w14:textId="77777777" w:rsidR="001D7D6D" w:rsidRPr="00F0736F" w:rsidRDefault="001D7D6D" w:rsidP="001D7D6D">
      <w:pPr>
        <w:ind w:firstLine="709"/>
        <w:jc w:val="both"/>
        <w:rPr>
          <w:rFonts w:ascii="Times New Roman" w:hAnsi="Times New Roman" w:cs="Times New Roman"/>
          <w:color w:val="000000" w:themeColor="text1"/>
        </w:rPr>
      </w:pPr>
    </w:p>
    <w:p w14:paraId="17282B1F"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С 29 апреля по 10 мая 2019 года в Женеве (Швейцария) прошло Объединенное совещание Конференций сторон трех «химических» конвенций, которое приняло ряд новых руководящих документов.</w:t>
      </w:r>
    </w:p>
    <w:p w14:paraId="7B0B0299"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частности, было принято пересмотренное </w:t>
      </w:r>
      <w:r w:rsidRPr="00F0736F">
        <w:rPr>
          <w:rFonts w:ascii="Times New Roman" w:eastAsia="Times New Roman" w:hAnsi="Times New Roman" w:cs="Times New Roman"/>
          <w:bCs/>
          <w:color w:val="000000" w:themeColor="text1"/>
          <w:spacing w:val="2"/>
          <w:lang w:eastAsia="ru-RU"/>
        </w:rPr>
        <w:t xml:space="preserve">Практическое руководство по расширенной ответственности производителей </w:t>
      </w:r>
      <w:r w:rsidRPr="00F0736F">
        <w:rPr>
          <w:rFonts w:ascii="Times New Roman" w:eastAsia="Times New Roman" w:hAnsi="Times New Roman" w:cs="Times New Roman"/>
          <w:color w:val="000000" w:themeColor="text1"/>
          <w:spacing w:val="2"/>
          <w:lang w:eastAsia="ru-RU"/>
        </w:rPr>
        <w:t>и системам финансирования для экологически обоснованного регулирования, которое предназначено для всех групп заинтересованных сторон, в особенности для правительственных органов власти, которые работают над национальными политикой и положениями по РОП</w:t>
      </w:r>
      <w:r w:rsidRPr="00F0736F">
        <w:rPr>
          <w:rStyle w:val="a4"/>
          <w:rFonts w:ascii="Times New Roman" w:eastAsia="Times New Roman" w:hAnsi="Times New Roman" w:cs="Times New Roman"/>
          <w:color w:val="000000" w:themeColor="text1"/>
          <w:spacing w:val="2"/>
          <w:lang w:eastAsia="ru-RU"/>
        </w:rPr>
        <w:footnoteReference w:id="67"/>
      </w:r>
      <w:r w:rsidRPr="00F0736F">
        <w:rPr>
          <w:rFonts w:ascii="Times New Roman" w:eastAsia="Times New Roman" w:hAnsi="Times New Roman" w:cs="Times New Roman"/>
          <w:color w:val="000000" w:themeColor="text1"/>
          <w:spacing w:val="2"/>
          <w:lang w:eastAsia="ru-RU"/>
        </w:rPr>
        <w:t>.</w:t>
      </w:r>
    </w:p>
    <w:p w14:paraId="706FAC94"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мире существует более четырехсот систем РОП, и на сегодняшний день накоплен достаточный опыт для того, чтобы определить минимальные требования для успешной системы РОП. Системы РОП могут быть либо добровольными, либо обязательными.</w:t>
      </w:r>
      <w:r w:rsidRPr="00F0736F">
        <w:rPr>
          <w:rStyle w:val="a4"/>
          <w:rFonts w:ascii="Times New Roman" w:eastAsia="Times New Roman" w:hAnsi="Times New Roman" w:cs="Times New Roman"/>
          <w:color w:val="000000" w:themeColor="text1"/>
          <w:spacing w:val="2"/>
          <w:lang w:eastAsia="ru-RU"/>
        </w:rPr>
        <w:footnoteReference w:id="68"/>
      </w:r>
      <w:r w:rsidRPr="00F0736F">
        <w:rPr>
          <w:rFonts w:ascii="Times New Roman" w:eastAsia="Times New Roman" w:hAnsi="Times New Roman" w:cs="Times New Roman"/>
          <w:color w:val="000000" w:themeColor="text1"/>
          <w:spacing w:val="2"/>
          <w:lang w:eastAsia="ru-RU"/>
        </w:rPr>
        <w:t xml:space="preserve"> В любом случае, системы РОП должны обладать четкими и ясными правилами в отношении ролей и обязанностей всех заинтересованных сторон, а также достаточным уровнем конкурентоспособности, чтобы избегать создания монополий. Система РОП должны обеспечивать равное отношение и отсутствие дискриминации между: производителями продуктов, представленных на рынке, организациями ответственности производителей, которые реализуют РОП от имени этих производителей, и между частными или государственными операторами регулирования отходов. Система РОП должна обеспечивать надлежащее географическое покрытие как в сельской местности, так и в городах, а тендерные требования должны допускать все типы предприятий (включая микро-, мелкие и средние) к участию в отдельном сборе, рекуперации и окончательном удалении продуктов после того, как они становятся отходами. Система РОП должна обеспечивать наилучшие практики по регулированию отходов в соответствии с иерархией регулирования отходов, принимая во внимание концепцию жизненного цикла, и может устанавливать цели для подготовки к повторному использованию, рециркуляции, рекуперации энергии и окончательному удалению (например, на полигоне для захоронения отходов), включая требования для устранения опасных компонентов и деталей. Экономические, социальные и экологические достижения системы РОП должны быть оценены, независимо изучены и опубликованы.</w:t>
      </w:r>
    </w:p>
    <w:p w14:paraId="073C937E"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Одним из наиболее важных шагов в разработке эффективной системы РОП является определение четких задач политики и целей программы. К целям относятся, но не ограничиваясь этим:</w:t>
      </w:r>
    </w:p>
    <w:p w14:paraId="39F307A4"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повышение мер по предупреждению образования отходов, повышение повторного использования и рециркуляции отходов;</w:t>
      </w:r>
    </w:p>
    <w:p w14:paraId="3B78E144"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замыкание циклов использования материалов для способствования устойчивому развитию;</w:t>
      </w:r>
    </w:p>
    <w:p w14:paraId="2766BA8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обеспечение устранения опасных компонентов до рекуперации и окончательного удаления;</w:t>
      </w:r>
    </w:p>
    <w:p w14:paraId="2B0DC7AC"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снижение окончательного удаления;</w:t>
      </w:r>
    </w:p>
    <w:p w14:paraId="4AB1DF0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интернализация расходов по регулированию отходов (и других внешних издержек) в цену продукта, снижая, таким образом, расходы по регулированию отходов, которые несут муниципалитеты и/или налогоплательщики;</w:t>
      </w:r>
    </w:p>
    <w:p w14:paraId="24C6360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разработка более чистого производства и продуктов, что включает в себя стимулы для экологически приемлемых продуктов; предупреждение наличия опасных материалов и компонентов в новых продуктах настолько, насколько это технически целесообразно; разработка новых методов и мощностей для устранения загрязнения окружающей среды и рециркуляции; или улучшение управления материалами;</w:t>
      </w:r>
    </w:p>
    <w:p w14:paraId="6313C1F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официальное оформление неофициального сектора в целях обеспечения экологически обоснованного регулирования (ЭОР).</w:t>
      </w:r>
    </w:p>
    <w:p w14:paraId="08054AF9"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Для внедрения системы РОП н</w:t>
      </w:r>
      <w:r w:rsidRPr="00F0736F">
        <w:rPr>
          <w:rFonts w:ascii="Times New Roman" w:hAnsi="Times New Roman" w:cs="Times New Roman"/>
          <w:color w:val="000000" w:themeColor="text1"/>
        </w:rPr>
        <w:t>еобходима четкая и стабильная нормативно-правовая база, чтобы обеспечить честную конкуренцию, с достаточным уровнем мониторинга и равными правами для всех, при поддержке принудительных мер исполнения (включая санкции). К параметрам такой нормативно-правовой базы могут относиться следующие:</w:t>
      </w:r>
    </w:p>
    <w:p w14:paraId="4E19D9F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установление национального законодательства, определение положений и операционных требований (включая требования прозрачности, подотчетности и правилам конкуренции), мониторинг и осуществление надлежащей реализации системы РОП всеми заинтересованными сторонами;</w:t>
      </w:r>
    </w:p>
    <w:p w14:paraId="50CAE83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установление обмена информацией и сотрудничества участвующих органов власти, принимая во внимание регистрацию производителей, включая министерства по вопросам окружающей среды и финансов, а также таможенную службу. У таможенной службы важная роль для контроля недобросовестных пользователей, особенно в случае импортирующих стран;</w:t>
      </w:r>
    </w:p>
    <w:p w14:paraId="133A5A0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организовать официальный и регулярный диалог между участвующими заинтересованными сторонами;</w:t>
      </w:r>
    </w:p>
    <w:p w14:paraId="409C50D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установить согласованные и надежные средства для осуществления соблюдения производителями, операторами отходов, и всеми другими участвующими заинтересованными сторонами; регистрации производителей; аккредитации систем; образования; предоставления информации. Поскольку возможности правительства часто ограничены, необходимо рассмотреть возможность проведения аудитов третьими сторонами. Необходимо разработать правила для того, как аккредитовать сторонних аудиторов;</w:t>
      </w:r>
    </w:p>
    <w:p w14:paraId="47D594C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установить штрафы в случае несоблюдения. Санкции должны быть соразмерны в случае, если цели не достигнуты и/или требования не соблюдены или не выполнены. Санкции должны быть связаны с неоплаченными расходами по сбору и рекуперации.</w:t>
      </w:r>
    </w:p>
    <w:p w14:paraId="67B9863C"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Необходимо предоставлять и делать общедоступной информацию об экологической и технической эффективности систем РОП (например, достижения в отношении целей по сбору и удалению), а также о финансовых аспектах (например, сборы от производителей, расходы по регулированию отходов, прибыли от перепродажи, расходы по информационным и кампаниям повышения осведомленности, управление), особенно учитывая то, что экономическая рентабельность является частью показателя эффективности. </w:t>
      </w:r>
    </w:p>
    <w:p w14:paraId="535F93DF"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Кроме того, Конференцией сторон были приняты </w:t>
      </w:r>
      <w:r w:rsidRPr="00F0736F">
        <w:rPr>
          <w:rFonts w:ascii="Times New Roman" w:hAnsi="Times New Roman" w:cs="Times New Roman"/>
          <w:color w:val="000000" w:themeColor="text1"/>
        </w:rPr>
        <w:t>новые или обновленные проекты следующих технических руководящих принципов:</w:t>
      </w:r>
    </w:p>
    <w:p w14:paraId="14B8B751"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а) обновленные общие технические руководящие принципы экологически обоснованного регулирования отходов, состоящих из стойких органических загрязнителей, содержащих их или загрязненных ими; </w:t>
      </w:r>
    </w:p>
    <w:p w14:paraId="0D5D6815" w14:textId="77777777" w:rsidR="001D7D6D" w:rsidRPr="00F0736F" w:rsidRDefault="001D7D6D" w:rsidP="001D7D6D">
      <w:pPr>
        <w:tabs>
          <w:tab w:val="left" w:pos="993"/>
        </w:tabs>
        <w:ind w:firstLine="709"/>
        <w:jc w:val="both"/>
        <w:rPr>
          <w:color w:val="000000" w:themeColor="text1"/>
        </w:rPr>
      </w:pPr>
      <w:r w:rsidRPr="00F0736F">
        <w:rPr>
          <w:rFonts w:ascii="Times New Roman" w:hAnsi="Times New Roman" w:cs="Times New Roman"/>
          <w:color w:val="000000" w:themeColor="text1"/>
        </w:rPr>
        <w:t>б) новые технические руководящие принципы экологически обоснованного регулирования отходов, состоящих из короткоцепных хлорированных парафинов, содержащих их или загрязненных ими;</w:t>
      </w:r>
    </w:p>
    <w:p w14:paraId="536EB64F"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обновленные технические руководящие принципы экологически обоснованного регулирования отходов, содержащих непреднамеренно произведенные полихлорированные дибензо-п-диоксины, полихлорированные дибензофураны, гексахлорбензол, полихлорированные дифенилы, пентахлорбензол или полихлорированные нафталины или загрязненных ими, для включения гексахлорбутадиена;</w:t>
      </w:r>
    </w:p>
    <w:p w14:paraId="5954D5E1"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г) обновленные технические руководящие принципы экологически обоснованного регулирования отходов, состоящих из гексахлорбутадиена, содержащих его или загрязненных им.</w:t>
      </w:r>
    </w:p>
    <w:p w14:paraId="269E0922" w14:textId="77777777" w:rsidR="001D7D6D" w:rsidRPr="00F0736F" w:rsidRDefault="001D7D6D" w:rsidP="001D7D6D">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 xml:space="preserve">На своей третьей сессии </w:t>
      </w:r>
      <w:r w:rsidRPr="00F0736F">
        <w:rPr>
          <w:rFonts w:ascii="Times New Roman" w:eastAsia="Times New Roman" w:hAnsi="Times New Roman" w:cs="Times New Roman"/>
          <w:bCs/>
          <w:color w:val="000000" w:themeColor="text1"/>
          <w:spacing w:val="2"/>
          <w:lang w:eastAsia="ru-RU"/>
        </w:rPr>
        <w:t>Ассамблея ООН по окружающей среде</w:t>
      </w:r>
      <w:r w:rsidRPr="00F0736F">
        <w:rPr>
          <w:rFonts w:ascii="Times New Roman" w:eastAsia="Times New Roman" w:hAnsi="Times New Roman" w:cs="Times New Roman"/>
          <w:color w:val="000000" w:themeColor="text1"/>
          <w:spacing w:val="2"/>
          <w:lang w:eastAsia="ru-RU"/>
        </w:rPr>
        <w:t xml:space="preserve"> (4 - 6 декабря 2017 года в Найроби) приняла декларацию министров о прекращении загрязнения планеты (UNEP/EA.3/HLS.1) и ряд резолюций, актуальных для Базельской, Роттердамской и Стокгольмской конвенций, в частности резолюцию 3/1 о смягчении последствий загрязнения и его ограничении в районах, пострадавших в результате вооруженных конфликтов, резолюцию 3/4 об окружающей среде и здоровье, резолюцию 3/6 о регулировании загрязнения почв в целях обеспечения устойчивого развития, резолюцию 3/7 по проблеме морского мусора и микрочастиц пластмасс, и резолюцию 3/9 об устранении воздействия свинецсодержащих красок и содействии экологически обоснованному регулированию утильных свинцово-кислотных аккумуляторных батарей.</w:t>
      </w:r>
    </w:p>
    <w:p w14:paraId="17D12283"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Программа Организации Объединенных Наций по окружающей среде (ЮНЕП) занимается осуществлением </w:t>
      </w:r>
      <w:r w:rsidRPr="00F0736F">
        <w:rPr>
          <w:rFonts w:ascii="Times New Roman" w:hAnsi="Times New Roman" w:cs="Times New Roman"/>
          <w:color w:val="000000" w:themeColor="text1"/>
        </w:rPr>
        <w:t>СПМРХВ (Стратегический</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 xml:space="preserve">подход к международному регулированию химических веществ), который был принят в 2006 году в качестве добровольной политической основы для содействия рациональному регулированию химических веществ на протяжении всего их жизненного цикла. </w:t>
      </w:r>
    </w:p>
    <w:p w14:paraId="4D25C82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На третьем совещании межсессионного процесса (МП3) (Бангкок, Таиланд, 1-4 октября 2019 г.), где обсуждены возможные элементы новой глобальной платформы международного сотрудничества по рациональному регулированию химических веществ и отходов, рассчитанной на период после 2020 года, представлены пять стратегических целей для обновленной версии СПМРХВ, которые включают следующее:</w:t>
      </w:r>
    </w:p>
    <w:p w14:paraId="3D7CE58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Стратегическая цель A: Определение, осуществление и обеспечение соблюдения мер, направленных на предотвращение и сведение к минимуму вреда от химических веществ на протяжении всего их жизненного цикла и от отходов;</w:t>
      </w:r>
    </w:p>
    <w:p w14:paraId="7B7E1F9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Стратегическая цель В: Получение, наличие и доступность для всех соответствующих субъектов всеобъемлющих и достаточных знаний, данных, информации и сведений в целях обеспечения принятия обоснованных решений и действий;</w:t>
      </w:r>
    </w:p>
    <w:p w14:paraId="308EE2DC"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Стратегическая цель С: Выявление, определение приоритетности и решение вопросов, представляющих интерес, которые требуют глобальных действий;</w:t>
      </w:r>
    </w:p>
    <w:p w14:paraId="74A1E74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Стратегическая цель D: Максимальное получение выгод и предотвращение рисков для здоровья человека и окружающей среды посредством инновационных и устойчивых решений и перспективного мышления;</w:t>
      </w:r>
    </w:p>
    <w:p w14:paraId="0231F14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Стратегическая цель E: Признание всеми соответствующими субъектами важности рационального регулирования химических веществ и отходов для достижения устойчивого развития; ускорение принятия мер и создание необходимых партнерств для укрепления взаимодействия между заинтересованными сторонами и мобилизации ресурсов.</w:t>
      </w:r>
    </w:p>
    <w:p w14:paraId="5101CEB0" w14:textId="77777777" w:rsidR="001D7D6D" w:rsidRPr="00F0736F" w:rsidRDefault="001D7D6D" w:rsidP="001D7D6D">
      <w:pPr>
        <w:ind w:firstLine="709"/>
        <w:jc w:val="both"/>
        <w:rPr>
          <w:rFonts w:ascii="Times New Roman" w:eastAsia="Times New Roman" w:hAnsi="Times New Roman" w:cs="Times New Roman"/>
          <w:bCs/>
          <w:i/>
          <w:color w:val="000000" w:themeColor="text1"/>
        </w:rPr>
      </w:pPr>
      <w:r w:rsidRPr="00F0736F">
        <w:rPr>
          <w:rFonts w:ascii="Times New Roman" w:hAnsi="Times New Roman" w:cs="Times New Roman"/>
          <w:color w:val="000000" w:themeColor="text1"/>
        </w:rPr>
        <w:t>Данные стратегические цели могут быть использованы в Казахстане при разработке программных документов в области обращения с отходами. При этом, по мнению экспертов ЕЭК ООН,</w:t>
      </w:r>
      <w:r w:rsidRPr="00F0736F">
        <w:rPr>
          <w:rStyle w:val="a4"/>
          <w:rFonts w:ascii="Times New Roman" w:eastAsia="Calibri" w:hAnsi="Times New Roman" w:cs="Times New Roman"/>
          <w:i/>
          <w:iCs/>
          <w:color w:val="000000" w:themeColor="text1"/>
        </w:rPr>
        <w:footnoteReference w:id="69"/>
      </w:r>
      <w:r w:rsidRPr="00F0736F">
        <w:rPr>
          <w:rFonts w:ascii="Times New Roman" w:eastAsia="Calibri" w:hAnsi="Times New Roman" w:cs="Times New Roman"/>
          <w:i/>
          <w:iCs/>
          <w:color w:val="000000" w:themeColor="text1"/>
        </w:rPr>
        <w:t xml:space="preserve"> </w:t>
      </w:r>
      <w:r w:rsidRPr="00F0736F">
        <w:rPr>
          <w:rFonts w:ascii="Times New Roman" w:hAnsi="Times New Roman" w:cs="Times New Roman"/>
          <w:color w:val="000000" w:themeColor="text1"/>
        </w:rPr>
        <w:t xml:space="preserve">уполномоченному органу в области охраны окружающей среды Казахстана </w:t>
      </w:r>
      <w:r w:rsidRPr="00F0736F">
        <w:rPr>
          <w:rFonts w:ascii="Times New Roman" w:eastAsia="Times New Roman" w:hAnsi="Times New Roman" w:cs="Times New Roman"/>
          <w:bCs/>
          <w:i/>
          <w:color w:val="000000" w:themeColor="text1"/>
        </w:rPr>
        <w:t>следует:</w:t>
      </w:r>
    </w:p>
    <w:p w14:paraId="4D6321FC"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пересмотреть действующую политику в области обращения с отходами и приступить к разработке программы, направленной на создание контролируемых полигонов;</w:t>
      </w:r>
    </w:p>
    <w:p w14:paraId="6F1BAE8A"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во взаимодействии с местными органами исполнительной власти проанализировать существующую систему финансирования обращения с коммунальными отходами и разработать стратегию перехода к финансированию системы обращения с коммунальными отходами на основе затрат;</w:t>
      </w:r>
    </w:p>
    <w:p w14:paraId="1403D6DA"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разработать стратегию внедрения системы взвешивания отходов на всех объектах по обезвреживанию и размещению отходов;</w:t>
      </w:r>
    </w:p>
    <w:p w14:paraId="72562044"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провести оценку эффективности существующей системы данных по обращению с отходами и внести изменения, которые обеспечат включение отчетов, поступающих от всех источников образования отходов;</w:t>
      </w:r>
    </w:p>
    <w:p w14:paraId="6D20BDF2"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обеспечить сбор количественной статистики по отдельным видам отходов;</w:t>
      </w:r>
    </w:p>
    <w:p w14:paraId="1C23E6D3" w14:textId="77777777" w:rsidR="001D7D6D" w:rsidRPr="00F0736F" w:rsidRDefault="001D7D6D" w:rsidP="001D7D6D">
      <w:pPr>
        <w:pStyle w:val="Standard"/>
        <w:ind w:firstLine="709"/>
        <w:rPr>
          <w:rFonts w:eastAsia="Times New Roman" w:cs="Times New Roman"/>
          <w:bCs/>
          <w:i/>
          <w:color w:val="000000" w:themeColor="text1"/>
        </w:rPr>
      </w:pPr>
      <w:r w:rsidRPr="00F0736F">
        <w:rPr>
          <w:rFonts w:eastAsia="Times New Roman" w:cs="Times New Roman"/>
          <w:bCs/>
          <w:i/>
          <w:color w:val="000000" w:themeColor="text1"/>
        </w:rPr>
        <w:t>совместно с заинтересованными государственными органами выработать и осуществить меры, направленные на улучшение отчетности по вторичному сырью;</w:t>
      </w:r>
    </w:p>
    <w:p w14:paraId="285AF483" w14:textId="77777777" w:rsidR="001D7D6D" w:rsidRPr="00F0736F" w:rsidRDefault="001D7D6D" w:rsidP="001D7D6D">
      <w:pPr>
        <w:pStyle w:val="Standard"/>
        <w:ind w:firstLine="709"/>
        <w:rPr>
          <w:rFonts w:eastAsia="Times New Roman" w:cs="Times New Roman"/>
          <w:bCs/>
          <w:i/>
          <w:iCs/>
          <w:color w:val="000000" w:themeColor="text1"/>
        </w:rPr>
      </w:pPr>
      <w:r w:rsidRPr="00F0736F">
        <w:rPr>
          <w:rFonts w:eastAsia="Times New Roman" w:cs="Times New Roman"/>
          <w:bCs/>
          <w:i/>
          <w:iCs/>
          <w:color w:val="000000" w:themeColor="text1"/>
        </w:rPr>
        <w:t>определить ключевые проблемы, которые препятствуют эффективному и устойчивому функционированию сортировочной инфраструктуры, и разработать стратегию, в рамках которой в полной мере будут использоваться существующие мощности по сортировке отходов;</w:t>
      </w:r>
    </w:p>
    <w:p w14:paraId="4463007C" w14:textId="77777777" w:rsidR="001D7D6D" w:rsidRPr="00F0736F" w:rsidRDefault="001D7D6D" w:rsidP="001D7D6D">
      <w:pPr>
        <w:pStyle w:val="Standard"/>
        <w:ind w:firstLine="709"/>
        <w:rPr>
          <w:rFonts w:eastAsia="Times New Roman" w:cs="Times New Roman"/>
          <w:bCs/>
          <w:i/>
          <w:iCs/>
          <w:color w:val="000000" w:themeColor="text1"/>
        </w:rPr>
      </w:pPr>
      <w:r w:rsidRPr="00F0736F">
        <w:rPr>
          <w:rFonts w:eastAsia="Times New Roman" w:cs="Times New Roman"/>
          <w:bCs/>
          <w:i/>
          <w:iCs/>
          <w:color w:val="000000" w:themeColor="text1"/>
        </w:rPr>
        <w:t>приступить к подготовке нового Национального профиля оценки национальной инфраструктуры по управлению химическими веществами;</w:t>
      </w:r>
      <w:r w:rsidRPr="00F0736F">
        <w:rPr>
          <w:rFonts w:eastAsia="Times New Roman" w:cs="Times New Roman"/>
          <w:bCs/>
          <w:i/>
          <w:iCs/>
          <w:color w:val="000000" w:themeColor="text1"/>
          <w:sz w:val="28"/>
          <w:szCs w:val="28"/>
        </w:rPr>
        <w:t xml:space="preserve"> </w:t>
      </w:r>
    </w:p>
    <w:p w14:paraId="2516660C" w14:textId="77777777" w:rsidR="001D7D6D" w:rsidRPr="00F0736F" w:rsidRDefault="001D7D6D" w:rsidP="001D7D6D">
      <w:pPr>
        <w:pStyle w:val="AATitle"/>
        <w:ind w:right="0" w:firstLine="709"/>
        <w:jc w:val="both"/>
        <w:rPr>
          <w:rFonts w:ascii="Times New Roman" w:hAnsi="Times New Roman" w:cs="Times New Roman"/>
          <w:i/>
          <w:color w:val="000000" w:themeColor="text1"/>
        </w:rPr>
      </w:pPr>
      <w:r w:rsidRPr="00F0736F">
        <w:rPr>
          <w:rFonts w:ascii="Times New Roman" w:eastAsia="Times New Roman" w:hAnsi="Times New Roman" w:cs="Times New Roman"/>
          <w:b w:val="0"/>
          <w:bCs/>
          <w:i/>
          <w:iCs/>
          <w:color w:val="000000" w:themeColor="text1"/>
        </w:rPr>
        <w:t>обеспечить поддержку регионального подхода посредством заключения договоров на сбор и обезвреживание медицинских отходов</w:t>
      </w:r>
      <w:r w:rsidRPr="00F0736F">
        <w:rPr>
          <w:rFonts w:ascii="Times New Roman" w:eastAsia="Calibri" w:hAnsi="Times New Roman" w:cs="Times New Roman"/>
          <w:i/>
          <w:iCs/>
          <w:color w:val="000000" w:themeColor="text1"/>
        </w:rPr>
        <w:t>.</w:t>
      </w:r>
    </w:p>
    <w:p w14:paraId="67559B65" w14:textId="77777777" w:rsidR="001D7D6D" w:rsidRPr="00F0736F" w:rsidRDefault="001D7D6D" w:rsidP="001D7D6D">
      <w:pPr>
        <w:ind w:firstLine="709"/>
        <w:jc w:val="both"/>
        <w:rPr>
          <w:color w:val="000000" w:themeColor="text1"/>
        </w:rPr>
      </w:pPr>
    </w:p>
    <w:p w14:paraId="5A376501" w14:textId="77777777" w:rsidR="001D7D6D" w:rsidRPr="00F0736F" w:rsidRDefault="001D7D6D" w:rsidP="001D7D6D">
      <w:pPr>
        <w:ind w:firstLine="709"/>
        <w:jc w:val="both"/>
        <w:rPr>
          <w:color w:val="000000" w:themeColor="text1"/>
        </w:rPr>
      </w:pPr>
      <w:r w:rsidRPr="00F0736F">
        <w:rPr>
          <w:rFonts w:ascii="Times New Roman" w:hAnsi="Times New Roman" w:cs="Times New Roman"/>
          <w:i/>
          <w:iCs/>
          <w:color w:val="000000" w:themeColor="text1"/>
        </w:rPr>
        <w:t xml:space="preserve">О сжигании мусора </w:t>
      </w:r>
    </w:p>
    <w:p w14:paraId="1A2AC61C"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bCs/>
          <w:color w:val="000000" w:themeColor="text1"/>
          <w:spacing w:val="3"/>
          <w:lang w:eastAsia="ru-RU"/>
        </w:rPr>
        <w:t>Прежде всего необходимо отметить, что мусоросжигательные печи перечислены в части II а) Приложения С к Стокгольмской конвенции о стойких органических загрязнителях (ратифицирована Республикой Казахстан) в качестве основного источника неконтролируемых стойких органических загрязнителей (НСОЗ), которые включают полихлорированные дибензо-п-диоксины и дибензофураны (диоксины и фураны или ПХДД/ДФ), но не ограничиваются ими. В выбросах мусоросжигательных заводов также присутствуют другие диоксиноподобные соединения, например, полихлорированные нафталины. Руководство по эксплуатации мусоросжигательных печей (и других ключевых источников НСОЗ) в соответствии с НИП и НЭП представляется Стокгольмской конвенцией</w:t>
      </w:r>
      <w:r w:rsidRPr="00F0736F">
        <w:rPr>
          <w:rStyle w:val="a4"/>
          <w:rFonts w:ascii="Times New Roman" w:eastAsia="Times New Roman" w:hAnsi="Times New Roman" w:cs="Times New Roman"/>
          <w:bCs/>
          <w:color w:val="000000" w:themeColor="text1"/>
          <w:spacing w:val="3"/>
          <w:lang w:eastAsia="ru-RU"/>
        </w:rPr>
        <w:footnoteReference w:id="70"/>
      </w:r>
      <w:r w:rsidRPr="00F0736F">
        <w:rPr>
          <w:rFonts w:ascii="Times New Roman" w:eastAsia="Times New Roman" w:hAnsi="Times New Roman" w:cs="Times New Roman"/>
          <w:bCs/>
          <w:color w:val="000000" w:themeColor="text1"/>
          <w:spacing w:val="3"/>
          <w:lang w:eastAsia="ru-RU"/>
        </w:rPr>
        <w:t xml:space="preserve">. </w:t>
      </w:r>
    </w:p>
    <w:p w14:paraId="75FEE57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К основным недостаткам сжигания мусора и его контроля относятся следующие</w:t>
      </w:r>
      <w:r w:rsidRPr="00F0736F">
        <w:rPr>
          <w:rStyle w:val="a4"/>
          <w:rFonts w:ascii="Times New Roman" w:hAnsi="Times New Roman" w:cs="Times New Roman"/>
          <w:color w:val="000000" w:themeColor="text1"/>
        </w:rPr>
        <w:footnoteReference w:id="71"/>
      </w:r>
      <w:r w:rsidRPr="00F0736F">
        <w:rPr>
          <w:rFonts w:ascii="Times New Roman" w:hAnsi="Times New Roman" w:cs="Times New Roman"/>
          <w:color w:val="000000" w:themeColor="text1"/>
        </w:rPr>
        <w:t>:</w:t>
      </w:r>
    </w:p>
    <w:p w14:paraId="4EB67A3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в промышленных процессах пиролиза практически невозможно добиться полного отсутствия кислорода, т.е. фактически пиролитические системы работают с меньшим его стехиометрическим количеством. Таким образом, при пиролизе хлорорганических соединений в присутствии даже небольших количеств кислорода, а также оксидов металлов (например, железа), существует вероятность образования вторичных диоксинов;</w:t>
      </w:r>
    </w:p>
    <w:p w14:paraId="497ABA30"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 пиролиз, как правило, идет под давлением, что создает риск попадания неочищенных отработанных технологических газов в окружающую среду через неплотности оборудования; </w:t>
      </w:r>
    </w:p>
    <w:p w14:paraId="04459E1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в настоящее время газоанализаторов, позволяющих контролировать содержание таких СОЗ, как полихлорированные диоксины/фураны, полихлорированные бифенилы в автоматическом режиме он-лайн, не существует из-за особенностей методик и пробоподготовки;</w:t>
      </w:r>
    </w:p>
    <w:p w14:paraId="7DCF1D0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при недостатке окислителя в зоне максимальных температур в продуктах реакции возможно образование окиси углерода и водорода, которые в зоне охлаждения отходящих газов могут стать причиной повторного образования полибромированных дибензодиоксинов (ПБДЭ) и фуранов (ПБДД/Ф) и их аналогов</w:t>
      </w:r>
      <w:r w:rsidRPr="00F0736F">
        <w:rPr>
          <w:rStyle w:val="a4"/>
          <w:rFonts w:ascii="Times New Roman" w:hAnsi="Times New Roman" w:cs="Times New Roman"/>
          <w:color w:val="000000" w:themeColor="text1"/>
        </w:rPr>
        <w:footnoteReference w:id="72"/>
      </w:r>
      <w:r w:rsidRPr="00F0736F">
        <w:rPr>
          <w:rFonts w:ascii="Times New Roman" w:hAnsi="Times New Roman" w:cs="Times New Roman"/>
          <w:color w:val="000000" w:themeColor="text1"/>
        </w:rPr>
        <w:t>;</w:t>
      </w:r>
    </w:p>
    <w:p w14:paraId="0D9A016C"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при термолизе при 510-630ºС происходит образование ПБДД/Ф с выходом до 10%. Аналогичные данные получены при пиролизе этих соединений при 700- 900 ºС;</w:t>
      </w:r>
    </w:p>
    <w:p w14:paraId="6835383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по мнению ряда экспертов, производственный экологический контроль на мусоросжигательных заводах и предприятиях, осуществляющих сжигание отходов производства и потребления в инсинераторах, носит формальный характер и полностью не прозрачен для населения и общественности.</w:t>
      </w:r>
    </w:p>
    <w:p w14:paraId="5CBA87B8" w14:textId="77777777" w:rsidR="001D7D6D" w:rsidRPr="00F0736F" w:rsidRDefault="001D7D6D" w:rsidP="001D7D6D">
      <w:pPr>
        <w:ind w:firstLine="709"/>
        <w:jc w:val="both"/>
        <w:rPr>
          <w:color w:val="000000" w:themeColor="text1"/>
        </w:rPr>
      </w:pPr>
    </w:p>
    <w:p w14:paraId="7AF593B4" w14:textId="77777777" w:rsidR="001D7D6D" w:rsidRPr="00F0736F" w:rsidRDefault="001D7D6D" w:rsidP="001D7D6D">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3A3055E1"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Из ЦУР вопросов отходов прямо касаются задачи 3.9, 11.6, 12.4 и 12.5 Повестки дня в области устойчивого развития на период до 2030 г (таблица 1.5.10.). </w:t>
      </w:r>
    </w:p>
    <w:p w14:paraId="6B5B6B6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lang w:eastAsia="en-GB"/>
        </w:rPr>
        <w:t>Задача 3.9 цели 3 отслеживается в статистике Казахстана через показатель «Смертность от неумышленного отравления», отдельно для городского и сельского населения и для мужчин и женщин. Данный показатель имеет тенденцию к постоянному снижению и в 2017 году достиг 2,8 случая на 100 000 населения. Среднемировой уровень смертности от неумышленного отравления в 2015 году составил 1,5 случая на 100 000 человек</w:t>
      </w:r>
      <w:r w:rsidRPr="00F0736F">
        <w:rPr>
          <w:rStyle w:val="a4"/>
          <w:rFonts w:ascii="Times New Roman" w:hAnsi="Times New Roman" w:cs="Times New Roman"/>
          <w:color w:val="000000" w:themeColor="text1"/>
          <w:lang w:eastAsia="en-GB"/>
        </w:rPr>
        <w:footnoteReference w:id="73"/>
      </w:r>
      <w:r w:rsidRPr="00F0736F">
        <w:rPr>
          <w:rFonts w:ascii="Times New Roman" w:hAnsi="Times New Roman" w:cs="Times New Roman"/>
          <w:color w:val="000000" w:themeColor="text1"/>
          <w:lang w:eastAsia="en-GB"/>
        </w:rPr>
        <w:t>.</w:t>
      </w:r>
    </w:p>
    <w:p w14:paraId="2D3375D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lang w:eastAsia="en-GB"/>
        </w:rPr>
        <w:t>В Казахстане статистикой не отслеживается Показатель 11.6.1 Задачи 11.6 Цели 11. По экспертным оценкам</w:t>
      </w:r>
      <w:r w:rsidRPr="00F0736F">
        <w:rPr>
          <w:rFonts w:ascii="Times New Roman" w:hAnsi="Times New Roman" w:cs="Times New Roman"/>
          <w:bCs/>
          <w:color w:val="000000" w:themeColor="text1"/>
          <w:lang w:eastAsia="en-GB"/>
        </w:rPr>
        <w:t xml:space="preserve">, около половины городских твердых бытовых отходов регулярно собирается в Казахстане, а охват регулярным сбором составляет около 70% от общей численности населения. За исключением </w:t>
      </w:r>
      <w:r w:rsidRPr="00F0736F">
        <w:rPr>
          <w:rFonts w:ascii="Times New Roman" w:hAnsi="Times New Roman" w:cs="Times New Roman"/>
          <w:bCs/>
          <w:color w:val="000000" w:themeColor="text1"/>
        </w:rPr>
        <w:t>Нур-Султан</w:t>
      </w:r>
      <w:r w:rsidRPr="00F0736F">
        <w:rPr>
          <w:rFonts w:ascii="Times New Roman" w:hAnsi="Times New Roman" w:cs="Times New Roman"/>
          <w:bCs/>
          <w:color w:val="000000" w:themeColor="text1"/>
          <w:lang w:eastAsia="en-GB"/>
        </w:rPr>
        <w:t xml:space="preserve">, ни в одном городе Казахстана нет объекта размещения отходов, который соответствовал бы современным стандартам полигонного депонирования отходов. Несмотря на наличие нормативной базы, исполнение и соблюдение ее требований обеспечены недостаточно эффективно. Казахстану следует создать систему сбора отходов на основе региональных санитарно-технических полигонов. Учитывая нынешний подход к управлению ТБО, к 2030 </w:t>
      </w:r>
      <w:r w:rsidRPr="00F0736F">
        <w:rPr>
          <w:rFonts w:ascii="Times New Roman" w:hAnsi="Times New Roman" w:cs="Times New Roman"/>
          <w:color w:val="000000" w:themeColor="text1"/>
          <w:lang w:eastAsia="en-GB"/>
        </w:rPr>
        <w:t>году</w:t>
      </w:r>
      <w:r w:rsidRPr="00F0736F">
        <w:rPr>
          <w:rFonts w:ascii="Times New Roman" w:hAnsi="Times New Roman" w:cs="Times New Roman"/>
          <w:bCs/>
          <w:color w:val="000000" w:themeColor="text1"/>
          <w:lang w:eastAsia="en-GB"/>
        </w:rPr>
        <w:t xml:space="preserve"> Казахстан, похоже, не достигнет этой Задачи</w:t>
      </w:r>
      <w:r w:rsidRPr="00F0736F">
        <w:rPr>
          <w:rStyle w:val="a4"/>
          <w:rFonts w:ascii="Times New Roman" w:hAnsi="Times New Roman" w:cs="Times New Roman"/>
          <w:bCs/>
          <w:color w:val="000000" w:themeColor="text1"/>
          <w:lang w:eastAsia="en-GB"/>
        </w:rPr>
        <w:footnoteReference w:id="74"/>
      </w:r>
      <w:r w:rsidRPr="00F0736F">
        <w:rPr>
          <w:rFonts w:ascii="Times New Roman" w:hAnsi="Times New Roman" w:cs="Times New Roman"/>
          <w:bCs/>
          <w:color w:val="000000" w:themeColor="text1"/>
          <w:lang w:eastAsia="en-GB"/>
        </w:rPr>
        <w:t>.</w:t>
      </w:r>
    </w:p>
    <w:p w14:paraId="2A3D11BA"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lang w:eastAsia="en-GB"/>
        </w:rPr>
        <w:t xml:space="preserve">Для решения Задачи 12.4 Цели 12: в Казахстане ратифицированы три химических конвенции (Базельская Стокгольмская и Роттердамская и регулярно ведется по ним международная отчетность. Готовится присоединение Казахстана к Минаматской конвенции по ртути. Поэтому показатель </w:t>
      </w:r>
      <w:r w:rsidRPr="00F0736F">
        <w:rPr>
          <w:rFonts w:ascii="Times New Roman" w:hAnsi="Times New Roman" w:cs="Times New Roman"/>
          <w:bCs/>
          <w:color w:val="000000" w:themeColor="text1"/>
          <w:lang w:eastAsia="en-GB"/>
        </w:rPr>
        <w:t>12.4.1 должен быть выполнен.</w:t>
      </w:r>
    </w:p>
    <w:p w14:paraId="03DDC4C5" w14:textId="77777777" w:rsidR="001D7D6D" w:rsidRPr="00F0736F" w:rsidRDefault="001D7D6D" w:rsidP="001D7D6D">
      <w:pPr>
        <w:ind w:firstLine="709"/>
        <w:jc w:val="both"/>
        <w:rPr>
          <w:color w:val="000000" w:themeColor="text1"/>
        </w:rPr>
      </w:pPr>
      <w:r w:rsidRPr="00F0736F">
        <w:rPr>
          <w:rFonts w:ascii="Times New Roman" w:hAnsi="Times New Roman" w:cs="Times New Roman"/>
          <w:bCs/>
          <w:color w:val="000000" w:themeColor="text1"/>
          <w:lang w:eastAsia="en-GB"/>
        </w:rPr>
        <w:t xml:space="preserve">Что касается Показателя 12.4.2, в Казахстане отслеживаются показатели общего образования опасных отходов, и в том числе по спискам опасности (красный, янтарный, зеленый). В то же время по мнению экспертов ЕЭК ООН в Казахстане отсутствуют надежные данные по опасным отходам, поскольку определение опасных отходов отличается от практики, принятой в странах-членах ОЭСР. Среднегодовой объем образования опасных отходов на душу населения в странах-членах ОЭСР находился на уровне 150 кг в период 2006 </w:t>
      </w:r>
      <w:r w:rsidRPr="00F0736F">
        <w:rPr>
          <w:rFonts w:ascii="Times New Roman" w:hAnsi="Times New Roman" w:cs="Times New Roman"/>
          <w:bCs/>
          <w:i/>
          <w:color w:val="000000" w:themeColor="text1"/>
        </w:rPr>
        <w:t xml:space="preserve">– </w:t>
      </w:r>
      <w:r w:rsidRPr="00F0736F">
        <w:rPr>
          <w:rFonts w:ascii="Times New Roman" w:hAnsi="Times New Roman" w:cs="Times New Roman"/>
          <w:bCs/>
          <w:color w:val="000000" w:themeColor="text1"/>
          <w:lang w:eastAsia="en-GB"/>
        </w:rPr>
        <w:t xml:space="preserve">2011 гг., в то время как в Казахстане за период 2006 </w:t>
      </w:r>
      <w:r w:rsidRPr="00F0736F">
        <w:rPr>
          <w:rFonts w:ascii="Times New Roman" w:hAnsi="Times New Roman" w:cs="Times New Roman"/>
          <w:bCs/>
          <w:i/>
          <w:color w:val="000000" w:themeColor="text1"/>
        </w:rPr>
        <w:t xml:space="preserve">– </w:t>
      </w:r>
      <w:r w:rsidRPr="00F0736F">
        <w:rPr>
          <w:rFonts w:ascii="Times New Roman" w:hAnsi="Times New Roman" w:cs="Times New Roman"/>
          <w:bCs/>
          <w:color w:val="000000" w:themeColor="text1"/>
          <w:lang w:eastAsia="en-GB"/>
        </w:rPr>
        <w:t>2016 гг. зарегистрирован среднегодовой объем образования на уровне 18 т на душу населения</w:t>
      </w:r>
      <w:r w:rsidRPr="00F0736F">
        <w:rPr>
          <w:rStyle w:val="a4"/>
          <w:rFonts w:ascii="Times New Roman" w:hAnsi="Times New Roman" w:cs="Times New Roman"/>
          <w:bCs/>
          <w:color w:val="000000" w:themeColor="text1"/>
          <w:lang w:eastAsia="en-GB"/>
        </w:rPr>
        <w:footnoteReference w:id="75"/>
      </w:r>
      <w:r w:rsidRPr="00F0736F">
        <w:rPr>
          <w:rFonts w:ascii="Times New Roman" w:hAnsi="Times New Roman" w:cs="Times New Roman"/>
          <w:bCs/>
          <w:color w:val="000000" w:themeColor="text1"/>
          <w:lang w:eastAsia="en-GB"/>
        </w:rPr>
        <w:t>. Опираясь на Показатель, используемый в Казахстане в настоящее время, невозможно оценить ход достижения Задачи 12.4. Казахстану необходимо рассмотреть вопрос о совершенствовании механизмов отчетности по опасным отходам в соответствии с международными определениями отходов и опасных отходов.</w:t>
      </w:r>
    </w:p>
    <w:p w14:paraId="6DD275E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lang w:eastAsia="en-GB"/>
        </w:rPr>
        <w:t>Для решения Задачи 12.5 в Казахстане отслеживаются показатели «Д</w:t>
      </w:r>
      <w:r w:rsidRPr="00F0736F">
        <w:rPr>
          <w:rFonts w:ascii="Times New Roman" w:hAnsi="Times New Roman" w:cs="Times New Roman"/>
          <w:color w:val="000000" w:themeColor="text1"/>
        </w:rPr>
        <w:t>оля переработки и утилизации отходов производства к их образованию» и «Доля переработки и утилизации твердых бытовых отходов к их образованию». В 2017 году данные показатели достигли, соответственно, 30,9% и 9%, тогда как в странах ОЭСР они достигают, соответственно, 44% и 34%. Тем не менее, продвижения в этом направлении в Казахстане значительны.</w:t>
      </w:r>
    </w:p>
    <w:p w14:paraId="3E01416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Полностью не отслеживаются в Казахстане показатели 12.6.1, 12.7.1, 12.8.1, 12.a.1, 12.b.1.</w:t>
      </w:r>
    </w:p>
    <w:p w14:paraId="5137189C" w14:textId="77777777" w:rsidR="001D7D6D" w:rsidRPr="00F0736F" w:rsidRDefault="001D7D6D" w:rsidP="001D7D6D">
      <w:pPr>
        <w:ind w:firstLine="709"/>
        <w:jc w:val="both"/>
        <w:rPr>
          <w:rFonts w:ascii="Times New Roman" w:hAnsi="Times New Roman" w:cs="Times New Roman"/>
          <w:color w:val="000000" w:themeColor="text1"/>
        </w:rPr>
      </w:pPr>
    </w:p>
    <w:p w14:paraId="49B7ECBE"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Таблица 1.5.10. Проблемы достижения ЦУР, связанных с вопросами отходов</w:t>
      </w:r>
    </w:p>
    <w:p w14:paraId="30020739" w14:textId="77777777" w:rsidR="001D7D6D" w:rsidRPr="00F0736F" w:rsidRDefault="001D7D6D" w:rsidP="001D7D6D">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2423"/>
        <w:gridCol w:w="2212"/>
        <w:gridCol w:w="1904"/>
        <w:gridCol w:w="1906"/>
        <w:gridCol w:w="1600"/>
      </w:tblGrid>
      <w:tr w:rsidR="001D7D6D" w:rsidRPr="00F0736F" w14:paraId="52A67C12" w14:textId="77777777" w:rsidTr="00B155C8">
        <w:tc>
          <w:tcPr>
            <w:tcW w:w="2423" w:type="dxa"/>
            <w:tcBorders>
              <w:top w:val="single" w:sz="4" w:space="0" w:color="000000"/>
              <w:left w:val="single" w:sz="4" w:space="0" w:color="000000"/>
              <w:bottom w:val="single" w:sz="4" w:space="0" w:color="000000"/>
            </w:tcBorders>
            <w:shd w:val="clear" w:color="auto" w:fill="auto"/>
          </w:tcPr>
          <w:p w14:paraId="58DBD32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12" w:type="dxa"/>
            <w:tcBorders>
              <w:top w:val="single" w:sz="4" w:space="0" w:color="000000"/>
              <w:left w:val="single" w:sz="4" w:space="0" w:color="000000"/>
              <w:bottom w:val="single" w:sz="4" w:space="0" w:color="000000"/>
            </w:tcBorders>
            <w:shd w:val="clear" w:color="auto" w:fill="auto"/>
          </w:tcPr>
          <w:p w14:paraId="0440308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904" w:type="dxa"/>
            <w:tcBorders>
              <w:top w:val="single" w:sz="4" w:space="0" w:color="000000"/>
              <w:left w:val="single" w:sz="4" w:space="0" w:color="000000"/>
              <w:bottom w:val="single" w:sz="4" w:space="0" w:color="000000"/>
            </w:tcBorders>
            <w:shd w:val="clear" w:color="auto" w:fill="auto"/>
          </w:tcPr>
          <w:p w14:paraId="2D93393C"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906" w:type="dxa"/>
            <w:tcBorders>
              <w:top w:val="single" w:sz="4" w:space="0" w:color="000000"/>
              <w:left w:val="single" w:sz="4" w:space="0" w:color="000000"/>
              <w:bottom w:val="single" w:sz="4" w:space="0" w:color="000000"/>
            </w:tcBorders>
            <w:shd w:val="clear" w:color="auto" w:fill="auto"/>
          </w:tcPr>
          <w:p w14:paraId="04078C7D"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0A55B26"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1D7D6D" w:rsidRPr="00F0736F" w14:paraId="14B20609" w14:textId="77777777" w:rsidTr="00B155C8">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57F2B26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ЦУР 3. Обеспечение здорового образа жизни и благополучия всех в любом возрасте</w:t>
            </w:r>
          </w:p>
        </w:tc>
      </w:tr>
      <w:tr w:rsidR="001D7D6D" w:rsidRPr="00F0736F" w14:paraId="32E57D02" w14:textId="77777777" w:rsidTr="00B155C8">
        <w:tc>
          <w:tcPr>
            <w:tcW w:w="2423" w:type="dxa"/>
            <w:tcBorders>
              <w:top w:val="single" w:sz="4" w:space="0" w:color="000000"/>
              <w:left w:val="single" w:sz="4" w:space="0" w:color="000000"/>
              <w:bottom w:val="single" w:sz="4" w:space="0" w:color="000000"/>
            </w:tcBorders>
            <w:shd w:val="clear" w:color="auto" w:fill="auto"/>
          </w:tcPr>
          <w:p w14:paraId="0C9E561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3.9. Воздействие опасных химических веществ до 2030 года и значительное снижение смертности и заболеваемости, вызванных загрязнением воздуха, воды и почвы и отравлением</w:t>
            </w:r>
          </w:p>
        </w:tc>
        <w:tc>
          <w:tcPr>
            <w:tcW w:w="2212" w:type="dxa"/>
            <w:tcBorders>
              <w:top w:val="single" w:sz="4" w:space="0" w:color="000000"/>
              <w:left w:val="single" w:sz="4" w:space="0" w:color="000000"/>
              <w:bottom w:val="single" w:sz="4" w:space="0" w:color="000000"/>
            </w:tcBorders>
            <w:shd w:val="clear" w:color="auto" w:fill="auto"/>
          </w:tcPr>
          <w:p w14:paraId="3159B3DB"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3.9.2 Безопасная вода, безопасное хранение и отсутствие гигиены (все для водоснабжения, потери санитарных и гигиенических услуг (LIF))</w:t>
            </w:r>
          </w:p>
          <w:p w14:paraId="5955A9EE"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4664F357"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3.9.3 Из-за неконтролируемого отравления</w:t>
            </w:r>
          </w:p>
        </w:tc>
        <w:tc>
          <w:tcPr>
            <w:tcW w:w="1904" w:type="dxa"/>
            <w:tcBorders>
              <w:top w:val="single" w:sz="4" w:space="0" w:color="000000"/>
              <w:left w:val="single" w:sz="4" w:space="0" w:color="000000"/>
              <w:bottom w:val="single" w:sz="4" w:space="0" w:color="000000"/>
            </w:tcBorders>
            <w:shd w:val="clear" w:color="auto" w:fill="auto"/>
          </w:tcPr>
          <w:p w14:paraId="29D82F51"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Смертность от неумышленного отравления</w:t>
            </w:r>
          </w:p>
        </w:tc>
        <w:tc>
          <w:tcPr>
            <w:tcW w:w="1906" w:type="dxa"/>
            <w:tcBorders>
              <w:top w:val="single" w:sz="4" w:space="0" w:color="000000"/>
              <w:left w:val="single" w:sz="4" w:space="0" w:color="000000"/>
              <w:bottom w:val="single" w:sz="4" w:space="0" w:color="000000"/>
            </w:tcBorders>
            <w:shd w:val="clear" w:color="auto" w:fill="auto"/>
          </w:tcPr>
          <w:p w14:paraId="659C00A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Почти в два раза превышает среднемировой уровень</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CD2ED47"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r>
      <w:tr w:rsidR="001D7D6D" w:rsidRPr="00F0736F" w14:paraId="0719F577" w14:textId="77777777" w:rsidTr="00B155C8">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28F982C1"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ЦУР 11. Обеспечение прозрачности, безопасности, жизнеспособности и экологической устойчивости городов и населенных пунктов</w:t>
            </w:r>
          </w:p>
        </w:tc>
      </w:tr>
      <w:tr w:rsidR="001D7D6D" w:rsidRPr="00F0736F" w14:paraId="691014EC" w14:textId="77777777" w:rsidTr="00B155C8">
        <w:tc>
          <w:tcPr>
            <w:tcW w:w="2423" w:type="dxa"/>
            <w:tcBorders>
              <w:top w:val="single" w:sz="4" w:space="0" w:color="000000"/>
              <w:left w:val="single" w:sz="4" w:space="0" w:color="000000"/>
              <w:bottom w:val="single" w:sz="4" w:space="0" w:color="000000"/>
            </w:tcBorders>
            <w:shd w:val="clear" w:color="auto" w:fill="auto"/>
          </w:tcPr>
          <w:p w14:paraId="09EA976C"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11.6. Сокращение негативного воздействия перерасчета городов на окружающую среду до 2030 года с особым акцентом на качество воздуха и удаление городских и других отходов</w:t>
            </w:r>
          </w:p>
        </w:tc>
        <w:tc>
          <w:tcPr>
            <w:tcW w:w="2212" w:type="dxa"/>
            <w:tcBorders>
              <w:top w:val="single" w:sz="4" w:space="0" w:color="000000"/>
              <w:left w:val="single" w:sz="4" w:space="0" w:color="000000"/>
              <w:bottom w:val="single" w:sz="4" w:space="0" w:color="000000"/>
            </w:tcBorders>
            <w:shd w:val="clear" w:color="auto" w:fill="auto"/>
          </w:tcPr>
          <w:p w14:paraId="07BFBEC3"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11.6.1 Процент утилизации твердых отходов в общей массе муниципальных отходов, регулярно утилизируемых и утилизируемых надлежащим образом</w:t>
            </w:r>
          </w:p>
        </w:tc>
        <w:tc>
          <w:tcPr>
            <w:tcW w:w="1904" w:type="dxa"/>
            <w:tcBorders>
              <w:top w:val="single" w:sz="4" w:space="0" w:color="000000"/>
              <w:left w:val="single" w:sz="4" w:space="0" w:color="000000"/>
              <w:bottom w:val="single" w:sz="4" w:space="0" w:color="000000"/>
            </w:tcBorders>
            <w:shd w:val="clear" w:color="auto" w:fill="auto"/>
          </w:tcPr>
          <w:p w14:paraId="6205FEFA"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Обеспечение населения услугами по сбору и вывозу отходов</w:t>
            </w:r>
          </w:p>
          <w:p w14:paraId="1B13A93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Доля переработки твердых бытовых отходов</w:t>
            </w:r>
          </w:p>
          <w:p w14:paraId="5C5082F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Доля полигонов, соответствующих экологическим требованиям и санитарным нормам</w:t>
            </w:r>
          </w:p>
        </w:tc>
        <w:tc>
          <w:tcPr>
            <w:tcW w:w="1906" w:type="dxa"/>
            <w:tcBorders>
              <w:top w:val="single" w:sz="4" w:space="0" w:color="000000"/>
              <w:left w:val="single" w:sz="4" w:space="0" w:color="000000"/>
              <w:bottom w:val="single" w:sz="4" w:space="0" w:color="000000"/>
            </w:tcBorders>
            <w:shd w:val="clear" w:color="auto" w:fill="auto"/>
          </w:tcPr>
          <w:p w14:paraId="17BE317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Несмотря на наличие нормативной базы, исполнение и соблюдение ее требований обеспечены недостаточно эффективно. Казахстану следует создать систему сбора отходов на основе региональных санитарно-технических полигонов. </w:t>
            </w:r>
          </w:p>
          <w:p w14:paraId="767BE72F"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0A60F12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Имеется опасность недостижения</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44115C55"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Необходимы показатели связи заболеваемости населения с загрязнением отходами</w:t>
            </w:r>
          </w:p>
        </w:tc>
      </w:tr>
      <w:tr w:rsidR="001D7D6D" w:rsidRPr="00F0736F" w14:paraId="71870AC5" w14:textId="77777777" w:rsidTr="00B155C8">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28FF9F17" w14:textId="77777777" w:rsidR="001D7D6D" w:rsidRPr="00F0736F" w:rsidRDefault="001D7D6D" w:rsidP="00B155C8">
            <w:pPr>
              <w:ind w:firstLine="34"/>
              <w:jc w:val="center"/>
              <w:rPr>
                <w:color w:val="000000" w:themeColor="text1"/>
              </w:rPr>
            </w:pPr>
            <w:r w:rsidRPr="00F0736F">
              <w:rPr>
                <w:rFonts w:ascii="Times New Roman" w:hAnsi="Times New Roman" w:cs="Times New Roman"/>
                <w:color w:val="000000" w:themeColor="text1"/>
                <w:sz w:val="20"/>
                <w:szCs w:val="20"/>
              </w:rPr>
              <w:t>ЦУР 12. Обеспечить переход к оптимальным моделям потребления и производства.</w:t>
            </w:r>
          </w:p>
        </w:tc>
      </w:tr>
      <w:tr w:rsidR="001D7D6D" w:rsidRPr="00F0736F" w14:paraId="4B87B0F3" w14:textId="77777777" w:rsidTr="00B155C8">
        <w:tc>
          <w:tcPr>
            <w:tcW w:w="2423" w:type="dxa"/>
            <w:tcBorders>
              <w:top w:val="single" w:sz="4" w:space="0" w:color="000000"/>
              <w:left w:val="single" w:sz="4" w:space="0" w:color="000000"/>
              <w:bottom w:val="single" w:sz="4" w:space="0" w:color="000000"/>
            </w:tcBorders>
            <w:shd w:val="clear" w:color="auto" w:fill="auto"/>
          </w:tcPr>
          <w:p w14:paraId="64B52A77"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12.4 К 2020 году сократить количество химических веществ и всех отходов в соответствии с согласованными на международном уровне правилами оптимального использования экосистем в течение их жизненного цикла и доступа к воздуху, воде и почве для сведения к минимуму их неблагоприятных последствий для здоровья и окружающей среды</w:t>
            </w:r>
          </w:p>
        </w:tc>
        <w:tc>
          <w:tcPr>
            <w:tcW w:w="2212" w:type="dxa"/>
            <w:tcBorders>
              <w:top w:val="single" w:sz="4" w:space="0" w:color="000000"/>
              <w:left w:val="single" w:sz="4" w:space="0" w:color="000000"/>
              <w:bottom w:val="single" w:sz="4" w:space="0" w:color="000000"/>
            </w:tcBorders>
            <w:shd w:val="clear" w:color="auto" w:fill="auto"/>
          </w:tcPr>
          <w:p w14:paraId="152AFDA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12.4.1 Число сторон международных многосторонних природоохранных соглашений об опасных и других химических веществах и отходах, выполняющих свои обязательства и обязательства в соответствии с условиями каждого соглашения</w:t>
            </w:r>
          </w:p>
          <w:p w14:paraId="2D51FB7C"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12.4.2 Образование опасных отходов на человека и процентная доля опасных отходов, обрабатываемых по типам обработки</w:t>
            </w:r>
          </w:p>
        </w:tc>
        <w:tc>
          <w:tcPr>
            <w:tcW w:w="1904" w:type="dxa"/>
            <w:tcBorders>
              <w:top w:val="single" w:sz="4" w:space="0" w:color="000000"/>
              <w:left w:val="single" w:sz="4" w:space="0" w:color="000000"/>
              <w:bottom w:val="single" w:sz="4" w:space="0" w:color="000000"/>
            </w:tcBorders>
            <w:shd w:val="clear" w:color="auto" w:fill="auto"/>
          </w:tcPr>
          <w:p w14:paraId="3D299BA3"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Ратифицированы три химических конвенции (Базельская, Стокгольмская и Роттердамская) и готовится ратификация Минаматской конвенции по ртути.</w:t>
            </w:r>
          </w:p>
          <w:p w14:paraId="0044A305"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642EB262"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6E7E42F3"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7CDB5B56"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Показатели общего образования опасных отходов и в том числе по спискам опасности (красный, янтарный, зеленый)</w:t>
            </w:r>
          </w:p>
        </w:tc>
        <w:tc>
          <w:tcPr>
            <w:tcW w:w="1906" w:type="dxa"/>
            <w:tcBorders>
              <w:top w:val="single" w:sz="4" w:space="0" w:color="000000"/>
              <w:left w:val="single" w:sz="4" w:space="0" w:color="000000"/>
              <w:bottom w:val="single" w:sz="4" w:space="0" w:color="000000"/>
            </w:tcBorders>
            <w:shd w:val="clear" w:color="auto" w:fill="auto"/>
          </w:tcPr>
          <w:p w14:paraId="064BE436" w14:textId="77777777" w:rsidR="001D7D6D" w:rsidRPr="00F0736F" w:rsidRDefault="001D7D6D" w:rsidP="00B155C8">
            <w:pPr>
              <w:snapToGrid w:val="0"/>
              <w:ind w:firstLine="34"/>
              <w:jc w:val="both"/>
              <w:rPr>
                <w:rFonts w:ascii="Times New Roman" w:hAnsi="Times New Roman" w:cs="Times New Roman"/>
                <w:color w:val="000000" w:themeColor="text1"/>
                <w:sz w:val="20"/>
                <w:szCs w:val="20"/>
              </w:rPr>
            </w:pPr>
          </w:p>
          <w:p w14:paraId="287EA9BC"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1E425B07"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72AAEB30"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220D93DD"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7DEE4FD6"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3A79BAAE"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6AFB7B73"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4CBBED9A"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60970C7A"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1DC694DD"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6649B561"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Определения отходов и опасных отходов в Казахстане не адекватны международым, поэтому выполнение задачи невозможно оценить</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4C034F0" w14:textId="77777777" w:rsidR="001D7D6D" w:rsidRPr="00F0736F" w:rsidRDefault="001D7D6D" w:rsidP="00B155C8">
            <w:pPr>
              <w:snapToGrid w:val="0"/>
              <w:ind w:firstLine="34"/>
              <w:jc w:val="both"/>
              <w:rPr>
                <w:rFonts w:ascii="Times New Roman" w:hAnsi="Times New Roman" w:cs="Times New Roman"/>
                <w:color w:val="000000" w:themeColor="text1"/>
                <w:sz w:val="20"/>
                <w:szCs w:val="20"/>
              </w:rPr>
            </w:pPr>
          </w:p>
          <w:p w14:paraId="4CBBA7D7"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5622B5FA"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0CAC0D9E"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3F93190D" w14:textId="77777777" w:rsidR="001D7D6D" w:rsidRPr="00F0736F" w:rsidRDefault="001D7D6D" w:rsidP="00B155C8">
            <w:pPr>
              <w:ind w:firstLine="34"/>
              <w:jc w:val="both"/>
              <w:rPr>
                <w:rFonts w:ascii="Times New Roman" w:hAnsi="Times New Roman" w:cs="Times New Roman"/>
                <w:color w:val="000000" w:themeColor="text1"/>
                <w:sz w:val="20"/>
                <w:szCs w:val="20"/>
              </w:rPr>
            </w:pPr>
          </w:p>
          <w:p w14:paraId="0934D97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Казахстану необходимо рассмотреть вопрос о совершенствовании механизмов отчетности по опасным отходам в соответствии с международными определениями отходов и опасных отходов</w:t>
            </w:r>
          </w:p>
        </w:tc>
      </w:tr>
      <w:tr w:rsidR="001D7D6D" w:rsidRPr="00F0736F" w14:paraId="1A452A87" w14:textId="77777777" w:rsidTr="00B155C8">
        <w:tc>
          <w:tcPr>
            <w:tcW w:w="2423" w:type="dxa"/>
            <w:tcBorders>
              <w:top w:val="single" w:sz="4" w:space="0" w:color="000000"/>
              <w:left w:val="single" w:sz="4" w:space="0" w:color="000000"/>
              <w:bottom w:val="single" w:sz="4" w:space="0" w:color="000000"/>
            </w:tcBorders>
            <w:shd w:val="clear" w:color="auto" w:fill="auto"/>
          </w:tcPr>
          <w:p w14:paraId="2F9C4AB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12.5 Значительное сокращение объемов отходов к 2030 году, принятие мер по предотвращению образования, сокращения, переработки и переработки отходов</w:t>
            </w:r>
          </w:p>
        </w:tc>
        <w:tc>
          <w:tcPr>
            <w:tcW w:w="2212" w:type="dxa"/>
            <w:tcBorders>
              <w:top w:val="single" w:sz="4" w:space="0" w:color="000000"/>
              <w:left w:val="single" w:sz="4" w:space="0" w:color="000000"/>
              <w:bottom w:val="single" w:sz="4" w:space="0" w:color="000000"/>
            </w:tcBorders>
            <w:shd w:val="clear" w:color="auto" w:fill="auto"/>
          </w:tcPr>
          <w:p w14:paraId="19EC4D8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12.5.1 Национальный уровень переработки отходов, масса использованных материалов в тоннах</w:t>
            </w:r>
          </w:p>
        </w:tc>
        <w:tc>
          <w:tcPr>
            <w:tcW w:w="1904" w:type="dxa"/>
            <w:tcBorders>
              <w:top w:val="single" w:sz="4" w:space="0" w:color="000000"/>
              <w:left w:val="single" w:sz="4" w:space="0" w:color="000000"/>
              <w:bottom w:val="single" w:sz="4" w:space="0" w:color="000000"/>
            </w:tcBorders>
            <w:shd w:val="clear" w:color="auto" w:fill="auto"/>
          </w:tcPr>
          <w:p w14:paraId="1966896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процент переработки и утилизация производственных отходов и твердых бытовых отходов</w:t>
            </w:r>
          </w:p>
        </w:tc>
        <w:tc>
          <w:tcPr>
            <w:tcW w:w="1906" w:type="dxa"/>
            <w:tcBorders>
              <w:top w:val="single" w:sz="4" w:space="0" w:color="000000"/>
              <w:left w:val="single" w:sz="4" w:space="0" w:color="000000"/>
              <w:bottom w:val="single" w:sz="4" w:space="0" w:color="000000"/>
            </w:tcBorders>
            <w:shd w:val="clear" w:color="auto" w:fill="auto"/>
          </w:tcPr>
          <w:p w14:paraId="0DB24D6D"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C50FEA1"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Нет </w:t>
            </w:r>
          </w:p>
        </w:tc>
      </w:tr>
      <w:tr w:rsidR="001D7D6D" w:rsidRPr="00F0736F" w14:paraId="2BA9AF8C" w14:textId="77777777" w:rsidTr="00B155C8">
        <w:tc>
          <w:tcPr>
            <w:tcW w:w="2423" w:type="dxa"/>
            <w:tcBorders>
              <w:top w:val="single" w:sz="4" w:space="0" w:color="000000"/>
              <w:left w:val="single" w:sz="4" w:space="0" w:color="000000"/>
              <w:bottom w:val="single" w:sz="4" w:space="0" w:color="000000"/>
            </w:tcBorders>
            <w:shd w:val="clear" w:color="auto" w:fill="auto"/>
          </w:tcPr>
          <w:p w14:paraId="6A7D2DD2"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12.6. Предоставлять компаниям, особенно крупным и транснациональным компаниям, методы устойчивого производства и информацию об оптимальном использовании ресурсов в своих отчетах</w:t>
            </w:r>
          </w:p>
        </w:tc>
        <w:tc>
          <w:tcPr>
            <w:tcW w:w="2212" w:type="dxa"/>
            <w:tcBorders>
              <w:top w:val="single" w:sz="4" w:space="0" w:color="000000"/>
              <w:left w:val="single" w:sz="4" w:space="0" w:color="000000"/>
              <w:bottom w:val="single" w:sz="4" w:space="0" w:color="000000"/>
            </w:tcBorders>
            <w:shd w:val="clear" w:color="auto" w:fill="auto"/>
          </w:tcPr>
          <w:p w14:paraId="5F53B4A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12.6.1 Число компаний, публикующих отчеты о рациональном использовании ресурсов</w:t>
            </w:r>
          </w:p>
        </w:tc>
        <w:tc>
          <w:tcPr>
            <w:tcW w:w="1904" w:type="dxa"/>
            <w:tcBorders>
              <w:top w:val="single" w:sz="4" w:space="0" w:color="000000"/>
              <w:left w:val="single" w:sz="4" w:space="0" w:color="000000"/>
              <w:bottom w:val="single" w:sz="4" w:space="0" w:color="000000"/>
            </w:tcBorders>
            <w:shd w:val="clear" w:color="auto" w:fill="auto"/>
          </w:tcPr>
          <w:p w14:paraId="2945F23D"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 отслеживается в Казахстане </w:t>
            </w:r>
          </w:p>
          <w:p w14:paraId="7B6ACEE5" w14:textId="77777777" w:rsidR="001D7D6D" w:rsidRPr="00F0736F" w:rsidRDefault="001D7D6D" w:rsidP="00B155C8">
            <w:pPr>
              <w:ind w:firstLine="34"/>
              <w:jc w:val="both"/>
              <w:rPr>
                <w:rFonts w:ascii="Times New Roman" w:hAnsi="Times New Roman" w:cs="Times New Roman"/>
                <w:color w:val="000000" w:themeColor="text1"/>
                <w:sz w:val="20"/>
                <w:szCs w:val="20"/>
              </w:rPr>
            </w:pPr>
          </w:p>
        </w:tc>
        <w:tc>
          <w:tcPr>
            <w:tcW w:w="1906" w:type="dxa"/>
            <w:tcBorders>
              <w:top w:val="single" w:sz="4" w:space="0" w:color="000000"/>
              <w:left w:val="single" w:sz="4" w:space="0" w:color="000000"/>
              <w:bottom w:val="single" w:sz="4" w:space="0" w:color="000000"/>
            </w:tcBorders>
            <w:shd w:val="clear" w:color="auto" w:fill="auto"/>
          </w:tcPr>
          <w:p w14:paraId="4B9024FF"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73E82393"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 соответствующий показатель</w:t>
            </w:r>
          </w:p>
        </w:tc>
      </w:tr>
      <w:tr w:rsidR="001D7D6D" w:rsidRPr="00F0736F" w14:paraId="524D3C26" w14:textId="77777777" w:rsidTr="00B155C8">
        <w:tc>
          <w:tcPr>
            <w:tcW w:w="2423" w:type="dxa"/>
            <w:tcBorders>
              <w:top w:val="single" w:sz="4" w:space="0" w:color="000000"/>
              <w:left w:val="single" w:sz="4" w:space="0" w:color="000000"/>
              <w:bottom w:val="single" w:sz="4" w:space="0" w:color="000000"/>
            </w:tcBorders>
            <w:shd w:val="clear" w:color="auto" w:fill="auto"/>
          </w:tcPr>
          <w:p w14:paraId="27C04C20"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12.7 Содействие в обеспечении регулярной практики государственных закупок в соответствии с национальными стратегиями и приоритетами</w:t>
            </w:r>
          </w:p>
        </w:tc>
        <w:tc>
          <w:tcPr>
            <w:tcW w:w="2212" w:type="dxa"/>
            <w:tcBorders>
              <w:top w:val="single" w:sz="4" w:space="0" w:color="000000"/>
              <w:left w:val="single" w:sz="4" w:space="0" w:color="000000"/>
              <w:bottom w:val="single" w:sz="4" w:space="0" w:color="000000"/>
            </w:tcBorders>
            <w:shd w:val="clear" w:color="auto" w:fill="auto"/>
          </w:tcPr>
          <w:p w14:paraId="17353F4B"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12.7.1 Число стран, осуществляющих стратегии и планы действий по экологизации государственных закупок</w:t>
            </w:r>
          </w:p>
        </w:tc>
        <w:tc>
          <w:tcPr>
            <w:tcW w:w="1904" w:type="dxa"/>
            <w:tcBorders>
              <w:top w:val="single" w:sz="4" w:space="0" w:color="000000"/>
              <w:left w:val="single" w:sz="4" w:space="0" w:color="000000"/>
              <w:bottom w:val="single" w:sz="4" w:space="0" w:color="000000"/>
            </w:tcBorders>
            <w:shd w:val="clear" w:color="auto" w:fill="auto"/>
          </w:tcPr>
          <w:p w14:paraId="70C9E7A6"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 отслеживается в Казахстане </w:t>
            </w:r>
          </w:p>
        </w:tc>
        <w:tc>
          <w:tcPr>
            <w:tcW w:w="1906" w:type="dxa"/>
            <w:tcBorders>
              <w:top w:val="single" w:sz="4" w:space="0" w:color="000000"/>
              <w:left w:val="single" w:sz="4" w:space="0" w:color="000000"/>
              <w:bottom w:val="single" w:sz="4" w:space="0" w:color="000000"/>
            </w:tcBorders>
            <w:shd w:val="clear" w:color="auto" w:fill="auto"/>
          </w:tcPr>
          <w:p w14:paraId="0CC8CF7B"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ECC650C"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 соответствующий показатель</w:t>
            </w:r>
          </w:p>
        </w:tc>
      </w:tr>
      <w:tr w:rsidR="001D7D6D" w:rsidRPr="00F0736F" w14:paraId="40230C48" w14:textId="77777777" w:rsidTr="00B155C8">
        <w:tc>
          <w:tcPr>
            <w:tcW w:w="2423" w:type="dxa"/>
            <w:tcBorders>
              <w:top w:val="single" w:sz="4" w:space="0" w:color="000000"/>
              <w:left w:val="single" w:sz="4" w:space="0" w:color="000000"/>
              <w:bottom w:val="single" w:sz="4" w:space="0" w:color="000000"/>
            </w:tcBorders>
            <w:shd w:val="clear" w:color="auto" w:fill="auto"/>
          </w:tcPr>
          <w:p w14:paraId="78095FE2" w14:textId="77777777" w:rsidR="001D7D6D" w:rsidRPr="00F0736F" w:rsidRDefault="001D7D6D" w:rsidP="00B155C8">
            <w:pPr>
              <w:ind w:firstLine="34"/>
              <w:jc w:val="both"/>
              <w:rPr>
                <w:color w:val="000000" w:themeColor="text1"/>
              </w:rPr>
            </w:pPr>
            <w:r w:rsidRPr="00F0736F">
              <w:rPr>
                <w:rFonts w:ascii="Times New Roman" w:eastAsia="Calibri" w:hAnsi="Times New Roman" w:cs="Times New Roman"/>
                <w:color w:val="000000" w:themeColor="text1"/>
                <w:sz w:val="20"/>
                <w:szCs w:val="20"/>
              </w:rPr>
              <w:t>Задача 12.8. Обеспечить, чтобы люди во всем мире имели доступ </w:t>
            </w:r>
            <w:r w:rsidRPr="00F0736F">
              <w:rPr>
                <w:rFonts w:ascii="Tahoma" w:eastAsia="Calibri" w:hAnsi="Tahoma" w:cs="Tahoma" w:hint="cs"/>
                <w:color w:val="000000" w:themeColor="text1"/>
                <w:sz w:val="20"/>
                <w:szCs w:val="20"/>
                <w:cs/>
              </w:rPr>
              <w:t>﻿﻿</w:t>
            </w:r>
            <w:r w:rsidRPr="00F0736F">
              <w:rPr>
                <w:rFonts w:ascii="Times New Roman" w:eastAsia="Calibri" w:hAnsi="Times New Roman" w:cs="Times New Roman"/>
                <w:color w:val="000000" w:themeColor="text1"/>
                <w:sz w:val="20"/>
                <w:szCs w:val="20"/>
              </w:rPr>
              <w:t>к соответствующей информации и информации об устойчивом развитии и гармонии с природой до 2030 года</w:t>
            </w:r>
          </w:p>
        </w:tc>
        <w:tc>
          <w:tcPr>
            <w:tcW w:w="2212" w:type="dxa"/>
            <w:tcBorders>
              <w:top w:val="single" w:sz="4" w:space="0" w:color="000000"/>
              <w:left w:val="single" w:sz="4" w:space="0" w:color="000000"/>
              <w:bottom w:val="single" w:sz="4" w:space="0" w:color="000000"/>
            </w:tcBorders>
            <w:shd w:val="clear" w:color="auto" w:fill="auto"/>
          </w:tcPr>
          <w:p w14:paraId="1AB0586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12.8.1 Статус i) воспитания в духе всемирной гражданственности и ii) пропаганды устойчивого развития (включая просвещение по проблеме изменения климата) в a) в национальной политике в сфере образования; b) в учебных программах; c) в программах подготовки учителей и d) в системе аттестации учащихся</w:t>
            </w:r>
          </w:p>
        </w:tc>
        <w:tc>
          <w:tcPr>
            <w:tcW w:w="1904" w:type="dxa"/>
            <w:tcBorders>
              <w:top w:val="single" w:sz="4" w:space="0" w:color="000000"/>
              <w:left w:val="single" w:sz="4" w:space="0" w:color="000000"/>
              <w:bottom w:val="single" w:sz="4" w:space="0" w:color="000000"/>
            </w:tcBorders>
            <w:shd w:val="clear" w:color="auto" w:fill="auto"/>
          </w:tcPr>
          <w:p w14:paraId="7A3BAE65"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 отслеживается в Казахстане </w:t>
            </w:r>
          </w:p>
          <w:p w14:paraId="5E9E5020" w14:textId="77777777" w:rsidR="001D7D6D" w:rsidRPr="00F0736F" w:rsidRDefault="001D7D6D" w:rsidP="00B155C8">
            <w:pPr>
              <w:ind w:firstLine="34"/>
              <w:jc w:val="both"/>
              <w:rPr>
                <w:rFonts w:ascii="Times New Roman" w:hAnsi="Times New Roman" w:cs="Times New Roman"/>
                <w:color w:val="000000" w:themeColor="text1"/>
                <w:sz w:val="20"/>
                <w:szCs w:val="20"/>
              </w:rPr>
            </w:pPr>
          </w:p>
        </w:tc>
        <w:tc>
          <w:tcPr>
            <w:tcW w:w="1906" w:type="dxa"/>
            <w:tcBorders>
              <w:top w:val="single" w:sz="4" w:space="0" w:color="000000"/>
              <w:left w:val="single" w:sz="4" w:space="0" w:color="000000"/>
              <w:bottom w:val="single" w:sz="4" w:space="0" w:color="000000"/>
            </w:tcBorders>
            <w:shd w:val="clear" w:color="auto" w:fill="auto"/>
          </w:tcPr>
          <w:p w14:paraId="7A74CA24"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6D7BC435"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 соответствующий показатель</w:t>
            </w:r>
          </w:p>
        </w:tc>
      </w:tr>
      <w:tr w:rsidR="001D7D6D" w:rsidRPr="00F0736F" w14:paraId="66D59D4A" w14:textId="77777777" w:rsidTr="00B155C8">
        <w:tc>
          <w:tcPr>
            <w:tcW w:w="2423" w:type="dxa"/>
            <w:tcBorders>
              <w:top w:val="single" w:sz="4" w:space="0" w:color="000000"/>
              <w:left w:val="single" w:sz="4" w:space="0" w:color="000000"/>
              <w:bottom w:val="single" w:sz="4" w:space="0" w:color="000000"/>
            </w:tcBorders>
            <w:shd w:val="clear" w:color="auto" w:fill="auto"/>
          </w:tcPr>
          <w:p w14:paraId="1B9AF6B5"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12.a Оказание помощи развивающимся странам в их научном и техническом потенциале для перехода к наиболее оптимальным моделям потребления и производства</w:t>
            </w:r>
          </w:p>
        </w:tc>
        <w:tc>
          <w:tcPr>
            <w:tcW w:w="2212" w:type="dxa"/>
            <w:tcBorders>
              <w:top w:val="single" w:sz="4" w:space="0" w:color="000000"/>
              <w:left w:val="single" w:sz="4" w:space="0" w:color="000000"/>
              <w:bottom w:val="single" w:sz="4" w:space="0" w:color="000000"/>
            </w:tcBorders>
            <w:shd w:val="clear" w:color="auto" w:fill="auto"/>
          </w:tcPr>
          <w:p w14:paraId="22F73B5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12.a.1 Объем помощи развивающимся странам в сфере научных исследований и опытно-конструкторских разработок в интересах обеспечения рационального потребления и производства и внедрения экологически безопасных технологий</w:t>
            </w:r>
          </w:p>
        </w:tc>
        <w:tc>
          <w:tcPr>
            <w:tcW w:w="1904" w:type="dxa"/>
            <w:tcBorders>
              <w:top w:val="single" w:sz="4" w:space="0" w:color="000000"/>
              <w:left w:val="single" w:sz="4" w:space="0" w:color="000000"/>
              <w:bottom w:val="single" w:sz="4" w:space="0" w:color="000000"/>
            </w:tcBorders>
            <w:shd w:val="clear" w:color="auto" w:fill="auto"/>
          </w:tcPr>
          <w:p w14:paraId="01AC84A7"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 отслеживается в Казахстане </w:t>
            </w:r>
          </w:p>
          <w:p w14:paraId="52699A70" w14:textId="77777777" w:rsidR="001D7D6D" w:rsidRPr="00F0736F" w:rsidRDefault="001D7D6D" w:rsidP="00B155C8">
            <w:pPr>
              <w:ind w:firstLine="34"/>
              <w:jc w:val="both"/>
              <w:rPr>
                <w:rFonts w:ascii="Times New Roman" w:hAnsi="Times New Roman" w:cs="Times New Roman"/>
                <w:color w:val="000000" w:themeColor="text1"/>
                <w:sz w:val="20"/>
                <w:szCs w:val="20"/>
              </w:rPr>
            </w:pPr>
          </w:p>
        </w:tc>
        <w:tc>
          <w:tcPr>
            <w:tcW w:w="1906" w:type="dxa"/>
            <w:tcBorders>
              <w:top w:val="single" w:sz="4" w:space="0" w:color="000000"/>
              <w:left w:val="single" w:sz="4" w:space="0" w:color="000000"/>
              <w:bottom w:val="single" w:sz="4" w:space="0" w:color="000000"/>
            </w:tcBorders>
            <w:shd w:val="clear" w:color="auto" w:fill="auto"/>
          </w:tcPr>
          <w:p w14:paraId="38569521"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6CA3E6A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 соответствующий показатель</w:t>
            </w:r>
          </w:p>
        </w:tc>
      </w:tr>
      <w:tr w:rsidR="001D7D6D" w:rsidRPr="00F0736F" w14:paraId="44EADA33" w14:textId="77777777" w:rsidTr="00B155C8">
        <w:tc>
          <w:tcPr>
            <w:tcW w:w="2423" w:type="dxa"/>
            <w:tcBorders>
              <w:top w:val="single" w:sz="4" w:space="0" w:color="000000"/>
              <w:left w:val="single" w:sz="4" w:space="0" w:color="000000"/>
              <w:bottom w:val="single" w:sz="4" w:space="0" w:color="000000"/>
            </w:tcBorders>
            <w:shd w:val="clear" w:color="auto" w:fill="auto"/>
          </w:tcPr>
          <w:p w14:paraId="2C00184B"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Задача 12.b. Подготовка и внедрение инструментов для анализа воздействия на устойчивое развитие посредством устойчивого туризма, который способствует появлению рабочих мест, развитию местной культуры и местного производства</w:t>
            </w:r>
          </w:p>
        </w:tc>
        <w:tc>
          <w:tcPr>
            <w:tcW w:w="2212" w:type="dxa"/>
            <w:tcBorders>
              <w:top w:val="single" w:sz="4" w:space="0" w:color="000000"/>
              <w:left w:val="single" w:sz="4" w:space="0" w:color="000000"/>
              <w:bottom w:val="single" w:sz="4" w:space="0" w:color="000000"/>
            </w:tcBorders>
            <w:shd w:val="clear" w:color="auto" w:fill="auto"/>
          </w:tcPr>
          <w:p w14:paraId="1AB0CB1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12.b.1 Число стратегий или директив и осуществляемых планов действий в области устойчивого туризма с согласованными инструментами мониторинга и оценки</w:t>
            </w:r>
          </w:p>
        </w:tc>
        <w:tc>
          <w:tcPr>
            <w:tcW w:w="1904" w:type="dxa"/>
            <w:tcBorders>
              <w:top w:val="single" w:sz="4" w:space="0" w:color="000000"/>
              <w:left w:val="single" w:sz="4" w:space="0" w:color="000000"/>
              <w:bottom w:val="single" w:sz="4" w:space="0" w:color="000000"/>
            </w:tcBorders>
            <w:shd w:val="clear" w:color="auto" w:fill="auto"/>
          </w:tcPr>
          <w:p w14:paraId="0B6CF786"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 xml:space="preserve">Не отслеживается в Казахстане </w:t>
            </w:r>
          </w:p>
          <w:p w14:paraId="6E6076F1" w14:textId="77777777" w:rsidR="001D7D6D" w:rsidRPr="00F0736F" w:rsidRDefault="001D7D6D" w:rsidP="00B155C8">
            <w:pPr>
              <w:ind w:firstLine="34"/>
              <w:jc w:val="both"/>
              <w:rPr>
                <w:rFonts w:ascii="Times New Roman" w:hAnsi="Times New Roman" w:cs="Times New Roman"/>
                <w:color w:val="000000" w:themeColor="text1"/>
                <w:sz w:val="20"/>
                <w:szCs w:val="20"/>
              </w:rPr>
            </w:pPr>
          </w:p>
        </w:tc>
        <w:tc>
          <w:tcPr>
            <w:tcW w:w="1906" w:type="dxa"/>
            <w:tcBorders>
              <w:top w:val="single" w:sz="4" w:space="0" w:color="000000"/>
              <w:left w:val="single" w:sz="4" w:space="0" w:color="000000"/>
              <w:bottom w:val="single" w:sz="4" w:space="0" w:color="000000"/>
            </w:tcBorders>
            <w:shd w:val="clear" w:color="auto" w:fill="auto"/>
          </w:tcPr>
          <w:p w14:paraId="05BFDC49"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Нет</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C72A32E" w14:textId="77777777" w:rsidR="001D7D6D" w:rsidRPr="00F0736F" w:rsidRDefault="001D7D6D" w:rsidP="00B155C8">
            <w:pPr>
              <w:ind w:firstLine="34"/>
              <w:jc w:val="both"/>
              <w:rPr>
                <w:color w:val="000000" w:themeColor="text1"/>
              </w:rPr>
            </w:pPr>
            <w:r w:rsidRPr="00F0736F">
              <w:rPr>
                <w:rFonts w:ascii="Times New Roman" w:hAnsi="Times New Roman" w:cs="Times New Roman"/>
                <w:color w:val="000000" w:themeColor="text1"/>
                <w:sz w:val="20"/>
                <w:szCs w:val="20"/>
              </w:rPr>
              <w:t>Необходим соответствующий показатель</w:t>
            </w:r>
          </w:p>
        </w:tc>
      </w:tr>
    </w:tbl>
    <w:p w14:paraId="00C1C31A" w14:textId="77777777" w:rsidR="001D7D6D" w:rsidRPr="00F0736F" w:rsidRDefault="001D7D6D" w:rsidP="001D7D6D">
      <w:pPr>
        <w:ind w:firstLine="709"/>
        <w:jc w:val="both"/>
        <w:rPr>
          <w:rFonts w:ascii="Times New Roman" w:hAnsi="Times New Roman" w:cs="Times New Roman"/>
          <w:color w:val="000000" w:themeColor="text1"/>
        </w:rPr>
      </w:pPr>
    </w:p>
    <w:p w14:paraId="2466777E" w14:textId="77777777" w:rsidR="001D7D6D" w:rsidRPr="00F0736F" w:rsidRDefault="001D7D6D" w:rsidP="001D7D6D">
      <w:pPr>
        <w:ind w:firstLine="709"/>
        <w:jc w:val="both"/>
        <w:rPr>
          <w:color w:val="000000" w:themeColor="text1"/>
        </w:rPr>
      </w:pPr>
      <w:r w:rsidRPr="00F0736F">
        <w:rPr>
          <w:rFonts w:ascii="Times New Roman" w:hAnsi="Times New Roman" w:cs="Times New Roman"/>
          <w:b/>
          <w:bCs/>
          <w:color w:val="000000" w:themeColor="text1"/>
        </w:rPr>
        <w:t>Планы на будущее</w:t>
      </w:r>
    </w:p>
    <w:p w14:paraId="0A02D559"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В разрабатываемом проекте нового Экологического кодекса предлагается усовершенствовать систему управления отходами. Необходимо обеспечить условия, когда экономически более выгодным будет повторное использование, переработка или утилизация отходов, нежели их захоронение. С учетом опыта стран ОЭСР должны быть проработаны и заложены основы для создания системы эффективного сбора (в том числе раздельного), транспортировки, сортировки, переработки, обезвреживания, использования и утилизации твердых бытовых отходов. При этом предполагается, что более конкретные меры и механизмы стимулирования будут определены при разработке законопроекта по результатам обсуждения с заинтересованными государственными органами и организациями. Помимо этого, будут усовершенствованы понятийный аппарат, система классификации отходов, разрешительного или уведомительного режимов в сфере управления отходами.</w:t>
      </w:r>
    </w:p>
    <w:p w14:paraId="29BF7BA1" w14:textId="77777777" w:rsidR="001D7D6D" w:rsidRPr="00F0736F" w:rsidRDefault="001D7D6D" w:rsidP="001D7D6D">
      <w:pPr>
        <w:ind w:firstLine="709"/>
        <w:jc w:val="both"/>
        <w:rPr>
          <w:bCs/>
          <w:color w:val="000000" w:themeColor="text1"/>
        </w:rPr>
      </w:pPr>
      <w:r w:rsidRPr="00F0736F">
        <w:rPr>
          <w:rFonts w:ascii="Times New Roman" w:eastAsia="Times New Roman" w:hAnsi="Times New Roman" w:cs="Times New Roman"/>
          <w:bCs/>
          <w:color w:val="000000" w:themeColor="text1"/>
          <w:spacing w:val="2"/>
          <w:lang w:eastAsia="ru-RU"/>
        </w:rPr>
        <w:t xml:space="preserve">Для решения проблем в области отходов планируется </w:t>
      </w:r>
      <w:r w:rsidRPr="00F0736F">
        <w:rPr>
          <w:rFonts w:ascii="Times New Roman" w:eastAsia="Tahoma" w:hAnsi="Times New Roman" w:cs="Times New Roman"/>
          <w:bCs/>
          <w:color w:val="000000" w:themeColor="text1"/>
          <w:lang w:eastAsia="ru-RU"/>
        </w:rPr>
        <w:t>разработка государственной программы в области управления отходами производства и потребления (2020 г.).</w:t>
      </w:r>
    </w:p>
    <w:p w14:paraId="31F6ABD7"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bCs/>
          <w:color w:val="000000" w:themeColor="text1"/>
          <w:spacing w:val="2"/>
          <w:lang w:eastAsia="ru-RU"/>
        </w:rPr>
        <w:t>В</w:t>
      </w:r>
      <w:r w:rsidRPr="00F0736F">
        <w:rPr>
          <w:rFonts w:ascii="Times New Roman" w:eastAsia="Tahoma" w:hAnsi="Times New Roman" w:cs="Times New Roman"/>
          <w:bCs/>
          <w:color w:val="000000" w:themeColor="text1"/>
        </w:rPr>
        <w:t xml:space="preserve"> согласованной МЭ Стратегии развития деятельности Оператора РОП</w:t>
      </w:r>
      <w:r w:rsidRPr="00F0736F">
        <w:rPr>
          <w:rFonts w:ascii="Times New Roman" w:eastAsia="Tahoma" w:hAnsi="Times New Roman" w:cs="Times New Roman"/>
          <w:color w:val="000000" w:themeColor="text1"/>
        </w:rPr>
        <w:t xml:space="preserve"> для решения задач Оператора и достижения целей в рамках Стратегии, определены следующие стратегические направления деятельности:</w:t>
      </w:r>
    </w:p>
    <w:p w14:paraId="5F2B18DA" w14:textId="77777777" w:rsidR="001D7D6D" w:rsidRPr="00F0736F" w:rsidRDefault="001D7D6D" w:rsidP="001D7D6D">
      <w:pPr>
        <w:ind w:firstLine="709"/>
        <w:jc w:val="both"/>
        <w:rPr>
          <w:color w:val="000000" w:themeColor="text1"/>
        </w:rPr>
      </w:pPr>
      <w:r w:rsidRPr="00F0736F">
        <w:rPr>
          <w:rFonts w:ascii="Times New Roman" w:eastAsia="Tahoma" w:hAnsi="Times New Roman" w:cs="Times New Roman"/>
          <w:color w:val="000000" w:themeColor="text1"/>
        </w:rPr>
        <w:t>1) организация сбора, транспортировки, переработки, обезвреживания, использования и (или) утилизации отходов, образующихся после утраты потребительских свойств продукции (товаров), на которую (которые) распространяются РОП</w:t>
      </w:r>
      <w:r w:rsidRPr="00F0736F">
        <w:rPr>
          <w:rFonts w:ascii="Times New Roman" w:eastAsia="Tahoma" w:hAnsi="Times New Roman" w:cs="Times New Roman"/>
          <w:color w:val="000000" w:themeColor="text1"/>
          <w:spacing w:val="2"/>
        </w:rPr>
        <w:t xml:space="preserve">; </w:t>
      </w:r>
    </w:p>
    <w:p w14:paraId="13655F2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2) финансирование экспериментальных, опытных, проектных, научно-исследовательских работ в сфере сбора, переработки, обезвреживания и (или) утилизации отходов;</w:t>
      </w:r>
    </w:p>
    <w:p w14:paraId="3300A912"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3) стимулирование сдачи населением ВЭТС на утилизацию;</w:t>
      </w:r>
    </w:p>
    <w:p w14:paraId="3B62F713"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4) внедрение новых технологий сбора и использования отходов в качестве вторичного сырья, строительство заводов (производств) по сортировке и (или) использованию твердых бытовых отходов и вторичных ресурсов, совершенствование материально-технической базы организаций, осуществляющих сбор и (или) использование вторичных ресурсов, сбор, сортировку и (или) использование твердых бытовых отходов;</w:t>
      </w:r>
    </w:p>
    <w:p w14:paraId="5EAD5E14" w14:textId="77777777" w:rsidR="001D7D6D" w:rsidRPr="00F0736F" w:rsidRDefault="001D7D6D" w:rsidP="001D7D6D">
      <w:pPr>
        <w:ind w:firstLine="709"/>
        <w:jc w:val="both"/>
        <w:rPr>
          <w:color w:val="000000" w:themeColor="text1"/>
        </w:rPr>
      </w:pPr>
      <w:r w:rsidRPr="00F0736F">
        <w:rPr>
          <w:rFonts w:ascii="Times New Roman" w:eastAsia="Tahoma" w:hAnsi="Times New Roman" w:cs="Times New Roman"/>
          <w:color w:val="000000" w:themeColor="text1"/>
        </w:rPr>
        <w:t>5) о</w:t>
      </w:r>
      <w:r w:rsidRPr="00F0736F">
        <w:rPr>
          <w:rFonts w:ascii="Times New Roman" w:eastAsia="Tahoma" w:hAnsi="Times New Roman" w:cs="Times New Roman"/>
          <w:color w:val="000000" w:themeColor="text1"/>
          <w:spacing w:val="2"/>
        </w:rPr>
        <w:t>рганизационно-техническое и информационное обеспечение системы сбора, транспортировки, переработки, обезвреживания и (или) утилизации отходов продукции (товаров), финансирование рекламной деятельности, образовательных, маркетинговых исследований в сфере обращения с отходами и вторичными ресурсами.</w:t>
      </w:r>
    </w:p>
    <w:p w14:paraId="3BFF1EBA" w14:textId="77777777" w:rsidR="001D7D6D" w:rsidRPr="00F0736F" w:rsidRDefault="001D7D6D" w:rsidP="001D7D6D">
      <w:pPr>
        <w:ind w:firstLine="709"/>
        <w:jc w:val="both"/>
        <w:rPr>
          <w:color w:val="000000" w:themeColor="text1"/>
        </w:rPr>
      </w:pPr>
      <w:r w:rsidRPr="00F0736F">
        <w:rPr>
          <w:rFonts w:ascii="Times New Roman" w:eastAsia="Tahoma" w:hAnsi="Times New Roman" w:cs="Times New Roman"/>
          <w:color w:val="000000" w:themeColor="text1"/>
        </w:rPr>
        <w:t>По поручению МЭ в Стратегии также установлены целевые показатели по</w:t>
      </w:r>
      <w:r w:rsidRPr="00F0736F">
        <w:rPr>
          <w:rFonts w:ascii="Times New Roman" w:eastAsia="Tahoma" w:hAnsi="Times New Roman" w:cs="Times New Roman"/>
          <w:color w:val="000000" w:themeColor="text1"/>
          <w:spacing w:val="2"/>
        </w:rPr>
        <w:t xml:space="preserve"> планируемой доле собранных переработанных и утилизированных отходов от </w:t>
      </w:r>
      <w:r w:rsidRPr="00F0736F">
        <w:rPr>
          <w:rFonts w:ascii="Times New Roman" w:eastAsia="Tahoma" w:hAnsi="Times New Roman" w:cs="Times New Roman"/>
          <w:color w:val="000000" w:themeColor="text1"/>
        </w:rPr>
        <w:t>общего количества произведенной и импортированной (за вычетом экспортированной) продукции (товаров) в предыдущем году</w:t>
      </w:r>
      <w:r w:rsidRPr="00F0736F">
        <w:rPr>
          <w:rFonts w:ascii="Times New Roman" w:eastAsia="Tahoma" w:hAnsi="Times New Roman" w:cs="Times New Roman"/>
          <w:color w:val="000000" w:themeColor="text1"/>
          <w:spacing w:val="2"/>
        </w:rPr>
        <w:t>:</w:t>
      </w:r>
    </w:p>
    <w:p w14:paraId="454A89E8"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по отработанным аккумуляторным батареям – 65%;</w:t>
      </w:r>
    </w:p>
    <w:p w14:paraId="579955EF"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по отработанным маслам и использованным шинам – 50%.</w:t>
      </w:r>
    </w:p>
    <w:p w14:paraId="308284B2"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Прогнозируемые объемы сбора переработки и утилизации отходов продукции (товаров) с учетом равномерного их увеличения в рамках Стратегии указаны в таблицах 1.5.11. и 1.5.12.</w:t>
      </w:r>
    </w:p>
    <w:p w14:paraId="1A297676" w14:textId="77777777" w:rsidR="001D7D6D" w:rsidRPr="00F0736F" w:rsidRDefault="001D7D6D" w:rsidP="001D7D6D">
      <w:pPr>
        <w:ind w:firstLine="709"/>
        <w:jc w:val="both"/>
        <w:rPr>
          <w:color w:val="000000" w:themeColor="text1"/>
        </w:rPr>
      </w:pPr>
    </w:p>
    <w:p w14:paraId="43B23F85"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Таблица 1.5.11. </w:t>
      </w:r>
      <w:r w:rsidRPr="00F0736F">
        <w:rPr>
          <w:rFonts w:ascii="Times New Roman" w:hAnsi="Times New Roman" w:cs="Times New Roman"/>
          <w:color w:val="000000" w:themeColor="text1"/>
          <w:sz w:val="22"/>
          <w:szCs w:val="22"/>
        </w:rPr>
        <w:t>Планируемые объемы сбора, переработки и утилизации</w:t>
      </w:r>
    </w:p>
    <w:p w14:paraId="283BA311" w14:textId="77777777" w:rsidR="001D7D6D" w:rsidRPr="00F0736F" w:rsidRDefault="001D7D6D" w:rsidP="001D7D6D">
      <w:pPr>
        <w:ind w:firstLine="709"/>
        <w:jc w:val="both"/>
        <w:rPr>
          <w:rFonts w:ascii="Times New Roman" w:hAnsi="Times New Roman" w:cs="Times New Roman"/>
          <w:color w:val="000000" w:themeColor="text1"/>
        </w:rPr>
      </w:pPr>
    </w:p>
    <w:tbl>
      <w:tblPr>
        <w:tblW w:w="9781" w:type="dxa"/>
        <w:tblInd w:w="108" w:type="dxa"/>
        <w:tblLayout w:type="fixed"/>
        <w:tblLook w:val="0000" w:firstRow="0" w:lastRow="0" w:firstColumn="0" w:lastColumn="0" w:noHBand="0" w:noVBand="0"/>
      </w:tblPr>
      <w:tblGrid>
        <w:gridCol w:w="3570"/>
        <w:gridCol w:w="1132"/>
        <w:gridCol w:w="1132"/>
        <w:gridCol w:w="1132"/>
        <w:gridCol w:w="1416"/>
        <w:gridCol w:w="1399"/>
      </w:tblGrid>
      <w:tr w:rsidR="001D7D6D" w:rsidRPr="00F0736F" w14:paraId="680D4680" w14:textId="77777777" w:rsidTr="00B155C8">
        <w:trPr>
          <w:trHeight w:val="270"/>
        </w:trPr>
        <w:tc>
          <w:tcPr>
            <w:tcW w:w="3570" w:type="dxa"/>
            <w:vMerge w:val="restart"/>
            <w:tcBorders>
              <w:top w:val="single" w:sz="4" w:space="0" w:color="000000"/>
              <w:left w:val="single" w:sz="4" w:space="0" w:color="000000"/>
              <w:bottom w:val="single" w:sz="4" w:space="0" w:color="000000"/>
            </w:tcBorders>
            <w:shd w:val="clear" w:color="auto" w:fill="auto"/>
          </w:tcPr>
          <w:p w14:paraId="12EB7D2C"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Наименование отходов продукции (товаров)</w:t>
            </w:r>
          </w:p>
        </w:tc>
        <w:tc>
          <w:tcPr>
            <w:tcW w:w="6211" w:type="dxa"/>
            <w:gridSpan w:val="5"/>
            <w:tcBorders>
              <w:top w:val="single" w:sz="4" w:space="0" w:color="000000"/>
              <w:left w:val="single" w:sz="4" w:space="0" w:color="000000"/>
              <w:bottom w:val="single" w:sz="6" w:space="0" w:color="000000"/>
              <w:right w:val="single" w:sz="4" w:space="0" w:color="000000"/>
            </w:tcBorders>
            <w:shd w:val="clear" w:color="auto" w:fill="auto"/>
            <w:vAlign w:val="center"/>
          </w:tcPr>
          <w:p w14:paraId="6F2DCB16" w14:textId="77777777" w:rsidR="001D7D6D" w:rsidRPr="00F0736F" w:rsidRDefault="001D7D6D" w:rsidP="00B155C8">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Планируемые объемы сбора, переработки и утилизации*,</w:t>
            </w:r>
          </w:p>
          <w:p w14:paraId="4AD4FD7B"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тыс. тонн</w:t>
            </w:r>
          </w:p>
        </w:tc>
      </w:tr>
      <w:tr w:rsidR="001D7D6D" w:rsidRPr="00F0736F" w14:paraId="4772B9DE" w14:textId="77777777" w:rsidTr="00B155C8">
        <w:trPr>
          <w:trHeight w:val="399"/>
        </w:trPr>
        <w:tc>
          <w:tcPr>
            <w:tcW w:w="3570" w:type="dxa"/>
            <w:vMerge/>
            <w:tcBorders>
              <w:top w:val="single" w:sz="4" w:space="0" w:color="000000"/>
              <w:left w:val="single" w:sz="4" w:space="0" w:color="000000"/>
              <w:bottom w:val="single" w:sz="4" w:space="0" w:color="000000"/>
            </w:tcBorders>
            <w:shd w:val="clear" w:color="auto" w:fill="auto"/>
          </w:tcPr>
          <w:p w14:paraId="60568F23" w14:textId="77777777" w:rsidR="001D7D6D" w:rsidRPr="00F0736F" w:rsidRDefault="001D7D6D" w:rsidP="00B155C8">
            <w:pPr>
              <w:snapToGrid w:val="0"/>
              <w:jc w:val="both"/>
              <w:rPr>
                <w:rFonts w:ascii="Times New Roman" w:hAnsi="Times New Roman" w:cs="Times New Roman"/>
                <w:color w:val="000000" w:themeColor="text1"/>
                <w:sz w:val="22"/>
                <w:szCs w:val="22"/>
              </w:rPr>
            </w:pPr>
          </w:p>
        </w:tc>
        <w:tc>
          <w:tcPr>
            <w:tcW w:w="1132" w:type="dxa"/>
            <w:tcBorders>
              <w:top w:val="single" w:sz="6" w:space="0" w:color="000000"/>
              <w:left w:val="single" w:sz="4" w:space="0" w:color="000000"/>
              <w:bottom w:val="single" w:sz="4" w:space="0" w:color="000000"/>
            </w:tcBorders>
            <w:shd w:val="clear" w:color="auto" w:fill="auto"/>
            <w:vAlign w:val="center"/>
          </w:tcPr>
          <w:p w14:paraId="73BE2E78"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2017</w:t>
            </w:r>
          </w:p>
        </w:tc>
        <w:tc>
          <w:tcPr>
            <w:tcW w:w="1132" w:type="dxa"/>
            <w:tcBorders>
              <w:top w:val="single" w:sz="6" w:space="0" w:color="000000"/>
              <w:left w:val="single" w:sz="4" w:space="0" w:color="000000"/>
              <w:bottom w:val="single" w:sz="4" w:space="0" w:color="000000"/>
            </w:tcBorders>
            <w:shd w:val="clear" w:color="auto" w:fill="auto"/>
            <w:vAlign w:val="center"/>
          </w:tcPr>
          <w:p w14:paraId="62099BFD"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2018</w:t>
            </w:r>
          </w:p>
        </w:tc>
        <w:tc>
          <w:tcPr>
            <w:tcW w:w="1132" w:type="dxa"/>
            <w:tcBorders>
              <w:top w:val="single" w:sz="6" w:space="0" w:color="000000"/>
              <w:left w:val="single" w:sz="4" w:space="0" w:color="000000"/>
              <w:bottom w:val="single" w:sz="4" w:space="0" w:color="000000"/>
            </w:tcBorders>
            <w:shd w:val="clear" w:color="auto" w:fill="auto"/>
            <w:vAlign w:val="center"/>
          </w:tcPr>
          <w:p w14:paraId="25B2366B"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2019</w:t>
            </w:r>
          </w:p>
        </w:tc>
        <w:tc>
          <w:tcPr>
            <w:tcW w:w="1416" w:type="dxa"/>
            <w:tcBorders>
              <w:top w:val="single" w:sz="6" w:space="0" w:color="000000"/>
              <w:left w:val="single" w:sz="4" w:space="0" w:color="000000"/>
              <w:bottom w:val="single" w:sz="4" w:space="0" w:color="000000"/>
            </w:tcBorders>
            <w:shd w:val="clear" w:color="auto" w:fill="auto"/>
            <w:vAlign w:val="center"/>
          </w:tcPr>
          <w:p w14:paraId="40DE63DD"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2020</w:t>
            </w:r>
          </w:p>
        </w:tc>
        <w:tc>
          <w:tcPr>
            <w:tcW w:w="1399" w:type="dxa"/>
            <w:tcBorders>
              <w:top w:val="single" w:sz="6" w:space="0" w:color="000000"/>
              <w:left w:val="single" w:sz="4" w:space="0" w:color="000000"/>
              <w:bottom w:val="single" w:sz="4" w:space="0" w:color="000000"/>
              <w:right w:val="single" w:sz="4" w:space="0" w:color="000000"/>
            </w:tcBorders>
            <w:shd w:val="clear" w:color="auto" w:fill="auto"/>
            <w:vAlign w:val="center"/>
          </w:tcPr>
          <w:p w14:paraId="2EA9E995"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2021</w:t>
            </w:r>
          </w:p>
        </w:tc>
      </w:tr>
      <w:tr w:rsidR="001D7D6D" w:rsidRPr="00F0736F" w14:paraId="1FF2BAA9" w14:textId="77777777" w:rsidTr="00B155C8">
        <w:tc>
          <w:tcPr>
            <w:tcW w:w="3570" w:type="dxa"/>
            <w:tcBorders>
              <w:top w:val="single" w:sz="4" w:space="0" w:color="000000"/>
              <w:left w:val="single" w:sz="4" w:space="0" w:color="000000"/>
              <w:bottom w:val="single" w:sz="4" w:space="0" w:color="000000"/>
            </w:tcBorders>
            <w:shd w:val="clear" w:color="auto" w:fill="auto"/>
          </w:tcPr>
          <w:p w14:paraId="17515118" w14:textId="77777777" w:rsidR="001D7D6D" w:rsidRPr="00F0736F" w:rsidRDefault="001D7D6D" w:rsidP="00B155C8">
            <w:pPr>
              <w:jc w:val="both"/>
              <w:rPr>
                <w:color w:val="000000" w:themeColor="text1"/>
                <w:sz w:val="22"/>
                <w:szCs w:val="22"/>
              </w:rPr>
            </w:pPr>
            <w:r w:rsidRPr="00F0736F">
              <w:rPr>
                <w:rFonts w:ascii="Times New Roman" w:hAnsi="Times New Roman" w:cs="Times New Roman"/>
                <w:color w:val="000000" w:themeColor="text1"/>
                <w:sz w:val="22"/>
                <w:szCs w:val="22"/>
              </w:rPr>
              <w:t>Отработанные аккумуляторные батареи</w:t>
            </w:r>
          </w:p>
        </w:tc>
        <w:tc>
          <w:tcPr>
            <w:tcW w:w="1132" w:type="dxa"/>
            <w:tcBorders>
              <w:top w:val="single" w:sz="4" w:space="0" w:color="000000"/>
              <w:left w:val="single" w:sz="4" w:space="0" w:color="000000"/>
              <w:bottom w:val="single" w:sz="4" w:space="0" w:color="000000"/>
            </w:tcBorders>
            <w:shd w:val="clear" w:color="auto" w:fill="auto"/>
            <w:vAlign w:val="center"/>
          </w:tcPr>
          <w:p w14:paraId="25A0B839"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12,0</w:t>
            </w:r>
          </w:p>
        </w:tc>
        <w:tc>
          <w:tcPr>
            <w:tcW w:w="1132" w:type="dxa"/>
            <w:tcBorders>
              <w:top w:val="single" w:sz="4" w:space="0" w:color="000000"/>
              <w:left w:val="single" w:sz="4" w:space="0" w:color="000000"/>
              <w:bottom w:val="single" w:sz="4" w:space="0" w:color="000000"/>
            </w:tcBorders>
            <w:shd w:val="clear" w:color="auto" w:fill="auto"/>
            <w:vAlign w:val="center"/>
          </w:tcPr>
          <w:p w14:paraId="21C82685"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12,5</w:t>
            </w:r>
          </w:p>
        </w:tc>
        <w:tc>
          <w:tcPr>
            <w:tcW w:w="1132" w:type="dxa"/>
            <w:tcBorders>
              <w:top w:val="single" w:sz="4" w:space="0" w:color="000000"/>
              <w:left w:val="single" w:sz="4" w:space="0" w:color="000000"/>
              <w:bottom w:val="single" w:sz="4" w:space="0" w:color="000000"/>
            </w:tcBorders>
            <w:shd w:val="clear" w:color="auto" w:fill="auto"/>
            <w:vAlign w:val="center"/>
          </w:tcPr>
          <w:p w14:paraId="167A7E8E"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13,0</w:t>
            </w:r>
          </w:p>
        </w:tc>
        <w:tc>
          <w:tcPr>
            <w:tcW w:w="1416" w:type="dxa"/>
            <w:tcBorders>
              <w:top w:val="single" w:sz="4" w:space="0" w:color="000000"/>
              <w:left w:val="single" w:sz="4" w:space="0" w:color="000000"/>
              <w:bottom w:val="single" w:sz="4" w:space="0" w:color="000000"/>
            </w:tcBorders>
            <w:shd w:val="clear" w:color="auto" w:fill="auto"/>
            <w:vAlign w:val="center"/>
          </w:tcPr>
          <w:p w14:paraId="7455D6F0"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13,5</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3AEB9"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16,5</w:t>
            </w:r>
          </w:p>
        </w:tc>
      </w:tr>
      <w:tr w:rsidR="001D7D6D" w:rsidRPr="00F0736F" w14:paraId="796A180B" w14:textId="77777777" w:rsidTr="00B155C8">
        <w:trPr>
          <w:trHeight w:val="224"/>
        </w:trPr>
        <w:tc>
          <w:tcPr>
            <w:tcW w:w="3570" w:type="dxa"/>
            <w:tcBorders>
              <w:top w:val="single" w:sz="4" w:space="0" w:color="000000"/>
              <w:left w:val="single" w:sz="4" w:space="0" w:color="000000"/>
              <w:bottom w:val="single" w:sz="4" w:space="0" w:color="000000"/>
            </w:tcBorders>
            <w:shd w:val="clear" w:color="auto" w:fill="auto"/>
          </w:tcPr>
          <w:p w14:paraId="3DEFBBDD" w14:textId="77777777" w:rsidR="001D7D6D" w:rsidRPr="00F0736F" w:rsidRDefault="001D7D6D" w:rsidP="00B155C8">
            <w:pPr>
              <w:jc w:val="both"/>
              <w:rPr>
                <w:color w:val="000000" w:themeColor="text1"/>
                <w:sz w:val="22"/>
                <w:szCs w:val="22"/>
              </w:rPr>
            </w:pPr>
            <w:r w:rsidRPr="00F0736F">
              <w:rPr>
                <w:rFonts w:ascii="Times New Roman" w:hAnsi="Times New Roman" w:cs="Times New Roman"/>
                <w:color w:val="000000" w:themeColor="text1"/>
                <w:sz w:val="22"/>
                <w:szCs w:val="22"/>
              </w:rPr>
              <w:t xml:space="preserve">Отработанные масла </w:t>
            </w:r>
          </w:p>
        </w:tc>
        <w:tc>
          <w:tcPr>
            <w:tcW w:w="1132" w:type="dxa"/>
            <w:tcBorders>
              <w:top w:val="single" w:sz="4" w:space="0" w:color="000000"/>
              <w:left w:val="single" w:sz="4" w:space="0" w:color="000000"/>
              <w:bottom w:val="single" w:sz="4" w:space="0" w:color="000000"/>
            </w:tcBorders>
            <w:shd w:val="clear" w:color="auto" w:fill="auto"/>
            <w:vAlign w:val="bottom"/>
          </w:tcPr>
          <w:p w14:paraId="3106D84A"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10</w:t>
            </w:r>
          </w:p>
        </w:tc>
        <w:tc>
          <w:tcPr>
            <w:tcW w:w="1132" w:type="dxa"/>
            <w:tcBorders>
              <w:top w:val="single" w:sz="4" w:space="0" w:color="000000"/>
              <w:left w:val="single" w:sz="4" w:space="0" w:color="000000"/>
              <w:bottom w:val="single" w:sz="4" w:space="0" w:color="000000"/>
            </w:tcBorders>
            <w:shd w:val="clear" w:color="auto" w:fill="auto"/>
            <w:vAlign w:val="bottom"/>
          </w:tcPr>
          <w:p w14:paraId="6EA461E7"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15</w:t>
            </w:r>
          </w:p>
        </w:tc>
        <w:tc>
          <w:tcPr>
            <w:tcW w:w="1132" w:type="dxa"/>
            <w:tcBorders>
              <w:top w:val="single" w:sz="4" w:space="0" w:color="000000"/>
              <w:left w:val="single" w:sz="4" w:space="0" w:color="000000"/>
              <w:bottom w:val="single" w:sz="4" w:space="0" w:color="000000"/>
            </w:tcBorders>
            <w:shd w:val="clear" w:color="auto" w:fill="auto"/>
            <w:vAlign w:val="bottom"/>
          </w:tcPr>
          <w:p w14:paraId="334CBEA6"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22,5</w:t>
            </w:r>
          </w:p>
        </w:tc>
        <w:tc>
          <w:tcPr>
            <w:tcW w:w="1416" w:type="dxa"/>
            <w:tcBorders>
              <w:top w:val="single" w:sz="4" w:space="0" w:color="000000"/>
              <w:left w:val="single" w:sz="4" w:space="0" w:color="000000"/>
              <w:bottom w:val="single" w:sz="4" w:space="0" w:color="000000"/>
            </w:tcBorders>
            <w:shd w:val="clear" w:color="auto" w:fill="auto"/>
            <w:vAlign w:val="bottom"/>
          </w:tcPr>
          <w:p w14:paraId="223AB728"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30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12CA2"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40</w:t>
            </w:r>
          </w:p>
        </w:tc>
      </w:tr>
      <w:tr w:rsidR="001D7D6D" w:rsidRPr="00F0736F" w14:paraId="18D41D11" w14:textId="77777777" w:rsidTr="00B155C8">
        <w:tc>
          <w:tcPr>
            <w:tcW w:w="3570" w:type="dxa"/>
            <w:tcBorders>
              <w:top w:val="single" w:sz="4" w:space="0" w:color="000000"/>
              <w:left w:val="single" w:sz="4" w:space="0" w:color="000000"/>
              <w:bottom w:val="single" w:sz="4" w:space="0" w:color="000000"/>
            </w:tcBorders>
            <w:shd w:val="clear" w:color="auto" w:fill="auto"/>
          </w:tcPr>
          <w:p w14:paraId="76294BFD" w14:textId="77777777" w:rsidR="001D7D6D" w:rsidRPr="00F0736F" w:rsidRDefault="001D7D6D" w:rsidP="00B155C8">
            <w:pPr>
              <w:jc w:val="both"/>
              <w:rPr>
                <w:color w:val="000000" w:themeColor="text1"/>
                <w:sz w:val="22"/>
                <w:szCs w:val="22"/>
              </w:rPr>
            </w:pPr>
            <w:r w:rsidRPr="00F0736F">
              <w:rPr>
                <w:rFonts w:ascii="Times New Roman" w:hAnsi="Times New Roman" w:cs="Times New Roman"/>
                <w:color w:val="000000" w:themeColor="text1"/>
                <w:sz w:val="22"/>
                <w:szCs w:val="22"/>
              </w:rPr>
              <w:t>Использованные шины</w:t>
            </w:r>
          </w:p>
        </w:tc>
        <w:tc>
          <w:tcPr>
            <w:tcW w:w="1132" w:type="dxa"/>
            <w:tcBorders>
              <w:top w:val="single" w:sz="4" w:space="0" w:color="000000"/>
              <w:left w:val="single" w:sz="4" w:space="0" w:color="000000"/>
              <w:bottom w:val="single" w:sz="4" w:space="0" w:color="000000"/>
            </w:tcBorders>
            <w:shd w:val="clear" w:color="auto" w:fill="auto"/>
          </w:tcPr>
          <w:p w14:paraId="29551BA1"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20</w:t>
            </w:r>
          </w:p>
        </w:tc>
        <w:tc>
          <w:tcPr>
            <w:tcW w:w="1132" w:type="dxa"/>
            <w:tcBorders>
              <w:top w:val="single" w:sz="4" w:space="0" w:color="000000"/>
              <w:left w:val="single" w:sz="4" w:space="0" w:color="000000"/>
              <w:bottom w:val="single" w:sz="4" w:space="0" w:color="000000"/>
            </w:tcBorders>
            <w:shd w:val="clear" w:color="auto" w:fill="auto"/>
          </w:tcPr>
          <w:p w14:paraId="4111A690"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27</w:t>
            </w:r>
          </w:p>
        </w:tc>
        <w:tc>
          <w:tcPr>
            <w:tcW w:w="1132" w:type="dxa"/>
            <w:tcBorders>
              <w:top w:val="single" w:sz="4" w:space="0" w:color="000000"/>
              <w:left w:val="single" w:sz="4" w:space="0" w:color="000000"/>
              <w:bottom w:val="single" w:sz="4" w:space="0" w:color="000000"/>
            </w:tcBorders>
            <w:shd w:val="clear" w:color="auto" w:fill="auto"/>
          </w:tcPr>
          <w:p w14:paraId="5D2FA931"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35</w:t>
            </w:r>
          </w:p>
        </w:tc>
        <w:tc>
          <w:tcPr>
            <w:tcW w:w="1416" w:type="dxa"/>
            <w:tcBorders>
              <w:top w:val="single" w:sz="4" w:space="0" w:color="000000"/>
              <w:left w:val="single" w:sz="4" w:space="0" w:color="000000"/>
              <w:bottom w:val="single" w:sz="4" w:space="0" w:color="000000"/>
            </w:tcBorders>
            <w:shd w:val="clear" w:color="auto" w:fill="auto"/>
          </w:tcPr>
          <w:p w14:paraId="087AB690"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43</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14:paraId="66BA6C28" w14:textId="77777777" w:rsidR="001D7D6D" w:rsidRPr="00F0736F" w:rsidRDefault="001D7D6D" w:rsidP="00B155C8">
            <w:pPr>
              <w:jc w:val="center"/>
              <w:rPr>
                <w:color w:val="000000" w:themeColor="text1"/>
                <w:sz w:val="22"/>
                <w:szCs w:val="22"/>
              </w:rPr>
            </w:pPr>
            <w:r w:rsidRPr="00F0736F">
              <w:rPr>
                <w:rFonts w:ascii="Times New Roman" w:hAnsi="Times New Roman" w:cs="Times New Roman"/>
                <w:color w:val="000000" w:themeColor="text1"/>
                <w:sz w:val="22"/>
                <w:szCs w:val="22"/>
              </w:rPr>
              <w:t>50</w:t>
            </w:r>
          </w:p>
        </w:tc>
      </w:tr>
    </w:tbl>
    <w:p w14:paraId="1C6BC32F"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sz w:val="20"/>
          <w:szCs w:val="20"/>
        </w:rPr>
        <w:t>*планируемые объемы могут варьировать в зависимости от изменений объемов производства (импорта) соответствующих видов продукции (товаров) (т.к. они основаны на доле сбора и утилизации отходов от объемов производства (импорта) продукции (товаров)), складывающейся ситуации в сфере обращения с отходами, факторов социально-экономического развития, а также от объемов поступления средств в адрес Оператора в виде платы.</w:t>
      </w:r>
    </w:p>
    <w:p w14:paraId="6D2BA9C7" w14:textId="77777777" w:rsidR="001D7D6D" w:rsidRPr="00F0736F" w:rsidRDefault="001D7D6D" w:rsidP="001D7D6D">
      <w:pPr>
        <w:ind w:firstLine="709"/>
        <w:jc w:val="both"/>
        <w:rPr>
          <w:rFonts w:ascii="Times New Roman" w:hAnsi="Times New Roman" w:cs="Times New Roman"/>
          <w:color w:val="000000" w:themeColor="text1"/>
        </w:rPr>
      </w:pPr>
    </w:p>
    <w:p w14:paraId="3F1D30FA" w14:textId="77777777" w:rsidR="001D7D6D" w:rsidRPr="00F0736F" w:rsidRDefault="001D7D6D" w:rsidP="001D7D6D">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1.5.12. Фактическое и планируемое количество принятых и утилизированных ВЭТС</w:t>
      </w:r>
    </w:p>
    <w:p w14:paraId="5DECC00F" w14:textId="77777777" w:rsidR="001D7D6D" w:rsidRPr="00F0736F" w:rsidRDefault="001D7D6D" w:rsidP="001D7D6D">
      <w:pPr>
        <w:ind w:firstLine="709"/>
        <w:jc w:val="both"/>
        <w:rPr>
          <w:rFonts w:ascii="Times New Roman" w:hAnsi="Times New Roman" w:cs="Times New Roman"/>
          <w:color w:val="000000" w:themeColor="text1"/>
        </w:rPr>
      </w:pPr>
    </w:p>
    <w:tbl>
      <w:tblPr>
        <w:tblW w:w="9640" w:type="dxa"/>
        <w:tblInd w:w="108" w:type="dxa"/>
        <w:tblLayout w:type="fixed"/>
        <w:tblLook w:val="0000" w:firstRow="0" w:lastRow="0" w:firstColumn="0" w:lastColumn="0" w:noHBand="0" w:noVBand="0"/>
      </w:tblPr>
      <w:tblGrid>
        <w:gridCol w:w="5387"/>
        <w:gridCol w:w="819"/>
        <w:gridCol w:w="840"/>
        <w:gridCol w:w="840"/>
        <w:gridCol w:w="903"/>
        <w:gridCol w:w="851"/>
      </w:tblGrid>
      <w:tr w:rsidR="001D7D6D" w:rsidRPr="00F0736F" w14:paraId="2AD2BAE3" w14:textId="77777777" w:rsidTr="00B155C8">
        <w:tc>
          <w:tcPr>
            <w:tcW w:w="5387" w:type="dxa"/>
            <w:tcBorders>
              <w:top w:val="single" w:sz="4" w:space="0" w:color="000000"/>
              <w:left w:val="single" w:sz="4" w:space="0" w:color="000000"/>
              <w:bottom w:val="single" w:sz="4" w:space="0" w:color="000000"/>
            </w:tcBorders>
            <w:shd w:val="clear" w:color="auto" w:fill="auto"/>
          </w:tcPr>
          <w:p w14:paraId="5E90E61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Год</w:t>
            </w:r>
          </w:p>
        </w:tc>
        <w:tc>
          <w:tcPr>
            <w:tcW w:w="819" w:type="dxa"/>
            <w:tcBorders>
              <w:top w:val="single" w:sz="4" w:space="0" w:color="000000"/>
              <w:left w:val="single" w:sz="4" w:space="0" w:color="000000"/>
              <w:bottom w:val="single" w:sz="4" w:space="0" w:color="000000"/>
            </w:tcBorders>
            <w:shd w:val="clear" w:color="auto" w:fill="auto"/>
            <w:vAlign w:val="center"/>
          </w:tcPr>
          <w:p w14:paraId="77D84770"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2017</w:t>
            </w:r>
          </w:p>
        </w:tc>
        <w:tc>
          <w:tcPr>
            <w:tcW w:w="840" w:type="dxa"/>
            <w:tcBorders>
              <w:top w:val="single" w:sz="4" w:space="0" w:color="000000"/>
              <w:left w:val="single" w:sz="4" w:space="0" w:color="000000"/>
              <w:bottom w:val="single" w:sz="4" w:space="0" w:color="000000"/>
            </w:tcBorders>
            <w:shd w:val="clear" w:color="auto" w:fill="auto"/>
            <w:vAlign w:val="center"/>
          </w:tcPr>
          <w:p w14:paraId="3F398547"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2018</w:t>
            </w:r>
          </w:p>
        </w:tc>
        <w:tc>
          <w:tcPr>
            <w:tcW w:w="840" w:type="dxa"/>
            <w:tcBorders>
              <w:top w:val="single" w:sz="4" w:space="0" w:color="000000"/>
              <w:left w:val="single" w:sz="4" w:space="0" w:color="000000"/>
              <w:bottom w:val="single" w:sz="4" w:space="0" w:color="000000"/>
            </w:tcBorders>
            <w:shd w:val="clear" w:color="auto" w:fill="auto"/>
            <w:vAlign w:val="center"/>
          </w:tcPr>
          <w:p w14:paraId="1CBADCB9"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2019</w:t>
            </w:r>
          </w:p>
        </w:tc>
        <w:tc>
          <w:tcPr>
            <w:tcW w:w="903" w:type="dxa"/>
            <w:tcBorders>
              <w:top w:val="single" w:sz="4" w:space="0" w:color="000000"/>
              <w:left w:val="single" w:sz="4" w:space="0" w:color="000000"/>
              <w:bottom w:val="single" w:sz="4" w:space="0" w:color="000000"/>
            </w:tcBorders>
            <w:shd w:val="clear" w:color="auto" w:fill="auto"/>
            <w:vAlign w:val="center"/>
          </w:tcPr>
          <w:p w14:paraId="47B25636"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2278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2021</w:t>
            </w:r>
          </w:p>
        </w:tc>
      </w:tr>
      <w:tr w:rsidR="001D7D6D" w:rsidRPr="00F0736F" w14:paraId="4C8CDD2D" w14:textId="77777777" w:rsidTr="00B155C8">
        <w:trPr>
          <w:trHeight w:val="553"/>
        </w:trPr>
        <w:tc>
          <w:tcPr>
            <w:tcW w:w="5387" w:type="dxa"/>
            <w:tcBorders>
              <w:top w:val="single" w:sz="4" w:space="0" w:color="000000"/>
              <w:left w:val="single" w:sz="4" w:space="0" w:color="000000"/>
              <w:bottom w:val="single" w:sz="4" w:space="0" w:color="000000"/>
            </w:tcBorders>
            <w:shd w:val="clear" w:color="auto" w:fill="auto"/>
          </w:tcPr>
          <w:p w14:paraId="71585853" w14:textId="77777777" w:rsidR="001D7D6D" w:rsidRPr="00F0736F" w:rsidRDefault="001D7D6D" w:rsidP="00B155C8">
            <w:pPr>
              <w:jc w:val="both"/>
              <w:rPr>
                <w:color w:val="000000" w:themeColor="text1"/>
              </w:rPr>
            </w:pPr>
            <w:r w:rsidRPr="00F0736F">
              <w:rPr>
                <w:rFonts w:ascii="Times New Roman" w:hAnsi="Times New Roman" w:cs="Times New Roman"/>
                <w:color w:val="000000" w:themeColor="text1"/>
                <w:sz w:val="20"/>
                <w:szCs w:val="20"/>
              </w:rPr>
              <w:t>количество принятых и утилизированных ВЭТС, тыс. ед.</w:t>
            </w:r>
          </w:p>
        </w:tc>
        <w:tc>
          <w:tcPr>
            <w:tcW w:w="819" w:type="dxa"/>
            <w:tcBorders>
              <w:top w:val="single" w:sz="4" w:space="0" w:color="000000"/>
              <w:left w:val="single" w:sz="4" w:space="0" w:color="000000"/>
              <w:bottom w:val="single" w:sz="4" w:space="0" w:color="000000"/>
            </w:tcBorders>
            <w:shd w:val="clear" w:color="auto" w:fill="auto"/>
            <w:vAlign w:val="center"/>
          </w:tcPr>
          <w:p w14:paraId="65415B6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40</w:t>
            </w:r>
          </w:p>
        </w:tc>
        <w:tc>
          <w:tcPr>
            <w:tcW w:w="840" w:type="dxa"/>
            <w:tcBorders>
              <w:top w:val="single" w:sz="4" w:space="0" w:color="000000"/>
              <w:left w:val="single" w:sz="4" w:space="0" w:color="000000"/>
              <w:bottom w:val="single" w:sz="4" w:space="0" w:color="000000"/>
            </w:tcBorders>
            <w:shd w:val="clear" w:color="auto" w:fill="auto"/>
            <w:vAlign w:val="center"/>
          </w:tcPr>
          <w:p w14:paraId="175BF342"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50</w:t>
            </w:r>
          </w:p>
        </w:tc>
        <w:tc>
          <w:tcPr>
            <w:tcW w:w="840" w:type="dxa"/>
            <w:tcBorders>
              <w:top w:val="single" w:sz="4" w:space="0" w:color="000000"/>
              <w:left w:val="single" w:sz="4" w:space="0" w:color="000000"/>
              <w:bottom w:val="single" w:sz="4" w:space="0" w:color="000000"/>
            </w:tcBorders>
            <w:shd w:val="clear" w:color="auto" w:fill="auto"/>
            <w:vAlign w:val="center"/>
          </w:tcPr>
          <w:p w14:paraId="3D8FDBFB"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50</w:t>
            </w:r>
          </w:p>
        </w:tc>
        <w:tc>
          <w:tcPr>
            <w:tcW w:w="903" w:type="dxa"/>
            <w:tcBorders>
              <w:top w:val="single" w:sz="4" w:space="0" w:color="000000"/>
              <w:left w:val="single" w:sz="4" w:space="0" w:color="000000"/>
              <w:bottom w:val="single" w:sz="4" w:space="0" w:color="000000"/>
            </w:tcBorders>
            <w:shd w:val="clear" w:color="auto" w:fill="auto"/>
            <w:vAlign w:val="center"/>
          </w:tcPr>
          <w:p w14:paraId="52F6FE14"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E338F" w14:textId="77777777" w:rsidR="001D7D6D" w:rsidRPr="00F0736F" w:rsidRDefault="001D7D6D" w:rsidP="00B155C8">
            <w:pPr>
              <w:jc w:val="center"/>
              <w:rPr>
                <w:color w:val="000000" w:themeColor="text1"/>
              </w:rPr>
            </w:pPr>
            <w:r w:rsidRPr="00F0736F">
              <w:rPr>
                <w:rFonts w:ascii="Times New Roman" w:hAnsi="Times New Roman" w:cs="Times New Roman"/>
                <w:color w:val="000000" w:themeColor="text1"/>
                <w:sz w:val="20"/>
                <w:szCs w:val="20"/>
              </w:rPr>
              <w:t>50</w:t>
            </w:r>
          </w:p>
        </w:tc>
      </w:tr>
    </w:tbl>
    <w:p w14:paraId="530DD439" w14:textId="77777777" w:rsidR="001D7D6D" w:rsidRPr="00F0736F" w:rsidRDefault="001D7D6D" w:rsidP="001D7D6D">
      <w:pPr>
        <w:ind w:firstLine="709"/>
        <w:jc w:val="both"/>
        <w:rPr>
          <w:rFonts w:ascii="Times New Roman" w:hAnsi="Times New Roman" w:cs="Times New Roman"/>
          <w:color w:val="000000" w:themeColor="text1"/>
        </w:rPr>
      </w:pPr>
    </w:p>
    <w:p w14:paraId="5493767B"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По данным Всемирного банка (2017), основными проблемами Казахстана в области утилизации коммунальных отходов являются: 1) увеличение прироста и накопления ТБО; 2) неэффективный сбор и транспортировка отходов; 3) недостаточное экологическое управление полигонами (открытые свалки); 4) отсутствие разделения отходов; 5) низкий уровень утилизации коммунальных отходов.</w:t>
      </w:r>
    </w:p>
    <w:p w14:paraId="38353C7A"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Для решения существующих проблем, связанных с (1) загрязнением от ТБО и (2) эффективным управлением ТБО, необходимо принять следующие меры</w:t>
      </w:r>
      <w:r w:rsidRPr="00F0736F">
        <w:rPr>
          <w:rStyle w:val="a4"/>
          <w:rFonts w:ascii="Times New Roman" w:eastAsia="Times New Roman" w:hAnsi="Times New Roman" w:cs="Times New Roman"/>
          <w:color w:val="000000" w:themeColor="text1"/>
          <w:spacing w:val="2"/>
          <w:lang w:eastAsia="ru-RU"/>
        </w:rPr>
        <w:footnoteReference w:id="76"/>
      </w:r>
      <w:r w:rsidRPr="00F0736F">
        <w:rPr>
          <w:rFonts w:ascii="Times New Roman" w:eastAsia="Times New Roman" w:hAnsi="Times New Roman" w:cs="Times New Roman"/>
          <w:color w:val="000000" w:themeColor="text1"/>
          <w:spacing w:val="2"/>
          <w:lang w:eastAsia="ru-RU"/>
        </w:rPr>
        <w:t xml:space="preserve">: </w:t>
      </w:r>
    </w:p>
    <w:p w14:paraId="6D5DEE75"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1) использовать стандартные методы и техники, такие как планирование, субсидирование, проектирование и т.д.; </w:t>
      </w:r>
    </w:p>
    <w:p w14:paraId="4791EC0D"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2) использовать инновационные решения, такие как платежи за экосистемные услуги, геоинформационные системы и т.д.; </w:t>
      </w:r>
    </w:p>
    <w:p w14:paraId="441977C7"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3) внедрить по всей технологической сети региональный подход управления отходами от раздельного сбора у источника до захоронения ТБО на полигонах;</w:t>
      </w:r>
    </w:p>
    <w:p w14:paraId="2014EAF5"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4) внести поправки в действующую методологию расчета тарифов, которая должна включать не только транспортировку твердых бытовых отходов, но и сбор, захоронение;</w:t>
      </w:r>
    </w:p>
    <w:p w14:paraId="5D866E6D" w14:textId="77777777" w:rsidR="001D7D6D" w:rsidRPr="00F0736F" w:rsidRDefault="001D7D6D" w:rsidP="001D7D6D">
      <w:pPr>
        <w:tabs>
          <w:tab w:val="left" w:pos="1134"/>
        </w:tabs>
        <w:ind w:firstLine="709"/>
        <w:jc w:val="both"/>
        <w:rPr>
          <w:color w:val="000000" w:themeColor="text1"/>
        </w:rPr>
      </w:pPr>
      <w:r w:rsidRPr="00F0736F">
        <w:rPr>
          <w:rFonts w:ascii="Times New Roman" w:hAnsi="Times New Roman" w:cs="Times New Roman"/>
          <w:color w:val="000000" w:themeColor="text1"/>
        </w:rPr>
        <w:t>5) представить инспекцию полигона публичным или независимым экспертным институтам;</w:t>
      </w:r>
    </w:p>
    <w:p w14:paraId="094738FF" w14:textId="77777777" w:rsidR="001D7D6D" w:rsidRPr="00F0736F" w:rsidRDefault="001D7D6D" w:rsidP="001D7D6D">
      <w:pPr>
        <w:tabs>
          <w:tab w:val="left" w:pos="1134"/>
        </w:tabs>
        <w:ind w:firstLine="709"/>
        <w:jc w:val="both"/>
        <w:rPr>
          <w:color w:val="000000" w:themeColor="text1"/>
        </w:rPr>
      </w:pPr>
      <w:r w:rsidRPr="00F0736F">
        <w:rPr>
          <w:rFonts w:ascii="Times New Roman" w:hAnsi="Times New Roman" w:cs="Times New Roman"/>
          <w:color w:val="000000" w:themeColor="text1"/>
        </w:rPr>
        <w:t xml:space="preserve">6) применение определенной модели управления отходами должно дополняться поведенческими изменениями общественности; </w:t>
      </w:r>
    </w:p>
    <w:p w14:paraId="0C62499C" w14:textId="77777777" w:rsidR="001D7D6D" w:rsidRPr="00F0736F" w:rsidRDefault="001D7D6D" w:rsidP="001D7D6D">
      <w:pPr>
        <w:tabs>
          <w:tab w:val="left" w:pos="1134"/>
        </w:tabs>
        <w:ind w:firstLine="709"/>
        <w:jc w:val="both"/>
        <w:rPr>
          <w:color w:val="000000" w:themeColor="text1"/>
        </w:rPr>
      </w:pPr>
      <w:r w:rsidRPr="00F0736F">
        <w:rPr>
          <w:rFonts w:ascii="Times New Roman" w:hAnsi="Times New Roman" w:cs="Times New Roman"/>
          <w:color w:val="000000" w:themeColor="text1"/>
        </w:rPr>
        <w:t>7) ввести налоговые меры, а также меры по стимулированию повторного использования ресурсов.</w:t>
      </w:r>
      <w:r w:rsidRPr="00F0736F">
        <w:rPr>
          <w:rFonts w:asciiTheme="minorHAnsi" w:hAnsiTheme="minorHAnsi"/>
          <w:color w:val="000000" w:themeColor="text1"/>
        </w:rPr>
        <w:t xml:space="preserve"> </w:t>
      </w:r>
      <w:r w:rsidRPr="00F0736F">
        <w:rPr>
          <w:rFonts w:ascii="Times New Roman" w:hAnsi="Times New Roman" w:cs="Times New Roman"/>
          <w:color w:val="000000" w:themeColor="text1"/>
        </w:rPr>
        <w:t xml:space="preserve">Ввести освобождение на уплату (1) корпоративного подоходного налога, (2) налога на добавленную стоимость, (2) земельного налога и (3) налога на имущество юридическим лицам и индивидуальным предпринимателям (основной деятельностью которых является сбор, транспортировка, сортировка, переработка и удаление отходов); применить понижающие коэффициенты к прибыли от продажи продукции, произведенной с использованием материалов, подлежащих вторичной переработке; предоставление налоговых каникул. </w:t>
      </w:r>
    </w:p>
    <w:p w14:paraId="31AE9747" w14:textId="77777777" w:rsidR="001D7D6D" w:rsidRPr="00F0736F" w:rsidRDefault="001D7D6D" w:rsidP="001D7D6D">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ноябре 2019 года в Казахстане появилась электронная </w:t>
      </w:r>
      <w:r w:rsidRPr="00F0736F">
        <w:rPr>
          <w:rFonts w:ascii="Times New Roman" w:hAnsi="Times New Roman" w:cs="Times New Roman"/>
          <w:bCs/>
          <w:color w:val="000000" w:themeColor="text1"/>
        </w:rPr>
        <w:t>биржа покупки и продажи отходов (</w:t>
      </w:r>
      <w:hyperlink r:id="rId26" w:history="1">
        <w:r w:rsidRPr="00F0736F">
          <w:rPr>
            <w:rStyle w:val="a6"/>
            <w:rFonts w:ascii="Times New Roman" w:hAnsi="Times New Roman" w:cs="Times New Roman"/>
            <w:color w:val="000000" w:themeColor="text1"/>
            <w:u w:val="none"/>
          </w:rPr>
          <w:t>https://waste-ex.kz/</w:t>
        </w:r>
      </w:hyperlink>
      <w:r w:rsidRPr="00F0736F">
        <w:rPr>
          <w:rFonts w:ascii="Times New Roman" w:hAnsi="Times New Roman" w:cs="Times New Roman"/>
          <w:color w:val="000000" w:themeColor="text1"/>
        </w:rPr>
        <w:t>)</w:t>
      </w:r>
      <w:r w:rsidRPr="00F0736F">
        <w:rPr>
          <w:rFonts w:ascii="Times New Roman" w:hAnsi="Times New Roman" w:cs="Times New Roman"/>
          <w:bCs/>
          <w:color w:val="000000" w:themeColor="text1"/>
        </w:rPr>
        <w:t>,</w:t>
      </w:r>
      <w:r w:rsidRPr="00F0736F">
        <w:rPr>
          <w:rFonts w:ascii="Times New Roman" w:hAnsi="Times New Roman" w:cs="Times New Roman"/>
          <w:b/>
          <w:bCs/>
          <w:color w:val="000000" w:themeColor="text1"/>
        </w:rPr>
        <w:t xml:space="preserve"> </w:t>
      </w:r>
      <w:r w:rsidRPr="00F0736F">
        <w:rPr>
          <w:rFonts w:ascii="Times New Roman" w:hAnsi="Times New Roman" w:cs="Times New Roman"/>
          <w:bCs/>
          <w:color w:val="000000" w:themeColor="text1"/>
        </w:rPr>
        <w:t>где</w:t>
      </w:r>
      <w:r w:rsidRPr="00F0736F">
        <w:rPr>
          <w:rFonts w:ascii="Times New Roman" w:hAnsi="Times New Roman" w:cs="Times New Roman"/>
          <w:color w:val="000000" w:themeColor="text1"/>
        </w:rPr>
        <w:t xml:space="preserve"> можно разместить объявление, чтобы продать мусор компаниям-переработчикам.</w:t>
      </w:r>
    </w:p>
    <w:p w14:paraId="11EE3BB6"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Казахстанская ассоциация по управлению отходами KazWaste разработала единую площадку для продажи и покупки различных видов отходов и вторичных ресурсов по принципу сайтов для бесплатного размещения объявлений от физических и юридических лиц. В 2020 году ожидается запуск мобильного приложения для биржи. На сайте биржи объявления также разделены по видам отходов — бумага, картон, пластик и так далее. На сайте зарегистрированы компании-переработчики, которые готовы купить вторичное сырье. В каждом объявлении указаны контактные телефоны, по которым покупатель может связаться с продавцом или наоборот.</w:t>
      </w:r>
    </w:p>
    <w:p w14:paraId="7B758271" w14:textId="77777777" w:rsidR="001D7D6D" w:rsidRPr="00F0736F" w:rsidRDefault="001D7D6D" w:rsidP="001D7D6D">
      <w:pPr>
        <w:ind w:firstLine="709"/>
        <w:jc w:val="both"/>
        <w:rPr>
          <w:color w:val="000000" w:themeColor="text1"/>
        </w:rPr>
      </w:pPr>
      <w:r w:rsidRPr="00F0736F">
        <w:rPr>
          <w:rFonts w:ascii="Times New Roman" w:hAnsi="Times New Roman" w:cs="Times New Roman"/>
          <w:color w:val="000000" w:themeColor="text1"/>
        </w:rPr>
        <w:t xml:space="preserve">Министерство экологии, геологии и природных ресурсов сообщило о совместном с ЮНИДО (Организация Объединённых Наций по промышленному развитию) проекте «Согласованное управление утилизацией озоноразрушающих веществ и стойких органических загрязнителей». В рамках проекта в 2020 году планируется безвозмездная передача Казахстану установки по уничтожению СОЗ. Эта установка будет задействована на утилизации конденсаторов объекта «Дарьял-У», содержащих полихлордифенилы (ПХД). </w:t>
      </w:r>
    </w:p>
    <w:bookmarkEnd w:id="22"/>
    <w:p w14:paraId="717F7096" w14:textId="77777777" w:rsidR="004B6636" w:rsidRPr="00F0736F" w:rsidRDefault="004B6636" w:rsidP="00EB7E3D">
      <w:pPr>
        <w:jc w:val="both"/>
        <w:rPr>
          <w:rFonts w:ascii="Times New Roman" w:hAnsi="Times New Roman" w:cs="Times New Roman"/>
          <w:color w:val="000000" w:themeColor="text1"/>
        </w:rPr>
      </w:pPr>
    </w:p>
    <w:p w14:paraId="410F2A3F"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23" w:name="_Toc57818727"/>
      <w:r w:rsidRPr="007272FB">
        <w:rPr>
          <w:rFonts w:ascii="Times New Roman" w:eastAsia="Times New Roman" w:hAnsi="Times New Roman" w:cs="Times New Roman"/>
          <w:color w:val="000000" w:themeColor="text1"/>
          <w:sz w:val="24"/>
          <w:szCs w:val="24"/>
        </w:rPr>
        <w:t>1.6. Снижение загрязнения воздуха</w:t>
      </w:r>
      <w:bookmarkEnd w:id="23"/>
      <w:r w:rsidRPr="007272FB">
        <w:rPr>
          <w:rFonts w:ascii="Times New Roman" w:eastAsia="Times New Roman" w:hAnsi="Times New Roman" w:cs="Times New Roman"/>
          <w:color w:val="000000" w:themeColor="text1"/>
          <w:sz w:val="24"/>
          <w:szCs w:val="24"/>
        </w:rPr>
        <w:t xml:space="preserve"> </w:t>
      </w:r>
    </w:p>
    <w:p w14:paraId="7DD4812F" w14:textId="77777777" w:rsidR="00F674A4" w:rsidRPr="00F0736F" w:rsidRDefault="00F674A4" w:rsidP="008727D9">
      <w:pPr>
        <w:ind w:firstLine="709"/>
        <w:jc w:val="both"/>
        <w:rPr>
          <w:rFonts w:ascii="Times New Roman" w:hAnsi="Times New Roman" w:cs="Times New Roman"/>
          <w:color w:val="000000" w:themeColor="text1"/>
        </w:rPr>
      </w:pPr>
    </w:p>
    <w:p w14:paraId="5C6CE128" w14:textId="07C7DD2E"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5806A9C0" w14:textId="5A08439D" w:rsidR="00F9342B" w:rsidRPr="00F0736F" w:rsidRDefault="00F9342B" w:rsidP="00F9342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b/>
          <w:i/>
          <w:color w:val="000000" w:themeColor="text1"/>
          <w:kern w:val="0"/>
          <w:lang w:eastAsia="en-US" w:bidi="ar-SA"/>
        </w:rPr>
        <w:t xml:space="preserve">Концепция по переходу Республики Казахстан к «зеленой экономике» </w:t>
      </w:r>
      <w:r w:rsidRPr="00F0736F">
        <w:rPr>
          <w:rFonts w:ascii="Times New Roman" w:eastAsia="Calibri" w:hAnsi="Times New Roman" w:cs="Times New Roman"/>
          <w:color w:val="000000" w:themeColor="text1"/>
          <w:kern w:val="0"/>
          <w:lang w:eastAsia="en-US" w:bidi="ar-SA"/>
        </w:rPr>
        <w:t>предусматривает достижение к 2030 году Европейского уровня по выбросам оксидов серы и азота в окружающую среду.</w:t>
      </w:r>
    </w:p>
    <w:p w14:paraId="12AB0C03" w14:textId="67F5E316" w:rsidR="004D5A5E" w:rsidRPr="00F0736F" w:rsidRDefault="004279E9"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2017-</w:t>
      </w:r>
      <w:r w:rsidR="004D5A5E" w:rsidRPr="00F0736F">
        <w:rPr>
          <w:rFonts w:ascii="Times New Roman" w:hAnsi="Times New Roman" w:cs="Times New Roman"/>
          <w:color w:val="000000" w:themeColor="text1"/>
        </w:rPr>
        <w:t>2019 годах наблюдения за состоянием атмосферного воздуха на территории Республики Казахстан проводились в 45-49 населенных пунктах республики на 140-146 постах наблюдений, в том числе на 56 стационарных постах</w:t>
      </w:r>
      <w:r w:rsidR="004D5A5E" w:rsidRPr="00F0736F">
        <w:rPr>
          <w:rStyle w:val="a4"/>
          <w:rFonts w:ascii="Times New Roman" w:hAnsi="Times New Roman" w:cs="Times New Roman"/>
          <w:color w:val="000000" w:themeColor="text1"/>
        </w:rPr>
        <w:footnoteReference w:id="77"/>
      </w:r>
      <w:r w:rsidR="004D5A5E" w:rsidRPr="00F0736F">
        <w:rPr>
          <w:rFonts w:ascii="Times New Roman" w:hAnsi="Times New Roman" w:cs="Times New Roman"/>
          <w:color w:val="000000" w:themeColor="text1"/>
        </w:rPr>
        <w:t>. Весьма показательна динамика количества постов с 1970 года по настоящее время (рис. 1.6.1</w:t>
      </w:r>
      <w:r w:rsidR="00EB7E3D" w:rsidRPr="00F0736F">
        <w:rPr>
          <w:rFonts w:ascii="Times New Roman" w:hAnsi="Times New Roman" w:cs="Times New Roman"/>
          <w:color w:val="000000" w:themeColor="text1"/>
        </w:rPr>
        <w:t>.</w:t>
      </w:r>
      <w:r w:rsidR="004D5A5E" w:rsidRPr="00F0736F">
        <w:rPr>
          <w:rFonts w:ascii="Times New Roman" w:hAnsi="Times New Roman" w:cs="Times New Roman"/>
          <w:color w:val="000000" w:themeColor="text1"/>
        </w:rPr>
        <w:t>).</w:t>
      </w:r>
    </w:p>
    <w:p w14:paraId="72124E9F" w14:textId="27C0CC37" w:rsidR="00F674A4" w:rsidRPr="00F0736F" w:rsidRDefault="00EB7E3D" w:rsidP="00EB7E3D">
      <w:pPr>
        <w:jc w:val="both"/>
        <w:rPr>
          <w:rFonts w:ascii="Times New Roman" w:hAnsi="Times New Roman" w:cs="Times New Roman"/>
          <w:color w:val="000000" w:themeColor="text1"/>
          <w:shd w:val="clear" w:color="auto" w:fill="FFFF00"/>
        </w:rPr>
      </w:pPr>
      <w:r w:rsidRPr="00F0736F">
        <w:rPr>
          <w:noProof/>
          <w:color w:val="000000" w:themeColor="text1"/>
          <w:lang w:eastAsia="ru-RU" w:bidi="ar-SA"/>
        </w:rPr>
        <w:drawing>
          <wp:anchor distT="0" distB="0" distL="114935" distR="114935" simplePos="0" relativeHeight="251655680" behindDoc="0" locked="0" layoutInCell="1" allowOverlap="1" wp14:anchorId="1E54C224" wp14:editId="675CA369">
            <wp:simplePos x="0" y="0"/>
            <wp:positionH relativeFrom="margin">
              <wp:align>center</wp:align>
            </wp:positionH>
            <wp:positionV relativeFrom="paragraph">
              <wp:posOffset>10160</wp:posOffset>
            </wp:positionV>
            <wp:extent cx="4171950" cy="207692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l="-87" t="-157" r="-87" b="-157"/>
                    <a:stretch>
                      <a:fillRect/>
                    </a:stretch>
                  </pic:blipFill>
                  <pic:spPr bwMode="auto">
                    <a:xfrm>
                      <a:off x="0" y="0"/>
                      <a:ext cx="4171950" cy="2076927"/>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5F1882" w14:textId="30E4AA2E"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323BF8B0" w14:textId="4B847F59"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41C03A06"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067ED9F7"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4B7C8DC8"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0457FC37"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3E737331"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6E16F4E4"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01BDC3B8"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680A2B1B"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12B76944" w14:textId="77777777" w:rsidR="00F674A4" w:rsidRPr="00F0736F" w:rsidRDefault="00F674A4" w:rsidP="008727D9">
      <w:pPr>
        <w:pStyle w:val="34"/>
        <w:ind w:firstLine="709"/>
        <w:jc w:val="both"/>
        <w:rPr>
          <w:color w:val="000000" w:themeColor="text1"/>
        </w:rPr>
      </w:pPr>
      <w:r w:rsidRPr="00F0736F">
        <w:rPr>
          <w:rFonts w:ascii="Times New Roman" w:hAnsi="Times New Roman" w:cs="Times New Roman"/>
          <w:color w:val="000000" w:themeColor="text1"/>
          <w:sz w:val="24"/>
        </w:rPr>
        <w:t>Рис. 1.6.1. Динамика количества постов за качеством атмосферного воздуха с 1970 по 2020 гг.</w:t>
      </w:r>
    </w:p>
    <w:p w14:paraId="214DFF37" w14:textId="77777777" w:rsidR="00F674A4" w:rsidRPr="00F0736F" w:rsidRDefault="00F674A4" w:rsidP="008727D9">
      <w:pPr>
        <w:ind w:firstLine="709"/>
        <w:jc w:val="both"/>
        <w:rPr>
          <w:rFonts w:ascii="Times New Roman" w:hAnsi="Times New Roman" w:cs="Times New Roman"/>
          <w:color w:val="000000" w:themeColor="text1"/>
        </w:rPr>
      </w:pPr>
    </w:p>
    <w:p w14:paraId="4844AC95" w14:textId="77777777" w:rsidR="00E04A73" w:rsidRPr="00F0736F" w:rsidRDefault="00E04A73" w:rsidP="00E04A73">
      <w:pPr>
        <w:ind w:firstLine="709"/>
        <w:jc w:val="both"/>
        <w:rPr>
          <w:color w:val="000000" w:themeColor="text1"/>
        </w:rPr>
      </w:pPr>
      <w:r w:rsidRPr="00F0736F">
        <w:rPr>
          <w:rFonts w:ascii="Times New Roman" w:hAnsi="Times New Roman" w:cs="Times New Roman"/>
          <w:color w:val="000000" w:themeColor="text1"/>
        </w:rPr>
        <w:t xml:space="preserve">На стационарных постах и с помощью передвижных лабораторий за состоянием загрязнения атмосферного воздуха определяются следующие показатели: взвешенные частицы (пыль), взвешенные частицы РМ2,5, взвешенные частицы РМ10, диоксид серы, растворимые сульфаты, диоксид углерода, оксид углерода, диоксид азота, оксид азота, озон (приземный), сероводород, фенол, фтористый водород, хлор, хлористый водород, углеводороды, аммиак, серная кислота, формальдегид, метан, сумма углеводородов, н/о соединения мышьяка, кадмий, свинец, хром, медь, бензол, этилбензол, бенз(а)пирен, бериллий, марганец, кобальт, цинк, никель, гамма-фон, ртуть. </w:t>
      </w:r>
    </w:p>
    <w:p w14:paraId="0D9DB489" w14:textId="77777777" w:rsidR="00F674A4" w:rsidRPr="00F0736F" w:rsidRDefault="00D708A7" w:rsidP="008727D9">
      <w:pPr>
        <w:ind w:firstLine="709"/>
        <w:jc w:val="both"/>
        <w:rPr>
          <w:color w:val="000000" w:themeColor="text1"/>
        </w:rPr>
      </w:pPr>
      <w:r w:rsidRPr="00F0736F">
        <w:rPr>
          <w:rFonts w:ascii="Times New Roman" w:eastAsia="Calibri" w:hAnsi="Times New Roman" w:cs="Times New Roman"/>
          <w:color w:val="000000" w:themeColor="text1"/>
          <w:spacing w:val="2"/>
          <w:u w:color="000000"/>
        </w:rPr>
        <w:t>На вебсайте Казгидромета</w:t>
      </w:r>
      <w:r w:rsidRPr="00F0736F">
        <w:rPr>
          <w:rStyle w:val="a4"/>
          <w:rFonts w:ascii="Times New Roman" w:hAnsi="Times New Roman" w:cs="Times New Roman"/>
          <w:color w:val="000000" w:themeColor="text1"/>
          <w:spacing w:val="2"/>
          <w:u w:color="000000"/>
        </w:rPr>
        <w:footnoteReference w:id="78"/>
      </w:r>
      <w:r w:rsidRPr="00F0736F">
        <w:rPr>
          <w:rFonts w:ascii="Times New Roman" w:hAnsi="Times New Roman" w:cs="Times New Roman"/>
          <w:color w:val="000000" w:themeColor="text1"/>
          <w:spacing w:val="2"/>
          <w:u w:color="000000"/>
          <w:vertAlign w:val="superscript"/>
        </w:rPr>
        <w:t xml:space="preserve"> </w:t>
      </w:r>
      <w:r w:rsidRPr="00F0736F">
        <w:rPr>
          <w:rFonts w:ascii="Times New Roman" w:hAnsi="Times New Roman" w:cs="Times New Roman"/>
          <w:color w:val="000000" w:themeColor="text1"/>
        </w:rPr>
        <w:t xml:space="preserve">представлены </w:t>
      </w:r>
      <w:r w:rsidR="00F674A4" w:rsidRPr="00F0736F">
        <w:rPr>
          <w:rFonts w:ascii="Times New Roman" w:hAnsi="Times New Roman" w:cs="Times New Roman"/>
          <w:color w:val="000000" w:themeColor="text1"/>
        </w:rPr>
        <w:t>ежемесячные, ежеквартальные, полугодовые и годовые информационные бюллетени о состоянии окружающей среды, включающие следующую информ</w:t>
      </w:r>
      <w:bookmarkStart w:id="24" w:name="_Hlk518390115"/>
      <w:bookmarkEnd w:id="24"/>
      <w:r w:rsidR="00F674A4" w:rsidRPr="00F0736F">
        <w:rPr>
          <w:rFonts w:ascii="Times New Roman" w:hAnsi="Times New Roman" w:cs="Times New Roman"/>
          <w:color w:val="000000" w:themeColor="text1"/>
        </w:rPr>
        <w:t xml:space="preserve">ацию в разбивке по областям и городам: </w:t>
      </w:r>
    </w:p>
    <w:p w14:paraId="7623AE8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общая оценка уровня загрязнения воздуха в городах;</w:t>
      </w:r>
    </w:p>
    <w:p w14:paraId="51EB6B2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сведения о случаях высокого и экстремально высокого загрязнения атмосферного воздуха;</w:t>
      </w:r>
    </w:p>
    <w:p w14:paraId="4F7B7A2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радиационное состояние приземного слоя атмосферы;</w:t>
      </w:r>
    </w:p>
    <w:p w14:paraId="4F0B38F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плотность радиоактивных выпадений в приземном слое атмосферы.</w:t>
      </w:r>
    </w:p>
    <w:p w14:paraId="7C941D2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Дополнительные информационные бюллетени о состоянии окружающей среды публикуются Казгидрометом на ежеквартальной, полугодовой и годовой основе. Они посвящены следующим тематикам:</w:t>
      </w:r>
    </w:p>
    <w:p w14:paraId="593097A6" w14:textId="46523A49"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w:t>
      </w:r>
      <w:r w:rsidR="00EB7E3D" w:rsidRPr="00F0736F">
        <w:rPr>
          <w:rFonts w:ascii="Times New Roman" w:hAnsi="Times New Roman" w:cs="Times New Roman"/>
          <w:color w:val="000000" w:themeColor="text1"/>
        </w:rPr>
        <w:t>с</w:t>
      </w:r>
      <w:r w:rsidRPr="00F0736F">
        <w:rPr>
          <w:rFonts w:ascii="Times New Roman" w:eastAsia="Calibri" w:hAnsi="Times New Roman" w:cs="Times New Roman"/>
          <w:color w:val="000000" w:themeColor="text1"/>
        </w:rPr>
        <w:t>остояние окружающей среды на территории специальной экономической зоны «Морпорт Актау»;</w:t>
      </w:r>
    </w:p>
    <w:p w14:paraId="383693A5" w14:textId="2D3BFA2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w:t>
      </w:r>
      <w:r w:rsidR="00EB7E3D"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остояние окружающей среды казахстанской части Каспийского моря;</w:t>
      </w:r>
    </w:p>
    <w:p w14:paraId="20CB00B4" w14:textId="15D6BDAD"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w:t>
      </w:r>
      <w:r w:rsidR="00EB7E3D"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остояние окружающей среды бассейна р. Нура;</w:t>
      </w:r>
    </w:p>
    <w:p w14:paraId="26E6B21D" w14:textId="689FA8D2"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w:t>
      </w:r>
      <w:r w:rsidR="00EB7E3D"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остояние окружающей среды и здоровья населения Приаралья;</w:t>
      </w:r>
    </w:p>
    <w:p w14:paraId="7B4BC944" w14:textId="6B1C314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w:t>
      </w:r>
      <w:r w:rsidR="00EB7E3D"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остояние окружающей среды Щучинско-Боровской курортной зоны.</w:t>
      </w:r>
    </w:p>
    <w:p w14:paraId="25752187" w14:textId="5D50907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РГП «Казгидромет» с 2018 года запущено мобильное приложение </w:t>
      </w:r>
      <w:r w:rsidRPr="00F0736F">
        <w:rPr>
          <w:rFonts w:ascii="Times New Roman" w:hAnsi="Times New Roman" w:cs="Times New Roman"/>
          <w:bCs/>
          <w:color w:val="000000" w:themeColor="text1"/>
        </w:rPr>
        <w:t>AirKZ</w:t>
      </w:r>
      <w:r w:rsidRPr="00F0736F">
        <w:rPr>
          <w:rFonts w:ascii="Times New Roman" w:hAnsi="Times New Roman" w:cs="Times New Roman"/>
          <w:color w:val="000000" w:themeColor="text1"/>
        </w:rPr>
        <w:t xml:space="preserve">, позволяющее отслеживать качество атмосферного воздуха по 8 загрязняющим веществам в 45 населенных пунктах и по 140 экологическим постам Казахстана. Данные с мобильного приложения размещаются на LED-экранах гг. Павлодар, Экибастуз, Петропавловск, Уральск, Актау, Костанай, Талдыкорган. </w:t>
      </w:r>
      <w:r w:rsidRPr="00F0736F">
        <w:rPr>
          <w:rFonts w:ascii="Times New Roman" w:hAnsi="Times New Roman" w:cs="Times New Roman"/>
          <w:color w:val="000000" w:themeColor="text1"/>
          <w:szCs w:val="22"/>
        </w:rPr>
        <w:t>В</w:t>
      </w:r>
      <w:r w:rsidR="00EB7E3D" w:rsidRPr="00F0736F">
        <w:rPr>
          <w:rFonts w:ascii="Times New Roman" w:hAnsi="Times New Roman" w:cs="Times New Roman"/>
          <w:color w:val="000000" w:themeColor="text1"/>
          <w:szCs w:val="22"/>
        </w:rPr>
        <w:t xml:space="preserve"> </w:t>
      </w:r>
      <w:r w:rsidRPr="00F0736F">
        <w:rPr>
          <w:rFonts w:ascii="Times New Roman" w:hAnsi="Times New Roman" w:cs="Times New Roman"/>
          <w:color w:val="000000" w:themeColor="text1"/>
          <w:szCs w:val="22"/>
        </w:rPr>
        <w:t>зависимости от выбранного поста</w:t>
      </w:r>
      <w:r w:rsidR="009D282D" w:rsidRPr="00F0736F">
        <w:rPr>
          <w:rFonts w:ascii="Times New Roman" w:hAnsi="Times New Roman" w:cs="Times New Roman"/>
          <w:color w:val="000000" w:themeColor="text1"/>
          <w:szCs w:val="22"/>
        </w:rPr>
        <w:t>,</w:t>
      </w:r>
      <w:r w:rsidRPr="00F0736F">
        <w:rPr>
          <w:rFonts w:ascii="Times New Roman" w:hAnsi="Times New Roman" w:cs="Times New Roman"/>
          <w:color w:val="000000" w:themeColor="text1"/>
          <w:szCs w:val="22"/>
        </w:rPr>
        <w:t xml:space="preserve"> приложение отображает концентрации основных загрязнителей воздуха, в частности</w:t>
      </w:r>
      <w:r w:rsidR="009D282D" w:rsidRPr="00F0736F">
        <w:rPr>
          <w:rFonts w:ascii="Times New Roman" w:hAnsi="Times New Roman" w:cs="Times New Roman"/>
          <w:color w:val="000000" w:themeColor="text1"/>
          <w:szCs w:val="22"/>
        </w:rPr>
        <w:t>,</w:t>
      </w:r>
      <w:r w:rsidRPr="00F0736F">
        <w:rPr>
          <w:rFonts w:ascii="Times New Roman" w:hAnsi="Times New Roman" w:cs="Times New Roman"/>
          <w:color w:val="000000" w:themeColor="text1"/>
          <w:szCs w:val="22"/>
        </w:rPr>
        <w:t xml:space="preserve"> диоксида азота (NO</w:t>
      </w:r>
      <w:r w:rsidRPr="00F0736F">
        <w:rPr>
          <w:rFonts w:ascii="Times New Roman" w:hAnsi="Times New Roman" w:cs="Times New Roman"/>
          <w:color w:val="000000" w:themeColor="text1"/>
          <w:szCs w:val="22"/>
          <w:vertAlign w:val="subscript"/>
        </w:rPr>
        <w:t>2</w:t>
      </w:r>
      <w:r w:rsidRPr="00F0736F">
        <w:rPr>
          <w:rFonts w:ascii="Times New Roman" w:hAnsi="Times New Roman" w:cs="Times New Roman"/>
          <w:color w:val="000000" w:themeColor="text1"/>
          <w:szCs w:val="22"/>
        </w:rPr>
        <w:t xml:space="preserve">), оксида азота или окиси азота (NO), </w:t>
      </w:r>
      <w:r w:rsidRPr="00F0736F">
        <w:rPr>
          <w:rFonts w:ascii="Times New Roman" w:eastAsia="Calibri" w:hAnsi="Times New Roman" w:cs="Times New Roman"/>
          <w:color w:val="000000" w:themeColor="text1"/>
          <w:szCs w:val="22"/>
          <w:lang w:val="en-US"/>
        </w:rPr>
        <w:t>PM</w:t>
      </w:r>
      <w:r w:rsidRPr="00F0736F">
        <w:rPr>
          <w:rFonts w:ascii="Times New Roman" w:eastAsia="Calibri" w:hAnsi="Times New Roman" w:cs="Times New Roman"/>
          <w:color w:val="000000" w:themeColor="text1"/>
          <w:szCs w:val="22"/>
          <w:vertAlign w:val="subscript"/>
        </w:rPr>
        <w:t>10</w:t>
      </w:r>
      <w:r w:rsidRPr="00F0736F">
        <w:rPr>
          <w:rFonts w:ascii="Times New Roman" w:hAnsi="Times New Roman" w:cs="Times New Roman"/>
          <w:color w:val="000000" w:themeColor="text1"/>
          <w:szCs w:val="22"/>
        </w:rPr>
        <w:t xml:space="preserve">, </w:t>
      </w:r>
      <w:r w:rsidRPr="00F0736F">
        <w:rPr>
          <w:rFonts w:ascii="Times New Roman" w:eastAsia="Calibri" w:hAnsi="Times New Roman" w:cs="Times New Roman"/>
          <w:color w:val="000000" w:themeColor="text1"/>
          <w:szCs w:val="22"/>
          <w:lang w:val="en-US"/>
        </w:rPr>
        <w:t>PM</w:t>
      </w:r>
      <w:r w:rsidRPr="00F0736F">
        <w:rPr>
          <w:rFonts w:ascii="Times New Roman" w:eastAsia="Calibri" w:hAnsi="Times New Roman" w:cs="Times New Roman"/>
          <w:color w:val="000000" w:themeColor="text1"/>
          <w:szCs w:val="22"/>
          <w:vertAlign w:val="subscript"/>
        </w:rPr>
        <w:t>2,5</w:t>
      </w:r>
      <w:r w:rsidRPr="00F0736F">
        <w:rPr>
          <w:rFonts w:ascii="Times New Roman" w:hAnsi="Times New Roman" w:cs="Times New Roman"/>
          <w:color w:val="000000" w:themeColor="text1"/>
          <w:szCs w:val="22"/>
        </w:rPr>
        <w:t>, пыли, SO</w:t>
      </w:r>
      <w:r w:rsidRPr="00F0736F">
        <w:rPr>
          <w:rFonts w:ascii="Times New Roman" w:hAnsi="Times New Roman" w:cs="Times New Roman"/>
          <w:color w:val="000000" w:themeColor="text1"/>
          <w:szCs w:val="22"/>
          <w:vertAlign w:val="subscript"/>
        </w:rPr>
        <w:t>2</w:t>
      </w:r>
      <w:r w:rsidRPr="00F0736F">
        <w:rPr>
          <w:rFonts w:ascii="Times New Roman" w:hAnsi="Times New Roman" w:cs="Times New Roman"/>
          <w:color w:val="000000" w:themeColor="text1"/>
          <w:szCs w:val="22"/>
        </w:rPr>
        <w:t>, H</w:t>
      </w:r>
      <w:r w:rsidRPr="00F0736F">
        <w:rPr>
          <w:rFonts w:ascii="Times New Roman" w:hAnsi="Times New Roman" w:cs="Times New Roman"/>
          <w:color w:val="000000" w:themeColor="text1"/>
          <w:szCs w:val="22"/>
          <w:vertAlign w:val="subscript"/>
        </w:rPr>
        <w:t>2</w:t>
      </w:r>
      <w:r w:rsidRPr="00F0736F">
        <w:rPr>
          <w:rFonts w:ascii="Times New Roman" w:hAnsi="Times New Roman" w:cs="Times New Roman"/>
          <w:color w:val="000000" w:themeColor="text1"/>
          <w:szCs w:val="22"/>
        </w:rPr>
        <w:t>S и CO. По каждому параметру пользователи могут просматривать уровень концентрации в мг/м</w:t>
      </w:r>
      <w:r w:rsidRPr="00F0736F">
        <w:rPr>
          <w:rFonts w:ascii="Times New Roman" w:hAnsi="Times New Roman" w:cs="Times New Roman"/>
          <w:color w:val="000000" w:themeColor="text1"/>
          <w:szCs w:val="22"/>
          <w:vertAlign w:val="superscript"/>
        </w:rPr>
        <w:t>3</w:t>
      </w:r>
      <w:r w:rsidRPr="00F0736F">
        <w:rPr>
          <w:rFonts w:ascii="Times New Roman" w:hAnsi="Times New Roman" w:cs="Times New Roman"/>
          <w:color w:val="000000" w:themeColor="text1"/>
          <w:szCs w:val="22"/>
        </w:rPr>
        <w:t xml:space="preserve"> и уровень по отношению к ПДК, представленный по цветовой шкале.</w:t>
      </w:r>
    </w:p>
    <w:p w14:paraId="1993FA35" w14:textId="77777777" w:rsidR="00D708A7"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szCs w:val="22"/>
        </w:rPr>
        <w:t xml:space="preserve">Приложение «AirKz» доступно на английском, казахском и русском языках и позволяет пользователям выбирать нужные посты вручную или согласно данным геолокации, когда приложение автоматически определяет ближайший пост. </w:t>
      </w:r>
    </w:p>
    <w:p w14:paraId="5CF285A4" w14:textId="44FEFD15"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По данным Министерства экологии, геологии и природных ресурсов (МЭГПР), объем выданных лимитов (нормативных выбросов) загрязняющих веществ снизился с 4,5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в 2016 году до 4,2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в 2017 году и до 4,1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в 2019 году. Аналогичное снижение отмечено и по фактическим выбросам (таблица 1.6.1., рис. 1.6.</w:t>
      </w:r>
      <w:r w:rsidR="0071189A" w:rsidRPr="00F0736F">
        <w:rPr>
          <w:rFonts w:ascii="Times New Roman" w:eastAsia="Times New Roman" w:hAnsi="Times New Roman" w:cs="Times New Roman"/>
          <w:color w:val="000000" w:themeColor="text1"/>
          <w:lang w:eastAsia="ru-RU"/>
        </w:rPr>
        <w:t>2</w:t>
      </w:r>
      <w:r w:rsidRPr="00F0736F">
        <w:rPr>
          <w:rFonts w:ascii="Times New Roman" w:eastAsia="Times New Roman" w:hAnsi="Times New Roman" w:cs="Times New Roman"/>
          <w:color w:val="000000" w:themeColor="text1"/>
          <w:lang w:eastAsia="ru-RU"/>
        </w:rPr>
        <w:t>.).</w:t>
      </w:r>
    </w:p>
    <w:p w14:paraId="5EFDBBDE" w14:textId="77777777" w:rsidR="00F674A4" w:rsidRPr="00F0736F" w:rsidRDefault="00F674A4" w:rsidP="008727D9">
      <w:pPr>
        <w:ind w:firstLine="709"/>
        <w:jc w:val="both"/>
        <w:rPr>
          <w:color w:val="000000" w:themeColor="text1"/>
        </w:rPr>
      </w:pPr>
    </w:p>
    <w:p w14:paraId="2BF8FED9" w14:textId="77777777" w:rsidR="005278B0"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1.6.</w:t>
      </w:r>
      <w:r w:rsidR="008B3ADF" w:rsidRPr="00F0736F">
        <w:rPr>
          <w:rFonts w:ascii="Times New Roman" w:hAnsi="Times New Roman" w:cs="Times New Roman"/>
          <w:color w:val="000000" w:themeColor="text1"/>
        </w:rPr>
        <w:t>1</w:t>
      </w:r>
      <w:r w:rsidRPr="00F0736F">
        <w:rPr>
          <w:rFonts w:ascii="Times New Roman" w:hAnsi="Times New Roman" w:cs="Times New Roman"/>
          <w:color w:val="000000" w:themeColor="text1"/>
        </w:rPr>
        <w:t>. Лимиты выбросов вредных веществ и фактические выбросы</w:t>
      </w:r>
    </w:p>
    <w:p w14:paraId="441EFD9A" w14:textId="1167A580" w:rsidR="00F674A4" w:rsidRPr="00F0736F" w:rsidRDefault="00F674A4" w:rsidP="005278B0">
      <w:pPr>
        <w:ind w:firstLine="709"/>
        <w:jc w:val="right"/>
        <w:rPr>
          <w:rFonts w:asciiTheme="minorHAnsi" w:hAnsiTheme="minorHAnsi"/>
          <w:color w:val="000000" w:themeColor="text1"/>
        </w:rPr>
      </w:pPr>
      <w:r w:rsidRPr="00F0736F">
        <w:rPr>
          <w:rFonts w:ascii="Times New Roman" w:hAnsi="Times New Roman" w:cs="Times New Roman"/>
          <w:color w:val="000000" w:themeColor="text1"/>
        </w:rPr>
        <w:t xml:space="preserve">тыс. </w:t>
      </w:r>
      <w:r w:rsidR="00AC18E0" w:rsidRPr="00F0736F">
        <w:rPr>
          <w:rFonts w:ascii="Times New Roman" w:hAnsi="Times New Roman" w:cs="Times New Roman"/>
          <w:color w:val="000000" w:themeColor="text1"/>
        </w:rPr>
        <w:t>т.</w:t>
      </w:r>
    </w:p>
    <w:tbl>
      <w:tblPr>
        <w:tblW w:w="9709" w:type="dxa"/>
        <w:tblInd w:w="67" w:type="dxa"/>
        <w:tblLayout w:type="fixed"/>
        <w:tblLook w:val="0000" w:firstRow="0" w:lastRow="0" w:firstColumn="0" w:lastColumn="0" w:noHBand="0" w:noVBand="0"/>
      </w:tblPr>
      <w:tblGrid>
        <w:gridCol w:w="1945"/>
        <w:gridCol w:w="1244"/>
        <w:gridCol w:w="1134"/>
        <w:gridCol w:w="1275"/>
        <w:gridCol w:w="1276"/>
        <w:gridCol w:w="1268"/>
        <w:gridCol w:w="1567"/>
      </w:tblGrid>
      <w:tr w:rsidR="00F0736F" w:rsidRPr="00F0736F" w14:paraId="21B902B0" w14:textId="77777777" w:rsidTr="005278B0">
        <w:tc>
          <w:tcPr>
            <w:tcW w:w="1945" w:type="dxa"/>
            <w:vMerge w:val="restart"/>
            <w:tcBorders>
              <w:top w:val="single" w:sz="4" w:space="0" w:color="000000"/>
              <w:left w:val="single" w:sz="4" w:space="0" w:color="000000"/>
              <w:bottom w:val="single" w:sz="4" w:space="0" w:color="000000"/>
            </w:tcBorders>
            <w:shd w:val="clear" w:color="auto" w:fill="auto"/>
          </w:tcPr>
          <w:p w14:paraId="73F3E4C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Наименование</w:t>
            </w:r>
          </w:p>
          <w:p w14:paraId="6E9D368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областей</w:t>
            </w:r>
          </w:p>
        </w:tc>
        <w:tc>
          <w:tcPr>
            <w:tcW w:w="2378" w:type="dxa"/>
            <w:gridSpan w:val="2"/>
            <w:tcBorders>
              <w:top w:val="single" w:sz="4" w:space="0" w:color="000000"/>
              <w:left w:val="single" w:sz="4" w:space="0" w:color="000000"/>
              <w:bottom w:val="single" w:sz="4" w:space="0" w:color="000000"/>
            </w:tcBorders>
            <w:shd w:val="clear" w:color="auto" w:fill="auto"/>
          </w:tcPr>
          <w:p w14:paraId="2040EF52"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2017 год</w:t>
            </w:r>
          </w:p>
        </w:tc>
        <w:tc>
          <w:tcPr>
            <w:tcW w:w="2551" w:type="dxa"/>
            <w:gridSpan w:val="2"/>
            <w:tcBorders>
              <w:top w:val="single" w:sz="4" w:space="0" w:color="000000"/>
              <w:left w:val="single" w:sz="4" w:space="0" w:color="000000"/>
              <w:bottom w:val="single" w:sz="4" w:space="0" w:color="000000"/>
            </w:tcBorders>
            <w:shd w:val="clear" w:color="auto" w:fill="auto"/>
          </w:tcPr>
          <w:p w14:paraId="7629EB6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2018 год</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4138238F" w14:textId="118E143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2019 год</w:t>
            </w:r>
          </w:p>
        </w:tc>
      </w:tr>
      <w:tr w:rsidR="00F0736F" w:rsidRPr="00F0736F" w14:paraId="37761EF4" w14:textId="77777777" w:rsidTr="005278B0">
        <w:tc>
          <w:tcPr>
            <w:tcW w:w="1945" w:type="dxa"/>
            <w:vMerge/>
            <w:tcBorders>
              <w:top w:val="single" w:sz="4" w:space="0" w:color="000000"/>
              <w:left w:val="single" w:sz="4" w:space="0" w:color="000000"/>
              <w:bottom w:val="single" w:sz="4" w:space="0" w:color="000000"/>
            </w:tcBorders>
            <w:shd w:val="clear" w:color="auto" w:fill="auto"/>
          </w:tcPr>
          <w:p w14:paraId="51A8D654" w14:textId="77777777" w:rsidR="008B623D" w:rsidRPr="00F0736F" w:rsidRDefault="008B623D" w:rsidP="008727D9">
            <w:pPr>
              <w:snapToGrid w:val="0"/>
              <w:ind w:firstLine="709"/>
              <w:jc w:val="both"/>
              <w:rPr>
                <w:rFonts w:ascii="Times New Roman" w:hAnsi="Times New Roman" w:cs="Times New Roman"/>
                <w:color w:val="000000" w:themeColor="text1"/>
                <w:sz w:val="20"/>
                <w:szCs w:val="20"/>
              </w:rPr>
            </w:pPr>
          </w:p>
        </w:tc>
        <w:tc>
          <w:tcPr>
            <w:tcW w:w="1244" w:type="dxa"/>
            <w:tcBorders>
              <w:top w:val="single" w:sz="4" w:space="0" w:color="000000"/>
              <w:left w:val="single" w:sz="4" w:space="0" w:color="000000"/>
              <w:bottom w:val="single" w:sz="4" w:space="0" w:color="000000"/>
            </w:tcBorders>
            <w:shd w:val="clear" w:color="auto" w:fill="auto"/>
          </w:tcPr>
          <w:p w14:paraId="55333DC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лимит</w:t>
            </w:r>
          </w:p>
        </w:tc>
        <w:tc>
          <w:tcPr>
            <w:tcW w:w="1134" w:type="dxa"/>
            <w:tcBorders>
              <w:top w:val="single" w:sz="4" w:space="0" w:color="000000"/>
              <w:left w:val="single" w:sz="4" w:space="0" w:color="000000"/>
              <w:bottom w:val="single" w:sz="4" w:space="0" w:color="000000"/>
            </w:tcBorders>
            <w:shd w:val="clear" w:color="auto" w:fill="auto"/>
          </w:tcPr>
          <w:p w14:paraId="29D65017"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факт</w:t>
            </w:r>
          </w:p>
        </w:tc>
        <w:tc>
          <w:tcPr>
            <w:tcW w:w="1275" w:type="dxa"/>
            <w:tcBorders>
              <w:top w:val="single" w:sz="4" w:space="0" w:color="000000"/>
              <w:left w:val="single" w:sz="4" w:space="0" w:color="000000"/>
              <w:bottom w:val="single" w:sz="4" w:space="0" w:color="000000"/>
            </w:tcBorders>
            <w:shd w:val="clear" w:color="auto" w:fill="auto"/>
          </w:tcPr>
          <w:p w14:paraId="1DCB56C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лимит</w:t>
            </w:r>
          </w:p>
        </w:tc>
        <w:tc>
          <w:tcPr>
            <w:tcW w:w="1276" w:type="dxa"/>
            <w:tcBorders>
              <w:top w:val="single" w:sz="4" w:space="0" w:color="000000"/>
              <w:left w:val="single" w:sz="4" w:space="0" w:color="000000"/>
              <w:bottom w:val="single" w:sz="4" w:space="0" w:color="000000"/>
            </w:tcBorders>
            <w:shd w:val="clear" w:color="auto" w:fill="auto"/>
          </w:tcPr>
          <w:p w14:paraId="1CCDC526"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факт</w:t>
            </w:r>
          </w:p>
        </w:tc>
        <w:tc>
          <w:tcPr>
            <w:tcW w:w="1268" w:type="dxa"/>
            <w:tcBorders>
              <w:top w:val="single" w:sz="4" w:space="0" w:color="000000"/>
              <w:left w:val="single" w:sz="4" w:space="0" w:color="000000"/>
              <w:bottom w:val="single" w:sz="4" w:space="0" w:color="000000"/>
            </w:tcBorders>
            <w:shd w:val="clear" w:color="auto" w:fill="auto"/>
          </w:tcPr>
          <w:p w14:paraId="1D111202"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лимит</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32EC89F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факт</w:t>
            </w:r>
          </w:p>
        </w:tc>
      </w:tr>
      <w:tr w:rsidR="00F0736F" w:rsidRPr="00F0736F" w14:paraId="40C7C2F0" w14:textId="77777777" w:rsidTr="005278B0">
        <w:tc>
          <w:tcPr>
            <w:tcW w:w="1945" w:type="dxa"/>
            <w:tcBorders>
              <w:top w:val="single" w:sz="4" w:space="0" w:color="000000"/>
              <w:left w:val="single" w:sz="4" w:space="0" w:color="000000"/>
              <w:bottom w:val="single" w:sz="4" w:space="0" w:color="000000"/>
            </w:tcBorders>
            <w:shd w:val="clear" w:color="auto" w:fill="auto"/>
          </w:tcPr>
          <w:p w14:paraId="498E3608"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Акмолинская</w:t>
            </w:r>
          </w:p>
        </w:tc>
        <w:tc>
          <w:tcPr>
            <w:tcW w:w="1244" w:type="dxa"/>
            <w:tcBorders>
              <w:top w:val="single" w:sz="4" w:space="0" w:color="000000"/>
              <w:left w:val="single" w:sz="4" w:space="0" w:color="000000"/>
              <w:bottom w:val="single" w:sz="4" w:space="0" w:color="000000"/>
            </w:tcBorders>
            <w:shd w:val="clear" w:color="auto" w:fill="auto"/>
          </w:tcPr>
          <w:p w14:paraId="6FBB9E0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142</w:t>
            </w:r>
          </w:p>
        </w:tc>
        <w:tc>
          <w:tcPr>
            <w:tcW w:w="1134" w:type="dxa"/>
            <w:tcBorders>
              <w:top w:val="single" w:sz="4" w:space="0" w:color="000000"/>
              <w:left w:val="single" w:sz="4" w:space="0" w:color="000000"/>
              <w:bottom w:val="single" w:sz="4" w:space="0" w:color="000000"/>
            </w:tcBorders>
            <w:shd w:val="clear" w:color="auto" w:fill="auto"/>
          </w:tcPr>
          <w:p w14:paraId="0BA9890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90</w:t>
            </w:r>
          </w:p>
        </w:tc>
        <w:tc>
          <w:tcPr>
            <w:tcW w:w="1275" w:type="dxa"/>
            <w:tcBorders>
              <w:top w:val="single" w:sz="4" w:space="0" w:color="000000"/>
              <w:left w:val="single" w:sz="4" w:space="0" w:color="000000"/>
              <w:bottom w:val="single" w:sz="4" w:space="0" w:color="000000"/>
            </w:tcBorders>
            <w:shd w:val="clear" w:color="auto" w:fill="auto"/>
          </w:tcPr>
          <w:p w14:paraId="01FB4E6E"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164</w:t>
            </w:r>
          </w:p>
        </w:tc>
        <w:tc>
          <w:tcPr>
            <w:tcW w:w="1276" w:type="dxa"/>
            <w:tcBorders>
              <w:top w:val="single" w:sz="4" w:space="0" w:color="000000"/>
              <w:left w:val="single" w:sz="4" w:space="0" w:color="000000"/>
              <w:bottom w:val="single" w:sz="4" w:space="0" w:color="000000"/>
            </w:tcBorders>
            <w:shd w:val="clear" w:color="auto" w:fill="auto"/>
          </w:tcPr>
          <w:p w14:paraId="20FC86D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103</w:t>
            </w:r>
          </w:p>
        </w:tc>
        <w:tc>
          <w:tcPr>
            <w:tcW w:w="1268" w:type="dxa"/>
            <w:tcBorders>
              <w:top w:val="single" w:sz="4" w:space="0" w:color="000000"/>
              <w:left w:val="single" w:sz="4" w:space="0" w:color="000000"/>
              <w:bottom w:val="single" w:sz="4" w:space="0" w:color="000000"/>
            </w:tcBorders>
            <w:shd w:val="clear" w:color="auto" w:fill="auto"/>
            <w:vAlign w:val="center"/>
          </w:tcPr>
          <w:p w14:paraId="12CE88E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162,5</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F4B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115,4</w:t>
            </w:r>
          </w:p>
        </w:tc>
      </w:tr>
      <w:tr w:rsidR="00F0736F" w:rsidRPr="00F0736F" w14:paraId="06726B85" w14:textId="77777777" w:rsidTr="005278B0">
        <w:tc>
          <w:tcPr>
            <w:tcW w:w="1945" w:type="dxa"/>
            <w:tcBorders>
              <w:top w:val="single" w:sz="4" w:space="0" w:color="000000"/>
              <w:left w:val="single" w:sz="4" w:space="0" w:color="000000"/>
              <w:bottom w:val="single" w:sz="4" w:space="0" w:color="000000"/>
            </w:tcBorders>
            <w:shd w:val="clear" w:color="auto" w:fill="auto"/>
          </w:tcPr>
          <w:p w14:paraId="4A8E4794"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Актюбинская</w:t>
            </w:r>
          </w:p>
        </w:tc>
        <w:tc>
          <w:tcPr>
            <w:tcW w:w="1244" w:type="dxa"/>
            <w:tcBorders>
              <w:top w:val="single" w:sz="4" w:space="0" w:color="000000"/>
              <w:left w:val="single" w:sz="4" w:space="0" w:color="000000"/>
              <w:bottom w:val="single" w:sz="4" w:space="0" w:color="000000"/>
            </w:tcBorders>
            <w:shd w:val="clear" w:color="auto" w:fill="auto"/>
          </w:tcPr>
          <w:p w14:paraId="4F5CE32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352</w:t>
            </w:r>
          </w:p>
        </w:tc>
        <w:tc>
          <w:tcPr>
            <w:tcW w:w="1134" w:type="dxa"/>
            <w:tcBorders>
              <w:top w:val="single" w:sz="4" w:space="0" w:color="000000"/>
              <w:left w:val="single" w:sz="4" w:space="0" w:color="000000"/>
              <w:bottom w:val="single" w:sz="4" w:space="0" w:color="000000"/>
            </w:tcBorders>
            <w:shd w:val="clear" w:color="auto" w:fill="auto"/>
          </w:tcPr>
          <w:p w14:paraId="39839966"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194</w:t>
            </w:r>
          </w:p>
        </w:tc>
        <w:tc>
          <w:tcPr>
            <w:tcW w:w="1275" w:type="dxa"/>
            <w:tcBorders>
              <w:top w:val="single" w:sz="4" w:space="0" w:color="000000"/>
              <w:left w:val="single" w:sz="4" w:space="0" w:color="000000"/>
              <w:bottom w:val="single" w:sz="4" w:space="0" w:color="000000"/>
            </w:tcBorders>
            <w:shd w:val="clear" w:color="auto" w:fill="auto"/>
          </w:tcPr>
          <w:p w14:paraId="08A0C16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318</w:t>
            </w:r>
          </w:p>
        </w:tc>
        <w:tc>
          <w:tcPr>
            <w:tcW w:w="1276" w:type="dxa"/>
            <w:tcBorders>
              <w:top w:val="single" w:sz="4" w:space="0" w:color="000000"/>
              <w:left w:val="single" w:sz="4" w:space="0" w:color="000000"/>
              <w:bottom w:val="single" w:sz="4" w:space="0" w:color="000000"/>
            </w:tcBorders>
            <w:shd w:val="clear" w:color="auto" w:fill="auto"/>
          </w:tcPr>
          <w:p w14:paraId="1A28AD7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185</w:t>
            </w:r>
          </w:p>
        </w:tc>
        <w:tc>
          <w:tcPr>
            <w:tcW w:w="1268" w:type="dxa"/>
            <w:tcBorders>
              <w:top w:val="single" w:sz="4" w:space="0" w:color="000000"/>
              <w:left w:val="single" w:sz="4" w:space="0" w:color="000000"/>
              <w:bottom w:val="single" w:sz="4" w:space="0" w:color="000000"/>
            </w:tcBorders>
            <w:shd w:val="clear" w:color="auto" w:fill="auto"/>
            <w:vAlign w:val="center"/>
          </w:tcPr>
          <w:p w14:paraId="259288C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319,6</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684D4"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182,3</w:t>
            </w:r>
          </w:p>
        </w:tc>
      </w:tr>
      <w:tr w:rsidR="00F0736F" w:rsidRPr="00F0736F" w14:paraId="108184E8" w14:textId="77777777" w:rsidTr="005278B0">
        <w:tc>
          <w:tcPr>
            <w:tcW w:w="1945" w:type="dxa"/>
            <w:tcBorders>
              <w:top w:val="single" w:sz="4" w:space="0" w:color="000000"/>
              <w:left w:val="single" w:sz="4" w:space="0" w:color="000000"/>
              <w:bottom w:val="single" w:sz="4" w:space="0" w:color="000000"/>
            </w:tcBorders>
            <w:shd w:val="clear" w:color="auto" w:fill="auto"/>
          </w:tcPr>
          <w:p w14:paraId="6E939120"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Алматинск</w:t>
            </w:r>
            <w:r w:rsidR="00B30FDA" w:rsidRPr="00F0736F">
              <w:rPr>
                <w:rFonts w:ascii="Times New Roman" w:hAnsi="Times New Roman" w:cs="Times New Roman"/>
                <w:color w:val="000000" w:themeColor="text1"/>
                <w:sz w:val="20"/>
                <w:szCs w:val="20"/>
              </w:rPr>
              <w:t>ая</w:t>
            </w:r>
          </w:p>
        </w:tc>
        <w:tc>
          <w:tcPr>
            <w:tcW w:w="1244" w:type="dxa"/>
            <w:tcBorders>
              <w:top w:val="single" w:sz="4" w:space="0" w:color="000000"/>
              <w:left w:val="single" w:sz="4" w:space="0" w:color="000000"/>
              <w:bottom w:val="single" w:sz="4" w:space="0" w:color="000000"/>
            </w:tcBorders>
            <w:shd w:val="clear" w:color="auto" w:fill="auto"/>
          </w:tcPr>
          <w:p w14:paraId="2E336CB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129</w:t>
            </w:r>
          </w:p>
        </w:tc>
        <w:tc>
          <w:tcPr>
            <w:tcW w:w="1134" w:type="dxa"/>
            <w:tcBorders>
              <w:top w:val="single" w:sz="4" w:space="0" w:color="000000"/>
              <w:left w:val="single" w:sz="4" w:space="0" w:color="000000"/>
              <w:bottom w:val="single" w:sz="4" w:space="0" w:color="000000"/>
            </w:tcBorders>
            <w:shd w:val="clear" w:color="auto" w:fill="auto"/>
          </w:tcPr>
          <w:p w14:paraId="05DEC59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39</w:t>
            </w:r>
          </w:p>
        </w:tc>
        <w:tc>
          <w:tcPr>
            <w:tcW w:w="1275" w:type="dxa"/>
            <w:tcBorders>
              <w:top w:val="single" w:sz="4" w:space="0" w:color="000000"/>
              <w:left w:val="single" w:sz="4" w:space="0" w:color="000000"/>
              <w:bottom w:val="single" w:sz="4" w:space="0" w:color="000000"/>
            </w:tcBorders>
            <w:shd w:val="clear" w:color="auto" w:fill="auto"/>
          </w:tcPr>
          <w:p w14:paraId="4E4FA15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129</w:t>
            </w:r>
          </w:p>
        </w:tc>
        <w:tc>
          <w:tcPr>
            <w:tcW w:w="1276" w:type="dxa"/>
            <w:tcBorders>
              <w:top w:val="single" w:sz="4" w:space="0" w:color="000000"/>
              <w:left w:val="single" w:sz="4" w:space="0" w:color="000000"/>
              <w:bottom w:val="single" w:sz="4" w:space="0" w:color="000000"/>
            </w:tcBorders>
            <w:shd w:val="clear" w:color="auto" w:fill="auto"/>
          </w:tcPr>
          <w:p w14:paraId="5FECDB12"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41</w:t>
            </w:r>
          </w:p>
        </w:tc>
        <w:tc>
          <w:tcPr>
            <w:tcW w:w="1268" w:type="dxa"/>
            <w:tcBorders>
              <w:top w:val="single" w:sz="4" w:space="0" w:color="000000"/>
              <w:left w:val="single" w:sz="4" w:space="0" w:color="000000"/>
              <w:bottom w:val="single" w:sz="4" w:space="0" w:color="000000"/>
            </w:tcBorders>
            <w:shd w:val="clear" w:color="auto" w:fill="auto"/>
            <w:vAlign w:val="center"/>
          </w:tcPr>
          <w:p w14:paraId="1C9D2D4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128</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2B0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43,2</w:t>
            </w:r>
          </w:p>
        </w:tc>
      </w:tr>
      <w:tr w:rsidR="00F0736F" w:rsidRPr="00F0736F" w14:paraId="6B9E70E7" w14:textId="77777777" w:rsidTr="005278B0">
        <w:tc>
          <w:tcPr>
            <w:tcW w:w="1945" w:type="dxa"/>
            <w:tcBorders>
              <w:top w:val="single" w:sz="4" w:space="0" w:color="000000"/>
              <w:left w:val="single" w:sz="4" w:space="0" w:color="000000"/>
              <w:bottom w:val="single" w:sz="4" w:space="0" w:color="000000"/>
            </w:tcBorders>
            <w:shd w:val="clear" w:color="auto" w:fill="auto"/>
          </w:tcPr>
          <w:p w14:paraId="53D46CF4"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Атырауская</w:t>
            </w:r>
          </w:p>
        </w:tc>
        <w:tc>
          <w:tcPr>
            <w:tcW w:w="1244" w:type="dxa"/>
            <w:tcBorders>
              <w:top w:val="single" w:sz="4" w:space="0" w:color="000000"/>
              <w:left w:val="single" w:sz="4" w:space="0" w:color="000000"/>
              <w:bottom w:val="single" w:sz="4" w:space="0" w:color="000000"/>
            </w:tcBorders>
            <w:shd w:val="clear" w:color="auto" w:fill="auto"/>
          </w:tcPr>
          <w:p w14:paraId="1764C11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582</w:t>
            </w:r>
          </w:p>
        </w:tc>
        <w:tc>
          <w:tcPr>
            <w:tcW w:w="1134" w:type="dxa"/>
            <w:tcBorders>
              <w:top w:val="single" w:sz="4" w:space="0" w:color="000000"/>
              <w:left w:val="single" w:sz="4" w:space="0" w:color="000000"/>
              <w:bottom w:val="single" w:sz="4" w:space="0" w:color="000000"/>
            </w:tcBorders>
            <w:shd w:val="clear" w:color="auto" w:fill="auto"/>
          </w:tcPr>
          <w:p w14:paraId="0F50007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164</w:t>
            </w:r>
          </w:p>
        </w:tc>
        <w:tc>
          <w:tcPr>
            <w:tcW w:w="1275" w:type="dxa"/>
            <w:tcBorders>
              <w:top w:val="single" w:sz="4" w:space="0" w:color="000000"/>
              <w:left w:val="single" w:sz="4" w:space="0" w:color="000000"/>
              <w:bottom w:val="single" w:sz="4" w:space="0" w:color="000000"/>
            </w:tcBorders>
            <w:shd w:val="clear" w:color="auto" w:fill="auto"/>
          </w:tcPr>
          <w:p w14:paraId="0B2DE9A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471</w:t>
            </w:r>
          </w:p>
        </w:tc>
        <w:tc>
          <w:tcPr>
            <w:tcW w:w="1276" w:type="dxa"/>
            <w:tcBorders>
              <w:top w:val="single" w:sz="4" w:space="0" w:color="000000"/>
              <w:left w:val="single" w:sz="4" w:space="0" w:color="000000"/>
              <w:bottom w:val="single" w:sz="4" w:space="0" w:color="000000"/>
            </w:tcBorders>
            <w:shd w:val="clear" w:color="auto" w:fill="auto"/>
          </w:tcPr>
          <w:p w14:paraId="7B68CBF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180</w:t>
            </w:r>
          </w:p>
        </w:tc>
        <w:tc>
          <w:tcPr>
            <w:tcW w:w="1268" w:type="dxa"/>
            <w:tcBorders>
              <w:top w:val="single" w:sz="4" w:space="0" w:color="000000"/>
              <w:left w:val="single" w:sz="4" w:space="0" w:color="000000"/>
              <w:bottom w:val="single" w:sz="4" w:space="0" w:color="000000"/>
            </w:tcBorders>
            <w:shd w:val="clear" w:color="auto" w:fill="auto"/>
            <w:vAlign w:val="center"/>
          </w:tcPr>
          <w:p w14:paraId="7E665E1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377,1</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530D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123,6</w:t>
            </w:r>
          </w:p>
        </w:tc>
      </w:tr>
      <w:tr w:rsidR="00F0736F" w:rsidRPr="00F0736F" w14:paraId="59F426A4" w14:textId="77777777" w:rsidTr="005278B0">
        <w:tc>
          <w:tcPr>
            <w:tcW w:w="1945" w:type="dxa"/>
            <w:tcBorders>
              <w:top w:val="single" w:sz="4" w:space="0" w:color="000000"/>
              <w:left w:val="single" w:sz="4" w:space="0" w:color="000000"/>
              <w:bottom w:val="single" w:sz="4" w:space="0" w:color="000000"/>
            </w:tcBorders>
            <w:shd w:val="clear" w:color="auto" w:fill="auto"/>
          </w:tcPr>
          <w:p w14:paraId="385E49DA"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ВКО</w:t>
            </w:r>
          </w:p>
        </w:tc>
        <w:tc>
          <w:tcPr>
            <w:tcW w:w="1244" w:type="dxa"/>
            <w:tcBorders>
              <w:top w:val="single" w:sz="4" w:space="0" w:color="000000"/>
              <w:left w:val="single" w:sz="4" w:space="0" w:color="000000"/>
              <w:bottom w:val="single" w:sz="4" w:space="0" w:color="000000"/>
            </w:tcBorders>
            <w:shd w:val="clear" w:color="auto" w:fill="auto"/>
          </w:tcPr>
          <w:p w14:paraId="1443F47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186</w:t>
            </w:r>
          </w:p>
        </w:tc>
        <w:tc>
          <w:tcPr>
            <w:tcW w:w="1134" w:type="dxa"/>
            <w:tcBorders>
              <w:top w:val="single" w:sz="4" w:space="0" w:color="000000"/>
              <w:left w:val="single" w:sz="4" w:space="0" w:color="000000"/>
              <w:bottom w:val="single" w:sz="4" w:space="0" w:color="000000"/>
            </w:tcBorders>
            <w:shd w:val="clear" w:color="auto" w:fill="auto"/>
          </w:tcPr>
          <w:p w14:paraId="0E05F23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79</w:t>
            </w:r>
          </w:p>
        </w:tc>
        <w:tc>
          <w:tcPr>
            <w:tcW w:w="1275" w:type="dxa"/>
            <w:tcBorders>
              <w:top w:val="single" w:sz="4" w:space="0" w:color="000000"/>
              <w:left w:val="single" w:sz="4" w:space="0" w:color="000000"/>
              <w:bottom w:val="single" w:sz="4" w:space="0" w:color="000000"/>
            </w:tcBorders>
            <w:shd w:val="clear" w:color="auto" w:fill="auto"/>
          </w:tcPr>
          <w:p w14:paraId="1528F26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194</w:t>
            </w:r>
          </w:p>
        </w:tc>
        <w:tc>
          <w:tcPr>
            <w:tcW w:w="1276" w:type="dxa"/>
            <w:tcBorders>
              <w:top w:val="single" w:sz="4" w:space="0" w:color="000000"/>
              <w:left w:val="single" w:sz="4" w:space="0" w:color="000000"/>
              <w:bottom w:val="single" w:sz="4" w:space="0" w:color="000000"/>
            </w:tcBorders>
            <w:shd w:val="clear" w:color="auto" w:fill="auto"/>
          </w:tcPr>
          <w:p w14:paraId="5EE93B6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130</w:t>
            </w:r>
          </w:p>
        </w:tc>
        <w:tc>
          <w:tcPr>
            <w:tcW w:w="1268" w:type="dxa"/>
            <w:tcBorders>
              <w:top w:val="single" w:sz="4" w:space="0" w:color="000000"/>
              <w:left w:val="single" w:sz="4" w:space="0" w:color="000000"/>
              <w:bottom w:val="single" w:sz="4" w:space="0" w:color="000000"/>
            </w:tcBorders>
            <w:shd w:val="clear" w:color="auto" w:fill="auto"/>
            <w:vAlign w:val="center"/>
          </w:tcPr>
          <w:p w14:paraId="3497D4C7"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189,4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A964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130,5</w:t>
            </w:r>
          </w:p>
        </w:tc>
      </w:tr>
      <w:tr w:rsidR="00F0736F" w:rsidRPr="00F0736F" w14:paraId="1669F56A" w14:textId="77777777" w:rsidTr="005278B0">
        <w:tc>
          <w:tcPr>
            <w:tcW w:w="1945" w:type="dxa"/>
            <w:tcBorders>
              <w:top w:val="single" w:sz="4" w:space="0" w:color="000000"/>
              <w:left w:val="single" w:sz="4" w:space="0" w:color="000000"/>
              <w:bottom w:val="single" w:sz="4" w:space="0" w:color="000000"/>
            </w:tcBorders>
            <w:shd w:val="clear" w:color="auto" w:fill="auto"/>
          </w:tcPr>
          <w:p w14:paraId="067B3D4B"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Жамбылская</w:t>
            </w:r>
          </w:p>
        </w:tc>
        <w:tc>
          <w:tcPr>
            <w:tcW w:w="1244" w:type="dxa"/>
            <w:tcBorders>
              <w:top w:val="single" w:sz="4" w:space="0" w:color="000000"/>
              <w:left w:val="single" w:sz="4" w:space="0" w:color="000000"/>
              <w:bottom w:val="single" w:sz="4" w:space="0" w:color="000000"/>
            </w:tcBorders>
            <w:shd w:val="clear" w:color="auto" w:fill="auto"/>
          </w:tcPr>
          <w:p w14:paraId="40EB264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116</w:t>
            </w:r>
          </w:p>
        </w:tc>
        <w:tc>
          <w:tcPr>
            <w:tcW w:w="1134" w:type="dxa"/>
            <w:tcBorders>
              <w:top w:val="single" w:sz="4" w:space="0" w:color="000000"/>
              <w:left w:val="single" w:sz="4" w:space="0" w:color="000000"/>
              <w:bottom w:val="single" w:sz="4" w:space="0" w:color="000000"/>
            </w:tcBorders>
            <w:shd w:val="clear" w:color="auto" w:fill="auto"/>
          </w:tcPr>
          <w:p w14:paraId="18298A2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70</w:t>
            </w:r>
          </w:p>
        </w:tc>
        <w:tc>
          <w:tcPr>
            <w:tcW w:w="1275" w:type="dxa"/>
            <w:tcBorders>
              <w:top w:val="single" w:sz="4" w:space="0" w:color="000000"/>
              <w:left w:val="single" w:sz="4" w:space="0" w:color="000000"/>
              <w:bottom w:val="single" w:sz="4" w:space="0" w:color="000000"/>
            </w:tcBorders>
            <w:shd w:val="clear" w:color="auto" w:fill="auto"/>
          </w:tcPr>
          <w:p w14:paraId="0CA5D1C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115</w:t>
            </w:r>
          </w:p>
        </w:tc>
        <w:tc>
          <w:tcPr>
            <w:tcW w:w="1276" w:type="dxa"/>
            <w:tcBorders>
              <w:top w:val="single" w:sz="4" w:space="0" w:color="000000"/>
              <w:left w:val="single" w:sz="4" w:space="0" w:color="000000"/>
              <w:bottom w:val="single" w:sz="4" w:space="0" w:color="000000"/>
            </w:tcBorders>
            <w:shd w:val="clear" w:color="auto" w:fill="auto"/>
          </w:tcPr>
          <w:p w14:paraId="506CE647"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81</w:t>
            </w:r>
          </w:p>
        </w:tc>
        <w:tc>
          <w:tcPr>
            <w:tcW w:w="1268" w:type="dxa"/>
            <w:tcBorders>
              <w:top w:val="single" w:sz="4" w:space="0" w:color="000000"/>
              <w:left w:val="single" w:sz="4" w:space="0" w:color="000000"/>
              <w:bottom w:val="single" w:sz="4" w:space="0" w:color="000000"/>
            </w:tcBorders>
            <w:shd w:val="clear" w:color="auto" w:fill="auto"/>
            <w:vAlign w:val="center"/>
          </w:tcPr>
          <w:p w14:paraId="7CCB13B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119,9</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0898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81,4</w:t>
            </w:r>
          </w:p>
        </w:tc>
      </w:tr>
      <w:tr w:rsidR="00F0736F" w:rsidRPr="00F0736F" w14:paraId="6F35DB56" w14:textId="77777777" w:rsidTr="005278B0">
        <w:tc>
          <w:tcPr>
            <w:tcW w:w="1945" w:type="dxa"/>
            <w:tcBorders>
              <w:top w:val="single" w:sz="4" w:space="0" w:color="000000"/>
              <w:left w:val="single" w:sz="4" w:space="0" w:color="000000"/>
              <w:bottom w:val="single" w:sz="4" w:space="0" w:color="000000"/>
            </w:tcBorders>
            <w:shd w:val="clear" w:color="auto" w:fill="auto"/>
          </w:tcPr>
          <w:p w14:paraId="79F89B67"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ЗКО</w:t>
            </w:r>
          </w:p>
        </w:tc>
        <w:tc>
          <w:tcPr>
            <w:tcW w:w="1244" w:type="dxa"/>
            <w:tcBorders>
              <w:top w:val="single" w:sz="4" w:space="0" w:color="000000"/>
              <w:left w:val="single" w:sz="4" w:space="0" w:color="000000"/>
              <w:bottom w:val="single" w:sz="4" w:space="0" w:color="000000"/>
            </w:tcBorders>
            <w:shd w:val="clear" w:color="auto" w:fill="auto"/>
          </w:tcPr>
          <w:p w14:paraId="516EAB96"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125</w:t>
            </w:r>
          </w:p>
        </w:tc>
        <w:tc>
          <w:tcPr>
            <w:tcW w:w="1134" w:type="dxa"/>
            <w:tcBorders>
              <w:top w:val="single" w:sz="4" w:space="0" w:color="000000"/>
              <w:left w:val="single" w:sz="4" w:space="0" w:color="000000"/>
              <w:bottom w:val="single" w:sz="4" w:space="0" w:color="000000"/>
            </w:tcBorders>
            <w:shd w:val="clear" w:color="auto" w:fill="auto"/>
          </w:tcPr>
          <w:p w14:paraId="1DB98C5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63</w:t>
            </w:r>
          </w:p>
        </w:tc>
        <w:tc>
          <w:tcPr>
            <w:tcW w:w="1275" w:type="dxa"/>
            <w:tcBorders>
              <w:top w:val="single" w:sz="4" w:space="0" w:color="000000"/>
              <w:left w:val="single" w:sz="4" w:space="0" w:color="000000"/>
              <w:bottom w:val="single" w:sz="4" w:space="0" w:color="000000"/>
            </w:tcBorders>
            <w:shd w:val="clear" w:color="auto" w:fill="auto"/>
          </w:tcPr>
          <w:p w14:paraId="724A6A5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177</w:t>
            </w:r>
          </w:p>
        </w:tc>
        <w:tc>
          <w:tcPr>
            <w:tcW w:w="1276" w:type="dxa"/>
            <w:tcBorders>
              <w:top w:val="single" w:sz="4" w:space="0" w:color="000000"/>
              <w:left w:val="single" w:sz="4" w:space="0" w:color="000000"/>
              <w:bottom w:val="single" w:sz="4" w:space="0" w:color="000000"/>
            </w:tcBorders>
            <w:shd w:val="clear" w:color="auto" w:fill="auto"/>
          </w:tcPr>
          <w:p w14:paraId="2BDF031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63</w:t>
            </w:r>
          </w:p>
        </w:tc>
        <w:tc>
          <w:tcPr>
            <w:tcW w:w="1268" w:type="dxa"/>
            <w:tcBorders>
              <w:top w:val="single" w:sz="4" w:space="0" w:color="000000"/>
              <w:left w:val="single" w:sz="4" w:space="0" w:color="000000"/>
              <w:bottom w:val="single" w:sz="4" w:space="0" w:color="000000"/>
            </w:tcBorders>
            <w:shd w:val="clear" w:color="auto" w:fill="auto"/>
            <w:vAlign w:val="center"/>
          </w:tcPr>
          <w:p w14:paraId="2586881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141,7</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E873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55,4</w:t>
            </w:r>
          </w:p>
        </w:tc>
      </w:tr>
      <w:tr w:rsidR="00F0736F" w:rsidRPr="00F0736F" w14:paraId="43EB065D" w14:textId="77777777" w:rsidTr="005278B0">
        <w:tc>
          <w:tcPr>
            <w:tcW w:w="1945" w:type="dxa"/>
            <w:tcBorders>
              <w:top w:val="single" w:sz="4" w:space="0" w:color="000000"/>
              <w:left w:val="single" w:sz="4" w:space="0" w:color="000000"/>
              <w:bottom w:val="single" w:sz="4" w:space="0" w:color="000000"/>
            </w:tcBorders>
            <w:shd w:val="clear" w:color="auto" w:fill="auto"/>
          </w:tcPr>
          <w:p w14:paraId="002C5F58"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Карагандинская</w:t>
            </w:r>
          </w:p>
        </w:tc>
        <w:tc>
          <w:tcPr>
            <w:tcW w:w="1244" w:type="dxa"/>
            <w:tcBorders>
              <w:top w:val="single" w:sz="4" w:space="0" w:color="000000"/>
              <w:left w:val="single" w:sz="4" w:space="0" w:color="000000"/>
              <w:bottom w:val="single" w:sz="4" w:space="0" w:color="000000"/>
            </w:tcBorders>
            <w:shd w:val="clear" w:color="auto" w:fill="auto"/>
          </w:tcPr>
          <w:p w14:paraId="4152521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831</w:t>
            </w:r>
          </w:p>
        </w:tc>
        <w:tc>
          <w:tcPr>
            <w:tcW w:w="1134" w:type="dxa"/>
            <w:tcBorders>
              <w:top w:val="single" w:sz="4" w:space="0" w:color="000000"/>
              <w:left w:val="single" w:sz="4" w:space="0" w:color="000000"/>
              <w:bottom w:val="single" w:sz="4" w:space="0" w:color="000000"/>
            </w:tcBorders>
            <w:shd w:val="clear" w:color="auto" w:fill="auto"/>
          </w:tcPr>
          <w:p w14:paraId="0E231844"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590</w:t>
            </w:r>
          </w:p>
        </w:tc>
        <w:tc>
          <w:tcPr>
            <w:tcW w:w="1275" w:type="dxa"/>
            <w:tcBorders>
              <w:top w:val="single" w:sz="4" w:space="0" w:color="000000"/>
              <w:left w:val="single" w:sz="4" w:space="0" w:color="000000"/>
              <w:bottom w:val="single" w:sz="4" w:space="0" w:color="000000"/>
            </w:tcBorders>
            <w:shd w:val="clear" w:color="auto" w:fill="auto"/>
          </w:tcPr>
          <w:p w14:paraId="7366B28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822</w:t>
            </w:r>
          </w:p>
        </w:tc>
        <w:tc>
          <w:tcPr>
            <w:tcW w:w="1276" w:type="dxa"/>
            <w:tcBorders>
              <w:top w:val="single" w:sz="4" w:space="0" w:color="000000"/>
              <w:left w:val="single" w:sz="4" w:space="0" w:color="000000"/>
              <w:bottom w:val="single" w:sz="4" w:space="0" w:color="000000"/>
            </w:tcBorders>
            <w:shd w:val="clear" w:color="auto" w:fill="auto"/>
          </w:tcPr>
          <w:p w14:paraId="45DAFBD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587</w:t>
            </w:r>
          </w:p>
        </w:tc>
        <w:tc>
          <w:tcPr>
            <w:tcW w:w="1268" w:type="dxa"/>
            <w:tcBorders>
              <w:top w:val="single" w:sz="4" w:space="0" w:color="000000"/>
              <w:left w:val="single" w:sz="4" w:space="0" w:color="000000"/>
              <w:bottom w:val="single" w:sz="4" w:space="0" w:color="000000"/>
            </w:tcBorders>
            <w:shd w:val="clear" w:color="auto" w:fill="auto"/>
            <w:vAlign w:val="center"/>
          </w:tcPr>
          <w:p w14:paraId="7CFC666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939</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194E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560,0</w:t>
            </w:r>
          </w:p>
        </w:tc>
      </w:tr>
      <w:tr w:rsidR="00F0736F" w:rsidRPr="00F0736F" w14:paraId="2B82F3AF" w14:textId="77777777" w:rsidTr="005278B0">
        <w:tc>
          <w:tcPr>
            <w:tcW w:w="1945" w:type="dxa"/>
            <w:tcBorders>
              <w:top w:val="single" w:sz="4" w:space="0" w:color="000000"/>
              <w:left w:val="single" w:sz="4" w:space="0" w:color="000000"/>
              <w:bottom w:val="single" w:sz="4" w:space="0" w:color="000000"/>
            </w:tcBorders>
            <w:shd w:val="clear" w:color="auto" w:fill="auto"/>
          </w:tcPr>
          <w:p w14:paraId="2A5FF587" w14:textId="77777777" w:rsidR="008B623D" w:rsidRPr="00F0736F" w:rsidRDefault="008B623D" w:rsidP="005278B0">
            <w:pPr>
              <w:jc w:val="both"/>
              <w:rPr>
                <w:color w:val="000000" w:themeColor="text1"/>
              </w:rPr>
            </w:pPr>
            <w:r w:rsidRPr="00F0736F">
              <w:rPr>
                <w:rFonts w:ascii="Times New Roman" w:hAnsi="Times New Roman" w:cs="Times New Roman"/>
                <w:color w:val="000000" w:themeColor="text1"/>
                <w:sz w:val="20"/>
                <w:szCs w:val="20"/>
              </w:rPr>
              <w:t>Кызылординская</w:t>
            </w:r>
          </w:p>
        </w:tc>
        <w:tc>
          <w:tcPr>
            <w:tcW w:w="1244" w:type="dxa"/>
            <w:tcBorders>
              <w:top w:val="single" w:sz="4" w:space="0" w:color="000000"/>
              <w:left w:val="single" w:sz="4" w:space="0" w:color="000000"/>
              <w:bottom w:val="single" w:sz="4" w:space="0" w:color="000000"/>
            </w:tcBorders>
            <w:shd w:val="clear" w:color="auto" w:fill="auto"/>
          </w:tcPr>
          <w:p w14:paraId="3E5B0A6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69</w:t>
            </w:r>
          </w:p>
        </w:tc>
        <w:tc>
          <w:tcPr>
            <w:tcW w:w="1134" w:type="dxa"/>
            <w:tcBorders>
              <w:top w:val="single" w:sz="4" w:space="0" w:color="000000"/>
              <w:left w:val="single" w:sz="4" w:space="0" w:color="000000"/>
              <w:bottom w:val="single" w:sz="4" w:space="0" w:color="000000"/>
            </w:tcBorders>
            <w:shd w:val="clear" w:color="auto" w:fill="auto"/>
          </w:tcPr>
          <w:p w14:paraId="45AB848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28</w:t>
            </w:r>
          </w:p>
        </w:tc>
        <w:tc>
          <w:tcPr>
            <w:tcW w:w="1275" w:type="dxa"/>
            <w:tcBorders>
              <w:top w:val="single" w:sz="4" w:space="0" w:color="000000"/>
              <w:left w:val="single" w:sz="4" w:space="0" w:color="000000"/>
              <w:bottom w:val="single" w:sz="4" w:space="0" w:color="000000"/>
            </w:tcBorders>
            <w:shd w:val="clear" w:color="auto" w:fill="auto"/>
          </w:tcPr>
          <w:p w14:paraId="60094C0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70</w:t>
            </w:r>
          </w:p>
        </w:tc>
        <w:tc>
          <w:tcPr>
            <w:tcW w:w="1276" w:type="dxa"/>
            <w:tcBorders>
              <w:top w:val="single" w:sz="4" w:space="0" w:color="000000"/>
              <w:left w:val="single" w:sz="4" w:space="0" w:color="000000"/>
              <w:bottom w:val="single" w:sz="4" w:space="0" w:color="000000"/>
            </w:tcBorders>
            <w:shd w:val="clear" w:color="auto" w:fill="auto"/>
          </w:tcPr>
          <w:p w14:paraId="5FB749F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26</w:t>
            </w:r>
          </w:p>
        </w:tc>
        <w:tc>
          <w:tcPr>
            <w:tcW w:w="1268" w:type="dxa"/>
            <w:tcBorders>
              <w:top w:val="single" w:sz="4" w:space="0" w:color="000000"/>
              <w:left w:val="single" w:sz="4" w:space="0" w:color="000000"/>
              <w:bottom w:val="single" w:sz="4" w:space="0" w:color="000000"/>
            </w:tcBorders>
            <w:shd w:val="clear" w:color="auto" w:fill="auto"/>
            <w:vAlign w:val="center"/>
          </w:tcPr>
          <w:p w14:paraId="159E62C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74,9</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F328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26,9</w:t>
            </w:r>
          </w:p>
        </w:tc>
      </w:tr>
      <w:tr w:rsidR="00F0736F" w:rsidRPr="00F0736F" w14:paraId="0E3706B9" w14:textId="77777777" w:rsidTr="005278B0">
        <w:tc>
          <w:tcPr>
            <w:tcW w:w="1945" w:type="dxa"/>
            <w:tcBorders>
              <w:top w:val="single" w:sz="4" w:space="0" w:color="000000"/>
              <w:left w:val="single" w:sz="4" w:space="0" w:color="000000"/>
              <w:bottom w:val="single" w:sz="4" w:space="0" w:color="000000"/>
            </w:tcBorders>
            <w:shd w:val="clear" w:color="auto" w:fill="auto"/>
          </w:tcPr>
          <w:p w14:paraId="59CB5DB5"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Костанайская</w:t>
            </w:r>
          </w:p>
        </w:tc>
        <w:tc>
          <w:tcPr>
            <w:tcW w:w="1244" w:type="dxa"/>
            <w:tcBorders>
              <w:top w:val="single" w:sz="4" w:space="0" w:color="000000"/>
              <w:left w:val="single" w:sz="4" w:space="0" w:color="000000"/>
              <w:bottom w:val="single" w:sz="4" w:space="0" w:color="000000"/>
            </w:tcBorders>
            <w:shd w:val="clear" w:color="auto" w:fill="auto"/>
          </w:tcPr>
          <w:p w14:paraId="69D6E07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218</w:t>
            </w:r>
          </w:p>
        </w:tc>
        <w:tc>
          <w:tcPr>
            <w:tcW w:w="1134" w:type="dxa"/>
            <w:tcBorders>
              <w:top w:val="single" w:sz="4" w:space="0" w:color="000000"/>
              <w:left w:val="single" w:sz="4" w:space="0" w:color="000000"/>
              <w:bottom w:val="single" w:sz="4" w:space="0" w:color="000000"/>
            </w:tcBorders>
            <w:shd w:val="clear" w:color="auto" w:fill="auto"/>
          </w:tcPr>
          <w:p w14:paraId="736EFF4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116</w:t>
            </w:r>
          </w:p>
        </w:tc>
        <w:tc>
          <w:tcPr>
            <w:tcW w:w="1275" w:type="dxa"/>
            <w:tcBorders>
              <w:top w:val="single" w:sz="4" w:space="0" w:color="000000"/>
              <w:left w:val="single" w:sz="4" w:space="0" w:color="000000"/>
              <w:bottom w:val="single" w:sz="4" w:space="0" w:color="000000"/>
            </w:tcBorders>
            <w:shd w:val="clear" w:color="auto" w:fill="auto"/>
          </w:tcPr>
          <w:p w14:paraId="0444989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201</w:t>
            </w:r>
          </w:p>
        </w:tc>
        <w:tc>
          <w:tcPr>
            <w:tcW w:w="1276" w:type="dxa"/>
            <w:tcBorders>
              <w:top w:val="single" w:sz="4" w:space="0" w:color="000000"/>
              <w:left w:val="single" w:sz="4" w:space="0" w:color="000000"/>
              <w:bottom w:val="single" w:sz="4" w:space="0" w:color="000000"/>
            </w:tcBorders>
            <w:shd w:val="clear" w:color="auto" w:fill="auto"/>
          </w:tcPr>
          <w:p w14:paraId="569EC97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115</w:t>
            </w:r>
          </w:p>
        </w:tc>
        <w:tc>
          <w:tcPr>
            <w:tcW w:w="1268" w:type="dxa"/>
            <w:tcBorders>
              <w:top w:val="single" w:sz="4" w:space="0" w:color="000000"/>
              <w:left w:val="single" w:sz="4" w:space="0" w:color="000000"/>
              <w:bottom w:val="single" w:sz="4" w:space="0" w:color="000000"/>
            </w:tcBorders>
            <w:shd w:val="clear" w:color="auto" w:fill="auto"/>
            <w:vAlign w:val="center"/>
          </w:tcPr>
          <w:p w14:paraId="24A40106"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210,3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036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117,5</w:t>
            </w:r>
          </w:p>
        </w:tc>
      </w:tr>
      <w:tr w:rsidR="00F0736F" w:rsidRPr="00F0736F" w14:paraId="52763D3B" w14:textId="77777777" w:rsidTr="005278B0">
        <w:tc>
          <w:tcPr>
            <w:tcW w:w="1945" w:type="dxa"/>
            <w:tcBorders>
              <w:top w:val="single" w:sz="4" w:space="0" w:color="000000"/>
              <w:left w:val="single" w:sz="4" w:space="0" w:color="000000"/>
              <w:bottom w:val="single" w:sz="4" w:space="0" w:color="000000"/>
            </w:tcBorders>
            <w:shd w:val="clear" w:color="auto" w:fill="auto"/>
          </w:tcPr>
          <w:p w14:paraId="70099031"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Мангистауская</w:t>
            </w:r>
          </w:p>
        </w:tc>
        <w:tc>
          <w:tcPr>
            <w:tcW w:w="1244" w:type="dxa"/>
            <w:tcBorders>
              <w:top w:val="single" w:sz="4" w:space="0" w:color="000000"/>
              <w:left w:val="single" w:sz="4" w:space="0" w:color="000000"/>
              <w:bottom w:val="single" w:sz="4" w:space="0" w:color="000000"/>
            </w:tcBorders>
            <w:shd w:val="clear" w:color="auto" w:fill="auto"/>
          </w:tcPr>
          <w:p w14:paraId="39ED8F5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146</w:t>
            </w:r>
          </w:p>
        </w:tc>
        <w:tc>
          <w:tcPr>
            <w:tcW w:w="1134" w:type="dxa"/>
            <w:tcBorders>
              <w:top w:val="single" w:sz="4" w:space="0" w:color="000000"/>
              <w:left w:val="single" w:sz="4" w:space="0" w:color="000000"/>
              <w:bottom w:val="single" w:sz="4" w:space="0" w:color="000000"/>
            </w:tcBorders>
            <w:shd w:val="clear" w:color="auto" w:fill="auto"/>
          </w:tcPr>
          <w:p w14:paraId="69A14AB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100</w:t>
            </w:r>
          </w:p>
        </w:tc>
        <w:tc>
          <w:tcPr>
            <w:tcW w:w="1275" w:type="dxa"/>
            <w:tcBorders>
              <w:top w:val="single" w:sz="4" w:space="0" w:color="000000"/>
              <w:left w:val="single" w:sz="4" w:space="0" w:color="000000"/>
              <w:bottom w:val="single" w:sz="4" w:space="0" w:color="000000"/>
            </w:tcBorders>
            <w:shd w:val="clear" w:color="auto" w:fill="auto"/>
          </w:tcPr>
          <w:p w14:paraId="6BBCDC5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158</w:t>
            </w:r>
          </w:p>
        </w:tc>
        <w:tc>
          <w:tcPr>
            <w:tcW w:w="1276" w:type="dxa"/>
            <w:tcBorders>
              <w:top w:val="single" w:sz="4" w:space="0" w:color="000000"/>
              <w:left w:val="single" w:sz="4" w:space="0" w:color="000000"/>
              <w:bottom w:val="single" w:sz="4" w:space="0" w:color="000000"/>
            </w:tcBorders>
            <w:shd w:val="clear" w:color="auto" w:fill="auto"/>
          </w:tcPr>
          <w:p w14:paraId="475F0CB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53</w:t>
            </w:r>
          </w:p>
        </w:tc>
        <w:tc>
          <w:tcPr>
            <w:tcW w:w="1268" w:type="dxa"/>
            <w:tcBorders>
              <w:top w:val="single" w:sz="4" w:space="0" w:color="000000"/>
              <w:left w:val="single" w:sz="4" w:space="0" w:color="000000"/>
              <w:bottom w:val="single" w:sz="4" w:space="0" w:color="000000"/>
            </w:tcBorders>
            <w:shd w:val="clear" w:color="auto" w:fill="auto"/>
            <w:vAlign w:val="center"/>
          </w:tcPr>
          <w:p w14:paraId="2476B699"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218</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7CC5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56</w:t>
            </w:r>
          </w:p>
        </w:tc>
      </w:tr>
      <w:tr w:rsidR="00F0736F" w:rsidRPr="00F0736F" w14:paraId="6D849411" w14:textId="77777777" w:rsidTr="005278B0">
        <w:tc>
          <w:tcPr>
            <w:tcW w:w="1945" w:type="dxa"/>
            <w:tcBorders>
              <w:top w:val="single" w:sz="4" w:space="0" w:color="000000"/>
              <w:left w:val="single" w:sz="4" w:space="0" w:color="000000"/>
              <w:bottom w:val="single" w:sz="4" w:space="0" w:color="000000"/>
            </w:tcBorders>
            <w:shd w:val="clear" w:color="auto" w:fill="auto"/>
          </w:tcPr>
          <w:p w14:paraId="1D17D960"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Павлодарская</w:t>
            </w:r>
          </w:p>
        </w:tc>
        <w:tc>
          <w:tcPr>
            <w:tcW w:w="1244" w:type="dxa"/>
            <w:tcBorders>
              <w:top w:val="single" w:sz="4" w:space="0" w:color="000000"/>
              <w:left w:val="single" w:sz="4" w:space="0" w:color="000000"/>
              <w:bottom w:val="single" w:sz="4" w:space="0" w:color="000000"/>
            </w:tcBorders>
            <w:shd w:val="clear" w:color="auto" w:fill="auto"/>
          </w:tcPr>
          <w:p w14:paraId="36FB02A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969</w:t>
            </w:r>
          </w:p>
        </w:tc>
        <w:tc>
          <w:tcPr>
            <w:tcW w:w="1134" w:type="dxa"/>
            <w:tcBorders>
              <w:top w:val="single" w:sz="4" w:space="0" w:color="000000"/>
              <w:left w:val="single" w:sz="4" w:space="0" w:color="000000"/>
              <w:bottom w:val="single" w:sz="4" w:space="0" w:color="000000"/>
            </w:tcBorders>
            <w:shd w:val="clear" w:color="auto" w:fill="auto"/>
          </w:tcPr>
          <w:p w14:paraId="56A1A52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618</w:t>
            </w:r>
          </w:p>
        </w:tc>
        <w:tc>
          <w:tcPr>
            <w:tcW w:w="1275" w:type="dxa"/>
            <w:tcBorders>
              <w:top w:val="single" w:sz="4" w:space="0" w:color="000000"/>
              <w:left w:val="single" w:sz="4" w:space="0" w:color="000000"/>
              <w:bottom w:val="single" w:sz="4" w:space="0" w:color="000000"/>
            </w:tcBorders>
            <w:shd w:val="clear" w:color="auto" w:fill="auto"/>
          </w:tcPr>
          <w:p w14:paraId="12496C8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980</w:t>
            </w:r>
          </w:p>
        </w:tc>
        <w:tc>
          <w:tcPr>
            <w:tcW w:w="1276" w:type="dxa"/>
            <w:tcBorders>
              <w:top w:val="single" w:sz="4" w:space="0" w:color="000000"/>
              <w:left w:val="single" w:sz="4" w:space="0" w:color="000000"/>
              <w:bottom w:val="single" w:sz="4" w:space="0" w:color="000000"/>
            </w:tcBorders>
            <w:shd w:val="clear" w:color="auto" w:fill="auto"/>
          </w:tcPr>
          <w:p w14:paraId="25D5936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716</w:t>
            </w:r>
          </w:p>
        </w:tc>
        <w:tc>
          <w:tcPr>
            <w:tcW w:w="1268" w:type="dxa"/>
            <w:tcBorders>
              <w:top w:val="single" w:sz="4" w:space="0" w:color="000000"/>
              <w:left w:val="single" w:sz="4" w:space="0" w:color="000000"/>
              <w:bottom w:val="single" w:sz="4" w:space="0" w:color="000000"/>
            </w:tcBorders>
            <w:shd w:val="clear" w:color="auto" w:fill="auto"/>
            <w:vAlign w:val="center"/>
          </w:tcPr>
          <w:p w14:paraId="0D854CE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986,4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5373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717,5</w:t>
            </w:r>
          </w:p>
        </w:tc>
      </w:tr>
      <w:tr w:rsidR="00F0736F" w:rsidRPr="00F0736F" w14:paraId="5C0AFBE7" w14:textId="77777777" w:rsidTr="005278B0">
        <w:tc>
          <w:tcPr>
            <w:tcW w:w="1945" w:type="dxa"/>
            <w:tcBorders>
              <w:top w:val="single" w:sz="4" w:space="0" w:color="000000"/>
              <w:left w:val="single" w:sz="4" w:space="0" w:color="000000"/>
              <w:bottom w:val="single" w:sz="4" w:space="0" w:color="000000"/>
            </w:tcBorders>
            <w:shd w:val="clear" w:color="auto" w:fill="auto"/>
          </w:tcPr>
          <w:p w14:paraId="123154E0"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СКО</w:t>
            </w:r>
          </w:p>
        </w:tc>
        <w:tc>
          <w:tcPr>
            <w:tcW w:w="1244" w:type="dxa"/>
            <w:tcBorders>
              <w:top w:val="single" w:sz="4" w:space="0" w:color="000000"/>
              <w:left w:val="single" w:sz="4" w:space="0" w:color="000000"/>
              <w:bottom w:val="single" w:sz="4" w:space="0" w:color="000000"/>
            </w:tcBorders>
            <w:shd w:val="clear" w:color="auto" w:fill="auto"/>
          </w:tcPr>
          <w:p w14:paraId="0991E33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116</w:t>
            </w:r>
          </w:p>
        </w:tc>
        <w:tc>
          <w:tcPr>
            <w:tcW w:w="1134" w:type="dxa"/>
            <w:tcBorders>
              <w:top w:val="single" w:sz="4" w:space="0" w:color="000000"/>
              <w:left w:val="single" w:sz="4" w:space="0" w:color="000000"/>
              <w:bottom w:val="single" w:sz="4" w:space="0" w:color="000000"/>
            </w:tcBorders>
            <w:shd w:val="clear" w:color="auto" w:fill="auto"/>
          </w:tcPr>
          <w:p w14:paraId="3CC6F75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44</w:t>
            </w:r>
          </w:p>
        </w:tc>
        <w:tc>
          <w:tcPr>
            <w:tcW w:w="1275" w:type="dxa"/>
            <w:tcBorders>
              <w:top w:val="single" w:sz="4" w:space="0" w:color="000000"/>
              <w:left w:val="single" w:sz="4" w:space="0" w:color="000000"/>
              <w:bottom w:val="single" w:sz="4" w:space="0" w:color="000000"/>
            </w:tcBorders>
            <w:shd w:val="clear" w:color="auto" w:fill="auto"/>
          </w:tcPr>
          <w:p w14:paraId="380BCB8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117</w:t>
            </w:r>
          </w:p>
        </w:tc>
        <w:tc>
          <w:tcPr>
            <w:tcW w:w="1276" w:type="dxa"/>
            <w:tcBorders>
              <w:top w:val="single" w:sz="4" w:space="0" w:color="000000"/>
              <w:left w:val="single" w:sz="4" w:space="0" w:color="000000"/>
              <w:bottom w:val="single" w:sz="4" w:space="0" w:color="000000"/>
            </w:tcBorders>
            <w:shd w:val="clear" w:color="auto" w:fill="auto"/>
          </w:tcPr>
          <w:p w14:paraId="378CBF3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78</w:t>
            </w:r>
          </w:p>
        </w:tc>
        <w:tc>
          <w:tcPr>
            <w:tcW w:w="1268" w:type="dxa"/>
            <w:tcBorders>
              <w:top w:val="single" w:sz="4" w:space="0" w:color="000000"/>
              <w:left w:val="single" w:sz="4" w:space="0" w:color="000000"/>
              <w:bottom w:val="single" w:sz="4" w:space="0" w:color="000000"/>
            </w:tcBorders>
            <w:shd w:val="clear" w:color="auto" w:fill="auto"/>
            <w:vAlign w:val="center"/>
          </w:tcPr>
          <w:p w14:paraId="2D91209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117</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AFDE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78</w:t>
            </w:r>
          </w:p>
        </w:tc>
      </w:tr>
      <w:tr w:rsidR="00F0736F" w:rsidRPr="00F0736F" w14:paraId="73D8128D" w14:textId="77777777" w:rsidTr="005278B0">
        <w:tc>
          <w:tcPr>
            <w:tcW w:w="1945" w:type="dxa"/>
            <w:tcBorders>
              <w:top w:val="single" w:sz="4" w:space="0" w:color="000000"/>
              <w:left w:val="single" w:sz="4" w:space="0" w:color="000000"/>
              <w:bottom w:val="single" w:sz="4" w:space="0" w:color="000000"/>
            </w:tcBorders>
            <w:shd w:val="clear" w:color="auto" w:fill="auto"/>
          </w:tcPr>
          <w:p w14:paraId="2C6EB239"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ЮКО</w:t>
            </w:r>
          </w:p>
        </w:tc>
        <w:tc>
          <w:tcPr>
            <w:tcW w:w="1244" w:type="dxa"/>
            <w:tcBorders>
              <w:top w:val="single" w:sz="4" w:space="0" w:color="000000"/>
              <w:left w:val="single" w:sz="4" w:space="0" w:color="000000"/>
              <w:bottom w:val="single" w:sz="4" w:space="0" w:color="000000"/>
            </w:tcBorders>
            <w:shd w:val="clear" w:color="auto" w:fill="auto"/>
          </w:tcPr>
          <w:p w14:paraId="2DB7FE5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136</w:t>
            </w:r>
          </w:p>
        </w:tc>
        <w:tc>
          <w:tcPr>
            <w:tcW w:w="1134" w:type="dxa"/>
            <w:tcBorders>
              <w:top w:val="single" w:sz="4" w:space="0" w:color="000000"/>
              <w:left w:val="single" w:sz="4" w:space="0" w:color="000000"/>
              <w:bottom w:val="single" w:sz="4" w:space="0" w:color="000000"/>
            </w:tcBorders>
            <w:shd w:val="clear" w:color="auto" w:fill="auto"/>
          </w:tcPr>
          <w:p w14:paraId="06A5FE7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73</w:t>
            </w:r>
          </w:p>
        </w:tc>
        <w:tc>
          <w:tcPr>
            <w:tcW w:w="1275" w:type="dxa"/>
            <w:tcBorders>
              <w:top w:val="single" w:sz="4" w:space="0" w:color="000000"/>
              <w:left w:val="single" w:sz="4" w:space="0" w:color="000000"/>
              <w:bottom w:val="single" w:sz="4" w:space="0" w:color="000000"/>
            </w:tcBorders>
            <w:shd w:val="clear" w:color="auto" w:fill="auto"/>
          </w:tcPr>
          <w:p w14:paraId="291FFC6A"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276" w:type="dxa"/>
            <w:tcBorders>
              <w:top w:val="single" w:sz="4" w:space="0" w:color="000000"/>
              <w:left w:val="single" w:sz="4" w:space="0" w:color="000000"/>
              <w:bottom w:val="single" w:sz="4" w:space="0" w:color="000000"/>
            </w:tcBorders>
            <w:shd w:val="clear" w:color="auto" w:fill="auto"/>
          </w:tcPr>
          <w:p w14:paraId="4B233889"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268" w:type="dxa"/>
            <w:tcBorders>
              <w:top w:val="single" w:sz="4" w:space="0" w:color="000000"/>
              <w:left w:val="single" w:sz="4" w:space="0" w:color="000000"/>
              <w:bottom w:val="single" w:sz="4" w:space="0" w:color="000000"/>
            </w:tcBorders>
            <w:shd w:val="clear" w:color="auto" w:fill="auto"/>
            <w:vAlign w:val="center"/>
          </w:tcPr>
          <w:p w14:paraId="213CCB4B"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FC8D3" w14:textId="77777777" w:rsidR="008B623D" w:rsidRPr="00F0736F" w:rsidRDefault="008B623D" w:rsidP="005278B0">
            <w:pPr>
              <w:snapToGrid w:val="0"/>
              <w:jc w:val="center"/>
              <w:rPr>
                <w:rFonts w:ascii="Times New Roman" w:hAnsi="Times New Roman" w:cs="Times New Roman"/>
                <w:color w:val="000000" w:themeColor="text1"/>
                <w:sz w:val="20"/>
                <w:szCs w:val="20"/>
              </w:rPr>
            </w:pPr>
          </w:p>
        </w:tc>
      </w:tr>
      <w:tr w:rsidR="00F0736F" w:rsidRPr="00F0736F" w14:paraId="687F0FCA" w14:textId="77777777" w:rsidTr="005278B0">
        <w:tc>
          <w:tcPr>
            <w:tcW w:w="1945" w:type="dxa"/>
            <w:tcBorders>
              <w:top w:val="single" w:sz="4" w:space="0" w:color="000000"/>
              <w:left w:val="single" w:sz="4" w:space="0" w:color="000000"/>
              <w:bottom w:val="single" w:sz="4" w:space="0" w:color="000000"/>
            </w:tcBorders>
            <w:shd w:val="clear" w:color="auto" w:fill="auto"/>
          </w:tcPr>
          <w:p w14:paraId="434CAB80"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Туркестанская</w:t>
            </w:r>
          </w:p>
        </w:tc>
        <w:tc>
          <w:tcPr>
            <w:tcW w:w="1244" w:type="dxa"/>
            <w:tcBorders>
              <w:top w:val="single" w:sz="4" w:space="0" w:color="000000"/>
              <w:left w:val="single" w:sz="4" w:space="0" w:color="000000"/>
              <w:bottom w:val="single" w:sz="4" w:space="0" w:color="000000"/>
            </w:tcBorders>
            <w:shd w:val="clear" w:color="auto" w:fill="auto"/>
          </w:tcPr>
          <w:p w14:paraId="6F5C2623"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tcBorders>
            <w:shd w:val="clear" w:color="auto" w:fill="auto"/>
          </w:tcPr>
          <w:p w14:paraId="3D300859"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275" w:type="dxa"/>
            <w:tcBorders>
              <w:top w:val="single" w:sz="4" w:space="0" w:color="000000"/>
              <w:left w:val="single" w:sz="4" w:space="0" w:color="000000"/>
              <w:bottom w:val="single" w:sz="4" w:space="0" w:color="000000"/>
            </w:tcBorders>
            <w:shd w:val="clear" w:color="auto" w:fill="auto"/>
          </w:tcPr>
          <w:p w14:paraId="76BD0D14"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61</w:t>
            </w:r>
          </w:p>
        </w:tc>
        <w:tc>
          <w:tcPr>
            <w:tcW w:w="1276" w:type="dxa"/>
            <w:tcBorders>
              <w:top w:val="single" w:sz="4" w:space="0" w:color="000000"/>
              <w:left w:val="single" w:sz="4" w:space="0" w:color="000000"/>
              <w:bottom w:val="single" w:sz="4" w:space="0" w:color="000000"/>
            </w:tcBorders>
            <w:shd w:val="clear" w:color="auto" w:fill="auto"/>
          </w:tcPr>
          <w:p w14:paraId="4DABB4C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32</w:t>
            </w:r>
          </w:p>
        </w:tc>
        <w:tc>
          <w:tcPr>
            <w:tcW w:w="1268" w:type="dxa"/>
            <w:tcBorders>
              <w:top w:val="single" w:sz="4" w:space="0" w:color="000000"/>
              <w:left w:val="single" w:sz="4" w:space="0" w:color="000000"/>
              <w:bottom w:val="single" w:sz="4" w:space="0" w:color="000000"/>
            </w:tcBorders>
            <w:shd w:val="clear" w:color="auto" w:fill="auto"/>
            <w:vAlign w:val="center"/>
          </w:tcPr>
          <w:p w14:paraId="4F43CBC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76,1</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C763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28,9</w:t>
            </w:r>
          </w:p>
        </w:tc>
      </w:tr>
      <w:tr w:rsidR="00F0736F" w:rsidRPr="00F0736F" w14:paraId="29944A74" w14:textId="77777777" w:rsidTr="005278B0">
        <w:tc>
          <w:tcPr>
            <w:tcW w:w="1945" w:type="dxa"/>
            <w:tcBorders>
              <w:top w:val="single" w:sz="4" w:space="0" w:color="000000"/>
              <w:left w:val="single" w:sz="4" w:space="0" w:color="000000"/>
              <w:bottom w:val="single" w:sz="4" w:space="0" w:color="000000"/>
            </w:tcBorders>
            <w:shd w:val="clear" w:color="auto" w:fill="auto"/>
          </w:tcPr>
          <w:p w14:paraId="6D8D9810"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г. Нур-Султан</w:t>
            </w:r>
          </w:p>
        </w:tc>
        <w:tc>
          <w:tcPr>
            <w:tcW w:w="1244" w:type="dxa"/>
            <w:tcBorders>
              <w:top w:val="single" w:sz="4" w:space="0" w:color="000000"/>
              <w:left w:val="single" w:sz="4" w:space="0" w:color="000000"/>
              <w:bottom w:val="single" w:sz="4" w:space="0" w:color="000000"/>
            </w:tcBorders>
            <w:shd w:val="clear" w:color="auto" w:fill="auto"/>
          </w:tcPr>
          <w:p w14:paraId="6C0F9C4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69</w:t>
            </w:r>
          </w:p>
        </w:tc>
        <w:tc>
          <w:tcPr>
            <w:tcW w:w="1134" w:type="dxa"/>
            <w:tcBorders>
              <w:top w:val="single" w:sz="4" w:space="0" w:color="000000"/>
              <w:left w:val="single" w:sz="4" w:space="0" w:color="000000"/>
              <w:bottom w:val="single" w:sz="4" w:space="0" w:color="000000"/>
            </w:tcBorders>
            <w:shd w:val="clear" w:color="auto" w:fill="auto"/>
          </w:tcPr>
          <w:p w14:paraId="2DEBB41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49</w:t>
            </w:r>
          </w:p>
        </w:tc>
        <w:tc>
          <w:tcPr>
            <w:tcW w:w="1275" w:type="dxa"/>
            <w:tcBorders>
              <w:top w:val="single" w:sz="4" w:space="0" w:color="000000"/>
              <w:left w:val="single" w:sz="4" w:space="0" w:color="000000"/>
              <w:bottom w:val="single" w:sz="4" w:space="0" w:color="000000"/>
            </w:tcBorders>
            <w:shd w:val="clear" w:color="auto" w:fill="auto"/>
          </w:tcPr>
          <w:p w14:paraId="46690E9B"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98</w:t>
            </w:r>
          </w:p>
        </w:tc>
        <w:tc>
          <w:tcPr>
            <w:tcW w:w="1276" w:type="dxa"/>
            <w:tcBorders>
              <w:top w:val="single" w:sz="4" w:space="0" w:color="000000"/>
              <w:left w:val="single" w:sz="4" w:space="0" w:color="000000"/>
              <w:bottom w:val="single" w:sz="4" w:space="0" w:color="000000"/>
            </w:tcBorders>
            <w:shd w:val="clear" w:color="auto" w:fill="auto"/>
          </w:tcPr>
          <w:p w14:paraId="47621CE3"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49</w:t>
            </w:r>
          </w:p>
        </w:tc>
        <w:tc>
          <w:tcPr>
            <w:tcW w:w="1268" w:type="dxa"/>
            <w:tcBorders>
              <w:top w:val="single" w:sz="4" w:space="0" w:color="000000"/>
              <w:left w:val="single" w:sz="4" w:space="0" w:color="000000"/>
              <w:bottom w:val="single" w:sz="4" w:space="0" w:color="000000"/>
            </w:tcBorders>
            <w:shd w:val="clear" w:color="auto" w:fill="auto"/>
            <w:vAlign w:val="center"/>
          </w:tcPr>
          <w:p w14:paraId="19FAFC5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85,7</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07C10"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61,7</w:t>
            </w:r>
          </w:p>
        </w:tc>
      </w:tr>
      <w:tr w:rsidR="00F0736F" w:rsidRPr="00F0736F" w14:paraId="37B033E4" w14:textId="77777777" w:rsidTr="005278B0">
        <w:tc>
          <w:tcPr>
            <w:tcW w:w="1945" w:type="dxa"/>
            <w:tcBorders>
              <w:top w:val="single" w:sz="4" w:space="0" w:color="000000"/>
              <w:left w:val="single" w:sz="4" w:space="0" w:color="000000"/>
              <w:bottom w:val="single" w:sz="4" w:space="0" w:color="000000"/>
            </w:tcBorders>
            <w:shd w:val="clear" w:color="auto" w:fill="auto"/>
          </w:tcPr>
          <w:p w14:paraId="38F91969"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г. Алматы</w:t>
            </w:r>
          </w:p>
        </w:tc>
        <w:tc>
          <w:tcPr>
            <w:tcW w:w="1244" w:type="dxa"/>
            <w:tcBorders>
              <w:top w:val="single" w:sz="4" w:space="0" w:color="000000"/>
              <w:left w:val="single" w:sz="4" w:space="0" w:color="000000"/>
              <w:bottom w:val="single" w:sz="4" w:space="0" w:color="000000"/>
            </w:tcBorders>
            <w:shd w:val="clear" w:color="auto" w:fill="auto"/>
          </w:tcPr>
          <w:p w14:paraId="47509FB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71</w:t>
            </w:r>
          </w:p>
        </w:tc>
        <w:tc>
          <w:tcPr>
            <w:tcW w:w="1134" w:type="dxa"/>
            <w:tcBorders>
              <w:top w:val="single" w:sz="4" w:space="0" w:color="000000"/>
              <w:left w:val="single" w:sz="4" w:space="0" w:color="000000"/>
              <w:bottom w:val="single" w:sz="4" w:space="0" w:color="000000"/>
            </w:tcBorders>
            <w:shd w:val="clear" w:color="auto" w:fill="auto"/>
          </w:tcPr>
          <w:p w14:paraId="7B0D2A9D"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34</w:t>
            </w:r>
          </w:p>
        </w:tc>
        <w:tc>
          <w:tcPr>
            <w:tcW w:w="1275" w:type="dxa"/>
            <w:tcBorders>
              <w:top w:val="single" w:sz="4" w:space="0" w:color="000000"/>
              <w:left w:val="single" w:sz="4" w:space="0" w:color="000000"/>
              <w:bottom w:val="single" w:sz="4" w:space="0" w:color="000000"/>
            </w:tcBorders>
            <w:shd w:val="clear" w:color="auto" w:fill="auto"/>
          </w:tcPr>
          <w:p w14:paraId="4328CD22"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71</w:t>
            </w:r>
          </w:p>
        </w:tc>
        <w:tc>
          <w:tcPr>
            <w:tcW w:w="1276" w:type="dxa"/>
            <w:tcBorders>
              <w:top w:val="single" w:sz="4" w:space="0" w:color="000000"/>
              <w:left w:val="single" w:sz="4" w:space="0" w:color="000000"/>
              <w:bottom w:val="single" w:sz="4" w:space="0" w:color="000000"/>
            </w:tcBorders>
            <w:shd w:val="clear" w:color="auto" w:fill="auto"/>
          </w:tcPr>
          <w:p w14:paraId="0F52742F"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36</w:t>
            </w:r>
          </w:p>
        </w:tc>
        <w:tc>
          <w:tcPr>
            <w:tcW w:w="1268" w:type="dxa"/>
            <w:tcBorders>
              <w:top w:val="single" w:sz="4" w:space="0" w:color="000000"/>
              <w:left w:val="single" w:sz="4" w:space="0" w:color="000000"/>
              <w:bottom w:val="single" w:sz="4" w:space="0" w:color="000000"/>
            </w:tcBorders>
            <w:shd w:val="clear" w:color="auto" w:fill="auto"/>
            <w:vAlign w:val="center"/>
          </w:tcPr>
          <w:p w14:paraId="693FF8F4"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71,4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3E863A"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37,9</w:t>
            </w:r>
          </w:p>
        </w:tc>
      </w:tr>
      <w:tr w:rsidR="00F0736F" w:rsidRPr="00F0736F" w14:paraId="54608851" w14:textId="77777777" w:rsidTr="005278B0">
        <w:tc>
          <w:tcPr>
            <w:tcW w:w="1945" w:type="dxa"/>
            <w:tcBorders>
              <w:top w:val="single" w:sz="4" w:space="0" w:color="000000"/>
              <w:left w:val="single" w:sz="4" w:space="0" w:color="000000"/>
              <w:bottom w:val="single" w:sz="4" w:space="0" w:color="000000"/>
            </w:tcBorders>
            <w:shd w:val="clear" w:color="auto" w:fill="auto"/>
          </w:tcPr>
          <w:p w14:paraId="7DC37CFA"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г. Шымкент</w:t>
            </w:r>
          </w:p>
        </w:tc>
        <w:tc>
          <w:tcPr>
            <w:tcW w:w="1244" w:type="dxa"/>
            <w:tcBorders>
              <w:top w:val="single" w:sz="4" w:space="0" w:color="000000"/>
              <w:left w:val="single" w:sz="4" w:space="0" w:color="000000"/>
              <w:bottom w:val="single" w:sz="4" w:space="0" w:color="000000"/>
            </w:tcBorders>
            <w:shd w:val="clear" w:color="auto" w:fill="auto"/>
          </w:tcPr>
          <w:p w14:paraId="4F9E8A24"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tcBorders>
            <w:shd w:val="clear" w:color="auto" w:fill="auto"/>
          </w:tcPr>
          <w:p w14:paraId="102662B8" w14:textId="77777777" w:rsidR="008B623D" w:rsidRPr="00F0736F" w:rsidRDefault="008B623D" w:rsidP="005278B0">
            <w:pPr>
              <w:snapToGrid w:val="0"/>
              <w:ind w:firstLine="709"/>
              <w:jc w:val="center"/>
              <w:rPr>
                <w:rFonts w:ascii="Times New Roman" w:hAnsi="Times New Roman" w:cs="Times New Roman"/>
                <w:color w:val="000000" w:themeColor="text1"/>
                <w:sz w:val="20"/>
                <w:szCs w:val="20"/>
              </w:rPr>
            </w:pPr>
          </w:p>
        </w:tc>
        <w:tc>
          <w:tcPr>
            <w:tcW w:w="1275" w:type="dxa"/>
            <w:tcBorders>
              <w:top w:val="single" w:sz="4" w:space="0" w:color="000000"/>
              <w:left w:val="single" w:sz="4" w:space="0" w:color="000000"/>
              <w:bottom w:val="single" w:sz="4" w:space="0" w:color="000000"/>
            </w:tcBorders>
            <w:shd w:val="clear" w:color="auto" w:fill="auto"/>
          </w:tcPr>
          <w:p w14:paraId="2BA5E5F1"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82</w:t>
            </w:r>
          </w:p>
        </w:tc>
        <w:tc>
          <w:tcPr>
            <w:tcW w:w="1276" w:type="dxa"/>
            <w:tcBorders>
              <w:top w:val="single" w:sz="4" w:space="0" w:color="000000"/>
              <w:left w:val="single" w:sz="4" w:space="0" w:color="000000"/>
              <w:bottom w:val="single" w:sz="4" w:space="0" w:color="000000"/>
            </w:tcBorders>
            <w:shd w:val="clear" w:color="auto" w:fill="auto"/>
          </w:tcPr>
          <w:p w14:paraId="167311C4"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42</w:t>
            </w:r>
          </w:p>
        </w:tc>
        <w:tc>
          <w:tcPr>
            <w:tcW w:w="1268" w:type="dxa"/>
            <w:tcBorders>
              <w:top w:val="single" w:sz="4" w:space="0" w:color="000000"/>
              <w:left w:val="single" w:sz="4" w:space="0" w:color="000000"/>
              <w:bottom w:val="single" w:sz="4" w:space="0" w:color="000000"/>
            </w:tcBorders>
            <w:shd w:val="clear" w:color="auto" w:fill="auto"/>
            <w:vAlign w:val="center"/>
          </w:tcPr>
          <w:p w14:paraId="577D3D0E"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62,2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C2C68"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30,1</w:t>
            </w:r>
          </w:p>
        </w:tc>
      </w:tr>
      <w:tr w:rsidR="008B623D" w:rsidRPr="00F0736F" w14:paraId="7C252BB9" w14:textId="77777777" w:rsidTr="005278B0">
        <w:tc>
          <w:tcPr>
            <w:tcW w:w="1945" w:type="dxa"/>
            <w:tcBorders>
              <w:top w:val="single" w:sz="4" w:space="0" w:color="000000"/>
              <w:left w:val="single" w:sz="4" w:space="0" w:color="000000"/>
              <w:bottom w:val="single" w:sz="4" w:space="0" w:color="000000"/>
            </w:tcBorders>
            <w:shd w:val="clear" w:color="auto" w:fill="auto"/>
          </w:tcPr>
          <w:p w14:paraId="165A730E" w14:textId="77777777" w:rsidR="008B623D" w:rsidRPr="00F0736F" w:rsidRDefault="008B623D" w:rsidP="00B30FDA">
            <w:pPr>
              <w:jc w:val="both"/>
              <w:rPr>
                <w:color w:val="000000" w:themeColor="text1"/>
              </w:rPr>
            </w:pPr>
            <w:r w:rsidRPr="00F0736F">
              <w:rPr>
                <w:rFonts w:ascii="Times New Roman" w:hAnsi="Times New Roman" w:cs="Times New Roman"/>
                <w:color w:val="000000" w:themeColor="text1"/>
                <w:sz w:val="20"/>
                <w:szCs w:val="20"/>
              </w:rPr>
              <w:t>Всего</w:t>
            </w:r>
          </w:p>
        </w:tc>
        <w:tc>
          <w:tcPr>
            <w:tcW w:w="1244" w:type="dxa"/>
            <w:tcBorders>
              <w:top w:val="single" w:sz="4" w:space="0" w:color="000000"/>
              <w:left w:val="single" w:sz="4" w:space="0" w:color="000000"/>
              <w:bottom w:val="single" w:sz="4" w:space="0" w:color="000000"/>
            </w:tcBorders>
            <w:shd w:val="clear" w:color="auto" w:fill="auto"/>
          </w:tcPr>
          <w:p w14:paraId="26FC9B95"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4254</w:t>
            </w:r>
          </w:p>
        </w:tc>
        <w:tc>
          <w:tcPr>
            <w:tcW w:w="1134" w:type="dxa"/>
            <w:tcBorders>
              <w:top w:val="single" w:sz="4" w:space="0" w:color="000000"/>
              <w:left w:val="single" w:sz="4" w:space="0" w:color="000000"/>
              <w:bottom w:val="single" w:sz="4" w:space="0" w:color="000000"/>
            </w:tcBorders>
            <w:shd w:val="clear" w:color="auto" w:fill="auto"/>
          </w:tcPr>
          <w:p w14:paraId="43E95F26"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2352</w:t>
            </w:r>
          </w:p>
        </w:tc>
        <w:tc>
          <w:tcPr>
            <w:tcW w:w="1275" w:type="dxa"/>
            <w:tcBorders>
              <w:top w:val="single" w:sz="4" w:space="0" w:color="000000"/>
              <w:left w:val="single" w:sz="4" w:space="0" w:color="000000"/>
              <w:bottom w:val="single" w:sz="4" w:space="0" w:color="000000"/>
            </w:tcBorders>
            <w:shd w:val="clear" w:color="auto" w:fill="auto"/>
          </w:tcPr>
          <w:p w14:paraId="6AF3FB3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4227</w:t>
            </w:r>
          </w:p>
        </w:tc>
        <w:tc>
          <w:tcPr>
            <w:tcW w:w="1276" w:type="dxa"/>
            <w:tcBorders>
              <w:top w:val="single" w:sz="4" w:space="0" w:color="000000"/>
              <w:left w:val="single" w:sz="4" w:space="0" w:color="000000"/>
              <w:bottom w:val="single" w:sz="4" w:space="0" w:color="000000"/>
            </w:tcBorders>
            <w:shd w:val="clear" w:color="auto" w:fill="auto"/>
          </w:tcPr>
          <w:p w14:paraId="2CFA231C"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2516</w:t>
            </w:r>
          </w:p>
        </w:tc>
        <w:tc>
          <w:tcPr>
            <w:tcW w:w="1268" w:type="dxa"/>
            <w:tcBorders>
              <w:top w:val="single" w:sz="4" w:space="0" w:color="000000"/>
              <w:left w:val="single" w:sz="4" w:space="0" w:color="000000"/>
              <w:bottom w:val="single" w:sz="4" w:space="0" w:color="000000"/>
            </w:tcBorders>
            <w:shd w:val="clear" w:color="auto" w:fill="auto"/>
            <w:vAlign w:val="center"/>
          </w:tcPr>
          <w:p w14:paraId="1321BBD2"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4279,3</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F282E" w14:textId="77777777" w:rsidR="008B623D" w:rsidRPr="00F0736F" w:rsidRDefault="008B623D" w:rsidP="005278B0">
            <w:pPr>
              <w:jc w:val="center"/>
              <w:rPr>
                <w:color w:val="000000" w:themeColor="text1"/>
              </w:rPr>
            </w:pPr>
            <w:r w:rsidRPr="00F0736F">
              <w:rPr>
                <w:rFonts w:ascii="Times New Roman" w:hAnsi="Times New Roman" w:cs="Times New Roman"/>
                <w:color w:val="000000" w:themeColor="text1"/>
                <w:sz w:val="20"/>
                <w:szCs w:val="20"/>
              </w:rPr>
              <w:t>2446,5</w:t>
            </w:r>
          </w:p>
        </w:tc>
      </w:tr>
    </w:tbl>
    <w:p w14:paraId="390B4F32" w14:textId="77777777" w:rsidR="008B623D" w:rsidRPr="00F0736F" w:rsidRDefault="008B623D" w:rsidP="008727D9">
      <w:pPr>
        <w:ind w:firstLine="709"/>
        <w:jc w:val="both"/>
        <w:rPr>
          <w:rFonts w:ascii="Times New Roman" w:hAnsi="Times New Roman" w:cs="Times New Roman"/>
          <w:color w:val="000000" w:themeColor="text1"/>
        </w:rPr>
      </w:pPr>
    </w:p>
    <w:p w14:paraId="01E9F5BA" w14:textId="76A58964" w:rsidR="00F674A4" w:rsidRPr="00F0736F" w:rsidRDefault="001747BE" w:rsidP="005278B0">
      <w:pPr>
        <w:jc w:val="center"/>
        <w:rPr>
          <w:rFonts w:ascii="Times New Roman" w:hAnsi="Times New Roman" w:cs="Times New Roman"/>
          <w:color w:val="000000" w:themeColor="text1"/>
        </w:rPr>
      </w:pPr>
      <w:r w:rsidRPr="00F0736F">
        <w:rPr>
          <w:noProof/>
          <w:color w:val="000000" w:themeColor="text1"/>
        </w:rPr>
        <w:drawing>
          <wp:inline distT="0" distB="0" distL="0" distR="0" wp14:anchorId="450D8099" wp14:editId="64CF0FFF">
            <wp:extent cx="4305300" cy="19050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14" t="-32" r="-14" b="-32"/>
                    <a:stretch>
                      <a:fillRect/>
                    </a:stretch>
                  </pic:blipFill>
                  <pic:spPr bwMode="auto">
                    <a:xfrm>
                      <a:off x="0" y="0"/>
                      <a:ext cx="4305300" cy="1905000"/>
                    </a:xfrm>
                    <a:prstGeom prst="rect">
                      <a:avLst/>
                    </a:prstGeom>
                    <a:solidFill>
                      <a:srgbClr val="FFFFFF"/>
                    </a:solidFill>
                    <a:ln>
                      <a:noFill/>
                    </a:ln>
                  </pic:spPr>
                </pic:pic>
              </a:graphicData>
            </a:graphic>
          </wp:inline>
        </w:drawing>
      </w:r>
    </w:p>
    <w:p w14:paraId="4E38F392" w14:textId="77777777" w:rsidR="005278B0" w:rsidRPr="00F0736F" w:rsidRDefault="008B3ADF"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Рис</w:t>
      </w:r>
      <w:r w:rsidR="005278B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1.6.2.</w:t>
      </w:r>
      <w:r w:rsidR="00F674A4" w:rsidRPr="00F0736F">
        <w:rPr>
          <w:rFonts w:ascii="Times New Roman" w:hAnsi="Times New Roman" w:cs="Times New Roman"/>
          <w:color w:val="000000" w:themeColor="text1"/>
        </w:rPr>
        <w:t xml:space="preserve"> Динамика снижения лимитов на выбросы загрязняющих веществ. </w:t>
      </w:r>
    </w:p>
    <w:p w14:paraId="07849BC4" w14:textId="73B6FDF1" w:rsidR="00F674A4" w:rsidRPr="00F0736F" w:rsidRDefault="00F674A4" w:rsidP="008727D9">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055874B8" w14:textId="77777777" w:rsidR="00F674A4" w:rsidRPr="00F0736F" w:rsidRDefault="00F674A4" w:rsidP="008727D9">
      <w:pPr>
        <w:ind w:firstLine="709"/>
        <w:jc w:val="both"/>
        <w:rPr>
          <w:rFonts w:ascii="Times New Roman" w:hAnsi="Times New Roman" w:cs="Times New Roman"/>
          <w:color w:val="000000" w:themeColor="text1"/>
        </w:rPr>
      </w:pPr>
    </w:p>
    <w:p w14:paraId="2D825807" w14:textId="632F5345" w:rsidR="0071189A" w:rsidRPr="00F0736F" w:rsidRDefault="0071189A" w:rsidP="008727D9">
      <w:pPr>
        <w:tabs>
          <w:tab w:val="left" w:pos="2410"/>
        </w:tabs>
        <w:ind w:firstLine="709"/>
        <w:jc w:val="both"/>
        <w:rPr>
          <w:color w:val="000000" w:themeColor="text1"/>
        </w:rPr>
      </w:pPr>
      <w:r w:rsidRPr="00F0736F">
        <w:rPr>
          <w:rFonts w:ascii="Times New Roman" w:eastAsia="Times New Roman" w:hAnsi="Times New Roman" w:cs="Times New Roman"/>
          <w:color w:val="000000" w:themeColor="text1"/>
          <w:lang w:eastAsia="ru-RU"/>
        </w:rPr>
        <w:t>По статистическим данным</w:t>
      </w:r>
      <w:r w:rsidR="009D282D"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b/>
          <w:color w:val="000000" w:themeColor="text1"/>
          <w:lang w:eastAsia="ru-RU"/>
        </w:rPr>
        <w:t xml:space="preserve"> </w:t>
      </w:r>
      <w:r w:rsidRPr="00F0736F">
        <w:rPr>
          <w:rFonts w:ascii="Times New Roman" w:eastAsia="Times New Roman" w:hAnsi="Times New Roman" w:cs="Times New Roman"/>
          <w:color w:val="000000" w:themeColor="text1"/>
          <w:lang w:eastAsia="ru-RU"/>
        </w:rPr>
        <w:t xml:space="preserve">в 2017 году </w:t>
      </w:r>
      <w:r w:rsidRPr="00F0736F">
        <w:rPr>
          <w:rFonts w:ascii="Times New Roman" w:eastAsia="Times New Roman" w:hAnsi="Times New Roman" w:cs="Times New Roman"/>
          <w:bCs/>
          <w:color w:val="000000" w:themeColor="text1"/>
          <w:lang w:eastAsia="ru-RU"/>
        </w:rPr>
        <w:t xml:space="preserve">фактические выбросы загрязняющих веществ </w:t>
      </w:r>
      <w:r w:rsidRPr="00F0736F">
        <w:rPr>
          <w:rFonts w:ascii="Times New Roman" w:eastAsia="Times New Roman" w:hAnsi="Times New Roman" w:cs="Times New Roman"/>
          <w:color w:val="000000" w:themeColor="text1"/>
          <w:lang w:eastAsia="ru-RU"/>
        </w:rPr>
        <w:t>в атмосферный воздух от стационарных источников составили 2</w:t>
      </w:r>
      <w:r w:rsidR="005278B0"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 xml:space="preserve">352 тыс.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и их уровень по сравнению с предыдущим годом увеличился на 4,2%</w:t>
      </w:r>
      <w:r w:rsidRPr="00F0736F">
        <w:rPr>
          <w:rStyle w:val="a4"/>
          <w:rFonts w:ascii="Times New Roman" w:eastAsia="Times New Roman" w:hAnsi="Times New Roman" w:cs="Times New Roman"/>
          <w:color w:val="000000" w:themeColor="text1"/>
          <w:lang w:eastAsia="ru-RU"/>
        </w:rPr>
        <w:footnoteReference w:id="79"/>
      </w:r>
      <w:r w:rsidRPr="00F0736F">
        <w:rPr>
          <w:rFonts w:ascii="Times New Roman" w:eastAsia="Times New Roman" w:hAnsi="Times New Roman" w:cs="Times New Roman"/>
          <w:color w:val="000000" w:themeColor="text1"/>
          <w:lang w:eastAsia="ru-RU"/>
        </w:rPr>
        <w:t xml:space="preserve">. В 2018 году выбросы загрязняющих веществ в атмосферный воздух от стационарных источников составили 2516 тыс.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и их уровень по сравнению с предыдущим годом увеличился на 3,8%, а по итогам 2019 года немного сократился до 2,45 млн. </w:t>
      </w:r>
      <w:r w:rsidR="00AC18E0" w:rsidRPr="00F0736F">
        <w:rPr>
          <w:rFonts w:ascii="Times New Roman" w:eastAsia="Times New Roman" w:hAnsi="Times New Roman" w:cs="Times New Roman"/>
          <w:color w:val="000000" w:themeColor="text1"/>
          <w:lang w:eastAsia="ru-RU"/>
        </w:rPr>
        <w:t>т.</w:t>
      </w:r>
      <w:r w:rsidRPr="00F0736F">
        <w:rPr>
          <w:rFonts w:ascii="Times New Roman" w:eastAsia="Times New Roman" w:hAnsi="Times New Roman" w:cs="Times New Roman"/>
          <w:color w:val="000000" w:themeColor="text1"/>
          <w:lang w:eastAsia="ru-RU"/>
        </w:rPr>
        <w:t xml:space="preserve"> в год. В</w:t>
      </w:r>
      <w:r w:rsidRPr="00F0736F">
        <w:rPr>
          <w:rFonts w:ascii="Times New Roman" w:hAnsi="Times New Roman" w:cs="Times New Roman"/>
          <w:color w:val="000000" w:themeColor="text1"/>
        </w:rPr>
        <w:t xml:space="preserve"> 2019 году выбросы загрязняющих веществ в атмосферный воздух от стационарных источников составили 2</w:t>
      </w:r>
      <w:r w:rsidR="005278B0"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446,5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и их уровень по сравнению с предыдущим годом увеличился на 1,5%. </w:t>
      </w:r>
      <w:r w:rsidRPr="00F0736F">
        <w:rPr>
          <w:rFonts w:ascii="Times New Roman" w:eastAsia="Times New Roman" w:hAnsi="Times New Roman" w:cs="Times New Roman"/>
          <w:color w:val="000000" w:themeColor="text1"/>
          <w:lang w:eastAsia="ru-RU"/>
        </w:rPr>
        <w:t>При этом, на долю Карагандинской и Павлодарской областей приходится 52% от общего объема валовых эмиссий.</w:t>
      </w:r>
    </w:p>
    <w:p w14:paraId="7C77E107" w14:textId="299A5B81"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статистическим данным, из общего объема выброшенных в атмосферный воздух загрязняющих веществ в 2017 году 79,8% составили газообразные и жидкие вещества, 20,2% - твердые. В 2018 году - 79,2% составили газообразные и жидкие вещества, 20,8% - твердые. В 2019 году - 79,6% составили газообразные и жидкие вещества, 20,4% - твердые (таблица 1.6.</w:t>
      </w:r>
      <w:r w:rsidR="009D282D" w:rsidRPr="00F0736F">
        <w:rPr>
          <w:rFonts w:ascii="Times New Roman" w:hAnsi="Times New Roman" w:cs="Times New Roman"/>
          <w:color w:val="000000" w:themeColor="text1"/>
        </w:rPr>
        <w:t>2</w:t>
      </w:r>
      <w:r w:rsidR="005278B0"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1E00D6B6" w14:textId="77777777" w:rsidR="00F674A4" w:rsidRPr="00F0736F" w:rsidRDefault="00F674A4" w:rsidP="008727D9">
      <w:pPr>
        <w:ind w:firstLine="709"/>
        <w:jc w:val="both"/>
        <w:rPr>
          <w:rFonts w:ascii="Times New Roman" w:hAnsi="Times New Roman" w:cs="Times New Roman"/>
          <w:color w:val="000000" w:themeColor="text1"/>
        </w:rPr>
      </w:pPr>
    </w:p>
    <w:p w14:paraId="1FDCCCD1" w14:textId="77777777" w:rsidR="005278B0"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1.6.</w:t>
      </w:r>
      <w:r w:rsidR="008B3ADF" w:rsidRPr="00F0736F">
        <w:rPr>
          <w:rFonts w:ascii="Times New Roman" w:hAnsi="Times New Roman" w:cs="Times New Roman"/>
          <w:color w:val="000000" w:themeColor="text1"/>
        </w:rPr>
        <w:t>2</w:t>
      </w:r>
      <w:r w:rsidRPr="00F0736F">
        <w:rPr>
          <w:rFonts w:ascii="Times New Roman" w:hAnsi="Times New Roman" w:cs="Times New Roman"/>
          <w:color w:val="000000" w:themeColor="text1"/>
        </w:rPr>
        <w:t>. Выбросы наиболее распространенных загрязняющих атмосферу веществ,</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отходящих от стационарных источников</w:t>
      </w:r>
    </w:p>
    <w:p w14:paraId="2139BFB0" w14:textId="2D653CDE" w:rsidR="00F674A4" w:rsidRPr="00F0736F" w:rsidRDefault="00F674A4" w:rsidP="005278B0">
      <w:pPr>
        <w:ind w:firstLine="709"/>
        <w:jc w:val="right"/>
        <w:rPr>
          <w:color w:val="000000" w:themeColor="text1"/>
        </w:rPr>
      </w:pPr>
      <w:r w:rsidRPr="00F0736F">
        <w:rPr>
          <w:rFonts w:ascii="Times New Roman" w:hAnsi="Times New Roman" w:cs="Times New Roman"/>
          <w:color w:val="000000" w:themeColor="text1"/>
          <w:lang w:val="kk-KZ"/>
        </w:rPr>
        <w:t xml:space="preserve">тыс. </w:t>
      </w:r>
      <w:r w:rsidR="00AC18E0" w:rsidRPr="00F0736F">
        <w:rPr>
          <w:rFonts w:ascii="Times New Roman" w:hAnsi="Times New Roman" w:cs="Times New Roman"/>
          <w:color w:val="000000" w:themeColor="text1"/>
        </w:rPr>
        <w:t>т.</w:t>
      </w:r>
    </w:p>
    <w:tbl>
      <w:tblPr>
        <w:tblW w:w="9902" w:type="dxa"/>
        <w:tblInd w:w="-5" w:type="dxa"/>
        <w:tblLayout w:type="fixed"/>
        <w:tblCellMar>
          <w:left w:w="54" w:type="dxa"/>
          <w:right w:w="54" w:type="dxa"/>
        </w:tblCellMar>
        <w:tblLook w:val="0000" w:firstRow="0" w:lastRow="0" w:firstColumn="0" w:lastColumn="0" w:noHBand="0" w:noVBand="0"/>
      </w:tblPr>
      <w:tblGrid>
        <w:gridCol w:w="3828"/>
        <w:gridCol w:w="1905"/>
        <w:gridCol w:w="1874"/>
        <w:gridCol w:w="2295"/>
      </w:tblGrid>
      <w:tr w:rsidR="00F0736F" w:rsidRPr="00F0736F" w14:paraId="401252FC" w14:textId="77777777" w:rsidTr="005278B0">
        <w:trPr>
          <w:tblHeader/>
        </w:trPr>
        <w:tc>
          <w:tcPr>
            <w:tcW w:w="3828" w:type="dxa"/>
            <w:tcBorders>
              <w:top w:val="single" w:sz="4" w:space="0" w:color="000000"/>
              <w:left w:val="single" w:sz="4" w:space="0" w:color="000000"/>
              <w:bottom w:val="single" w:sz="4" w:space="0" w:color="000000"/>
            </w:tcBorders>
            <w:shd w:val="clear" w:color="auto" w:fill="auto"/>
            <w:vAlign w:val="center"/>
          </w:tcPr>
          <w:p w14:paraId="00CD976A" w14:textId="77777777" w:rsidR="008E39CA" w:rsidRPr="00F0736F" w:rsidRDefault="008E39CA" w:rsidP="00B93D32">
            <w:pPr>
              <w:snapToGrid w:val="0"/>
              <w:jc w:val="both"/>
              <w:rPr>
                <w:rFonts w:ascii="Times New Roman" w:hAnsi="Times New Roman" w:cs="Times New Roman"/>
                <w:color w:val="000000" w:themeColor="text1"/>
                <w:sz w:val="20"/>
                <w:szCs w:val="20"/>
              </w:rPr>
            </w:pPr>
          </w:p>
        </w:tc>
        <w:tc>
          <w:tcPr>
            <w:tcW w:w="1905" w:type="dxa"/>
            <w:tcBorders>
              <w:top w:val="single" w:sz="4" w:space="0" w:color="000000"/>
              <w:left w:val="single" w:sz="4" w:space="0" w:color="000000"/>
              <w:bottom w:val="single" w:sz="4" w:space="0" w:color="000000"/>
            </w:tcBorders>
            <w:shd w:val="clear" w:color="auto" w:fill="auto"/>
            <w:vAlign w:val="center"/>
          </w:tcPr>
          <w:p w14:paraId="6A366777"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201</w:t>
            </w:r>
            <w:r w:rsidRPr="00F0736F">
              <w:rPr>
                <w:rFonts w:ascii="Times New Roman" w:hAnsi="Times New Roman" w:cs="Times New Roman"/>
                <w:color w:val="000000" w:themeColor="text1"/>
                <w:sz w:val="20"/>
                <w:szCs w:val="20"/>
                <w:lang w:val="en-US"/>
              </w:rPr>
              <w:t>7</w:t>
            </w:r>
          </w:p>
        </w:tc>
        <w:tc>
          <w:tcPr>
            <w:tcW w:w="1874" w:type="dxa"/>
            <w:tcBorders>
              <w:top w:val="single" w:sz="4" w:space="0" w:color="000000"/>
              <w:left w:val="single" w:sz="4" w:space="0" w:color="000000"/>
              <w:bottom w:val="single" w:sz="4" w:space="0" w:color="000000"/>
            </w:tcBorders>
            <w:shd w:val="clear" w:color="auto" w:fill="auto"/>
            <w:vAlign w:val="center"/>
          </w:tcPr>
          <w:p w14:paraId="442C35A5"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2018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F12D215"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7BCB0FF2"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1A0661FE"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 xml:space="preserve">Всего, тыс. </w:t>
            </w:r>
            <w:r w:rsidR="00AC18E0" w:rsidRPr="00F0736F">
              <w:rPr>
                <w:rFonts w:ascii="Times New Roman" w:hAnsi="Times New Roman" w:cs="Times New Roman"/>
                <w:color w:val="000000" w:themeColor="text1"/>
                <w:sz w:val="20"/>
                <w:szCs w:val="20"/>
              </w:rPr>
              <w:t>т.</w:t>
            </w:r>
          </w:p>
        </w:tc>
        <w:tc>
          <w:tcPr>
            <w:tcW w:w="1905" w:type="dxa"/>
            <w:tcBorders>
              <w:top w:val="single" w:sz="4" w:space="0" w:color="000000"/>
              <w:left w:val="single" w:sz="4" w:space="0" w:color="000000"/>
              <w:bottom w:val="single" w:sz="4" w:space="0" w:color="000000"/>
            </w:tcBorders>
            <w:shd w:val="clear" w:color="auto" w:fill="auto"/>
            <w:vAlign w:val="bottom"/>
          </w:tcPr>
          <w:p w14:paraId="01EA1BF4"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2357,8</w:t>
            </w:r>
          </w:p>
        </w:tc>
        <w:tc>
          <w:tcPr>
            <w:tcW w:w="1874" w:type="dxa"/>
            <w:tcBorders>
              <w:top w:val="single" w:sz="4" w:space="0" w:color="000000"/>
              <w:left w:val="single" w:sz="4" w:space="0" w:color="000000"/>
              <w:bottom w:val="single" w:sz="4" w:space="0" w:color="000000"/>
            </w:tcBorders>
            <w:shd w:val="clear" w:color="auto" w:fill="auto"/>
            <w:vAlign w:val="bottom"/>
          </w:tcPr>
          <w:p w14:paraId="0D3F087B"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2446,7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63509F0"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2483,1</w:t>
            </w:r>
          </w:p>
        </w:tc>
      </w:tr>
      <w:tr w:rsidR="00F0736F" w:rsidRPr="00F0736F" w14:paraId="2BB68924"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382FAAAE"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в том числе:</w:t>
            </w:r>
          </w:p>
        </w:tc>
        <w:tc>
          <w:tcPr>
            <w:tcW w:w="1905" w:type="dxa"/>
            <w:tcBorders>
              <w:top w:val="single" w:sz="4" w:space="0" w:color="000000"/>
              <w:left w:val="single" w:sz="4" w:space="0" w:color="000000"/>
              <w:bottom w:val="single" w:sz="4" w:space="0" w:color="000000"/>
            </w:tcBorders>
            <w:shd w:val="clear" w:color="auto" w:fill="auto"/>
            <w:vAlign w:val="bottom"/>
          </w:tcPr>
          <w:p w14:paraId="17B3A11E" w14:textId="77777777" w:rsidR="008E39CA" w:rsidRPr="00F0736F" w:rsidRDefault="008E39CA" w:rsidP="005278B0">
            <w:pPr>
              <w:snapToGrid w:val="0"/>
              <w:jc w:val="center"/>
              <w:rPr>
                <w:rFonts w:ascii="Times New Roman" w:hAnsi="Times New Roman" w:cs="Times New Roman"/>
                <w:color w:val="000000" w:themeColor="text1"/>
                <w:sz w:val="20"/>
                <w:szCs w:val="20"/>
              </w:rPr>
            </w:pPr>
          </w:p>
        </w:tc>
        <w:tc>
          <w:tcPr>
            <w:tcW w:w="1874" w:type="dxa"/>
            <w:tcBorders>
              <w:top w:val="single" w:sz="4" w:space="0" w:color="000000"/>
              <w:left w:val="single" w:sz="4" w:space="0" w:color="000000"/>
              <w:bottom w:val="single" w:sz="4" w:space="0" w:color="000000"/>
            </w:tcBorders>
            <w:shd w:val="clear" w:color="auto" w:fill="auto"/>
            <w:vAlign w:val="bottom"/>
          </w:tcPr>
          <w:p w14:paraId="6138AF73" w14:textId="77777777" w:rsidR="008E39CA" w:rsidRPr="00F0736F" w:rsidRDefault="008E39CA" w:rsidP="005278B0">
            <w:pPr>
              <w:snapToGrid w:val="0"/>
              <w:jc w:val="center"/>
              <w:rPr>
                <w:rFonts w:ascii="Times New Roman" w:hAnsi="Times New Roman" w:cs="Times New Roman"/>
                <w:color w:val="000000" w:themeColor="text1"/>
                <w:sz w:val="20"/>
                <w:szCs w:val="20"/>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6AFA76B" w14:textId="77777777" w:rsidR="008E39CA" w:rsidRPr="00F0736F" w:rsidRDefault="008E39CA" w:rsidP="005278B0">
            <w:pPr>
              <w:snapToGrid w:val="0"/>
              <w:jc w:val="center"/>
              <w:rPr>
                <w:rFonts w:ascii="Times New Roman" w:hAnsi="Times New Roman" w:cs="Times New Roman"/>
                <w:color w:val="000000" w:themeColor="text1"/>
                <w:sz w:val="20"/>
                <w:szCs w:val="20"/>
              </w:rPr>
            </w:pPr>
          </w:p>
        </w:tc>
      </w:tr>
      <w:tr w:rsidR="00F0736F" w:rsidRPr="00F0736F" w14:paraId="2CC7BD13"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14B7F8AE"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твердые вещества</w:t>
            </w:r>
          </w:p>
        </w:tc>
        <w:tc>
          <w:tcPr>
            <w:tcW w:w="1905" w:type="dxa"/>
            <w:tcBorders>
              <w:top w:val="single" w:sz="4" w:space="0" w:color="000000"/>
              <w:left w:val="single" w:sz="4" w:space="0" w:color="000000"/>
              <w:bottom w:val="single" w:sz="4" w:space="0" w:color="000000"/>
            </w:tcBorders>
            <w:shd w:val="clear" w:color="auto" w:fill="auto"/>
            <w:vAlign w:val="bottom"/>
          </w:tcPr>
          <w:p w14:paraId="70CBF370"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475,7</w:t>
            </w:r>
          </w:p>
        </w:tc>
        <w:tc>
          <w:tcPr>
            <w:tcW w:w="1874" w:type="dxa"/>
            <w:tcBorders>
              <w:top w:val="single" w:sz="4" w:space="0" w:color="000000"/>
              <w:left w:val="single" w:sz="4" w:space="0" w:color="000000"/>
              <w:bottom w:val="single" w:sz="4" w:space="0" w:color="000000"/>
            </w:tcBorders>
            <w:shd w:val="clear" w:color="auto" w:fill="auto"/>
            <w:vAlign w:val="bottom"/>
          </w:tcPr>
          <w:p w14:paraId="5B4713C9"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508,0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0CEE8D9"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507,7</w:t>
            </w:r>
          </w:p>
        </w:tc>
      </w:tr>
      <w:tr w:rsidR="00F0736F" w:rsidRPr="00F0736F" w14:paraId="2B5C3CF8"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05AD5F7E"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газообразные и жидкие вещества</w:t>
            </w:r>
          </w:p>
        </w:tc>
        <w:tc>
          <w:tcPr>
            <w:tcW w:w="1905" w:type="dxa"/>
            <w:tcBorders>
              <w:top w:val="single" w:sz="4" w:space="0" w:color="000000"/>
              <w:left w:val="single" w:sz="4" w:space="0" w:color="000000"/>
              <w:bottom w:val="single" w:sz="4" w:space="0" w:color="000000"/>
            </w:tcBorders>
            <w:shd w:val="clear" w:color="auto" w:fill="auto"/>
            <w:vAlign w:val="bottom"/>
          </w:tcPr>
          <w:p w14:paraId="6735133A"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1882,1</w:t>
            </w:r>
          </w:p>
        </w:tc>
        <w:tc>
          <w:tcPr>
            <w:tcW w:w="1874" w:type="dxa"/>
            <w:tcBorders>
              <w:top w:val="single" w:sz="4" w:space="0" w:color="000000"/>
              <w:left w:val="single" w:sz="4" w:space="0" w:color="000000"/>
              <w:bottom w:val="single" w:sz="4" w:space="0" w:color="000000"/>
            </w:tcBorders>
            <w:shd w:val="clear" w:color="auto" w:fill="auto"/>
            <w:vAlign w:val="bottom"/>
          </w:tcPr>
          <w:p w14:paraId="7A2F8995"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1938,7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CBE2074" w14:textId="77777777" w:rsidR="008E39CA" w:rsidRPr="00F0736F" w:rsidRDefault="008E39CA" w:rsidP="005278B0">
            <w:pPr>
              <w:snapToGrid w:val="0"/>
              <w:jc w:val="center"/>
              <w:rPr>
                <w:rFonts w:ascii="Times New Roman" w:hAnsi="Times New Roman" w:cs="Times New Roman"/>
                <w:color w:val="000000" w:themeColor="text1"/>
                <w:sz w:val="20"/>
                <w:szCs w:val="20"/>
              </w:rPr>
            </w:pPr>
          </w:p>
          <w:p w14:paraId="74EFB769"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1975,4</w:t>
            </w:r>
          </w:p>
        </w:tc>
      </w:tr>
      <w:tr w:rsidR="00F0736F" w:rsidRPr="00F0736F" w14:paraId="3515D71F"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0C9BB975"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из них:</w:t>
            </w:r>
          </w:p>
        </w:tc>
        <w:tc>
          <w:tcPr>
            <w:tcW w:w="1905" w:type="dxa"/>
            <w:tcBorders>
              <w:top w:val="single" w:sz="4" w:space="0" w:color="000000"/>
              <w:left w:val="single" w:sz="4" w:space="0" w:color="000000"/>
              <w:bottom w:val="single" w:sz="4" w:space="0" w:color="000000"/>
            </w:tcBorders>
            <w:shd w:val="clear" w:color="auto" w:fill="auto"/>
            <w:vAlign w:val="bottom"/>
          </w:tcPr>
          <w:p w14:paraId="4D267C4B" w14:textId="77777777" w:rsidR="008E39CA" w:rsidRPr="00F0736F" w:rsidRDefault="008E39CA" w:rsidP="00B93D32">
            <w:pPr>
              <w:snapToGrid w:val="0"/>
              <w:jc w:val="both"/>
              <w:rPr>
                <w:rFonts w:ascii="Times New Roman" w:hAnsi="Times New Roman" w:cs="Times New Roman"/>
                <w:color w:val="000000" w:themeColor="text1"/>
                <w:sz w:val="20"/>
                <w:szCs w:val="20"/>
              </w:rPr>
            </w:pPr>
          </w:p>
        </w:tc>
        <w:tc>
          <w:tcPr>
            <w:tcW w:w="1874" w:type="dxa"/>
            <w:tcBorders>
              <w:top w:val="single" w:sz="4" w:space="0" w:color="000000"/>
              <w:left w:val="single" w:sz="4" w:space="0" w:color="000000"/>
              <w:bottom w:val="single" w:sz="4" w:space="0" w:color="000000"/>
            </w:tcBorders>
            <w:shd w:val="clear" w:color="auto" w:fill="auto"/>
            <w:vAlign w:val="bottom"/>
          </w:tcPr>
          <w:p w14:paraId="587B2B53" w14:textId="77777777" w:rsidR="008E39CA" w:rsidRPr="00F0736F" w:rsidRDefault="008E39CA" w:rsidP="00B93D32">
            <w:pPr>
              <w:snapToGrid w:val="0"/>
              <w:jc w:val="both"/>
              <w:rPr>
                <w:rFonts w:ascii="Times New Roman" w:hAnsi="Times New Roman" w:cs="Times New Roman"/>
                <w:color w:val="000000" w:themeColor="text1"/>
                <w:sz w:val="20"/>
                <w:szCs w:val="20"/>
              </w:rPr>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83A0671" w14:textId="77777777" w:rsidR="008E39CA" w:rsidRPr="00F0736F" w:rsidRDefault="008E39CA" w:rsidP="00B93D32">
            <w:pPr>
              <w:snapToGrid w:val="0"/>
              <w:jc w:val="both"/>
              <w:rPr>
                <w:rFonts w:ascii="Times New Roman" w:hAnsi="Times New Roman" w:cs="Times New Roman"/>
                <w:color w:val="000000" w:themeColor="text1"/>
                <w:sz w:val="20"/>
                <w:szCs w:val="20"/>
              </w:rPr>
            </w:pPr>
          </w:p>
        </w:tc>
      </w:tr>
      <w:tr w:rsidR="00F0736F" w:rsidRPr="00F0736F" w14:paraId="6D9A25C0"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21EA9156"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сернистый ангидрид</w:t>
            </w:r>
          </w:p>
        </w:tc>
        <w:tc>
          <w:tcPr>
            <w:tcW w:w="1905" w:type="dxa"/>
            <w:tcBorders>
              <w:top w:val="single" w:sz="4" w:space="0" w:color="000000"/>
              <w:left w:val="single" w:sz="4" w:space="0" w:color="000000"/>
              <w:bottom w:val="single" w:sz="4" w:space="0" w:color="000000"/>
            </w:tcBorders>
            <w:shd w:val="clear" w:color="auto" w:fill="auto"/>
            <w:vAlign w:val="bottom"/>
          </w:tcPr>
          <w:p w14:paraId="3ED65840"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786,4</w:t>
            </w:r>
          </w:p>
        </w:tc>
        <w:tc>
          <w:tcPr>
            <w:tcW w:w="1874" w:type="dxa"/>
            <w:tcBorders>
              <w:top w:val="single" w:sz="4" w:space="0" w:color="000000"/>
              <w:left w:val="single" w:sz="4" w:space="0" w:color="000000"/>
              <w:bottom w:val="single" w:sz="4" w:space="0" w:color="000000"/>
            </w:tcBorders>
            <w:shd w:val="clear" w:color="auto" w:fill="auto"/>
            <w:vAlign w:val="bottom"/>
          </w:tcPr>
          <w:p w14:paraId="40045815"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838,3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1B3E663"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885,7</w:t>
            </w:r>
          </w:p>
        </w:tc>
      </w:tr>
      <w:tr w:rsidR="00F0736F" w:rsidRPr="00F0736F" w14:paraId="16D8BE13"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4DA72306"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окись углерода</w:t>
            </w:r>
          </w:p>
        </w:tc>
        <w:tc>
          <w:tcPr>
            <w:tcW w:w="1905" w:type="dxa"/>
            <w:tcBorders>
              <w:top w:val="single" w:sz="4" w:space="0" w:color="000000"/>
              <w:left w:val="single" w:sz="4" w:space="0" w:color="000000"/>
              <w:bottom w:val="single" w:sz="4" w:space="0" w:color="000000"/>
            </w:tcBorders>
            <w:shd w:val="clear" w:color="auto" w:fill="auto"/>
            <w:vAlign w:val="bottom"/>
          </w:tcPr>
          <w:p w14:paraId="1FF779B8"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492,0</w:t>
            </w:r>
          </w:p>
        </w:tc>
        <w:tc>
          <w:tcPr>
            <w:tcW w:w="1874" w:type="dxa"/>
            <w:tcBorders>
              <w:top w:val="single" w:sz="4" w:space="0" w:color="000000"/>
              <w:left w:val="single" w:sz="4" w:space="0" w:color="000000"/>
              <w:bottom w:val="single" w:sz="4" w:space="0" w:color="000000"/>
            </w:tcBorders>
            <w:shd w:val="clear" w:color="auto" w:fill="auto"/>
            <w:vAlign w:val="bottom"/>
          </w:tcPr>
          <w:p w14:paraId="740547D4"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476,9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9A194DE"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487,9</w:t>
            </w:r>
          </w:p>
        </w:tc>
      </w:tr>
      <w:tr w:rsidR="00F0736F" w:rsidRPr="00F0736F" w14:paraId="06522A04"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1400A5F0"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окислы азота</w:t>
            </w:r>
          </w:p>
        </w:tc>
        <w:tc>
          <w:tcPr>
            <w:tcW w:w="1905" w:type="dxa"/>
            <w:tcBorders>
              <w:top w:val="single" w:sz="4" w:space="0" w:color="000000"/>
              <w:left w:val="single" w:sz="4" w:space="0" w:color="000000"/>
              <w:bottom w:val="single" w:sz="4" w:space="0" w:color="000000"/>
            </w:tcBorders>
            <w:shd w:val="clear" w:color="auto" w:fill="auto"/>
            <w:vAlign w:val="bottom"/>
          </w:tcPr>
          <w:p w14:paraId="77EAA327"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264,7</w:t>
            </w:r>
          </w:p>
        </w:tc>
        <w:tc>
          <w:tcPr>
            <w:tcW w:w="1874" w:type="dxa"/>
            <w:tcBorders>
              <w:top w:val="single" w:sz="4" w:space="0" w:color="000000"/>
              <w:left w:val="single" w:sz="4" w:space="0" w:color="000000"/>
              <w:bottom w:val="single" w:sz="4" w:space="0" w:color="000000"/>
            </w:tcBorders>
            <w:shd w:val="clear" w:color="auto" w:fill="auto"/>
            <w:vAlign w:val="bottom"/>
          </w:tcPr>
          <w:p w14:paraId="7F820D7E"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272,2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B4CA491"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313,9</w:t>
            </w:r>
          </w:p>
        </w:tc>
      </w:tr>
      <w:tr w:rsidR="00F0736F" w:rsidRPr="00F0736F" w14:paraId="64FA2018"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19229F0B"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 xml:space="preserve">углеводороды (без летучих </w:t>
            </w:r>
            <w:r w:rsidRPr="00F0736F">
              <w:rPr>
                <w:rFonts w:ascii="Times New Roman" w:hAnsi="Times New Roman" w:cs="Times New Roman"/>
                <w:color w:val="000000" w:themeColor="text1"/>
                <w:sz w:val="20"/>
                <w:szCs w:val="20"/>
              </w:rPr>
              <w:br/>
              <w:t>органических соединений)</w:t>
            </w:r>
          </w:p>
        </w:tc>
        <w:tc>
          <w:tcPr>
            <w:tcW w:w="1905" w:type="dxa"/>
            <w:tcBorders>
              <w:top w:val="single" w:sz="4" w:space="0" w:color="000000"/>
              <w:left w:val="single" w:sz="4" w:space="0" w:color="000000"/>
              <w:bottom w:val="single" w:sz="4" w:space="0" w:color="000000"/>
            </w:tcBorders>
            <w:shd w:val="clear" w:color="auto" w:fill="auto"/>
            <w:vAlign w:val="bottom"/>
          </w:tcPr>
          <w:p w14:paraId="603C1653"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45,2</w:t>
            </w:r>
          </w:p>
        </w:tc>
        <w:tc>
          <w:tcPr>
            <w:tcW w:w="1874" w:type="dxa"/>
            <w:tcBorders>
              <w:top w:val="single" w:sz="4" w:space="0" w:color="000000"/>
              <w:left w:val="single" w:sz="4" w:space="0" w:color="000000"/>
              <w:bottom w:val="single" w:sz="4" w:space="0" w:color="000000"/>
            </w:tcBorders>
            <w:shd w:val="clear" w:color="auto" w:fill="auto"/>
            <w:vAlign w:val="bottom"/>
          </w:tcPr>
          <w:p w14:paraId="7C316A3B"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35,3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EC551D9" w14:textId="77777777" w:rsidR="008E39CA" w:rsidRPr="00F0736F" w:rsidRDefault="008E39CA" w:rsidP="005278B0">
            <w:pPr>
              <w:snapToGrid w:val="0"/>
              <w:jc w:val="center"/>
              <w:rPr>
                <w:rFonts w:ascii="Times New Roman" w:hAnsi="Times New Roman" w:cs="Times New Roman"/>
                <w:color w:val="000000" w:themeColor="text1"/>
                <w:sz w:val="20"/>
                <w:szCs w:val="20"/>
              </w:rPr>
            </w:pPr>
          </w:p>
          <w:p w14:paraId="42E1A169"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128,5</w:t>
            </w:r>
          </w:p>
        </w:tc>
      </w:tr>
      <w:tr w:rsidR="00F0736F" w:rsidRPr="00F0736F" w14:paraId="07C6FDE4" w14:textId="77777777" w:rsidTr="005278B0">
        <w:tc>
          <w:tcPr>
            <w:tcW w:w="3828" w:type="dxa"/>
            <w:tcBorders>
              <w:top w:val="single" w:sz="4" w:space="0" w:color="000000"/>
              <w:left w:val="single" w:sz="4" w:space="0" w:color="000000"/>
              <w:bottom w:val="single" w:sz="4" w:space="0" w:color="000000"/>
            </w:tcBorders>
            <w:shd w:val="clear" w:color="auto" w:fill="auto"/>
            <w:vAlign w:val="bottom"/>
          </w:tcPr>
          <w:p w14:paraId="6AAE2896" w14:textId="77777777" w:rsidR="008E39CA" w:rsidRPr="00F0736F" w:rsidRDefault="008E39CA" w:rsidP="00B93D32">
            <w:pPr>
              <w:jc w:val="both"/>
              <w:rPr>
                <w:color w:val="000000" w:themeColor="text1"/>
              </w:rPr>
            </w:pPr>
            <w:r w:rsidRPr="00F0736F">
              <w:rPr>
                <w:rFonts w:ascii="Times New Roman" w:hAnsi="Times New Roman" w:cs="Times New Roman"/>
                <w:color w:val="000000" w:themeColor="text1"/>
                <w:sz w:val="20"/>
                <w:szCs w:val="20"/>
              </w:rPr>
              <w:t>летучие органические соединения</w:t>
            </w:r>
          </w:p>
        </w:tc>
        <w:tc>
          <w:tcPr>
            <w:tcW w:w="1905" w:type="dxa"/>
            <w:tcBorders>
              <w:top w:val="single" w:sz="4" w:space="0" w:color="000000"/>
              <w:left w:val="single" w:sz="4" w:space="0" w:color="000000"/>
              <w:bottom w:val="single" w:sz="4" w:space="0" w:color="000000"/>
            </w:tcBorders>
            <w:shd w:val="clear" w:color="auto" w:fill="auto"/>
            <w:vAlign w:val="bottom"/>
          </w:tcPr>
          <w:p w14:paraId="3657E39A"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87,2</w:t>
            </w:r>
          </w:p>
        </w:tc>
        <w:tc>
          <w:tcPr>
            <w:tcW w:w="1874" w:type="dxa"/>
            <w:tcBorders>
              <w:top w:val="single" w:sz="4" w:space="0" w:color="000000"/>
              <w:left w:val="single" w:sz="4" w:space="0" w:color="000000"/>
              <w:bottom w:val="single" w:sz="4" w:space="0" w:color="000000"/>
            </w:tcBorders>
            <w:shd w:val="clear" w:color="auto" w:fill="auto"/>
            <w:vAlign w:val="bottom"/>
          </w:tcPr>
          <w:p w14:paraId="64C34E01" w14:textId="77777777" w:rsidR="008E39CA" w:rsidRPr="00F0736F" w:rsidRDefault="008E39CA" w:rsidP="005278B0">
            <w:pPr>
              <w:jc w:val="center"/>
              <w:rPr>
                <w:color w:val="000000" w:themeColor="text1"/>
              </w:rPr>
            </w:pPr>
            <w:r w:rsidRPr="00F0736F">
              <w:rPr>
                <w:rFonts w:ascii="Times New Roman" w:hAnsi="Times New Roman" w:cs="Times New Roman"/>
                <w:color w:val="000000" w:themeColor="text1"/>
                <w:sz w:val="20"/>
                <w:szCs w:val="20"/>
              </w:rPr>
              <w:t>91,7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3946C02" w14:textId="77777777" w:rsidR="008E39CA" w:rsidRPr="00F0736F" w:rsidRDefault="008E39CA" w:rsidP="005278B0">
            <w:pPr>
              <w:snapToGrid w:val="0"/>
              <w:jc w:val="center"/>
              <w:rPr>
                <w:rFonts w:ascii="Times New Roman" w:hAnsi="Times New Roman" w:cs="Times New Roman"/>
                <w:color w:val="000000" w:themeColor="text1"/>
                <w:sz w:val="20"/>
                <w:szCs w:val="20"/>
              </w:rPr>
            </w:pPr>
          </w:p>
          <w:p w14:paraId="600054ED" w14:textId="77777777" w:rsidR="008E39CA" w:rsidRPr="00F0736F" w:rsidRDefault="008E39CA" w:rsidP="005278B0">
            <w:pPr>
              <w:snapToGrid w:val="0"/>
              <w:jc w:val="center"/>
              <w:rPr>
                <w:color w:val="000000" w:themeColor="text1"/>
              </w:rPr>
            </w:pPr>
            <w:r w:rsidRPr="00F0736F">
              <w:rPr>
                <w:rFonts w:ascii="Times New Roman" w:hAnsi="Times New Roman" w:cs="Times New Roman"/>
                <w:color w:val="000000" w:themeColor="text1"/>
                <w:sz w:val="20"/>
                <w:szCs w:val="20"/>
              </w:rPr>
              <w:t>158,7</w:t>
            </w:r>
          </w:p>
        </w:tc>
      </w:tr>
    </w:tbl>
    <w:p w14:paraId="7806B59E" w14:textId="77777777" w:rsidR="008E39CA" w:rsidRPr="00F0736F" w:rsidRDefault="008E39CA" w:rsidP="008727D9">
      <w:pPr>
        <w:ind w:firstLine="709"/>
        <w:jc w:val="both"/>
        <w:rPr>
          <w:color w:val="000000" w:themeColor="text1"/>
        </w:rPr>
      </w:pPr>
      <w:r w:rsidRPr="00F0736F">
        <w:rPr>
          <w:rFonts w:ascii="Times New Roman" w:eastAsia="Calibri" w:hAnsi="Times New Roman" w:cs="Times New Roman"/>
          <w:i/>
          <w:iCs/>
          <w:color w:val="000000" w:themeColor="text1"/>
          <w:sz w:val="20"/>
          <w:szCs w:val="20"/>
        </w:rPr>
        <w:t xml:space="preserve">Источник: </w:t>
      </w:r>
      <w:r w:rsidRPr="00F0736F">
        <w:rPr>
          <w:rFonts w:ascii="Times New Roman" w:hAnsi="Times New Roman" w:cs="Times New Roman"/>
          <w:i/>
          <w:iCs/>
          <w:color w:val="000000" w:themeColor="text1"/>
          <w:sz w:val="20"/>
          <w:szCs w:val="20"/>
        </w:rPr>
        <w:t>Комитет по статистике</w:t>
      </w:r>
    </w:p>
    <w:p w14:paraId="34726B88" w14:textId="77777777" w:rsidR="008E39CA" w:rsidRPr="00F0736F" w:rsidRDefault="008E39CA" w:rsidP="008727D9">
      <w:pPr>
        <w:ind w:firstLine="709"/>
        <w:jc w:val="both"/>
        <w:rPr>
          <w:rFonts w:ascii="Times New Roman" w:hAnsi="Times New Roman" w:cs="Times New Roman"/>
          <w:color w:val="000000" w:themeColor="text1"/>
        </w:rPr>
      </w:pPr>
    </w:p>
    <w:p w14:paraId="24940112" w14:textId="46D3AF4E" w:rsidR="00D1738F" w:rsidRPr="00F0736F" w:rsidRDefault="00D1738F" w:rsidP="008727D9">
      <w:pPr>
        <w:ind w:firstLine="709"/>
        <w:jc w:val="both"/>
        <w:rPr>
          <w:color w:val="000000" w:themeColor="text1"/>
        </w:rPr>
      </w:pPr>
      <w:r w:rsidRPr="00F0736F">
        <w:rPr>
          <w:rFonts w:ascii="Times New Roman" w:hAnsi="Times New Roman" w:cs="Times New Roman"/>
          <w:color w:val="000000" w:themeColor="text1"/>
        </w:rPr>
        <w:t>В 2017 году в воздушный бассейн республики поступили такие специфические загрязняющие вещества</w:t>
      </w:r>
      <w:r w:rsidR="009D282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как свинец и его соединения в количестве 254,8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марганец и его соединения – 143,4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оксид меди – 32,9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кислота серная – 530,4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мышьяк – 7,9 </w:t>
      </w:r>
      <w:r w:rsidR="00AC18E0" w:rsidRPr="00F0736F">
        <w:rPr>
          <w:rFonts w:ascii="Times New Roman" w:hAnsi="Times New Roman" w:cs="Times New Roman"/>
          <w:color w:val="000000" w:themeColor="text1"/>
        </w:rPr>
        <w:t>т.</w:t>
      </w:r>
      <w:r w:rsidR="009D282D" w:rsidRPr="00F0736F">
        <w:rPr>
          <w:rFonts w:ascii="Times New Roman" w:hAnsi="Times New Roman" w:cs="Times New Roman"/>
          <w:color w:val="000000" w:themeColor="text1"/>
        </w:rPr>
        <w:t xml:space="preserve">, хлор – 41,0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ртуть – 255 килограмм</w:t>
      </w:r>
      <w:r w:rsidR="009D282D" w:rsidRPr="00F0736F">
        <w:rPr>
          <w:rFonts w:ascii="Times New Roman" w:hAnsi="Times New Roman" w:cs="Times New Roman"/>
          <w:color w:val="000000" w:themeColor="text1"/>
        </w:rPr>
        <w:t>ов</w:t>
      </w:r>
      <w:r w:rsidRPr="00F0736F">
        <w:rPr>
          <w:rFonts w:ascii="Times New Roman" w:hAnsi="Times New Roman" w:cs="Times New Roman"/>
          <w:color w:val="000000" w:themeColor="text1"/>
        </w:rPr>
        <w:t xml:space="preserve">. </w:t>
      </w:r>
    </w:p>
    <w:p w14:paraId="5CF9E003" w14:textId="123D4B26" w:rsidR="00D1738F" w:rsidRPr="00F0736F" w:rsidRDefault="00D1738F" w:rsidP="008727D9">
      <w:pPr>
        <w:ind w:firstLine="709"/>
        <w:jc w:val="both"/>
        <w:rPr>
          <w:color w:val="000000" w:themeColor="text1"/>
        </w:rPr>
      </w:pPr>
      <w:r w:rsidRPr="00F0736F">
        <w:rPr>
          <w:rFonts w:ascii="Times New Roman" w:hAnsi="Times New Roman" w:cs="Times New Roman"/>
          <w:color w:val="000000" w:themeColor="text1"/>
        </w:rPr>
        <w:t>В 2018 году в воздушный бассейн республики поступили такие специфические загрязняющие вещества</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как свинец и его соединения в количестве 241,5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марганец и его соединения – 147,7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оксид меди – 32,3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кислота серная – 531,4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мышьяк – 41,6 </w:t>
      </w:r>
      <w:r w:rsidR="00AC18E0" w:rsidRPr="00F0736F">
        <w:rPr>
          <w:rFonts w:ascii="Times New Roman" w:hAnsi="Times New Roman" w:cs="Times New Roman"/>
          <w:color w:val="000000" w:themeColor="text1"/>
        </w:rPr>
        <w:t>т.</w:t>
      </w:r>
      <w:r w:rsidR="00B42EC5" w:rsidRPr="00F0736F">
        <w:rPr>
          <w:rFonts w:ascii="Times New Roman" w:hAnsi="Times New Roman" w:cs="Times New Roman"/>
          <w:color w:val="000000" w:themeColor="text1"/>
        </w:rPr>
        <w:t xml:space="preserve">, хлор – 41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ртуть – 180 килограмм</w:t>
      </w:r>
      <w:r w:rsidR="00B42EC5" w:rsidRPr="00F0736F">
        <w:rPr>
          <w:rFonts w:ascii="Times New Roman" w:hAnsi="Times New Roman" w:cs="Times New Roman"/>
          <w:color w:val="000000" w:themeColor="text1"/>
        </w:rPr>
        <w:t>ов</w:t>
      </w:r>
      <w:r w:rsidRPr="00F0736F">
        <w:rPr>
          <w:rFonts w:ascii="Times New Roman" w:hAnsi="Times New Roman" w:cs="Times New Roman"/>
          <w:color w:val="000000" w:themeColor="text1"/>
        </w:rPr>
        <w:t xml:space="preserve">. Фактический выброс данных веществ в 2017 – 2018 годах не превышал объем установленных предельно допустимых выбросов (ПДВ). </w:t>
      </w:r>
    </w:p>
    <w:p w14:paraId="7913B013" w14:textId="7D6B4590" w:rsidR="00D1738F" w:rsidRPr="00F0736F" w:rsidRDefault="00D1738F" w:rsidP="008727D9">
      <w:pPr>
        <w:ind w:firstLine="709"/>
        <w:jc w:val="both"/>
        <w:rPr>
          <w:color w:val="000000" w:themeColor="text1"/>
        </w:rPr>
      </w:pPr>
      <w:r w:rsidRPr="00F0736F">
        <w:rPr>
          <w:rFonts w:ascii="Times New Roman" w:hAnsi="Times New Roman" w:cs="Times New Roman"/>
          <w:color w:val="000000" w:themeColor="text1"/>
        </w:rPr>
        <w:t>В 2019 году в воздушный бассейн республики поступили такие специфические загрязняющие вещества</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как свинец и его соединения</w:t>
      </w:r>
      <w:r w:rsidR="00B9465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количестве 390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марганец и его соединения – 200,6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оксид меди – 366,2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кислота серная – 430,4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мышьяк – 13,8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хлор – 49,6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ртуть – 186 килограмм</w:t>
      </w:r>
      <w:r w:rsidR="00B42EC5" w:rsidRPr="00F0736F">
        <w:rPr>
          <w:rFonts w:ascii="Times New Roman" w:hAnsi="Times New Roman" w:cs="Times New Roman"/>
          <w:color w:val="000000" w:themeColor="text1"/>
        </w:rPr>
        <w:t>ов</w:t>
      </w:r>
      <w:r w:rsidRPr="00F0736F">
        <w:rPr>
          <w:rFonts w:ascii="Times New Roman" w:hAnsi="Times New Roman" w:cs="Times New Roman"/>
          <w:color w:val="000000" w:themeColor="text1"/>
        </w:rPr>
        <w:t>. Фактический выброс данных веществ не превышал объем установленных предельно допустимых выбросов (ПДВ).</w:t>
      </w:r>
    </w:p>
    <w:p w14:paraId="0356B2B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Основные выбросы приходятся на электроэнергетику (угольные ТЭС), горно-металлургический сектор и нефтедобычу.</w:t>
      </w:r>
    </w:p>
    <w:p w14:paraId="30126926" w14:textId="2E1FD563"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Во исполнение пункта 57 Общенационального плана мероприятий (далее – ОНП), утвержденного Указом Первого Президента Республики Казахстан – Елбасы от 12 октября 2018 года №</w:t>
      </w:r>
      <w:r w:rsidR="00B94652"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772 «О мерах по реализации Послания Главы государства народу Казахстана от 5 октября 2018 года «Рост благосостояния казахстанцев: повышение доходов и качества жизни»</w:t>
      </w:r>
      <w:r w:rsidR="00B42EC5"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местными исполнительными органами разрабатываются целевые показатели качества окружающей среды (ЦПКОС).</w:t>
      </w:r>
      <w:r w:rsidRPr="00F0736F">
        <w:rPr>
          <w:rFonts w:ascii="Times New Roman" w:eastAsia="Calibri" w:hAnsi="Times New Roman" w:cs="Times New Roman"/>
          <w:b/>
          <w:color w:val="000000" w:themeColor="text1"/>
        </w:rPr>
        <w:t xml:space="preserve"> </w:t>
      </w:r>
      <w:r w:rsidRPr="00F0736F">
        <w:rPr>
          <w:rFonts w:ascii="Times New Roman" w:hAnsi="Times New Roman" w:cs="Times New Roman"/>
          <w:color w:val="000000" w:themeColor="text1"/>
        </w:rPr>
        <w:t>На конец 2019 года ЦПКОС утверждены в 1</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xml:space="preserve"> регионах, исключая города Нур-Султан, Шымкент и Акмолинскую область.</w:t>
      </w:r>
    </w:p>
    <w:p w14:paraId="4D58B4C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достижения ЦПКОС акиматами совместно с общественностью разрабатываются комплексы мер по достижению ЦПКОС с учетом решения остро стоящих экологических проблем. На начало 2020 года Комплексы мер утверждены </w:t>
      </w:r>
      <w:r w:rsidRPr="00F0736F">
        <w:rPr>
          <w:rFonts w:ascii="Times New Roman" w:hAnsi="Times New Roman" w:cs="Times New Roman"/>
          <w:color w:val="000000" w:themeColor="text1"/>
          <w:lang w:val="kk-KZ"/>
        </w:rPr>
        <w:t xml:space="preserve">в 13 регионах </w:t>
      </w:r>
      <w:r w:rsidRPr="00F0736F">
        <w:rPr>
          <w:rFonts w:ascii="Times New Roman" w:hAnsi="Times New Roman" w:cs="Times New Roman"/>
          <w:color w:val="000000" w:themeColor="text1"/>
        </w:rPr>
        <w:t>(г.</w:t>
      </w:r>
      <w:r w:rsidR="00B53610" w:rsidRPr="00F0736F">
        <w:rPr>
          <w:rFonts w:ascii="Times New Roman" w:hAnsi="Times New Roman" w:cs="Times New Roman"/>
          <w:color w:val="000000" w:themeColor="text1"/>
        </w:rPr>
        <w:t> </w:t>
      </w:r>
      <w:r w:rsidRPr="00F0736F">
        <w:rPr>
          <w:rFonts w:ascii="Times New Roman" w:hAnsi="Times New Roman" w:cs="Times New Roman"/>
          <w:color w:val="000000" w:themeColor="text1"/>
        </w:rPr>
        <w:t>Алматы, Актюбинской, Алматинской, Атырауской, Восточно-Казахстанской, Жамбылской, Западно-Казахстанской, Костанайской, Кызылординской, Мангистауской, Павлодарской, Северо-Казахстанской и Туркестанской областях). В остальных регионах разработк</w:t>
      </w:r>
      <w:r w:rsidR="00B42EC5" w:rsidRPr="00F0736F">
        <w:rPr>
          <w:rFonts w:ascii="Times New Roman" w:hAnsi="Times New Roman" w:cs="Times New Roman"/>
          <w:color w:val="000000" w:themeColor="text1"/>
        </w:rPr>
        <w:t xml:space="preserve">а </w:t>
      </w:r>
      <w:r w:rsidRPr="00F0736F">
        <w:rPr>
          <w:rFonts w:ascii="Times New Roman" w:hAnsi="Times New Roman" w:cs="Times New Roman"/>
          <w:color w:val="000000" w:themeColor="text1"/>
        </w:rPr>
        <w:t>Комплекса мер продолжается.</w:t>
      </w:r>
    </w:p>
    <w:p w14:paraId="5F1B948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Всеми акиматами утверждены комплексные планы по улучшению экологической ситуации, куда вошли разделы по сокращению эмиссии загрязняющих веществ в атмосферу, развитию «зеленого пояса», озеленению и благоустройству, управлению отходами производства и потребления, регулированию водных ресурсов, охране земельных ресурсов, мониторингу за состоянием окружающей среды, информационной работе.</w:t>
      </w:r>
    </w:p>
    <w:p w14:paraId="401CCF6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Предприятиями ежегодно реализуются </w:t>
      </w:r>
      <w:r w:rsidRPr="00F0736F">
        <w:rPr>
          <w:rFonts w:ascii="Times New Roman" w:hAnsi="Times New Roman" w:cs="Times New Roman"/>
          <w:b/>
          <w:color w:val="000000" w:themeColor="text1"/>
        </w:rPr>
        <w:t>природоохранные мероприятия</w:t>
      </w:r>
      <w:r w:rsidRPr="00F0736F">
        <w:rPr>
          <w:rFonts w:ascii="Times New Roman" w:hAnsi="Times New Roman" w:cs="Times New Roman"/>
          <w:color w:val="000000" w:themeColor="text1"/>
        </w:rPr>
        <w:t xml:space="preserve"> по снижению нагрузки на окружающую среду за счет внедрения эффективных технологий. Общий объем направленных средств</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данным МЭГПР</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увеличился с 91,3 млрд. тенге в 2008 году до 123 млрд. тенге в 2017 году, до 161,0 млрд. тенге в 2018 году, и до 172 млрд. тенге в 2019 году  (рис.1.6.</w:t>
      </w:r>
      <w:r w:rsidR="008B3ADF"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w:t>
      </w:r>
    </w:p>
    <w:p w14:paraId="2C4DD1FA" w14:textId="77777777" w:rsidR="00F674A4" w:rsidRPr="00F0736F" w:rsidRDefault="00F674A4" w:rsidP="008727D9">
      <w:pPr>
        <w:ind w:firstLine="709"/>
        <w:jc w:val="both"/>
        <w:rPr>
          <w:rFonts w:ascii="Times New Roman" w:hAnsi="Times New Roman" w:cs="Times New Roman"/>
          <w:color w:val="000000" w:themeColor="text1"/>
          <w:shd w:val="clear" w:color="auto" w:fill="FFFF00"/>
        </w:rPr>
      </w:pPr>
    </w:p>
    <w:p w14:paraId="407D2DB3" w14:textId="537361FB" w:rsidR="00F674A4" w:rsidRPr="00F0736F" w:rsidRDefault="001747BE" w:rsidP="00A916EC">
      <w:pPr>
        <w:jc w:val="center"/>
        <w:rPr>
          <w:rFonts w:ascii="Times New Roman" w:hAnsi="Times New Roman" w:cs="Times New Roman"/>
          <w:color w:val="000000" w:themeColor="text1"/>
          <w:shd w:val="clear" w:color="auto" w:fill="FFFF00"/>
        </w:rPr>
      </w:pPr>
      <w:r w:rsidRPr="00F0736F">
        <w:rPr>
          <w:noProof/>
          <w:color w:val="000000" w:themeColor="text1"/>
        </w:rPr>
        <mc:AlternateContent>
          <mc:Choice Requires="wps">
            <w:drawing>
              <wp:anchor distT="0" distB="0" distL="114300" distR="114300" simplePos="0" relativeHeight="251656704" behindDoc="0" locked="0" layoutInCell="1" allowOverlap="1" wp14:anchorId="320B4F11" wp14:editId="172A7912">
                <wp:simplePos x="0" y="0"/>
                <wp:positionH relativeFrom="column">
                  <wp:posOffset>575310</wp:posOffset>
                </wp:positionH>
                <wp:positionV relativeFrom="paragraph">
                  <wp:posOffset>3810</wp:posOffset>
                </wp:positionV>
                <wp:extent cx="2921635" cy="497840"/>
                <wp:effectExtent l="3810" t="3810" r="0" b="317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79F1" id="_x0000_t202" coordsize="21600,21600" o:spt="202" path="m,l,21600r21600,l21600,xe">
                <v:stroke joinstyle="miter"/>
                <v:path gradientshapeok="t" o:connecttype="rect"/>
              </v:shapetype>
              <v:shape id="Text Box 4" o:spid="_x0000_s1026" type="#_x0000_t202" style="position:absolute;margin-left:45.3pt;margin-top:.3pt;width:230.05pt;height:39.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" filled="f" stroked="f" strokecolor="#3465a4">
                <v:stroke joinstyle="round"/>
              </v:shape>
            </w:pict>
          </mc:Fallback>
        </mc:AlternateContent>
      </w:r>
      <w:r w:rsidRPr="00F0736F">
        <w:rPr>
          <w:noProof/>
          <w:color w:val="000000" w:themeColor="text1"/>
        </w:rPr>
        <w:drawing>
          <wp:inline distT="0" distB="0" distL="0" distR="0" wp14:anchorId="76E4FEB6" wp14:editId="0834A7B0">
            <wp:extent cx="3905250" cy="2257425"/>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15" t="-27" r="-15" b="-27"/>
                    <a:stretch>
                      <a:fillRect/>
                    </a:stretch>
                  </pic:blipFill>
                  <pic:spPr bwMode="auto">
                    <a:xfrm>
                      <a:off x="0" y="0"/>
                      <a:ext cx="3905250" cy="2257425"/>
                    </a:xfrm>
                    <a:prstGeom prst="rect">
                      <a:avLst/>
                    </a:prstGeom>
                    <a:solidFill>
                      <a:srgbClr val="FFFFFF"/>
                    </a:solidFill>
                    <a:ln>
                      <a:noFill/>
                    </a:ln>
                  </pic:spPr>
                </pic:pic>
              </a:graphicData>
            </a:graphic>
          </wp:inline>
        </w:drawing>
      </w:r>
    </w:p>
    <w:p w14:paraId="1D4F099D" w14:textId="69E79514" w:rsidR="00B42EC5"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Рис</w:t>
      </w:r>
      <w:r w:rsidR="00A916E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w:t>
      </w:r>
      <w:r w:rsidR="008B3ADF"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 xml:space="preserve">. Динамика финансирования природоохранных мероприятий предприятиями в млрд. тенге. </w:t>
      </w:r>
    </w:p>
    <w:p w14:paraId="7C30A0DA" w14:textId="77777777" w:rsidR="00F674A4" w:rsidRPr="00F0736F" w:rsidRDefault="00F674A4" w:rsidP="008727D9">
      <w:pPr>
        <w:ind w:firstLine="709"/>
        <w:jc w:val="both"/>
        <w:rPr>
          <w:i/>
          <w:color w:val="000000" w:themeColor="text1"/>
        </w:rPr>
      </w:pPr>
      <w:r w:rsidRPr="00F0736F">
        <w:rPr>
          <w:rFonts w:ascii="Times New Roman" w:eastAsia="Calibri" w:hAnsi="Times New Roman" w:cs="Times New Roman"/>
          <w:i/>
          <w:color w:val="000000" w:themeColor="text1"/>
          <w:sz w:val="20"/>
          <w:szCs w:val="20"/>
        </w:rPr>
        <w:t xml:space="preserve">Источник: МЭГПР </w:t>
      </w:r>
    </w:p>
    <w:p w14:paraId="7097BCB6" w14:textId="77777777" w:rsidR="00F674A4" w:rsidRPr="00F0736F" w:rsidRDefault="00F674A4" w:rsidP="008727D9">
      <w:pPr>
        <w:ind w:firstLine="709"/>
        <w:jc w:val="both"/>
        <w:rPr>
          <w:rFonts w:ascii="Times New Roman" w:hAnsi="Times New Roman" w:cs="Times New Roman"/>
          <w:color w:val="000000" w:themeColor="text1"/>
        </w:rPr>
      </w:pPr>
    </w:p>
    <w:p w14:paraId="082F7327" w14:textId="03F2F3CF"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2019 году общие затраты на охрану окружающей среды предприятий и организаци</w:t>
      </w:r>
      <w:r w:rsidR="00B42EC5" w:rsidRPr="00F0736F">
        <w:rPr>
          <w:rFonts w:ascii="Times New Roman" w:hAnsi="Times New Roman" w:cs="Times New Roman"/>
          <w:color w:val="000000" w:themeColor="text1"/>
        </w:rPr>
        <w:t>й в 2017-</w:t>
      </w:r>
      <w:r w:rsidRPr="00F0736F">
        <w:rPr>
          <w:rFonts w:ascii="Times New Roman" w:hAnsi="Times New Roman" w:cs="Times New Roman"/>
          <w:color w:val="000000" w:themeColor="text1"/>
        </w:rPr>
        <w:t>2019 годах увеличились до 420,4 млрд. тенге, в том числе на долю инвестиций в основной капитал приходится  47,3%,  текущих затрат - 52,7%. Объем инвестиций в основной капитал, направленных в охрану окружающей среды, обеспечен в большей степени (82%) за счет инвестиций в возобновляемые источники энергии. По объему общих затрат на охрану окружающей среды в 2019 году лидируют Атырауская (55,4 млрд. тенге), Актюбинская (54,1 млрд. тенге) и Жамбылская области (52,8 млрд. тенге).</w:t>
      </w:r>
    </w:p>
    <w:p w14:paraId="1F615B56" w14:textId="37CF56B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Объем текущих затрат на охрану окружающей среды в 2019 году составил 221,7 млрд. тенге. Из общего объема текущих затрат на охрану атмосферного воздуха и проблемы изменения климата приходится 34%, на обращение с отходами - 30%, на очистку сточных вод - 25%. По видам затрат текущие затраты на охрану окружающей среды распределились следующим образом: материальные затраты -</w:t>
      </w:r>
      <w:r w:rsidR="00A916E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68,3 млрд</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тенге</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31%, затраты на оплату труда и отчисления на социальные нужды - 34,3 млрд</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тенге (15%), выплачено иным предприятиям (организациям) за оказание природоохранных услуг - 97,8 млрд. тенге (44%).</w:t>
      </w:r>
    </w:p>
    <w:p w14:paraId="74F9C69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соответствии с законодательством завершается реализация программ по прекращению сжигания попутно-добываемого газа нефтедобывающими предприятиями. В результате объем сжигаемого попутного газа снизился с 4 млрд.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до 900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(рис. 1.6.</w:t>
      </w:r>
      <w:r w:rsidR="008B3ADF" w:rsidRPr="00F0736F">
        <w:rPr>
          <w:rFonts w:ascii="Times New Roman" w:hAnsi="Times New Roman" w:cs="Times New Roman"/>
          <w:color w:val="000000" w:themeColor="text1"/>
        </w:rPr>
        <w:t>4</w:t>
      </w:r>
      <w:r w:rsidRPr="00F0736F">
        <w:rPr>
          <w:rFonts w:ascii="Times New Roman" w:hAnsi="Times New Roman" w:cs="Times New Roman"/>
          <w:color w:val="000000" w:themeColor="text1"/>
        </w:rPr>
        <w:t>.).</w:t>
      </w:r>
    </w:p>
    <w:p w14:paraId="7BB0CD86" w14:textId="77777777" w:rsidR="00A916EC" w:rsidRPr="00F0736F" w:rsidRDefault="001747BE" w:rsidP="00A916EC">
      <w:pPr>
        <w:jc w:val="center"/>
        <w:rPr>
          <w:rFonts w:ascii="Times New Roman" w:hAnsi="Times New Roman" w:cs="Times New Roman"/>
          <w:color w:val="000000" w:themeColor="text1"/>
        </w:rPr>
      </w:pPr>
      <w:r w:rsidRPr="00F0736F">
        <w:rPr>
          <w:noProof/>
          <w:color w:val="000000" w:themeColor="text1"/>
        </w:rPr>
        <w:drawing>
          <wp:inline distT="0" distB="0" distL="0" distR="0" wp14:anchorId="4A0C8D85" wp14:editId="38805C6D">
            <wp:extent cx="6096000" cy="1895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l="-11" t="-24" r="-11" b="-24"/>
                    <a:stretch>
                      <a:fillRect/>
                    </a:stretch>
                  </pic:blipFill>
                  <pic:spPr bwMode="auto">
                    <a:xfrm>
                      <a:off x="0" y="0"/>
                      <a:ext cx="6096000" cy="1895475"/>
                    </a:xfrm>
                    <a:prstGeom prst="rect">
                      <a:avLst/>
                    </a:prstGeom>
                    <a:solidFill>
                      <a:srgbClr val="FFFFFF"/>
                    </a:solidFill>
                    <a:ln>
                      <a:noFill/>
                    </a:ln>
                  </pic:spPr>
                </pic:pic>
              </a:graphicData>
            </a:graphic>
          </wp:inline>
        </w:drawing>
      </w:r>
    </w:p>
    <w:p w14:paraId="73AEB2F4" w14:textId="77777777" w:rsidR="00A916EC" w:rsidRPr="00F0736F" w:rsidRDefault="00A916EC" w:rsidP="00A916EC">
      <w:pPr>
        <w:ind w:firstLine="709"/>
        <w:jc w:val="both"/>
        <w:rPr>
          <w:rFonts w:ascii="Times New Roman" w:hAnsi="Times New Roman" w:cs="Times New Roman"/>
          <w:color w:val="000000" w:themeColor="text1"/>
        </w:rPr>
      </w:pPr>
    </w:p>
    <w:p w14:paraId="2D453CBE" w14:textId="654530D1" w:rsidR="00F674A4" w:rsidRPr="00F0736F" w:rsidRDefault="008B3ADF" w:rsidP="00A916EC">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Рис</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1.6.4.</w:t>
      </w:r>
      <w:r w:rsidR="00F674A4" w:rsidRPr="00F0736F">
        <w:rPr>
          <w:rFonts w:ascii="Times New Roman" w:hAnsi="Times New Roman" w:cs="Times New Roman"/>
          <w:color w:val="000000" w:themeColor="text1"/>
        </w:rPr>
        <w:t xml:space="preserve"> Динамика сжигания газа на факелах при добыче нефти</w:t>
      </w:r>
    </w:p>
    <w:p w14:paraId="5438186B" w14:textId="77777777" w:rsidR="008B3ADF" w:rsidRPr="00F0736F" w:rsidRDefault="008B3ADF" w:rsidP="008727D9">
      <w:pPr>
        <w:ind w:firstLine="709"/>
        <w:jc w:val="both"/>
        <w:rPr>
          <w:color w:val="000000" w:themeColor="text1"/>
        </w:rPr>
      </w:pPr>
    </w:p>
    <w:p w14:paraId="070DA115" w14:textId="77777777" w:rsidR="00F674A4" w:rsidRPr="00F0736F" w:rsidRDefault="00F674A4" w:rsidP="008727D9">
      <w:pPr>
        <w:ind w:firstLine="709"/>
        <w:jc w:val="both"/>
        <w:rPr>
          <w:color w:val="000000" w:themeColor="text1"/>
        </w:rPr>
      </w:pPr>
      <w:r w:rsidRPr="00F0736F">
        <w:rPr>
          <w:rFonts w:ascii="Times New Roman" w:hAnsi="Times New Roman" w:cs="Times New Roman"/>
          <w:bCs/>
          <w:i/>
          <w:color w:val="000000" w:themeColor="text1"/>
          <w:lang w:val="kk-KZ"/>
        </w:rPr>
        <w:t xml:space="preserve">Снижение загрязнения воздуха </w:t>
      </w:r>
      <w:r w:rsidRPr="00F0736F">
        <w:rPr>
          <w:rFonts w:ascii="Times New Roman" w:hAnsi="Times New Roman" w:cs="Times New Roman"/>
          <w:bCs/>
          <w:i/>
          <w:color w:val="000000" w:themeColor="text1"/>
        </w:rPr>
        <w:t>на транспорте</w:t>
      </w:r>
    </w:p>
    <w:p w14:paraId="30E95ECC" w14:textId="2D6E54A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 2018 г</w:t>
      </w:r>
      <w:r w:rsidR="00B42EC5" w:rsidRPr="00F0736F">
        <w:rPr>
          <w:rFonts w:ascii="Times New Roman" w:hAnsi="Times New Roman" w:cs="Times New Roman"/>
          <w:color w:val="000000" w:themeColor="text1"/>
        </w:rPr>
        <w:t>од</w:t>
      </w:r>
      <w:r w:rsidR="00285D61"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в Казахстане запрещен ввоз автомобилей ниже стандарта Евро 4. С целью предотвращения выбросов от автомобильного транспорта введен стандарт Евро-5 для производителей моторного топлива, в результате чего выбросы транспорта должны сократиться более чем на 50% (таблица 1.6.</w:t>
      </w:r>
      <w:r w:rsidR="008B3ADF"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w:t>
      </w:r>
    </w:p>
    <w:p w14:paraId="03E68C7C" w14:textId="77777777" w:rsidR="00F674A4" w:rsidRPr="00F0736F" w:rsidRDefault="00F674A4" w:rsidP="008727D9">
      <w:pPr>
        <w:ind w:firstLine="709"/>
        <w:jc w:val="both"/>
        <w:rPr>
          <w:rFonts w:ascii="Times New Roman" w:hAnsi="Times New Roman" w:cs="Times New Roman"/>
          <w:color w:val="000000" w:themeColor="text1"/>
        </w:rPr>
      </w:pPr>
    </w:p>
    <w:p w14:paraId="3EA8126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1.6.</w:t>
      </w:r>
      <w:r w:rsidR="008B3ADF" w:rsidRPr="00F0736F">
        <w:rPr>
          <w:rFonts w:ascii="Times New Roman" w:hAnsi="Times New Roman" w:cs="Times New Roman"/>
          <w:color w:val="000000" w:themeColor="text1"/>
        </w:rPr>
        <w:t>3</w:t>
      </w:r>
      <w:r w:rsidRPr="00F0736F">
        <w:rPr>
          <w:rFonts w:ascii="Times New Roman" w:hAnsi="Times New Roman" w:cs="Times New Roman"/>
          <w:color w:val="000000" w:themeColor="text1"/>
        </w:rPr>
        <w:t>. Сравнение выбросов загрязняющих веществ по различным стандартам</w:t>
      </w:r>
    </w:p>
    <w:p w14:paraId="50D659A6" w14:textId="77777777" w:rsidR="00F674A4" w:rsidRPr="00F0736F" w:rsidRDefault="00F674A4" w:rsidP="008727D9">
      <w:pPr>
        <w:ind w:firstLine="709"/>
        <w:jc w:val="both"/>
        <w:rPr>
          <w:color w:val="000000" w:themeColor="text1"/>
        </w:rPr>
      </w:pPr>
    </w:p>
    <w:tbl>
      <w:tblPr>
        <w:tblW w:w="0" w:type="auto"/>
        <w:tblInd w:w="108" w:type="dxa"/>
        <w:tblLayout w:type="fixed"/>
        <w:tblLook w:val="0000" w:firstRow="0" w:lastRow="0" w:firstColumn="0" w:lastColumn="0" w:noHBand="0" w:noVBand="0"/>
      </w:tblPr>
      <w:tblGrid>
        <w:gridCol w:w="2413"/>
        <w:gridCol w:w="2403"/>
        <w:gridCol w:w="2323"/>
        <w:gridCol w:w="2516"/>
      </w:tblGrid>
      <w:tr w:rsidR="00F0736F" w:rsidRPr="00F0736F" w14:paraId="4240EDB3" w14:textId="77777777">
        <w:trPr>
          <w:trHeight w:val="57"/>
        </w:trPr>
        <w:tc>
          <w:tcPr>
            <w:tcW w:w="2413" w:type="dxa"/>
            <w:vMerge w:val="restart"/>
            <w:tcBorders>
              <w:top w:val="single" w:sz="4" w:space="0" w:color="000000"/>
              <w:left w:val="single" w:sz="4" w:space="0" w:color="000000"/>
              <w:bottom w:val="single" w:sz="4" w:space="0" w:color="000000"/>
            </w:tcBorders>
            <w:shd w:val="clear" w:color="auto" w:fill="auto"/>
          </w:tcPr>
          <w:p w14:paraId="4A3A0E8B"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p w14:paraId="304CD126"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Ингредиент</w:t>
            </w:r>
          </w:p>
        </w:tc>
        <w:tc>
          <w:tcPr>
            <w:tcW w:w="7242" w:type="dxa"/>
            <w:gridSpan w:val="3"/>
            <w:tcBorders>
              <w:top w:val="single" w:sz="4" w:space="0" w:color="000000"/>
              <w:left w:val="single" w:sz="4" w:space="0" w:color="000000"/>
              <w:bottom w:val="single" w:sz="4" w:space="0" w:color="000000"/>
              <w:right w:val="single" w:sz="4" w:space="0" w:color="000000"/>
            </w:tcBorders>
            <w:shd w:val="clear" w:color="auto" w:fill="auto"/>
          </w:tcPr>
          <w:p w14:paraId="0E0072CD"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Экологический стандарт</w:t>
            </w:r>
          </w:p>
        </w:tc>
      </w:tr>
      <w:tr w:rsidR="00F0736F" w:rsidRPr="00F0736F" w14:paraId="154B5450" w14:textId="77777777">
        <w:trPr>
          <w:trHeight w:val="278"/>
        </w:trPr>
        <w:tc>
          <w:tcPr>
            <w:tcW w:w="2413" w:type="dxa"/>
            <w:vMerge/>
            <w:tcBorders>
              <w:top w:val="single" w:sz="4" w:space="0" w:color="000000"/>
              <w:left w:val="single" w:sz="4" w:space="0" w:color="000000"/>
              <w:bottom w:val="single" w:sz="4" w:space="0" w:color="000000"/>
            </w:tcBorders>
            <w:shd w:val="clear" w:color="auto" w:fill="auto"/>
          </w:tcPr>
          <w:p w14:paraId="4FEBD3F4" w14:textId="77777777" w:rsidR="00F674A4" w:rsidRPr="00F0736F" w:rsidRDefault="00F674A4" w:rsidP="008727D9">
            <w:pPr>
              <w:snapToGrid w:val="0"/>
              <w:ind w:firstLine="709"/>
              <w:jc w:val="both"/>
              <w:rPr>
                <w:rFonts w:ascii="Times New Roman" w:hAnsi="Times New Roman" w:cs="Times New Roman"/>
                <w:color w:val="000000" w:themeColor="text1"/>
                <w:sz w:val="20"/>
                <w:szCs w:val="20"/>
              </w:rPr>
            </w:pPr>
          </w:p>
        </w:tc>
        <w:tc>
          <w:tcPr>
            <w:tcW w:w="2403" w:type="dxa"/>
            <w:tcBorders>
              <w:top w:val="single" w:sz="4" w:space="0" w:color="000000"/>
              <w:left w:val="single" w:sz="4" w:space="0" w:color="000000"/>
              <w:bottom w:val="single" w:sz="4" w:space="0" w:color="000000"/>
            </w:tcBorders>
            <w:shd w:val="clear" w:color="auto" w:fill="auto"/>
          </w:tcPr>
          <w:p w14:paraId="252F0F02"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Евро-3</w:t>
            </w:r>
          </w:p>
        </w:tc>
        <w:tc>
          <w:tcPr>
            <w:tcW w:w="2323" w:type="dxa"/>
            <w:tcBorders>
              <w:top w:val="single" w:sz="4" w:space="0" w:color="000000"/>
              <w:left w:val="single" w:sz="4" w:space="0" w:color="000000"/>
              <w:bottom w:val="single" w:sz="4" w:space="0" w:color="000000"/>
            </w:tcBorders>
            <w:shd w:val="clear" w:color="auto" w:fill="auto"/>
          </w:tcPr>
          <w:p w14:paraId="195F91A0"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Евро-5</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02626F0F"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Снижение, %</w:t>
            </w:r>
          </w:p>
        </w:tc>
      </w:tr>
      <w:tr w:rsidR="00F0736F" w:rsidRPr="00F0736F" w14:paraId="50B219B3" w14:textId="77777777">
        <w:trPr>
          <w:trHeight w:val="276"/>
        </w:trPr>
        <w:tc>
          <w:tcPr>
            <w:tcW w:w="2413" w:type="dxa"/>
            <w:tcBorders>
              <w:top w:val="single" w:sz="4" w:space="0" w:color="000000"/>
              <w:left w:val="single" w:sz="4" w:space="0" w:color="000000"/>
              <w:bottom w:val="single" w:sz="4" w:space="0" w:color="000000"/>
            </w:tcBorders>
            <w:shd w:val="clear" w:color="auto" w:fill="auto"/>
          </w:tcPr>
          <w:p w14:paraId="05EE4DF2" w14:textId="77777777" w:rsidR="00F674A4" w:rsidRPr="00F0736F" w:rsidRDefault="00F674A4" w:rsidP="00744283">
            <w:pPr>
              <w:jc w:val="both"/>
              <w:rPr>
                <w:color w:val="000000" w:themeColor="text1"/>
              </w:rPr>
            </w:pPr>
            <w:r w:rsidRPr="00F0736F">
              <w:rPr>
                <w:rFonts w:ascii="Times New Roman" w:eastAsia="Times New Roman" w:hAnsi="Times New Roman" w:cs="Times New Roman"/>
                <w:color w:val="000000" w:themeColor="text1"/>
                <w:spacing w:val="2"/>
                <w:sz w:val="20"/>
                <w:szCs w:val="20"/>
                <w:lang w:eastAsia="ru-RU"/>
              </w:rPr>
              <w:t>Оксид азота (</w:t>
            </w:r>
            <w:r w:rsidRPr="00F0736F">
              <w:rPr>
                <w:rFonts w:ascii="Times New Roman" w:eastAsia="Times New Roman" w:hAnsi="Times New Roman" w:cs="Times New Roman"/>
                <w:color w:val="000000" w:themeColor="text1"/>
                <w:spacing w:val="2"/>
                <w:sz w:val="20"/>
                <w:szCs w:val="20"/>
                <w:lang w:val="en-US" w:eastAsia="ru-RU"/>
              </w:rPr>
              <w:t>NOx)</w:t>
            </w:r>
          </w:p>
        </w:tc>
        <w:tc>
          <w:tcPr>
            <w:tcW w:w="2403" w:type="dxa"/>
            <w:tcBorders>
              <w:top w:val="single" w:sz="4" w:space="0" w:color="000000"/>
              <w:left w:val="single" w:sz="4" w:space="0" w:color="000000"/>
              <w:bottom w:val="single" w:sz="4" w:space="0" w:color="000000"/>
            </w:tcBorders>
            <w:shd w:val="clear" w:color="auto" w:fill="auto"/>
          </w:tcPr>
          <w:p w14:paraId="2230EEF8"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0,50 г/км</w:t>
            </w:r>
          </w:p>
        </w:tc>
        <w:tc>
          <w:tcPr>
            <w:tcW w:w="2323" w:type="dxa"/>
            <w:tcBorders>
              <w:top w:val="single" w:sz="4" w:space="0" w:color="000000"/>
              <w:left w:val="single" w:sz="4" w:space="0" w:color="000000"/>
              <w:bottom w:val="single" w:sz="4" w:space="0" w:color="000000"/>
            </w:tcBorders>
            <w:shd w:val="clear" w:color="auto" w:fill="auto"/>
          </w:tcPr>
          <w:p w14:paraId="4A4C6075"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0,18 г/км</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6F1D4377"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64%</w:t>
            </w:r>
          </w:p>
        </w:tc>
      </w:tr>
      <w:tr w:rsidR="00F0736F" w:rsidRPr="00F0736F" w14:paraId="20261C87" w14:textId="77777777">
        <w:trPr>
          <w:trHeight w:val="397"/>
        </w:trPr>
        <w:tc>
          <w:tcPr>
            <w:tcW w:w="2413" w:type="dxa"/>
            <w:tcBorders>
              <w:top w:val="single" w:sz="4" w:space="0" w:color="000000"/>
              <w:left w:val="single" w:sz="4" w:space="0" w:color="000000"/>
              <w:bottom w:val="single" w:sz="4" w:space="0" w:color="000000"/>
            </w:tcBorders>
            <w:shd w:val="clear" w:color="auto" w:fill="auto"/>
          </w:tcPr>
          <w:p w14:paraId="5B90D067" w14:textId="77777777" w:rsidR="00F674A4" w:rsidRPr="00F0736F" w:rsidRDefault="00F674A4" w:rsidP="00744283">
            <w:pPr>
              <w:jc w:val="both"/>
              <w:rPr>
                <w:color w:val="000000" w:themeColor="text1"/>
              </w:rPr>
            </w:pPr>
            <w:r w:rsidRPr="00F0736F">
              <w:rPr>
                <w:rFonts w:ascii="Times New Roman" w:eastAsia="Times New Roman" w:hAnsi="Times New Roman" w:cs="Times New Roman"/>
                <w:color w:val="000000" w:themeColor="text1"/>
                <w:spacing w:val="2"/>
                <w:sz w:val="20"/>
                <w:szCs w:val="20"/>
                <w:lang w:eastAsia="ru-RU"/>
              </w:rPr>
              <w:t>Оксид углерода (</w:t>
            </w:r>
            <w:r w:rsidRPr="00F0736F">
              <w:rPr>
                <w:rFonts w:ascii="Times New Roman" w:eastAsia="Times New Roman" w:hAnsi="Times New Roman" w:cs="Times New Roman"/>
                <w:color w:val="000000" w:themeColor="text1"/>
                <w:spacing w:val="2"/>
                <w:sz w:val="20"/>
                <w:szCs w:val="20"/>
                <w:lang w:val="en-US" w:eastAsia="ru-RU"/>
              </w:rPr>
              <w:t>CO</w:t>
            </w:r>
            <w:r w:rsidRPr="00F0736F">
              <w:rPr>
                <w:rFonts w:ascii="Times New Roman" w:eastAsia="Times New Roman" w:hAnsi="Times New Roman" w:cs="Times New Roman"/>
                <w:color w:val="000000" w:themeColor="text1"/>
                <w:spacing w:val="2"/>
                <w:sz w:val="20"/>
                <w:szCs w:val="20"/>
                <w:lang w:eastAsia="ru-RU"/>
              </w:rPr>
              <w:t>)</w:t>
            </w:r>
          </w:p>
        </w:tc>
        <w:tc>
          <w:tcPr>
            <w:tcW w:w="2403" w:type="dxa"/>
            <w:tcBorders>
              <w:top w:val="single" w:sz="4" w:space="0" w:color="000000"/>
              <w:left w:val="single" w:sz="4" w:space="0" w:color="000000"/>
              <w:bottom w:val="single" w:sz="4" w:space="0" w:color="000000"/>
            </w:tcBorders>
            <w:shd w:val="clear" w:color="auto" w:fill="auto"/>
          </w:tcPr>
          <w:p w14:paraId="5D97DA3B"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0,64 г/км</w:t>
            </w:r>
          </w:p>
        </w:tc>
        <w:tc>
          <w:tcPr>
            <w:tcW w:w="2323" w:type="dxa"/>
            <w:tcBorders>
              <w:top w:val="single" w:sz="4" w:space="0" w:color="000000"/>
              <w:left w:val="single" w:sz="4" w:space="0" w:color="000000"/>
              <w:bottom w:val="single" w:sz="4" w:space="0" w:color="000000"/>
            </w:tcBorders>
            <w:shd w:val="clear" w:color="auto" w:fill="auto"/>
          </w:tcPr>
          <w:p w14:paraId="259BE8F8"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0,5 г/км</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69453C45"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22%</w:t>
            </w:r>
          </w:p>
        </w:tc>
      </w:tr>
      <w:tr w:rsidR="00F674A4" w:rsidRPr="00F0736F" w14:paraId="1ACA2C32" w14:textId="77777777">
        <w:trPr>
          <w:trHeight w:val="397"/>
        </w:trPr>
        <w:tc>
          <w:tcPr>
            <w:tcW w:w="2413" w:type="dxa"/>
            <w:tcBorders>
              <w:top w:val="single" w:sz="4" w:space="0" w:color="000000"/>
              <w:left w:val="single" w:sz="4" w:space="0" w:color="000000"/>
              <w:bottom w:val="single" w:sz="4" w:space="0" w:color="000000"/>
            </w:tcBorders>
            <w:shd w:val="clear" w:color="auto" w:fill="auto"/>
          </w:tcPr>
          <w:p w14:paraId="71212B60" w14:textId="77777777" w:rsidR="00F674A4" w:rsidRPr="00F0736F" w:rsidRDefault="00F674A4" w:rsidP="00744283">
            <w:pPr>
              <w:jc w:val="both"/>
              <w:rPr>
                <w:color w:val="000000" w:themeColor="text1"/>
              </w:rPr>
            </w:pPr>
            <w:r w:rsidRPr="00F0736F">
              <w:rPr>
                <w:rFonts w:ascii="Times New Roman" w:eastAsia="Times New Roman" w:hAnsi="Times New Roman" w:cs="Times New Roman"/>
                <w:color w:val="000000" w:themeColor="text1"/>
                <w:spacing w:val="2"/>
                <w:sz w:val="20"/>
                <w:szCs w:val="20"/>
                <w:lang w:eastAsia="ru-RU"/>
              </w:rPr>
              <w:t>Углеводороды (</w:t>
            </w:r>
            <w:r w:rsidRPr="00F0736F">
              <w:rPr>
                <w:rFonts w:ascii="Times New Roman" w:eastAsia="Times New Roman" w:hAnsi="Times New Roman" w:cs="Times New Roman"/>
                <w:color w:val="000000" w:themeColor="text1"/>
                <w:spacing w:val="2"/>
                <w:sz w:val="20"/>
                <w:szCs w:val="20"/>
                <w:lang w:val="en-US" w:eastAsia="ru-RU"/>
              </w:rPr>
              <w:t>CxHy)</w:t>
            </w:r>
          </w:p>
        </w:tc>
        <w:tc>
          <w:tcPr>
            <w:tcW w:w="2403" w:type="dxa"/>
            <w:tcBorders>
              <w:top w:val="single" w:sz="4" w:space="0" w:color="000000"/>
              <w:left w:val="single" w:sz="4" w:space="0" w:color="000000"/>
              <w:bottom w:val="single" w:sz="4" w:space="0" w:color="000000"/>
            </w:tcBorders>
            <w:shd w:val="clear" w:color="auto" w:fill="auto"/>
          </w:tcPr>
          <w:p w14:paraId="2089F4E4"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0,56 г/км</w:t>
            </w:r>
          </w:p>
        </w:tc>
        <w:tc>
          <w:tcPr>
            <w:tcW w:w="2323" w:type="dxa"/>
            <w:tcBorders>
              <w:top w:val="single" w:sz="4" w:space="0" w:color="000000"/>
              <w:left w:val="single" w:sz="4" w:space="0" w:color="000000"/>
              <w:bottom w:val="single" w:sz="4" w:space="0" w:color="000000"/>
            </w:tcBorders>
            <w:shd w:val="clear" w:color="auto" w:fill="auto"/>
          </w:tcPr>
          <w:p w14:paraId="6784A1C6"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0,17 г/км</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663F05B0" w14:textId="77777777" w:rsidR="00F674A4" w:rsidRPr="00F0736F" w:rsidRDefault="00F674A4" w:rsidP="00285D61">
            <w:pPr>
              <w:jc w:val="center"/>
              <w:rPr>
                <w:color w:val="000000" w:themeColor="text1"/>
              </w:rPr>
            </w:pPr>
            <w:r w:rsidRPr="00F0736F">
              <w:rPr>
                <w:rFonts w:ascii="Times New Roman" w:hAnsi="Times New Roman" w:cs="Times New Roman"/>
                <w:color w:val="000000" w:themeColor="text1"/>
                <w:sz w:val="20"/>
                <w:szCs w:val="20"/>
              </w:rPr>
              <w:t>69%</w:t>
            </w:r>
          </w:p>
        </w:tc>
      </w:tr>
    </w:tbl>
    <w:p w14:paraId="0DD98A92" w14:textId="77777777" w:rsidR="00F674A4" w:rsidRPr="00F0736F" w:rsidRDefault="00F674A4" w:rsidP="008727D9">
      <w:pPr>
        <w:ind w:firstLine="709"/>
        <w:jc w:val="both"/>
        <w:rPr>
          <w:rFonts w:ascii="Times New Roman" w:hAnsi="Times New Roman" w:cs="Times New Roman"/>
          <w:color w:val="000000" w:themeColor="text1"/>
        </w:rPr>
      </w:pPr>
    </w:p>
    <w:p w14:paraId="54178224" w14:textId="03AA2441" w:rsidR="00F674A4" w:rsidRPr="00DF2886" w:rsidRDefault="00F674A4" w:rsidP="00DF2886">
      <w:pPr>
        <w:ind w:firstLine="709"/>
        <w:jc w:val="both"/>
        <w:rPr>
          <w:rFonts w:asciiTheme="minorHAnsi" w:hAnsiTheme="minorHAnsi"/>
          <w:color w:val="000000" w:themeColor="text1"/>
        </w:rPr>
      </w:pPr>
      <w:r w:rsidRPr="00F0736F">
        <w:rPr>
          <w:rFonts w:ascii="Times New Roman" w:hAnsi="Times New Roman" w:cs="Times New Roman"/>
          <w:color w:val="000000" w:themeColor="text1"/>
        </w:rPr>
        <w:t>В 2017 г</w:t>
      </w:r>
      <w:r w:rsidR="00B42EC5" w:rsidRPr="00F0736F">
        <w:rPr>
          <w:rFonts w:ascii="Times New Roman" w:hAnsi="Times New Roman" w:cs="Times New Roman"/>
          <w:color w:val="000000" w:themeColor="text1"/>
        </w:rPr>
        <w:t>оду</w:t>
      </w:r>
      <w:r w:rsidR="00285D6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утвер</w:t>
      </w:r>
      <w:r w:rsidR="002E0206" w:rsidRPr="00F0736F">
        <w:rPr>
          <w:rFonts w:ascii="Times New Roman" w:hAnsi="Times New Roman" w:cs="Times New Roman"/>
          <w:color w:val="000000" w:themeColor="text1"/>
        </w:rPr>
        <w:t>ждена</w:t>
      </w:r>
      <w:r w:rsidRPr="00F0736F">
        <w:rPr>
          <w:rFonts w:ascii="Times New Roman" w:hAnsi="Times New Roman" w:cs="Times New Roman"/>
          <w:color w:val="000000" w:themeColor="text1"/>
        </w:rPr>
        <w:t xml:space="preserve"> «Дорож</w:t>
      </w:r>
      <w:r w:rsidR="002E0206" w:rsidRPr="00F0736F">
        <w:rPr>
          <w:rFonts w:ascii="Times New Roman" w:hAnsi="Times New Roman" w:cs="Times New Roman"/>
          <w:color w:val="000000" w:themeColor="text1"/>
        </w:rPr>
        <w:t>ная</w:t>
      </w:r>
      <w:r w:rsidRPr="00F0736F">
        <w:rPr>
          <w:rFonts w:ascii="Times New Roman" w:hAnsi="Times New Roman" w:cs="Times New Roman"/>
          <w:color w:val="000000" w:themeColor="text1"/>
        </w:rPr>
        <w:t xml:space="preserve"> карт</w:t>
      </w:r>
      <w:r w:rsidR="002E0206"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по вопросам развития производства электромобилей и создания необходимой инфраструктуры»</w:t>
      </w:r>
      <w:r w:rsidR="002E0206" w:rsidRPr="00F0736F">
        <w:rPr>
          <w:rFonts w:ascii="Times New Roman" w:hAnsi="Times New Roman" w:cs="Times New Roman"/>
          <w:color w:val="000000" w:themeColor="text1"/>
        </w:rPr>
        <w:t>, где</w:t>
      </w:r>
      <w:r w:rsidRPr="00F0736F">
        <w:rPr>
          <w:rFonts w:ascii="Times New Roman" w:hAnsi="Times New Roman" w:cs="Times New Roman"/>
          <w:color w:val="000000" w:themeColor="text1"/>
        </w:rPr>
        <w:t xml:space="preserve"> обозначены три направления: местное производство (с использованием местного сырья и рабочей силы), развитие инфраструктуры (зарядных станций) и повышение осведомленности с целью стимулирования приобретения электромобилей. </w:t>
      </w:r>
      <w:r w:rsidR="002E0206" w:rsidRPr="00F0736F">
        <w:rPr>
          <w:rFonts w:ascii="Times New Roman" w:hAnsi="Times New Roman" w:cs="Times New Roman"/>
          <w:color w:val="000000" w:themeColor="text1"/>
        </w:rPr>
        <w:t>Д</w:t>
      </w:r>
      <w:r w:rsidRPr="00F0736F">
        <w:rPr>
          <w:rFonts w:ascii="Times New Roman" w:hAnsi="Times New Roman" w:cs="Times New Roman"/>
          <w:color w:val="000000" w:themeColor="text1"/>
        </w:rPr>
        <w:t xml:space="preserve">орожная карта способствовала созданию зарядных станций в г. Нур-Султан и г. Алматы. </w:t>
      </w:r>
    </w:p>
    <w:p w14:paraId="24E8777F" w14:textId="066D6D1B" w:rsidR="007E59C3" w:rsidRPr="00F0736F" w:rsidRDefault="007E59C3" w:rsidP="007E59C3">
      <w:pPr>
        <w:ind w:firstLine="709"/>
        <w:jc w:val="both"/>
        <w:rPr>
          <w:color w:val="000000" w:themeColor="text1"/>
        </w:rPr>
      </w:pPr>
      <w:r w:rsidRPr="00F0736F">
        <w:rPr>
          <w:rFonts w:ascii="Times New Roman" w:hAnsi="Times New Roman" w:cs="Times New Roman"/>
          <w:color w:val="000000" w:themeColor="text1"/>
        </w:rPr>
        <w:t>Казахстан провел значительную реформу акцизов на бензин и дизельное топливо. С 2017</w:t>
      </w:r>
      <w:r w:rsidRPr="00F0736F">
        <w:rPr>
          <w:rFonts w:ascii="Times New Roman" w:hAnsi="Times New Roman" w:cs="Times New Roman"/>
          <w:color w:val="000000" w:themeColor="text1"/>
          <w:lang w:val="fr-CH"/>
        </w:rPr>
        <w:t xml:space="preserve"> </w:t>
      </w:r>
      <w:r w:rsidRPr="00F0736F">
        <w:rPr>
          <w:rFonts w:ascii="Times New Roman" w:hAnsi="Times New Roman" w:cs="Times New Roman"/>
          <w:color w:val="000000" w:themeColor="text1"/>
        </w:rPr>
        <w:t>г</w:t>
      </w:r>
      <w:r w:rsidR="00B42EC5"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ставка акциза на реализацию бензина производителями в летний период (июнь-октябрь) увеличилась более чем в два раза (с 4</w:t>
      </w:r>
      <w:r w:rsidR="00285D6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500 тенге до 10</w:t>
      </w:r>
      <w:r w:rsidR="00285D6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500 тенге), а на реализацию дизельного топлива – в 17 раз (с 540 тенге до 9</w:t>
      </w:r>
      <w:r w:rsidR="00285D6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300 тенге).</w:t>
      </w:r>
    </w:p>
    <w:p w14:paraId="053D0381" w14:textId="77777777" w:rsidR="007E59C3" w:rsidRPr="00F0736F" w:rsidRDefault="007E59C3" w:rsidP="007E59C3">
      <w:pPr>
        <w:ind w:firstLine="709"/>
        <w:jc w:val="both"/>
        <w:rPr>
          <w:color w:val="000000" w:themeColor="text1"/>
        </w:rPr>
      </w:pPr>
      <w:r w:rsidRPr="00F0736F">
        <w:rPr>
          <w:rFonts w:ascii="Times New Roman" w:hAnsi="Times New Roman" w:cs="Times New Roman"/>
          <w:color w:val="000000" w:themeColor="text1"/>
        </w:rPr>
        <w:t xml:space="preserve">Аналогичным образом повысились ставки </w:t>
      </w:r>
      <w:r w:rsidRPr="00F0736F">
        <w:rPr>
          <w:rFonts w:ascii="Times New Roman" w:hAnsi="Times New Roman" w:cs="Times New Roman"/>
          <w:bCs/>
          <w:color w:val="000000" w:themeColor="text1"/>
        </w:rPr>
        <w:t>акциза</w:t>
      </w:r>
      <w:r w:rsidRPr="00F0736F">
        <w:rPr>
          <w:rFonts w:ascii="Times New Roman" w:hAnsi="Times New Roman" w:cs="Times New Roman"/>
          <w:color w:val="000000" w:themeColor="text1"/>
        </w:rPr>
        <w:t xml:space="preserve"> на розничную реализацию производителями и импорт. Несмотря на то, что это повышение заслуживает положительной оценки, между ставками, действующими в Казахстане, и ставками, которые широко применяются в странах-членах ОЭСР, по-прежнему отмечается существенный разрыв.</w:t>
      </w:r>
    </w:p>
    <w:p w14:paraId="10BC2077" w14:textId="1F427C6E" w:rsidR="007E59C3" w:rsidRPr="00F0736F" w:rsidRDefault="007E59C3" w:rsidP="007E59C3">
      <w:pPr>
        <w:ind w:firstLine="709"/>
        <w:jc w:val="both"/>
        <w:rPr>
          <w:color w:val="000000" w:themeColor="text1"/>
        </w:rPr>
      </w:pPr>
      <w:r w:rsidRPr="00F0736F">
        <w:rPr>
          <w:rFonts w:ascii="Times New Roman" w:eastAsia="Times New Roman" w:hAnsi="Times New Roman" w:cs="Times New Roman"/>
          <w:bCs/>
          <w:color w:val="000000" w:themeColor="text1"/>
          <w:spacing w:val="2"/>
        </w:rPr>
        <w:t>Согласно Налоговому кодексу, ставки налога на транспортные средства дифференцируются в зависимости от объема двигателя (см</w:t>
      </w:r>
      <w:r w:rsidRPr="00F0736F">
        <w:rPr>
          <w:rFonts w:ascii="Times New Roman" w:eastAsia="Times New Roman" w:hAnsi="Times New Roman" w:cs="Times New Roman"/>
          <w:bCs/>
          <w:color w:val="000000" w:themeColor="text1"/>
          <w:spacing w:val="2"/>
          <w:vertAlign w:val="superscript"/>
        </w:rPr>
        <w:t>3</w:t>
      </w:r>
      <w:r w:rsidRPr="00F0736F">
        <w:rPr>
          <w:rFonts w:ascii="Times New Roman" w:eastAsia="Times New Roman" w:hAnsi="Times New Roman" w:cs="Times New Roman"/>
          <w:bCs/>
          <w:color w:val="000000" w:themeColor="text1"/>
          <w:spacing w:val="2"/>
        </w:rPr>
        <w:t>). Например, ставка налога на транспортное средство с объемом двигателя от 3</w:t>
      </w:r>
      <w:r w:rsidR="00285D61" w:rsidRPr="00F0736F">
        <w:rPr>
          <w:rFonts w:ascii="Times New Roman" w:eastAsia="Times New Roman" w:hAnsi="Times New Roman" w:cs="Times New Roman"/>
          <w:bCs/>
          <w:color w:val="000000" w:themeColor="text1"/>
          <w:spacing w:val="2"/>
        </w:rPr>
        <w:t xml:space="preserve"> </w:t>
      </w:r>
      <w:r w:rsidRPr="00F0736F">
        <w:rPr>
          <w:rFonts w:ascii="Times New Roman" w:eastAsia="Times New Roman" w:hAnsi="Times New Roman" w:cs="Times New Roman"/>
          <w:bCs/>
          <w:color w:val="000000" w:themeColor="text1"/>
          <w:spacing w:val="2"/>
        </w:rPr>
        <w:t>000 см</w:t>
      </w:r>
      <w:r w:rsidRPr="00F0736F">
        <w:rPr>
          <w:rFonts w:ascii="Times New Roman" w:eastAsia="Times New Roman" w:hAnsi="Times New Roman" w:cs="Times New Roman"/>
          <w:bCs/>
          <w:color w:val="000000" w:themeColor="text1"/>
          <w:spacing w:val="2"/>
          <w:vertAlign w:val="superscript"/>
        </w:rPr>
        <w:t>3</w:t>
      </w:r>
      <w:r w:rsidRPr="00F0736F">
        <w:rPr>
          <w:rFonts w:ascii="Times New Roman" w:eastAsia="Times New Roman" w:hAnsi="Times New Roman" w:cs="Times New Roman"/>
          <w:bCs/>
          <w:color w:val="000000" w:themeColor="text1"/>
          <w:spacing w:val="2"/>
        </w:rPr>
        <w:t xml:space="preserve"> до 4</w:t>
      </w:r>
      <w:r w:rsidR="00285D61" w:rsidRPr="00F0736F">
        <w:rPr>
          <w:rFonts w:ascii="Times New Roman" w:eastAsia="Times New Roman" w:hAnsi="Times New Roman" w:cs="Times New Roman"/>
          <w:bCs/>
          <w:color w:val="000000" w:themeColor="text1"/>
          <w:spacing w:val="2"/>
        </w:rPr>
        <w:t xml:space="preserve"> </w:t>
      </w:r>
      <w:r w:rsidRPr="00F0736F">
        <w:rPr>
          <w:rFonts w:ascii="Times New Roman" w:eastAsia="Times New Roman" w:hAnsi="Times New Roman" w:cs="Times New Roman"/>
          <w:bCs/>
          <w:color w:val="000000" w:themeColor="text1"/>
          <w:spacing w:val="2"/>
        </w:rPr>
        <w:t>000 см</w:t>
      </w:r>
      <w:r w:rsidRPr="00F0736F">
        <w:rPr>
          <w:rFonts w:ascii="Times New Roman" w:eastAsia="Times New Roman" w:hAnsi="Times New Roman" w:cs="Times New Roman"/>
          <w:bCs/>
          <w:color w:val="000000" w:themeColor="text1"/>
          <w:spacing w:val="2"/>
          <w:vertAlign w:val="superscript"/>
        </w:rPr>
        <w:t>3</w:t>
      </w:r>
      <w:r w:rsidRPr="00F0736F">
        <w:rPr>
          <w:rFonts w:ascii="Times New Roman" w:eastAsia="Times New Roman" w:hAnsi="Times New Roman" w:cs="Times New Roman"/>
          <w:bCs/>
          <w:color w:val="000000" w:themeColor="text1"/>
          <w:spacing w:val="2"/>
        </w:rPr>
        <w:t xml:space="preserve"> в 15 раз выше, чем на транспортное средство с объемом двигателя менее 1</w:t>
      </w:r>
      <w:r w:rsidR="00285D61" w:rsidRPr="00F0736F">
        <w:rPr>
          <w:rFonts w:ascii="Times New Roman" w:eastAsia="Times New Roman" w:hAnsi="Times New Roman" w:cs="Times New Roman"/>
          <w:bCs/>
          <w:color w:val="000000" w:themeColor="text1"/>
          <w:spacing w:val="2"/>
        </w:rPr>
        <w:t xml:space="preserve"> </w:t>
      </w:r>
      <w:r w:rsidRPr="00F0736F">
        <w:rPr>
          <w:rFonts w:ascii="Times New Roman" w:eastAsia="Times New Roman" w:hAnsi="Times New Roman" w:cs="Times New Roman"/>
          <w:bCs/>
          <w:color w:val="000000" w:themeColor="text1"/>
          <w:spacing w:val="2"/>
        </w:rPr>
        <w:t>100 см</w:t>
      </w:r>
      <w:r w:rsidRPr="00F0736F">
        <w:rPr>
          <w:rFonts w:ascii="Times New Roman" w:eastAsia="Times New Roman" w:hAnsi="Times New Roman" w:cs="Times New Roman"/>
          <w:bCs/>
          <w:color w:val="000000" w:themeColor="text1"/>
          <w:spacing w:val="2"/>
          <w:vertAlign w:val="superscript"/>
        </w:rPr>
        <w:t>3</w:t>
      </w:r>
      <w:r w:rsidRPr="00F0736F">
        <w:rPr>
          <w:rFonts w:ascii="Times New Roman" w:eastAsia="Times New Roman" w:hAnsi="Times New Roman" w:cs="Times New Roman"/>
          <w:bCs/>
          <w:color w:val="000000" w:themeColor="text1"/>
          <w:spacing w:val="2"/>
        </w:rPr>
        <w:t>, в то время как для автомобиля с объемом двигателя свыше 4</w:t>
      </w:r>
      <w:r w:rsidR="00285D61" w:rsidRPr="00F0736F">
        <w:rPr>
          <w:rFonts w:ascii="Times New Roman" w:eastAsia="Times New Roman" w:hAnsi="Times New Roman" w:cs="Times New Roman"/>
          <w:bCs/>
          <w:color w:val="000000" w:themeColor="text1"/>
          <w:spacing w:val="2"/>
        </w:rPr>
        <w:t xml:space="preserve"> </w:t>
      </w:r>
      <w:r w:rsidRPr="00F0736F">
        <w:rPr>
          <w:rFonts w:ascii="Times New Roman" w:eastAsia="Times New Roman" w:hAnsi="Times New Roman" w:cs="Times New Roman"/>
          <w:bCs/>
          <w:color w:val="000000" w:themeColor="text1"/>
          <w:spacing w:val="2"/>
        </w:rPr>
        <w:t>000 см</w:t>
      </w:r>
      <w:r w:rsidRPr="00F0736F">
        <w:rPr>
          <w:rFonts w:ascii="Times New Roman" w:eastAsia="Times New Roman" w:hAnsi="Times New Roman" w:cs="Times New Roman"/>
          <w:bCs/>
          <w:color w:val="000000" w:themeColor="text1"/>
          <w:spacing w:val="2"/>
          <w:vertAlign w:val="superscript"/>
        </w:rPr>
        <w:t>3</w:t>
      </w:r>
      <w:r w:rsidRPr="00F0736F">
        <w:rPr>
          <w:rFonts w:ascii="Times New Roman" w:eastAsia="Times New Roman" w:hAnsi="Times New Roman" w:cs="Times New Roman"/>
          <w:bCs/>
          <w:color w:val="000000" w:themeColor="text1"/>
          <w:spacing w:val="2"/>
        </w:rPr>
        <w:t xml:space="preserve"> ставка выше в 117 раз. С экологической точки зрения, это теоретически может служить стимулом для приобретения меньших по размеру автомобилей, которые, при прочих равных условиях, наносят меньший вред окружающей среде. Однако это противоречит практике, принятой в ряде стран-членов ОЭСР, которые имеют долгую историю использования единовременных или регулярных налогов с транспортных средств на основе выбросов </w:t>
      </w:r>
      <w:r w:rsidRPr="00F0736F">
        <w:rPr>
          <w:rFonts w:ascii="Times New Roman" w:eastAsia="Times New Roman" w:hAnsi="Times New Roman" w:cs="Times New Roman"/>
          <w:bCs/>
          <w:color w:val="000000" w:themeColor="text1"/>
          <w:spacing w:val="2"/>
          <w:lang w:val="en-GB"/>
        </w:rPr>
        <w:t>CO</w:t>
      </w:r>
      <w:r w:rsidRPr="00F0736F">
        <w:rPr>
          <w:rFonts w:ascii="Times New Roman" w:eastAsia="Times New Roman" w:hAnsi="Times New Roman" w:cs="Times New Roman"/>
          <w:bCs/>
          <w:color w:val="000000" w:themeColor="text1"/>
          <w:spacing w:val="2"/>
          <w:vertAlign w:val="subscript"/>
        </w:rPr>
        <w:t>2</w:t>
      </w:r>
      <w:r w:rsidRPr="00F0736F">
        <w:rPr>
          <w:rFonts w:ascii="Times New Roman" w:eastAsia="Times New Roman" w:hAnsi="Times New Roman" w:cs="Times New Roman"/>
          <w:bCs/>
          <w:color w:val="000000" w:themeColor="text1"/>
          <w:spacing w:val="2"/>
        </w:rPr>
        <w:t xml:space="preserve"> или топливной экономичности с целью стимулирования спроса на экономичные и экологически более чистые автомобили</w:t>
      </w:r>
      <w:r w:rsidRPr="00F0736F">
        <w:rPr>
          <w:rStyle w:val="a4"/>
          <w:rFonts w:ascii="Times New Roman" w:eastAsia="Times New Roman" w:hAnsi="Times New Roman" w:cs="Times New Roman"/>
          <w:bCs/>
          <w:color w:val="000000" w:themeColor="text1"/>
          <w:spacing w:val="2"/>
        </w:rPr>
        <w:footnoteReference w:id="80"/>
      </w:r>
      <w:r w:rsidRPr="00F0736F">
        <w:rPr>
          <w:rFonts w:ascii="Times New Roman" w:eastAsia="Times New Roman" w:hAnsi="Times New Roman" w:cs="Times New Roman"/>
          <w:bCs/>
          <w:color w:val="000000" w:themeColor="text1"/>
          <w:spacing w:val="2"/>
        </w:rPr>
        <w:t>.</w:t>
      </w:r>
    </w:p>
    <w:p w14:paraId="7C9D9A5C" w14:textId="5718DE95" w:rsidR="001D40BA" w:rsidRPr="00F0736F" w:rsidRDefault="001D40BA" w:rsidP="00744283">
      <w:pPr>
        <w:ind w:firstLine="709"/>
        <w:jc w:val="both"/>
        <w:rPr>
          <w:rFonts w:ascii="Times New Roman" w:hAnsi="Times New Roman" w:cs="Times New Roman"/>
          <w:strike/>
          <w:color w:val="000000" w:themeColor="text1"/>
        </w:rPr>
      </w:pPr>
      <w:r w:rsidRPr="00F0736F">
        <w:rPr>
          <w:color w:val="000000" w:themeColor="text1"/>
          <w:bdr w:val="none" w:sz="0" w:space="0" w:color="auto" w:frame="1"/>
          <w:shd w:val="clear" w:color="auto" w:fill="FFFFFF"/>
        </w:rPr>
        <w:t xml:space="preserve">Несмотря на все принятые меры, количество зарегистрированных в Казахстане автомобилей возрастом более 10 лет за 2019 год выросло на 2,1%, до 2,6 млн (составляют 68% от общего числа зарегистированных автомобилей). Самая высокая концентрация старых легковых автомобилей наблюдается в Алматинской области </w:t>
      </w:r>
      <w:r w:rsidRPr="00F0736F">
        <w:rPr>
          <w:rFonts w:asciiTheme="minorHAnsi" w:hAnsiTheme="minorHAnsi"/>
          <w:color w:val="000000" w:themeColor="text1"/>
          <w:bdr w:val="none" w:sz="0" w:space="0" w:color="auto" w:frame="1"/>
          <w:shd w:val="clear" w:color="auto" w:fill="FFFFFF"/>
        </w:rPr>
        <w:t xml:space="preserve">- </w:t>
      </w:r>
      <w:r w:rsidRPr="00F0736F">
        <w:rPr>
          <w:color w:val="000000" w:themeColor="text1"/>
          <w:bdr w:val="none" w:sz="0" w:space="0" w:color="auto" w:frame="1"/>
          <w:shd w:val="clear" w:color="auto" w:fill="FFFFFF"/>
        </w:rPr>
        <w:t>79,4% от всех легковых автомобилей в регионе, следом идут Жамбылская (78,9%) и Павлодарская (78,2%) области.   </w:t>
      </w:r>
    </w:p>
    <w:p w14:paraId="3C83835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Проведенный мониторинг перевода общественного транспорта на </w:t>
      </w:r>
      <w:r w:rsidRPr="00F0736F">
        <w:rPr>
          <w:rFonts w:ascii="Times New Roman" w:hAnsi="Times New Roman" w:cs="Times New Roman"/>
          <w:b/>
          <w:bCs/>
          <w:color w:val="000000" w:themeColor="text1"/>
        </w:rPr>
        <w:t>газовое топливо</w:t>
      </w:r>
      <w:r w:rsidRPr="00F0736F">
        <w:rPr>
          <w:rFonts w:ascii="Times New Roman" w:hAnsi="Times New Roman" w:cs="Times New Roman"/>
          <w:color w:val="000000" w:themeColor="text1"/>
        </w:rPr>
        <w:t xml:space="preserve"> в крупных городах страны показал, что наиболее успешно данное мероприятие прошло г. Алматы, Южно-Казахстанская, Западно-Казахстанская, Мангистауская, Кызылординская, Жамбылская</w:t>
      </w:r>
      <w:r w:rsidR="00B42EC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Актюбинская области. </w:t>
      </w:r>
    </w:p>
    <w:p w14:paraId="1C52844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Вместе с тем, существует ряд проблем, препятствующих повсеместному переводу общественного транспорта на газовое топливо: большое количество общественного транспорта в регионах эксплуатируется свыше 10 лет, общественный автотранспорт, принадлежащий индивидуальным владельцам, составляют более 80%; неудовлетворительное качество топлива;  отсутствие развитой газотранспортной инфраструктуры ограничивает использование газового топлива, особенно в общественном транспорте, а также эксплуатация газа в виде топлива затруднена ввиду низкой температуры воздуха в зимнее время. </w:t>
      </w:r>
    </w:p>
    <w:p w14:paraId="24A8C825" w14:textId="45EECA05" w:rsidR="00F674A4" w:rsidRPr="00F0736F" w:rsidRDefault="008B3ADF"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таблице 1.6.</w:t>
      </w:r>
      <w:r w:rsidR="00DF2886">
        <w:rPr>
          <w:rFonts w:ascii="Times New Roman" w:hAnsi="Times New Roman" w:cs="Times New Roman"/>
          <w:color w:val="000000" w:themeColor="text1"/>
        </w:rPr>
        <w:t>4</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представлены данные по АЗГС в разрезе регионов за 2017 г.:</w:t>
      </w:r>
    </w:p>
    <w:p w14:paraId="7A130A0E" w14:textId="77777777" w:rsidR="007E59C3" w:rsidRPr="00F0736F" w:rsidRDefault="007E59C3" w:rsidP="008727D9">
      <w:pPr>
        <w:ind w:firstLine="709"/>
        <w:jc w:val="both"/>
        <w:rPr>
          <w:rFonts w:ascii="Times New Roman" w:hAnsi="Times New Roman" w:cs="Times New Roman"/>
          <w:color w:val="000000" w:themeColor="text1"/>
        </w:rPr>
      </w:pPr>
    </w:p>
    <w:p w14:paraId="4775BA64" w14:textId="1685C7B3" w:rsidR="008B3ADF" w:rsidRPr="00F0736F" w:rsidRDefault="008B3ADF" w:rsidP="008727D9">
      <w:pPr>
        <w:ind w:firstLine="709"/>
        <w:jc w:val="both"/>
        <w:rPr>
          <w:rFonts w:ascii="Times New Roman" w:hAnsi="Times New Roman" w:cs="Times New Roman"/>
          <w:color w:val="000000" w:themeColor="text1"/>
        </w:rPr>
      </w:pPr>
      <w:r w:rsidRPr="00F0736F">
        <w:rPr>
          <w:color w:val="000000" w:themeColor="text1"/>
        </w:rPr>
        <w:t>Таблица 1.6.</w:t>
      </w:r>
      <w:r w:rsidR="00DF2886">
        <w:rPr>
          <w:rFonts w:asciiTheme="minorHAnsi" w:hAnsiTheme="minorHAnsi"/>
          <w:color w:val="000000" w:themeColor="text1"/>
        </w:rPr>
        <w:t>4</w:t>
      </w:r>
      <w:r w:rsidRPr="00F0736F">
        <w:rPr>
          <w:color w:val="000000" w:themeColor="text1"/>
        </w:rPr>
        <w:t xml:space="preserve">. </w:t>
      </w:r>
      <w:r w:rsidRPr="00F0736F">
        <w:rPr>
          <w:rFonts w:ascii="Times New Roman" w:hAnsi="Times New Roman" w:cs="Times New Roman"/>
          <w:color w:val="000000" w:themeColor="text1"/>
        </w:rPr>
        <w:t>Данные по АЗГ</w:t>
      </w:r>
      <w:r w:rsidR="00FC690A" w:rsidRPr="00F0736F">
        <w:rPr>
          <w:rFonts w:ascii="Times New Roman" w:hAnsi="Times New Roman" w:cs="Times New Roman"/>
          <w:color w:val="000000" w:themeColor="text1"/>
        </w:rPr>
        <w:t>С в разрезе регионов за 2017 г.</w:t>
      </w:r>
    </w:p>
    <w:p w14:paraId="0A7C592F"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670" w:type="dxa"/>
        <w:tblLayout w:type="fixed"/>
        <w:tblCellMar>
          <w:left w:w="103" w:type="dxa"/>
        </w:tblCellMar>
        <w:tblLook w:val="0000" w:firstRow="0" w:lastRow="0" w:firstColumn="0" w:lastColumn="0" w:noHBand="0" w:noVBand="0"/>
      </w:tblPr>
      <w:tblGrid>
        <w:gridCol w:w="4854"/>
        <w:gridCol w:w="3543"/>
      </w:tblGrid>
      <w:tr w:rsidR="00F0736F" w:rsidRPr="00F0736F" w14:paraId="07CF33E4" w14:textId="77777777" w:rsidTr="00285D61">
        <w:trPr>
          <w:trHeight w:val="312"/>
        </w:trPr>
        <w:tc>
          <w:tcPr>
            <w:tcW w:w="4854" w:type="dxa"/>
            <w:tcBorders>
              <w:top w:val="single" w:sz="4" w:space="0" w:color="00000A"/>
              <w:left w:val="single" w:sz="4" w:space="0" w:color="00000A"/>
              <w:bottom w:val="single" w:sz="4" w:space="0" w:color="00000A"/>
            </w:tcBorders>
            <w:shd w:val="clear" w:color="auto" w:fill="auto"/>
            <w:vAlign w:val="bottom"/>
          </w:tcPr>
          <w:p w14:paraId="5F762528" w14:textId="77777777" w:rsidR="00F674A4" w:rsidRPr="00F0736F" w:rsidRDefault="008B3ADF" w:rsidP="00285D61">
            <w:pPr>
              <w:jc w:val="center"/>
              <w:rPr>
                <w:color w:val="000000" w:themeColor="text1"/>
              </w:rPr>
            </w:pPr>
            <w:r w:rsidRPr="00F0736F">
              <w:rPr>
                <w:color w:val="000000" w:themeColor="text1"/>
              </w:rPr>
              <w:t>Регион</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C5B81" w14:textId="77777777" w:rsidR="00F674A4" w:rsidRPr="00F0736F" w:rsidRDefault="008B3ADF" w:rsidP="00285D61">
            <w:pPr>
              <w:jc w:val="center"/>
              <w:rPr>
                <w:color w:val="000000" w:themeColor="text1"/>
              </w:rPr>
            </w:pPr>
            <w:r w:rsidRPr="00F0736F">
              <w:rPr>
                <w:color w:val="000000" w:themeColor="text1"/>
              </w:rPr>
              <w:t>Количество АЗГС</w:t>
            </w:r>
          </w:p>
        </w:tc>
      </w:tr>
      <w:tr w:rsidR="00F0736F" w:rsidRPr="00F0736F" w14:paraId="00BD058F" w14:textId="77777777" w:rsidTr="00285D61">
        <w:trPr>
          <w:trHeight w:val="312"/>
        </w:trPr>
        <w:tc>
          <w:tcPr>
            <w:tcW w:w="4854" w:type="dxa"/>
            <w:tcBorders>
              <w:top w:val="single" w:sz="4" w:space="0" w:color="00000A"/>
              <w:left w:val="single" w:sz="4" w:space="0" w:color="00000A"/>
              <w:bottom w:val="single" w:sz="4" w:space="0" w:color="00000A"/>
            </w:tcBorders>
            <w:shd w:val="clear" w:color="auto" w:fill="auto"/>
            <w:vAlign w:val="bottom"/>
          </w:tcPr>
          <w:p w14:paraId="33066501"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ВСЕГО</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DB387"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1142</w:t>
            </w:r>
          </w:p>
        </w:tc>
      </w:tr>
      <w:tr w:rsidR="00F0736F" w:rsidRPr="00F0736F" w14:paraId="54180634" w14:textId="77777777" w:rsidTr="00285D61">
        <w:trPr>
          <w:trHeight w:val="315"/>
        </w:trPr>
        <w:tc>
          <w:tcPr>
            <w:tcW w:w="4854" w:type="dxa"/>
            <w:tcBorders>
              <w:top w:val="single" w:sz="4" w:space="0" w:color="00000A"/>
              <w:left w:val="single" w:sz="4" w:space="0" w:color="00000A"/>
              <w:bottom w:val="single" w:sz="4" w:space="0" w:color="00000A"/>
            </w:tcBorders>
            <w:shd w:val="clear" w:color="auto" w:fill="auto"/>
            <w:vAlign w:val="bottom"/>
          </w:tcPr>
          <w:p w14:paraId="6E8AE54F"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Акмолинская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8C07E7"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58</w:t>
            </w:r>
          </w:p>
        </w:tc>
      </w:tr>
      <w:tr w:rsidR="00F0736F" w:rsidRPr="00F0736F" w14:paraId="326942B8" w14:textId="77777777" w:rsidTr="00285D61">
        <w:trPr>
          <w:trHeight w:val="312"/>
        </w:trPr>
        <w:tc>
          <w:tcPr>
            <w:tcW w:w="4854" w:type="dxa"/>
            <w:tcBorders>
              <w:top w:val="single" w:sz="4" w:space="0" w:color="00000A"/>
              <w:left w:val="single" w:sz="4" w:space="0" w:color="00000A"/>
              <w:bottom w:val="single" w:sz="4" w:space="0" w:color="00000A"/>
            </w:tcBorders>
            <w:shd w:val="clear" w:color="auto" w:fill="auto"/>
            <w:vAlign w:val="bottom"/>
          </w:tcPr>
          <w:p w14:paraId="38B2D833"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Актюбинская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CF82A"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77</w:t>
            </w:r>
          </w:p>
        </w:tc>
      </w:tr>
      <w:tr w:rsidR="00F0736F" w:rsidRPr="00F0736F" w14:paraId="08ED744D"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0B31500F"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Алматинская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9004D"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44</w:t>
            </w:r>
          </w:p>
        </w:tc>
      </w:tr>
      <w:tr w:rsidR="00F0736F" w:rsidRPr="00F0736F" w14:paraId="4116052A"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189357DC"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Атырауская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9E5B00"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26</w:t>
            </w:r>
          </w:p>
        </w:tc>
      </w:tr>
      <w:tr w:rsidR="00F0736F" w:rsidRPr="00F0736F" w14:paraId="15662C73" w14:textId="77777777" w:rsidTr="00285D61">
        <w:trPr>
          <w:trHeight w:val="315"/>
        </w:trPr>
        <w:tc>
          <w:tcPr>
            <w:tcW w:w="4854" w:type="dxa"/>
            <w:tcBorders>
              <w:top w:val="single" w:sz="4" w:space="0" w:color="00000A"/>
              <w:left w:val="single" w:sz="4" w:space="0" w:color="00000A"/>
              <w:bottom w:val="single" w:sz="4" w:space="0" w:color="00000A"/>
            </w:tcBorders>
            <w:shd w:val="clear" w:color="auto" w:fill="FFFFFF"/>
          </w:tcPr>
          <w:p w14:paraId="04D0E0E5"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Западно-Казахстанская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0735A"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28</w:t>
            </w:r>
          </w:p>
        </w:tc>
      </w:tr>
      <w:tr w:rsidR="00F0736F" w:rsidRPr="00F0736F" w14:paraId="5C7C2FA0"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0BC3E8B6"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Жамбылская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C332AE"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25</w:t>
            </w:r>
          </w:p>
        </w:tc>
      </w:tr>
      <w:tr w:rsidR="00F0736F" w:rsidRPr="00F0736F" w14:paraId="5A600340"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233BF50D"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Карагандинская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34CB17"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115</w:t>
            </w:r>
          </w:p>
        </w:tc>
      </w:tr>
      <w:tr w:rsidR="00F0736F" w:rsidRPr="00F0736F" w14:paraId="57694E15"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30699C8C"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Костанайская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768B8"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37</w:t>
            </w:r>
          </w:p>
        </w:tc>
      </w:tr>
      <w:tr w:rsidR="00F0736F" w:rsidRPr="00F0736F" w14:paraId="3AAF2FC2"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7DE56367"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Кызылординская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35636"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67</w:t>
            </w:r>
          </w:p>
        </w:tc>
      </w:tr>
      <w:tr w:rsidR="00F0736F" w:rsidRPr="00F0736F" w14:paraId="7F4CD1C5"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6DC7ECA8"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Мангистауская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ED84D"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199</w:t>
            </w:r>
          </w:p>
        </w:tc>
      </w:tr>
      <w:tr w:rsidR="00F0736F" w:rsidRPr="00F0736F" w14:paraId="10E60B7F" w14:textId="77777777" w:rsidTr="00285D61">
        <w:trPr>
          <w:trHeight w:val="345"/>
        </w:trPr>
        <w:tc>
          <w:tcPr>
            <w:tcW w:w="4854" w:type="dxa"/>
            <w:tcBorders>
              <w:top w:val="single" w:sz="4" w:space="0" w:color="00000A"/>
              <w:left w:val="single" w:sz="4" w:space="0" w:color="00000A"/>
              <w:bottom w:val="single" w:sz="4" w:space="0" w:color="00000A"/>
            </w:tcBorders>
            <w:shd w:val="clear" w:color="auto" w:fill="FFFFFF"/>
          </w:tcPr>
          <w:p w14:paraId="41185D90"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Южно-Казахстанская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A45D6"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208</w:t>
            </w:r>
          </w:p>
        </w:tc>
      </w:tr>
      <w:tr w:rsidR="00F0736F" w:rsidRPr="00F0736F" w14:paraId="1320EADD" w14:textId="77777777" w:rsidTr="00285D61">
        <w:trPr>
          <w:trHeight w:val="312"/>
        </w:trPr>
        <w:tc>
          <w:tcPr>
            <w:tcW w:w="4854" w:type="dxa"/>
            <w:tcBorders>
              <w:top w:val="single" w:sz="4" w:space="0" w:color="00000A"/>
              <w:left w:val="single" w:sz="4" w:space="0" w:color="00000A"/>
              <w:bottom w:val="single" w:sz="4" w:space="0" w:color="00000A"/>
            </w:tcBorders>
            <w:shd w:val="clear" w:color="auto" w:fill="FFFFFF"/>
          </w:tcPr>
          <w:p w14:paraId="6453B810"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Павлодарская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92F1A"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46</w:t>
            </w:r>
          </w:p>
        </w:tc>
      </w:tr>
      <w:tr w:rsidR="00F0736F" w:rsidRPr="00F0736F" w14:paraId="40528B93" w14:textId="77777777" w:rsidTr="00285D61">
        <w:trPr>
          <w:trHeight w:val="345"/>
        </w:trPr>
        <w:tc>
          <w:tcPr>
            <w:tcW w:w="4854" w:type="dxa"/>
            <w:tcBorders>
              <w:top w:val="single" w:sz="4" w:space="0" w:color="00000A"/>
              <w:left w:val="single" w:sz="4" w:space="0" w:color="00000A"/>
              <w:bottom w:val="single" w:sz="4" w:space="0" w:color="00000A"/>
            </w:tcBorders>
            <w:shd w:val="clear" w:color="auto" w:fill="FFFFFF"/>
          </w:tcPr>
          <w:p w14:paraId="70DEE1D8"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Северо-Казахстанская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B1933"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60</w:t>
            </w:r>
          </w:p>
        </w:tc>
      </w:tr>
      <w:tr w:rsidR="00F0736F" w:rsidRPr="00F0736F" w14:paraId="2264F75A" w14:textId="77777777" w:rsidTr="00285D61">
        <w:trPr>
          <w:trHeight w:val="330"/>
        </w:trPr>
        <w:tc>
          <w:tcPr>
            <w:tcW w:w="4854" w:type="dxa"/>
            <w:tcBorders>
              <w:top w:val="single" w:sz="4" w:space="0" w:color="00000A"/>
              <w:left w:val="single" w:sz="4" w:space="0" w:color="00000A"/>
              <w:bottom w:val="single" w:sz="4" w:space="0" w:color="00000A"/>
            </w:tcBorders>
            <w:shd w:val="clear" w:color="auto" w:fill="FFFFFF"/>
          </w:tcPr>
          <w:p w14:paraId="39C15C45" w14:textId="77777777" w:rsidR="008B3ADF" w:rsidRPr="00F0736F" w:rsidRDefault="008B3ADF" w:rsidP="00BB73C0">
            <w:pPr>
              <w:jc w:val="both"/>
              <w:rPr>
                <w:color w:val="000000" w:themeColor="text1"/>
              </w:rPr>
            </w:pPr>
            <w:r w:rsidRPr="00F0736F">
              <w:rPr>
                <w:rFonts w:ascii="Times New Roman" w:hAnsi="Times New Roman" w:cs="Times New Roman"/>
                <w:color w:val="000000" w:themeColor="text1"/>
                <w:sz w:val="20"/>
                <w:szCs w:val="20"/>
              </w:rPr>
              <w:t>Восточно-Казахстанская область</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DA30D" w14:textId="77777777" w:rsidR="008B3ADF" w:rsidRPr="00F0736F" w:rsidRDefault="008B3ADF" w:rsidP="00285D61">
            <w:pPr>
              <w:jc w:val="center"/>
              <w:rPr>
                <w:color w:val="000000" w:themeColor="text1"/>
              </w:rPr>
            </w:pPr>
            <w:r w:rsidRPr="00F0736F">
              <w:rPr>
                <w:rFonts w:ascii="Times New Roman" w:hAnsi="Times New Roman" w:cs="Times New Roman"/>
                <w:color w:val="000000" w:themeColor="text1"/>
                <w:sz w:val="20"/>
                <w:szCs w:val="20"/>
              </w:rPr>
              <w:t>22</w:t>
            </w:r>
          </w:p>
        </w:tc>
      </w:tr>
    </w:tbl>
    <w:p w14:paraId="1671F211" w14:textId="77777777" w:rsidR="00744283" w:rsidRPr="00F0736F" w:rsidRDefault="00744283" w:rsidP="00744283">
      <w:pPr>
        <w:jc w:val="both"/>
        <w:rPr>
          <w:rFonts w:ascii="Times New Roman" w:hAnsi="Times New Roman" w:cs="Times New Roman"/>
          <w:color w:val="000000" w:themeColor="text1"/>
        </w:rPr>
      </w:pPr>
    </w:p>
    <w:p w14:paraId="2C603CC2" w14:textId="30E4E8D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en-US"/>
        </w:rPr>
        <w:t>Планом мероприятий по расширению использования природного газа в качестве моторного топлива на 2019 – 2022 годы, утвержденн</w:t>
      </w:r>
      <w:r w:rsidR="00FC690A" w:rsidRPr="00F0736F">
        <w:rPr>
          <w:rFonts w:ascii="Times New Roman" w:eastAsia="Times New Roman" w:hAnsi="Times New Roman" w:cs="Times New Roman"/>
          <w:color w:val="000000" w:themeColor="text1"/>
          <w:spacing w:val="2"/>
          <w:lang w:eastAsia="en-US"/>
        </w:rPr>
        <w:t>ым</w:t>
      </w:r>
      <w:r w:rsidRPr="00F0736F">
        <w:rPr>
          <w:rFonts w:ascii="Times New Roman" w:eastAsia="Times New Roman" w:hAnsi="Times New Roman" w:cs="Times New Roman"/>
          <w:color w:val="000000" w:themeColor="text1"/>
          <w:spacing w:val="2"/>
          <w:lang w:eastAsia="en-US"/>
        </w:rPr>
        <w:t xml:space="preserve"> Постановлением Правительства РК </w:t>
      </w:r>
      <w:r w:rsidR="00285D61" w:rsidRPr="00F0736F">
        <w:rPr>
          <w:rFonts w:ascii="Times New Roman" w:eastAsia="Times New Roman" w:hAnsi="Times New Roman" w:cs="Times New Roman"/>
          <w:color w:val="000000" w:themeColor="text1"/>
          <w:spacing w:val="2"/>
          <w:lang w:eastAsia="en-US"/>
        </w:rPr>
        <w:t xml:space="preserve">от 29 ноября 2018 года </w:t>
      </w:r>
      <w:r w:rsidRPr="00F0736F">
        <w:rPr>
          <w:rFonts w:ascii="Times New Roman" w:eastAsia="Times New Roman" w:hAnsi="Times New Roman" w:cs="Times New Roman"/>
          <w:color w:val="000000" w:themeColor="text1"/>
          <w:spacing w:val="2"/>
          <w:lang w:eastAsia="en-US"/>
        </w:rPr>
        <w:t>№ 797, целевые показатели по обновлению автобусов и специальных автомобилей на использование компримированного и (или) сжиженного природного газа в качестве моторного топлива, а также по строительству автогазонаполнительных компрессорных станций и (или) криогенных автомобильных заправочных станций, предусмотрены только для газифицированных регионов Казахстана.</w:t>
      </w:r>
    </w:p>
    <w:p w14:paraId="0307BC5E" w14:textId="77777777" w:rsidR="00F674A4" w:rsidRPr="00F0736F" w:rsidRDefault="00F674A4" w:rsidP="008727D9">
      <w:pPr>
        <w:ind w:firstLine="709"/>
        <w:jc w:val="both"/>
        <w:rPr>
          <w:rFonts w:ascii="Times New Roman" w:hAnsi="Times New Roman" w:cs="Times New Roman"/>
          <w:color w:val="000000" w:themeColor="text1"/>
        </w:rPr>
      </w:pPr>
    </w:p>
    <w:p w14:paraId="5AD2061D"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color w:val="000000" w:themeColor="text1"/>
        </w:rPr>
        <w:t>Производство электромобилей</w:t>
      </w:r>
      <w:r w:rsidRPr="00F0736F">
        <w:rPr>
          <w:rFonts w:ascii="Times New Roman" w:hAnsi="Times New Roman" w:cs="Times New Roman"/>
          <w:color w:val="000000" w:themeColor="text1"/>
        </w:rPr>
        <w:t xml:space="preserve"> в Казахстане осуществляется с 2016 года и малыми партиями. Так, в 2016 году – 10 ед., в 2017 году – 15 ед., в 2018 году – 14 ед. Всего в Казахстане выпущено 39 ед. </w:t>
      </w:r>
    </w:p>
    <w:p w14:paraId="46416792" w14:textId="58C5430D"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данным Ассоц</w:t>
      </w:r>
      <w:r w:rsidR="00FC690A" w:rsidRPr="00F0736F">
        <w:rPr>
          <w:rFonts w:ascii="Times New Roman" w:hAnsi="Times New Roman" w:cs="Times New Roman"/>
          <w:color w:val="000000" w:themeColor="text1"/>
        </w:rPr>
        <w:t>иации Казахстанского автобизнес</w:t>
      </w:r>
      <w:r w:rsidRPr="00F0736F">
        <w:rPr>
          <w:rFonts w:ascii="Times New Roman" w:hAnsi="Times New Roman" w:cs="Times New Roman"/>
          <w:color w:val="000000" w:themeColor="text1"/>
        </w:rPr>
        <w:t>а</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состоянию на 1 марта 2019 года</w:t>
      </w:r>
      <w:r w:rsidR="00285D6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Республике Казахстан зарегистрировано 696 автомобилей с электродвигателями. </w:t>
      </w:r>
    </w:p>
    <w:p w14:paraId="562F1F2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Готовится к запуску первое серийное производство электромобиля JAC iEV7s (в настоящий момент образцы электромобилей JAC iEV7s проходят сертификационные испытания на автополигоне НАМИ в РФ). </w:t>
      </w:r>
      <w:r w:rsidRPr="00F0736F">
        <w:rPr>
          <w:rFonts w:ascii="Times New Roman" w:hAnsi="Times New Roman" w:cs="Times New Roman"/>
          <w:color w:val="000000" w:themeColor="text1"/>
          <w:spacing w:val="2"/>
          <w:lang w:eastAsia="en-US"/>
        </w:rPr>
        <w:t>После получения одобрения типа транспортного средства в первый год производства планируется произвести до 200 единиц электромобилей JAC iEV7s.</w:t>
      </w:r>
    </w:p>
    <w:p w14:paraId="68CA460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Предприятием АО «АЗИЯ АВТО» </w:t>
      </w:r>
      <w:r w:rsidRPr="00F0736F">
        <w:rPr>
          <w:rFonts w:ascii="Times New Roman" w:hAnsi="Times New Roman" w:cs="Times New Roman"/>
          <w:bCs/>
          <w:color w:val="000000" w:themeColor="text1"/>
        </w:rPr>
        <w:t>освоено производство электромобилей KIA Soul EV, LADA VESTA EV. Продолжая работу в данном направлении, АО «АЗИЯ АВТО» произвело испытание опытных образцов и сертифицировало их. В настоящее время электромобили размещены в автосалонах, при наличии</w:t>
      </w:r>
      <w:r w:rsidRPr="00F0736F">
        <w:rPr>
          <w:rFonts w:ascii="Times New Roman" w:hAnsi="Times New Roman" w:cs="Times New Roman"/>
          <w:color w:val="000000" w:themeColor="text1"/>
        </w:rPr>
        <w:t xml:space="preserve"> спроса будет осуществлен запуск производства электромобиля LADA VESTA EV.</w:t>
      </w:r>
    </w:p>
    <w:p w14:paraId="32EE2D60"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Кроме того, в настоящее время отечественными автопроизводителями освоено производство автобусов на альтернативном топливе. Так, ТОО «СарыаркаАвтоПром»</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с 2016 года по 2018 год произведено 20 гибридных автобусов, 79 автобусов на газе. </w:t>
      </w:r>
      <w:r w:rsidRPr="00F0736F">
        <w:rPr>
          <w:rFonts w:ascii="Times New Roman" w:hAnsi="Times New Roman" w:cs="Times New Roman"/>
          <w:color w:val="000000" w:themeColor="text1"/>
          <w:spacing w:val="2"/>
          <w:lang w:eastAsia="en-US"/>
        </w:rPr>
        <w:t>Гибридные автобусы Urbanway сочетают электрическую тяговую систему с литий-ионным аккумулятором последнего поколения с двигателем внутреннего сгорания Euro VI. Интеллектуальная система управления электропитанием оптимизирует потребление топлива и выбросы во время движения, в то время как избыточная энергия торможения остается в системе хранения.</w:t>
      </w:r>
    </w:p>
    <w:p w14:paraId="764F8EBE" w14:textId="77777777" w:rsidR="001C641E" w:rsidRPr="00F0736F" w:rsidRDefault="001C641E" w:rsidP="008727D9">
      <w:pPr>
        <w:ind w:firstLine="709"/>
        <w:jc w:val="both"/>
        <w:rPr>
          <w:rFonts w:ascii="Times New Roman" w:hAnsi="Times New Roman" w:cs="Times New Roman"/>
          <w:color w:val="000000" w:themeColor="text1"/>
        </w:rPr>
      </w:pPr>
    </w:p>
    <w:p w14:paraId="65240B2D" w14:textId="22AA4219"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Межд</w:t>
      </w:r>
      <w:r w:rsidR="00FC690A" w:rsidRPr="00F0736F">
        <w:rPr>
          <w:rFonts w:ascii="Times New Roman" w:hAnsi="Times New Roman" w:cs="Times New Roman"/>
          <w:b/>
          <w:bCs/>
          <w:i/>
          <w:iCs/>
          <w:color w:val="000000" w:themeColor="text1"/>
        </w:rPr>
        <w:t>ународный опыт</w:t>
      </w:r>
    </w:p>
    <w:p w14:paraId="32CDBCC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мире все больше внимания уделяется проблеме загрязнения воздуха в связи со значительным ущербом здоровью населения.</w:t>
      </w:r>
    </w:p>
    <w:p w14:paraId="19D0DD31" w14:textId="44CBF9A9"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Стоимость ущерба, связанного с воздействием загрязнения воздуха на здоровье людей</w:t>
      </w:r>
      <w:r w:rsidR="00EF1F5D"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по подсчетам Всемирной организации здравоохранения (ВОЗ)</w:t>
      </w:r>
      <w:r w:rsidR="00FC690A"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только в Европе составляет 1,6 трл</w:t>
      </w:r>
      <w:r w:rsidR="00EF1F5D" w:rsidRPr="00F0736F">
        <w:rPr>
          <w:rFonts w:ascii="Times New Roman" w:eastAsia="Times New Roman" w:hAnsi="Times New Roman" w:cs="Times New Roman"/>
          <w:color w:val="000000" w:themeColor="text1"/>
          <w:spacing w:val="2"/>
          <w:lang w:eastAsia="ru-RU"/>
        </w:rPr>
        <w:t>н</w:t>
      </w:r>
      <w:r w:rsidR="00FC690A" w:rsidRPr="00F0736F">
        <w:rPr>
          <w:rFonts w:ascii="Times New Roman" w:eastAsia="Times New Roman" w:hAnsi="Times New Roman" w:cs="Times New Roman"/>
          <w:color w:val="000000" w:themeColor="text1"/>
          <w:spacing w:val="2"/>
          <w:lang w:eastAsia="ru-RU"/>
        </w:rPr>
        <w:t xml:space="preserve">. </w:t>
      </w:r>
      <w:r w:rsidRPr="00F0736F">
        <w:rPr>
          <w:rFonts w:ascii="Times New Roman" w:eastAsia="Times New Roman" w:hAnsi="Times New Roman" w:cs="Times New Roman"/>
          <w:color w:val="000000" w:themeColor="text1"/>
          <w:spacing w:val="2"/>
          <w:lang w:eastAsia="ru-RU"/>
        </w:rPr>
        <w:t>долл</w:t>
      </w:r>
      <w:r w:rsidR="00FC690A" w:rsidRPr="00F0736F">
        <w:rPr>
          <w:rFonts w:ascii="Times New Roman" w:eastAsia="Times New Roman" w:hAnsi="Times New Roman" w:cs="Times New Roman"/>
          <w:color w:val="000000" w:themeColor="text1"/>
          <w:spacing w:val="2"/>
          <w:lang w:eastAsia="ru-RU"/>
        </w:rPr>
        <w:t>.</w:t>
      </w:r>
      <w:r w:rsidR="00D46861" w:rsidRPr="00F0736F">
        <w:rPr>
          <w:rFonts w:ascii="Times New Roman" w:eastAsia="Times New Roman" w:hAnsi="Times New Roman" w:cs="Times New Roman"/>
          <w:color w:val="000000" w:themeColor="text1"/>
          <w:spacing w:val="2"/>
          <w:lang w:eastAsia="ru-RU"/>
        </w:rPr>
        <w:t>.</w:t>
      </w:r>
      <w:r w:rsidRPr="00F0736F">
        <w:rPr>
          <w:rStyle w:val="a4"/>
          <w:rFonts w:ascii="Times New Roman" w:eastAsia="Times New Roman" w:hAnsi="Times New Roman" w:cs="Times New Roman"/>
          <w:color w:val="000000" w:themeColor="text1"/>
          <w:spacing w:val="2"/>
          <w:lang w:eastAsia="ru-RU"/>
        </w:rPr>
        <w:footnoteReference w:id="81"/>
      </w:r>
      <w:r w:rsidRPr="00F0736F">
        <w:rPr>
          <w:rFonts w:ascii="Times New Roman" w:eastAsia="Times New Roman" w:hAnsi="Times New Roman" w:cs="Times New Roman"/>
          <w:color w:val="000000" w:themeColor="text1"/>
          <w:spacing w:val="2"/>
          <w:lang w:eastAsia="ru-RU"/>
        </w:rPr>
        <w:t xml:space="preserve"> Каждый год от загрязнения атмосферного воздуха и воздуха помещений в мире преждевременно умирает семь миллионов человек, что равно численности населения Болгарии (WHO, 2014). Это больше, чем от основных болезней с высокой смертностью – малярии, туберкулеза и СПИДа – вместе взятых.  Это самый значительный из всех воздействующих на заболеваемость факторов, связанных с окружающей средой. Загрязнение воздуха вызывает и обостряет целый ряд болезней, от астмы до онкологических, респираторных заболеваний и заболеваний сердца. </w:t>
      </w:r>
    </w:p>
    <w:p w14:paraId="7CC256A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Основные вредные для здоровья вещества, загрязняющие воздух, это оксиды азота (NOx) и серы (SOx), озон и дисперсное вещество, особенно диаметром менее 2,5 микрона. Последнее представляет особую опасность, так как его крошечные частицы проникают глубоко в легкие и воздействуют на дыхательную и сосудистую системы. Последствия воздействия этих веществ на здоровье людей зависят как от интенсивности, так и от длительности воздействия. </w:t>
      </w:r>
    </w:p>
    <w:p w14:paraId="4683F55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Воздействует загр</w:t>
      </w:r>
      <w:r w:rsidR="00FC690A" w:rsidRPr="00F0736F">
        <w:rPr>
          <w:rFonts w:ascii="Times New Roman" w:hAnsi="Times New Roman" w:cs="Times New Roman"/>
          <w:color w:val="000000" w:themeColor="text1"/>
        </w:rPr>
        <w:t>язнение воздуха и на экосистемы.</w:t>
      </w:r>
      <w:r w:rsidRPr="00F0736F">
        <w:rPr>
          <w:rFonts w:ascii="Times New Roman" w:hAnsi="Times New Roman" w:cs="Times New Roman"/>
          <w:color w:val="000000" w:themeColor="text1"/>
        </w:rPr>
        <w:t xml:space="preserve"> </w:t>
      </w:r>
      <w:r w:rsidR="00FC690A" w:rsidRPr="00F0736F">
        <w:rPr>
          <w:rFonts w:ascii="Times New Roman" w:hAnsi="Times New Roman" w:cs="Times New Roman"/>
          <w:color w:val="000000" w:themeColor="text1"/>
        </w:rPr>
        <w:t>К</w:t>
      </w:r>
      <w:r w:rsidRPr="00F0736F">
        <w:rPr>
          <w:rFonts w:ascii="Times New Roman" w:hAnsi="Times New Roman" w:cs="Times New Roman"/>
          <w:color w:val="000000" w:themeColor="text1"/>
        </w:rPr>
        <w:t>ислотные дожди, эфтрофикация, озон в приземном слое, снижение концентрации кислорода и другие факторы губительно действуют на природные экосистемы.</w:t>
      </w:r>
    </w:p>
    <w:p w14:paraId="4F676045" w14:textId="77777777" w:rsidR="00F674A4" w:rsidRPr="00F0736F" w:rsidRDefault="0018192E" w:rsidP="008727D9">
      <w:pPr>
        <w:ind w:firstLine="709"/>
        <w:jc w:val="both"/>
        <w:rPr>
          <w:color w:val="000000" w:themeColor="text1"/>
        </w:rPr>
      </w:pPr>
      <w:r w:rsidRPr="00F0736F">
        <w:rPr>
          <w:rFonts w:ascii="Times New Roman" w:hAnsi="Times New Roman" w:cs="Times New Roman"/>
          <w:color w:val="000000" w:themeColor="text1"/>
        </w:rPr>
        <w:t xml:space="preserve"> В</w:t>
      </w:r>
      <w:r w:rsidR="00F674A4" w:rsidRPr="00F0736F">
        <w:rPr>
          <w:rFonts w:ascii="Times New Roman" w:hAnsi="Times New Roman" w:cs="Times New Roman"/>
          <w:color w:val="000000" w:themeColor="text1"/>
        </w:rPr>
        <w:t xml:space="preserve"> 1979 году, осознав трансграничный характер загрязнения воздуха, страны объединились, чтобы взяться за решение проблемы при помощи первого международного документа в области загрязнения воздуха, имеющего обязательную юридическую силу – Конвенции о трансграничном загрязнении воздуха на большие расстояния (Конвенции о загрязнении воздуха). </w:t>
      </w:r>
    </w:p>
    <w:p w14:paraId="4BE51F3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Конвенция и протоколы к ней призывают подписавшие их Стороны использовать наилучшие имеющиеся методы и предельные значения выбросов для отдельных источников загрязнения, чтобы снизить объем выбрасываемых в атмосферу загрязняющих веществ.</w:t>
      </w:r>
    </w:p>
    <w:p w14:paraId="2FEB6D41"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Меры по сокращению выбросов, принятые в рамках Конвенции 1979 г</w:t>
      </w:r>
      <w:r w:rsidR="00FC690A" w:rsidRPr="00F0736F">
        <w:rPr>
          <w:rFonts w:ascii="Times New Roman" w:eastAsia="Times New Roman" w:hAnsi="Times New Roman" w:cs="Times New Roman"/>
          <w:color w:val="000000" w:themeColor="text1"/>
          <w:spacing w:val="2"/>
          <w:lang w:eastAsia="ru-RU"/>
        </w:rPr>
        <w:t>ода</w:t>
      </w:r>
      <w:r w:rsidRPr="00F0736F">
        <w:rPr>
          <w:rFonts w:ascii="Times New Roman" w:eastAsia="Times New Roman" w:hAnsi="Times New Roman" w:cs="Times New Roman"/>
          <w:color w:val="000000" w:themeColor="text1"/>
          <w:spacing w:val="2"/>
          <w:lang w:eastAsia="ru-RU"/>
        </w:rPr>
        <w:t xml:space="preserve"> о трансграничном загрязнении воздуха на большие расстояния и ее протоколов, привели к значительным успехам. Объемы выбросов значительно снижены, в особенности выбросов серы; постепенно была устранена прямая зависимость между экономическим ростом и загрязнением воздуха</w:t>
      </w:r>
      <w:r w:rsidRPr="00F0736F">
        <w:rPr>
          <w:rStyle w:val="a4"/>
          <w:rFonts w:ascii="Times New Roman" w:eastAsia="Times New Roman" w:hAnsi="Times New Roman" w:cs="Times New Roman"/>
          <w:color w:val="000000" w:themeColor="text1"/>
          <w:spacing w:val="2"/>
          <w:lang w:eastAsia="ru-RU"/>
        </w:rPr>
        <w:footnoteReference w:id="82"/>
      </w:r>
      <w:r w:rsidRPr="00F0736F">
        <w:rPr>
          <w:rFonts w:ascii="Times New Roman" w:eastAsia="Times New Roman" w:hAnsi="Times New Roman" w:cs="Times New Roman"/>
          <w:color w:val="000000" w:themeColor="text1"/>
          <w:spacing w:val="2"/>
          <w:lang w:eastAsia="ru-RU"/>
        </w:rPr>
        <w:t xml:space="preserve">. </w:t>
      </w:r>
    </w:p>
    <w:p w14:paraId="75CB1C25"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 xml:space="preserve">Затраты, связанные с контролем загрязнения воздуха, как правило, значительно ниже затрат, связанных с ущербом, наносимым окружающей среде и здоровью населения. В большинстве стран ожидается нулевой нетто-эффект на государственный доход и занятость в результате принятых мер по снижению загрязнения, т.к. производство новых технологий приведет к созданию новых рабочих мест. </w:t>
      </w:r>
    </w:p>
    <w:p w14:paraId="0C03A6DD" w14:textId="47089964"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«Руководящие принципы ВОЗ по качеству воздуха» 2005 г</w:t>
      </w:r>
      <w:r w:rsidR="00FC690A" w:rsidRPr="00F0736F">
        <w:rPr>
          <w:rFonts w:ascii="Times New Roman" w:eastAsia="Times New Roman" w:hAnsi="Times New Roman" w:cs="Times New Roman"/>
          <w:color w:val="000000" w:themeColor="text1"/>
          <w:spacing w:val="2"/>
          <w:lang w:eastAsia="ru-RU"/>
        </w:rPr>
        <w:t>од</w:t>
      </w:r>
      <w:r w:rsidR="00D46861" w:rsidRPr="00F0736F">
        <w:rPr>
          <w:rFonts w:ascii="Times New Roman" w:eastAsia="Times New Roman" w:hAnsi="Times New Roman" w:cs="Times New Roman"/>
          <w:color w:val="000000" w:themeColor="text1"/>
          <w:spacing w:val="2"/>
          <w:lang w:eastAsia="ru-RU"/>
        </w:rPr>
        <w:t>а</w:t>
      </w:r>
      <w:r w:rsidRPr="00F0736F">
        <w:rPr>
          <w:rFonts w:ascii="Times New Roman" w:eastAsia="Times New Roman" w:hAnsi="Times New Roman" w:cs="Times New Roman"/>
          <w:color w:val="000000" w:themeColor="text1"/>
          <w:spacing w:val="2"/>
          <w:lang w:eastAsia="ru-RU"/>
        </w:rPr>
        <w:t xml:space="preserve"> являются глобальным руководством в отношении пороговых значений и максимально допустимых уровней основных загрязнителей воздуха, представляющих риск для здоровья. Согласно Руководящим принципам, благодаря снижению уровней загрязнения твердыми частицами (ТЧ10) с 70 до 20 микрограмм на кубический метр</w:t>
      </w:r>
      <w:r w:rsidR="00FC690A"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мы можем снизить смертность, связанную с загрязнением воздуха, примерно на 15%. </w:t>
      </w:r>
    </w:p>
    <w:p w14:paraId="032523A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Последний пересмотр рекомендаций по качеству атмосферного воздуха был сделан ВОЗ в 2005 году и включает следующие величины:</w:t>
      </w:r>
    </w:p>
    <w:p w14:paraId="42D5C6C9"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по PM2,5: среднегодовая концентрация 10 мкг/м</w:t>
      </w:r>
      <w:r w:rsidRPr="00F0736F">
        <w:rPr>
          <w:rFonts w:ascii="Times New Roman" w:eastAsia="Times New Roman" w:hAnsi="Times New Roman" w:cs="Times New Roman"/>
          <w:color w:val="000000" w:themeColor="text1"/>
          <w:spacing w:val="2"/>
          <w:vertAlign w:val="superscript"/>
          <w:lang w:eastAsia="ru-RU"/>
        </w:rPr>
        <w:t>3</w:t>
      </w:r>
      <w:r w:rsidRPr="00F0736F">
        <w:rPr>
          <w:rFonts w:ascii="Times New Roman" w:eastAsia="Times New Roman" w:hAnsi="Times New Roman" w:cs="Times New Roman"/>
          <w:color w:val="000000" w:themeColor="text1"/>
          <w:spacing w:val="2"/>
          <w:lang w:eastAsia="ru-RU"/>
        </w:rPr>
        <w:t>, среднесуточная концентрация 25 мкг/м3 (ее превышение не должно продолжаться более 3 дней в году);</w:t>
      </w:r>
    </w:p>
    <w:p w14:paraId="1E37F64C" w14:textId="2FF16F4A"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по РМ10: среднегодовая концентрация 20 мкг/м</w:t>
      </w:r>
      <w:r w:rsidRPr="00F0736F">
        <w:rPr>
          <w:rFonts w:ascii="Times New Roman" w:eastAsia="Times New Roman" w:hAnsi="Times New Roman" w:cs="Times New Roman"/>
          <w:color w:val="000000" w:themeColor="text1"/>
          <w:spacing w:val="2"/>
          <w:vertAlign w:val="superscript"/>
          <w:lang w:eastAsia="ru-RU"/>
        </w:rPr>
        <w:t>3</w:t>
      </w:r>
      <w:r w:rsidRPr="00F0736F">
        <w:rPr>
          <w:rFonts w:ascii="Times New Roman" w:eastAsia="Times New Roman" w:hAnsi="Times New Roman" w:cs="Times New Roman"/>
          <w:color w:val="000000" w:themeColor="text1"/>
          <w:spacing w:val="2"/>
          <w:lang w:eastAsia="ru-RU"/>
        </w:rPr>
        <w:t>, среднесуточная концентрация 50 мкг/м</w:t>
      </w:r>
      <w:r w:rsidRPr="00F0736F">
        <w:rPr>
          <w:rStyle w:val="a4"/>
          <w:rFonts w:ascii="Times New Roman" w:eastAsia="Times New Roman" w:hAnsi="Times New Roman" w:cs="Times New Roman"/>
          <w:color w:val="000000" w:themeColor="text1"/>
          <w:spacing w:val="2"/>
          <w:lang w:eastAsia="ru-RU"/>
        </w:rPr>
        <w:footnoteReference w:id="83"/>
      </w:r>
      <w:r w:rsidRPr="00F0736F">
        <w:rPr>
          <w:rFonts w:ascii="Times New Roman" w:eastAsia="Times New Roman" w:hAnsi="Times New Roman" w:cs="Times New Roman"/>
          <w:color w:val="000000" w:themeColor="text1"/>
          <w:spacing w:val="2"/>
          <w:lang w:eastAsia="ru-RU"/>
        </w:rPr>
        <w:t>.</w:t>
      </w:r>
    </w:p>
    <w:p w14:paraId="63F093F4"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Чтобы способствовать постепенному переходу к более низким концентрациям в наиболее загрязненных районах, кроме этих рекомендуемых величин, в РКВ по каждому веществу, загрязняющему воздух, указываются</w:t>
      </w:r>
      <w:r w:rsidRPr="00F0736F">
        <w:rPr>
          <w:rFonts w:ascii="Times New Roman" w:eastAsia="Times New Roman" w:hAnsi="Times New Roman" w:cs="Times New Roman"/>
          <w:b/>
          <w:bCs/>
          <w:i/>
          <w:iCs/>
          <w:color w:val="000000" w:themeColor="text1"/>
          <w:spacing w:val="2"/>
          <w:lang w:eastAsia="ru-RU"/>
        </w:rPr>
        <w:t xml:space="preserve"> </w:t>
      </w:r>
      <w:r w:rsidRPr="00F0736F">
        <w:rPr>
          <w:rFonts w:ascii="Times New Roman" w:eastAsia="Times New Roman" w:hAnsi="Times New Roman" w:cs="Times New Roman"/>
          <w:color w:val="000000" w:themeColor="text1"/>
          <w:spacing w:val="2"/>
          <w:lang w:eastAsia="ru-RU"/>
        </w:rPr>
        <w:t xml:space="preserve">промежуточные целевые показатели. Если бы эти целевые показатели были достигнуты, можно было бы ожидать значительных снижений рисков острых и хронических последствий для здоровья в результате загрязнения воздуха. Однако конечной целью должно быть достижение рекомендуемых величин. Поскольку какого-либо порога концентрации РМ, ниже которого не наблюдается никакого ущерба для здоровья, установлено не было, рекомендуемые величины следует рассматривать как приемлемые и достижимые цели, связанные с минимизацией влияния на здоровье, в контексте местных сдерживающих факторов, возможностей и приоритетов общественного здравоохранения. </w:t>
      </w:r>
    </w:p>
    <w:p w14:paraId="1F68E962" w14:textId="77777777" w:rsidR="00F674A4" w:rsidRPr="00F0736F" w:rsidRDefault="00F674A4" w:rsidP="008727D9">
      <w:pPr>
        <w:ind w:firstLine="709"/>
        <w:jc w:val="both"/>
        <w:rPr>
          <w:rFonts w:ascii="Calibri" w:hAnsi="Calibri"/>
          <w:color w:val="000000" w:themeColor="text1"/>
        </w:rPr>
      </w:pPr>
      <w:r w:rsidRPr="00F0736F">
        <w:rPr>
          <w:rFonts w:ascii="Times New Roman" w:eastAsia="Times New Roman" w:hAnsi="Times New Roman" w:cs="Times New Roman"/>
          <w:color w:val="000000" w:themeColor="text1"/>
          <w:spacing w:val="2"/>
          <w:lang w:eastAsia="ru-RU"/>
        </w:rPr>
        <w:t xml:space="preserve">В Европе от ужесточения требований к выбросам автомобилей переходят к полному запрету использования двигателей внутреннего сгорания. К примеру, в </w:t>
      </w:r>
      <w:r w:rsidRPr="00F0736F">
        <w:rPr>
          <w:rFonts w:ascii="Times New Roman" w:hAnsi="Times New Roman" w:cs="Times New Roman"/>
          <w:color w:val="000000" w:themeColor="text1"/>
        </w:rPr>
        <w:t>Амстердаме (Голландия) со следующего года запретят движение дизельным машинам старше 15 лет по кольцевой дороге вокруг города (а автобусы с дизельными моторами прекратят ездить по Амстердаму с 2022 года). А с 2030 года власти Голландии обещают вообще запретить автомобили и мотоциклы с бензиновыми и дизельными двигателями</w:t>
      </w:r>
      <w:r w:rsidR="00FC690A" w:rsidRPr="00F0736F">
        <w:rPr>
          <w:rFonts w:ascii="Times New Roman" w:hAnsi="Times New Roman" w:cs="Times New Roman"/>
          <w:color w:val="000000" w:themeColor="text1"/>
        </w:rPr>
        <w:t>.</w:t>
      </w:r>
      <w:hyperlink r:id="rId31" w:history="1">
        <w:r w:rsidR="00FC690A" w:rsidRPr="00F0736F">
          <w:rPr>
            <w:rStyle w:val="a4"/>
            <w:rFonts w:ascii="Times New Roman" w:hAnsi="Times New Roman" w:cs="Times New Roman"/>
            <w:color w:val="000000" w:themeColor="text1"/>
          </w:rPr>
          <w:footnoteReference w:id="84"/>
        </w:r>
      </w:hyperlink>
      <w:r w:rsidRPr="00F0736F">
        <w:rPr>
          <w:rFonts w:ascii="Times New Roman" w:hAnsi="Times New Roman" w:cs="Times New Roman"/>
          <w:color w:val="000000" w:themeColor="text1"/>
        </w:rPr>
        <w:t>.</w:t>
      </w:r>
    </w:p>
    <w:p w14:paraId="16CE241A" w14:textId="77777777" w:rsidR="00F674A4" w:rsidRPr="00F0736F" w:rsidRDefault="00F674A4" w:rsidP="008727D9">
      <w:pPr>
        <w:ind w:firstLine="709"/>
        <w:jc w:val="both"/>
        <w:rPr>
          <w:color w:val="000000" w:themeColor="text1"/>
        </w:rPr>
      </w:pPr>
      <w:r w:rsidRPr="00F0736F">
        <w:rPr>
          <w:rFonts w:ascii="Times New Roman" w:hAnsi="Times New Roman" w:cs="Times New Roman"/>
          <w:iCs/>
          <w:color w:val="000000" w:themeColor="text1"/>
        </w:rPr>
        <w:t>60% проданных в Норвегии автомобилей полностью электрические, такой результат является мировым рекордом и отлично характеризует вектор государства в популяризации электротранспорта.</w:t>
      </w:r>
    </w:p>
    <w:p w14:paraId="7D4BC891" w14:textId="7DA17D78"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Освобождение электромобилей от налогов, взимаемых с топливных автомобилей, перевернуло транспортную картину Норвегии. Сегодня там укрепились такие бренды, как Tesla и Nissan. С недавнего времени набирает </w:t>
      </w:r>
      <w:r w:rsidR="008E0AB1" w:rsidRPr="00F0736F">
        <w:rPr>
          <w:rFonts w:ascii="Times New Roman" w:hAnsi="Times New Roman" w:cs="Times New Roman"/>
          <w:color w:val="000000" w:themeColor="text1"/>
        </w:rPr>
        <w:t>популярность Renault (рис. 1.6.6</w:t>
      </w:r>
      <w:r w:rsidR="009704F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5F5A5BA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планах Норвегии полностью отказаться от ДВС к 2025 году. Так</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крупнейший производитель нефти и газа в Западной Европе вкладывается в «зелёные» технологии, осознавая, что за ними будущее.</w:t>
      </w:r>
    </w:p>
    <w:p w14:paraId="287C2FE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Важным остается факт опровержения мифа о проблемах эксплуатации электромобилей в северных климатических зонах. Современные технологии литий-ионных батарей зачастую обкатываются в сложных зимних условиях. Пример тому недавнее испытание фургона eSprinter в Арктике и Швейцарских Альпах</w:t>
      </w:r>
      <w:r w:rsidRPr="00F0736F">
        <w:rPr>
          <w:rStyle w:val="a4"/>
          <w:rFonts w:ascii="Times New Roman" w:hAnsi="Times New Roman" w:cs="Times New Roman"/>
          <w:color w:val="000000" w:themeColor="text1"/>
        </w:rPr>
        <w:footnoteReference w:id="85"/>
      </w:r>
      <w:r w:rsidRPr="00F0736F">
        <w:rPr>
          <w:rFonts w:ascii="Times New Roman" w:hAnsi="Times New Roman" w:cs="Times New Roman"/>
          <w:color w:val="000000" w:themeColor="text1"/>
        </w:rPr>
        <w:t>.</w:t>
      </w:r>
    </w:p>
    <w:p w14:paraId="3F4676E7" w14:textId="77777777" w:rsidR="00F674A4" w:rsidRPr="00F0736F" w:rsidRDefault="00F674A4" w:rsidP="008727D9">
      <w:pPr>
        <w:ind w:firstLine="709"/>
        <w:jc w:val="both"/>
        <w:rPr>
          <w:rFonts w:ascii="Times New Roman" w:hAnsi="Times New Roman" w:cs="Times New Roman"/>
          <w:color w:val="000000" w:themeColor="text1"/>
        </w:rPr>
      </w:pPr>
    </w:p>
    <w:p w14:paraId="0D4C486C" w14:textId="77777777" w:rsidR="00F674A4" w:rsidRPr="00F0736F" w:rsidRDefault="00797A05" w:rsidP="008727D9">
      <w:pPr>
        <w:ind w:firstLine="709"/>
        <w:jc w:val="both"/>
        <w:rPr>
          <w:rFonts w:ascii="Times New Roman" w:hAnsi="Times New Roman" w:cs="Times New Roman"/>
          <w:color w:val="000000" w:themeColor="text1"/>
        </w:rPr>
      </w:pPr>
      <w:r w:rsidRPr="00F0736F">
        <w:rPr>
          <w:rFonts w:ascii="Times New Roman" w:hAnsi="Times New Roman" w:cs="Times New Roman"/>
          <w:noProof/>
          <w:color w:val="000000" w:themeColor="text1"/>
          <w:lang w:eastAsia="ru-RU" w:bidi="ar-SA"/>
        </w:rPr>
        <w:drawing>
          <wp:inline distT="0" distB="0" distL="0" distR="0" wp14:anchorId="38AD7656" wp14:editId="71A1A1D2">
            <wp:extent cx="4429125" cy="2228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826" t="-1466" r="-826" b="-1466"/>
                    <a:stretch>
                      <a:fillRect/>
                    </a:stretch>
                  </pic:blipFill>
                  <pic:spPr bwMode="auto">
                    <a:xfrm>
                      <a:off x="0" y="0"/>
                      <a:ext cx="4429125" cy="2228850"/>
                    </a:xfrm>
                    <a:prstGeom prst="rect">
                      <a:avLst/>
                    </a:prstGeom>
                    <a:solidFill>
                      <a:srgbClr val="FFFFFF"/>
                    </a:solidFill>
                    <a:ln w="9525">
                      <a:noFill/>
                      <a:miter lim="800000"/>
                      <a:headEnd/>
                      <a:tailEnd/>
                    </a:ln>
                  </pic:spPr>
                </pic:pic>
              </a:graphicData>
            </a:graphic>
          </wp:inline>
        </w:drawing>
      </w:r>
    </w:p>
    <w:p w14:paraId="42831C2B" w14:textId="1D221F24"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Рис</w:t>
      </w:r>
      <w:r w:rsidR="009704F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1.6.</w:t>
      </w:r>
      <w:r w:rsidR="00413CF6" w:rsidRPr="00F0736F">
        <w:rPr>
          <w:rFonts w:ascii="Times New Roman" w:hAnsi="Times New Roman" w:cs="Times New Roman"/>
          <w:color w:val="000000" w:themeColor="text1"/>
        </w:rPr>
        <w:t>5</w:t>
      </w:r>
      <w:r w:rsidRPr="00F0736F">
        <w:rPr>
          <w:rFonts w:ascii="Times New Roman" w:hAnsi="Times New Roman" w:cs="Times New Roman"/>
          <w:color w:val="000000" w:themeColor="text1"/>
        </w:rPr>
        <w:t>. Заправка электроавтомобилей в Норвегии</w:t>
      </w:r>
    </w:p>
    <w:p w14:paraId="3ADC7BA8" w14:textId="77777777" w:rsidR="00F674A4" w:rsidRPr="00F0736F" w:rsidRDefault="00F674A4" w:rsidP="008727D9">
      <w:pPr>
        <w:ind w:firstLine="709"/>
        <w:jc w:val="both"/>
        <w:rPr>
          <w:rFonts w:ascii="Times New Roman" w:hAnsi="Times New Roman" w:cs="Times New Roman"/>
          <w:color w:val="000000" w:themeColor="text1"/>
        </w:rPr>
      </w:pPr>
    </w:p>
    <w:p w14:paraId="3780B44C"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xml:space="preserve">Аналитический материал представлен экспертами ОЭСР в рамках проекта по выработке мер по снижению загрязнения атмосферного воздуха в Казахстане. Данный проект осуществляется в реализацию Меморандума о договоренности, подписанного </w:t>
      </w:r>
      <w:r w:rsidR="00FC690A" w:rsidRPr="00F0736F">
        <w:rPr>
          <w:rFonts w:ascii="Times New Roman" w:hAnsi="Times New Roman" w:cs="Times New Roman"/>
          <w:color w:val="000000" w:themeColor="text1"/>
        </w:rPr>
        <w:t>21</w:t>
      </w:r>
      <w:r w:rsidRPr="00F0736F">
        <w:rPr>
          <w:rFonts w:ascii="Times New Roman" w:hAnsi="Times New Roman" w:cs="Times New Roman"/>
          <w:color w:val="000000" w:themeColor="text1"/>
        </w:rPr>
        <w:t xml:space="preserve"> ноября 2018 года между Правительством Казахстана и Организацией экономического сотрудничества и развития (ОЭСР).</w:t>
      </w:r>
    </w:p>
    <w:p w14:paraId="5F91A066" w14:textId="77777777" w:rsidR="009F5CA1" w:rsidRPr="00F0736F" w:rsidRDefault="009F5CA1" w:rsidP="009F5CA1">
      <w:pPr>
        <w:ind w:firstLine="567"/>
        <w:jc w:val="both"/>
        <w:rPr>
          <w:color w:val="000000" w:themeColor="text1"/>
        </w:rPr>
      </w:pPr>
      <w:r w:rsidRPr="00F0736F">
        <w:rPr>
          <w:rFonts w:ascii="Times New Roman" w:eastAsia="Times New Roman" w:hAnsi="Times New Roman" w:cs="Times New Roman"/>
          <w:color w:val="000000" w:themeColor="text1"/>
          <w:spacing w:val="2"/>
          <w:lang w:eastAsia="ru-RU"/>
        </w:rPr>
        <w:t>В предварительном отчете проекта прямо указывается, что действующая структура системы природоохранного регулирования, природоохранных разрешений и экологических платежей препятствует повышению энергоэффективности и совершенствованию контроля над загрязнением более быстрыми темпами</w:t>
      </w:r>
      <w:r w:rsidRPr="00F0736F">
        <w:rPr>
          <w:rStyle w:val="a4"/>
          <w:rFonts w:ascii="Times New Roman" w:eastAsia="Times New Roman" w:hAnsi="Times New Roman" w:cs="Times New Roman"/>
          <w:color w:val="000000" w:themeColor="text1"/>
          <w:spacing w:val="2"/>
          <w:lang w:eastAsia="ru-RU"/>
        </w:rPr>
        <w:footnoteReference w:id="86"/>
      </w:r>
      <w:r w:rsidRPr="00F0736F">
        <w:rPr>
          <w:rFonts w:ascii="Times New Roman" w:eastAsia="Times New Roman" w:hAnsi="Times New Roman" w:cs="Times New Roman"/>
          <w:color w:val="000000" w:themeColor="text1"/>
          <w:spacing w:val="2"/>
          <w:lang w:eastAsia="ru-RU"/>
        </w:rPr>
        <w:t>.</w:t>
      </w:r>
    </w:p>
    <w:p w14:paraId="70C34C42" w14:textId="77777777" w:rsidR="009F5CA1" w:rsidRPr="00F0736F" w:rsidRDefault="009F5CA1" w:rsidP="009F5CA1">
      <w:pPr>
        <w:ind w:firstLine="567"/>
        <w:jc w:val="both"/>
        <w:rPr>
          <w:color w:val="000000" w:themeColor="text1"/>
        </w:rPr>
      </w:pPr>
      <w:r w:rsidRPr="00F0736F">
        <w:rPr>
          <w:rFonts w:ascii="Times New Roman" w:eastAsia="Times New Roman" w:hAnsi="Times New Roman" w:cs="Times New Roman"/>
          <w:color w:val="000000" w:themeColor="text1"/>
          <w:spacing w:val="2"/>
          <w:lang w:eastAsia="ru-RU"/>
        </w:rPr>
        <w:t xml:space="preserve">Существующая система платежей за загрязнение окружающей среды промышленными операторами весьма неоднозначна. Она сосредоточена на </w:t>
      </w:r>
      <w:r w:rsidRPr="00F0736F">
        <w:rPr>
          <w:rFonts w:ascii="Times New Roman" w:eastAsia="Times New Roman" w:hAnsi="Times New Roman" w:cs="Times New Roman"/>
          <w:b/>
          <w:color w:val="000000" w:themeColor="text1"/>
          <w:spacing w:val="2"/>
          <w:lang w:eastAsia="ru-RU"/>
        </w:rPr>
        <w:t>получении доходов</w:t>
      </w:r>
      <w:r w:rsidRPr="00F0736F">
        <w:rPr>
          <w:rFonts w:ascii="Times New Roman" w:eastAsia="Times New Roman" w:hAnsi="Times New Roman" w:cs="Times New Roman"/>
          <w:color w:val="000000" w:themeColor="text1"/>
          <w:spacing w:val="2"/>
          <w:lang w:eastAsia="ru-RU"/>
        </w:rPr>
        <w:t>, в частности, от иностранных операторов, а не на создании стимулов к уменьшению воздействия, оказываемого на окружающую среду.</w:t>
      </w:r>
    </w:p>
    <w:p w14:paraId="0F516CB3"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Основные рекомендации экспертов ОЭСР включают:</w:t>
      </w:r>
    </w:p>
    <w:p w14:paraId="41C3D815"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в целом продолжение усилий по сближению с законодательством стран ОЭСР;</w:t>
      </w:r>
    </w:p>
    <w:p w14:paraId="11457B4B"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значительное сокращение облагаемых налогами веществ до перечня, обусловленного обязательствами государства и правительственными программами, однако при этом рекомендуется увеличить ставки платежей до величины издержек по сокращению выбросов облагаемых веществ;</w:t>
      </w:r>
    </w:p>
    <w:p w14:paraId="3197A1AC"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возможное создание экологических фондов, но только после тщательной оценки;</w:t>
      </w:r>
    </w:p>
    <w:p w14:paraId="21220A85"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реформирование системы штрафов с исключением жесткого административного подхода с использованием «пирамиды правоприменения»;</w:t>
      </w:r>
    </w:p>
    <w:p w14:paraId="31FA4B49"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декриминализация уголовного законодательства с исключением связи с величиной денежного ущерба, но при этом повышение действенности взысканий с определением минимальных и максимальных сумм в день;</w:t>
      </w:r>
    </w:p>
    <w:p w14:paraId="6A27077C"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упразднение возмещения ущерба на основании вины (то есть ответственности, возникающей в случае неразрешенных выбросов или превышения их лимита, предусмотренного экологическими разрешениями), исключение косвенного метода расчета ущерба;</w:t>
      </w:r>
    </w:p>
    <w:p w14:paraId="76570353"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переход к определению суммы возмещения ущерба при помощи анализа эквивалентности (то есть с дополнительным и компенсационным восстановлением);</w:t>
      </w:r>
    </w:p>
    <w:p w14:paraId="03277AD8"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усиление требований о создании операторами финансовых резервов</w:t>
      </w:r>
      <w:r w:rsidR="006F4C9E" w:rsidRPr="00F0736F">
        <w:rPr>
          <w:rFonts w:ascii="Times New Roman" w:hAnsi="Times New Roman" w:cs="Times New Roman"/>
          <w:color w:val="000000" w:themeColor="text1"/>
        </w:rPr>
        <w:t>;</w:t>
      </w:r>
    </w:p>
    <w:p w14:paraId="1CA07555"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ЕЭК ООН рекомендует для снижения выбросов:</w:t>
      </w:r>
    </w:p>
    <w:p w14:paraId="52C1EE95" w14:textId="77777777"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 xml:space="preserve">На национальном уровне: </w:t>
      </w:r>
    </w:p>
    <w:p w14:paraId="74EABD84" w14:textId="751B0EE0"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р</w:t>
      </w:r>
      <w:r w:rsidRPr="00F0736F">
        <w:rPr>
          <w:rFonts w:ascii="Times New Roman" w:hAnsi="Times New Roman" w:cs="Times New Roman"/>
          <w:color w:val="000000" w:themeColor="text1"/>
        </w:rPr>
        <w:t>атифицировать и осуществлять протоколы Конвенции о трансграничном загрязнении воздуха на большие расстояния (Протокол ЕМЕП и в дальнейшем присоединиться к трем наиболее важным Протоколам: Протокол о борьбе с подкислением, эвтрофикацией и приземным озоном (Гетеборгский протокол), Протокол по тяжелым металлам и Протокол по стой</w:t>
      </w:r>
      <w:r w:rsidR="00FC690A" w:rsidRPr="00F0736F">
        <w:rPr>
          <w:rFonts w:ascii="Times New Roman" w:hAnsi="Times New Roman" w:cs="Times New Roman"/>
          <w:color w:val="000000" w:themeColor="text1"/>
        </w:rPr>
        <w:t>ким органическим загрязнителям);</w:t>
      </w:r>
      <w:r w:rsidRPr="00F0736F">
        <w:rPr>
          <w:rFonts w:ascii="Times New Roman" w:hAnsi="Times New Roman" w:cs="Times New Roman"/>
          <w:color w:val="000000" w:themeColor="text1"/>
        </w:rPr>
        <w:t xml:space="preserve"> </w:t>
      </w:r>
    </w:p>
    <w:p w14:paraId="6C7566AA" w14:textId="41FC8C61"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существлять эффективную политику в области климата и энергетики</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6EF06F62" w14:textId="5F6BAED4"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недрять эффективный контроль регламента техобслуживания транспортных средств</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18EDE489" w14:textId="33FFDD6D"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недрять программы по утилизации </w:t>
      </w:r>
      <w:r w:rsidR="00FC690A" w:rsidRPr="00F0736F">
        <w:rPr>
          <w:rFonts w:ascii="Times New Roman" w:hAnsi="Times New Roman" w:cs="Times New Roman"/>
          <w:color w:val="000000" w:themeColor="text1"/>
        </w:rPr>
        <w:t>старых автомобилей и мотоциклов;</w:t>
      </w:r>
      <w:r w:rsidRPr="00F0736F">
        <w:rPr>
          <w:rFonts w:ascii="Times New Roman" w:hAnsi="Times New Roman" w:cs="Times New Roman"/>
          <w:color w:val="000000" w:themeColor="text1"/>
        </w:rPr>
        <w:t xml:space="preserve"> </w:t>
      </w:r>
    </w:p>
    <w:p w14:paraId="79651ED4" w14:textId="639776B3"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водить в действие стандарты выб</w:t>
      </w:r>
      <w:r w:rsidR="00FC690A" w:rsidRPr="00F0736F">
        <w:rPr>
          <w:rFonts w:ascii="Times New Roman" w:hAnsi="Times New Roman" w:cs="Times New Roman"/>
          <w:color w:val="000000" w:themeColor="text1"/>
        </w:rPr>
        <w:t>росов для ферм и домашних печей;</w:t>
      </w:r>
      <w:r w:rsidRPr="00F0736F">
        <w:rPr>
          <w:rFonts w:ascii="Times New Roman" w:hAnsi="Times New Roman" w:cs="Times New Roman"/>
          <w:color w:val="000000" w:themeColor="text1"/>
        </w:rPr>
        <w:t xml:space="preserve"> </w:t>
      </w:r>
    </w:p>
    <w:p w14:paraId="375C9AA9" w14:textId="67F09442" w:rsidR="009F5CA1" w:rsidRPr="00F0736F" w:rsidRDefault="003118B9" w:rsidP="009F5CA1">
      <w:pPr>
        <w:ind w:firstLine="567"/>
        <w:jc w:val="both"/>
        <w:rPr>
          <w:color w:val="000000" w:themeColor="text1"/>
        </w:rPr>
      </w:pPr>
      <w:r w:rsidRPr="00F0736F">
        <w:rPr>
          <w:rFonts w:ascii="Times New Roman" w:hAnsi="Times New Roman" w:cs="Times New Roman"/>
          <w:color w:val="000000" w:themeColor="text1"/>
        </w:rPr>
        <w:t>Н</w:t>
      </w:r>
      <w:r w:rsidR="009F5CA1" w:rsidRPr="00F0736F">
        <w:rPr>
          <w:rFonts w:ascii="Times New Roman" w:hAnsi="Times New Roman" w:cs="Times New Roman"/>
          <w:color w:val="000000" w:themeColor="text1"/>
        </w:rPr>
        <w:t xml:space="preserve">а локальном уровне (уровне городов): </w:t>
      </w:r>
    </w:p>
    <w:p w14:paraId="76A611BE" w14:textId="3AF4E115"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недрять зоны низких выбросов с целью поощрения досрочной утилизации старых транспортных средств</w:t>
      </w:r>
      <w:r w:rsidR="003118B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5C03A9BF" w14:textId="2D7EB611"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в</w:t>
      </w:r>
      <w:r w:rsidR="00FC690A" w:rsidRPr="00F0736F">
        <w:rPr>
          <w:rFonts w:ascii="Times New Roman" w:hAnsi="Times New Roman" w:cs="Times New Roman"/>
          <w:color w:val="000000" w:themeColor="text1"/>
        </w:rPr>
        <w:t>водить ограничение</w:t>
      </w:r>
      <w:r w:rsidRPr="00F0736F">
        <w:rPr>
          <w:rFonts w:ascii="Times New Roman" w:hAnsi="Times New Roman" w:cs="Times New Roman"/>
          <w:color w:val="000000" w:themeColor="text1"/>
        </w:rPr>
        <w:t xml:space="preserve"> скорост</w:t>
      </w:r>
      <w:r w:rsidR="00FC690A" w:rsidRPr="00F0736F">
        <w:rPr>
          <w:rFonts w:ascii="Times New Roman" w:hAnsi="Times New Roman" w:cs="Times New Roman"/>
          <w:color w:val="000000" w:themeColor="text1"/>
        </w:rPr>
        <w:t>и на магистралях вблизи городов;</w:t>
      </w:r>
      <w:r w:rsidRPr="00F0736F">
        <w:rPr>
          <w:rFonts w:ascii="Times New Roman" w:hAnsi="Times New Roman" w:cs="Times New Roman"/>
          <w:color w:val="000000" w:themeColor="text1"/>
        </w:rPr>
        <w:t xml:space="preserve"> </w:t>
      </w:r>
    </w:p>
    <w:p w14:paraId="1393EAD1" w14:textId="45AA75E3"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тимулировать использование электрических транспортных средств</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2CA41304" w14:textId="45B48BBC"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hAnsi="Times New Roman" w:cs="Times New Roman"/>
          <w:color w:val="000000" w:themeColor="text1"/>
        </w:rPr>
        <w:t>у</w:t>
      </w:r>
      <w:r w:rsidRPr="00F0736F">
        <w:rPr>
          <w:rFonts w:ascii="Times New Roman" w:hAnsi="Times New Roman" w:cs="Times New Roman"/>
          <w:color w:val="000000" w:themeColor="text1"/>
        </w:rPr>
        <w:t>лучшать инфраструктуру общественного транспорта, велосипедной езды и пешеходных дорожек</w:t>
      </w:r>
      <w:r w:rsidR="00FC690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2D7A580C" w14:textId="47CABD94" w:rsidR="009F5CA1" w:rsidRPr="00F0736F" w:rsidRDefault="009F5CA1" w:rsidP="009F5CA1">
      <w:pPr>
        <w:ind w:firstLine="567"/>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003118B9" w:rsidRPr="00F0736F">
        <w:rPr>
          <w:rFonts w:ascii="Times New Roman" w:eastAsia="Times New Roman" w:hAnsi="Times New Roman" w:cs="Times New Roman"/>
          <w:color w:val="000000" w:themeColor="text1"/>
        </w:rPr>
        <w:t>п</w:t>
      </w:r>
      <w:r w:rsidRPr="00F0736F">
        <w:rPr>
          <w:rFonts w:ascii="Times New Roman" w:hAnsi="Times New Roman" w:cs="Times New Roman"/>
          <w:color w:val="000000" w:themeColor="text1"/>
        </w:rPr>
        <w:t>редоставлять населению информацию о загрязнении воздуха в результате сжигания древесины и о способах его снижения.</w:t>
      </w:r>
    </w:p>
    <w:p w14:paraId="499084CC" w14:textId="77777777" w:rsidR="009F5CA1" w:rsidRPr="00F0736F" w:rsidRDefault="009F5CA1" w:rsidP="008727D9">
      <w:pPr>
        <w:ind w:firstLine="709"/>
        <w:jc w:val="both"/>
        <w:rPr>
          <w:rFonts w:ascii="Times New Roman" w:hAnsi="Times New Roman" w:cs="Times New Roman"/>
          <w:color w:val="000000" w:themeColor="text1"/>
        </w:rPr>
      </w:pPr>
    </w:p>
    <w:p w14:paraId="4843680A" w14:textId="411EF0CE"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5CFB30FB" w14:textId="4111794D"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Две цели устойчивого развития (3 и 11) прямо ставят задачи по снижению загрязнения атмосферного воздуха ставят конкретные задачи по сокращению загрязнения воздуха и выбросов парниковых газов (таблица 1.6.6</w:t>
      </w:r>
      <w:r w:rsidR="00413CF6"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p>
    <w:p w14:paraId="2B92F5DC"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Казахстане статистикой не отслеживаются смертность и заболеваемость от загрязнения воздуха для решения Задачи 3.9 </w:t>
      </w:r>
      <w:r w:rsidRPr="00F0736F">
        <w:rPr>
          <w:rFonts w:ascii="Times New Roman" w:hAnsi="Times New Roman" w:cs="Times New Roman"/>
          <w:color w:val="000000" w:themeColor="text1"/>
        </w:rPr>
        <w:t>Цели 3. Отслеживаемая статистикой смертность от респираторных заболеваний, от других заболеваний органов дыхания, сердечно-сос</w:t>
      </w:r>
      <w:r w:rsidR="006F4C9E" w:rsidRPr="00F0736F">
        <w:rPr>
          <w:rFonts w:ascii="Times New Roman" w:hAnsi="Times New Roman" w:cs="Times New Roman"/>
          <w:color w:val="000000" w:themeColor="text1"/>
        </w:rPr>
        <w:t>удистых заболеваний, астмы и т.</w:t>
      </w:r>
      <w:r w:rsidRPr="00F0736F">
        <w:rPr>
          <w:rFonts w:ascii="Times New Roman" w:hAnsi="Times New Roman" w:cs="Times New Roman"/>
          <w:color w:val="000000" w:themeColor="text1"/>
        </w:rPr>
        <w:t>п. может быть связана также с курением и другими социальными факторами. Но загрязнение воздуха твердыми частицами (PM) является самым важным фактором, определенный вклад также вносят и другие компоненты (NO</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 SO</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 ПАУ, O</w:t>
      </w:r>
      <w:r w:rsidRPr="00F0736F">
        <w:rPr>
          <w:rFonts w:ascii="Times New Roman" w:hAnsi="Times New Roman" w:cs="Times New Roman"/>
          <w:color w:val="000000" w:themeColor="text1"/>
          <w:vertAlign w:val="subscript"/>
        </w:rPr>
        <w:t>3</w:t>
      </w:r>
      <w:r w:rsidRPr="00F0736F">
        <w:rPr>
          <w:rFonts w:ascii="Times New Roman" w:hAnsi="Times New Roman" w:cs="Times New Roman"/>
          <w:color w:val="000000" w:themeColor="text1"/>
        </w:rPr>
        <w:t>).</w:t>
      </w:r>
    </w:p>
    <w:p w14:paraId="3FEEC93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Казахстане также необходимо отслеживать и сравнивать с международными показателями достижение задач 11.6 и 11.7, которые связаны с загрязнением твердыми частицами и парковыми зонами.</w:t>
      </w:r>
    </w:p>
    <w:p w14:paraId="46AB44F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 Задачи 11.6 Цели 11 в Казахстане отслеживается показатель «Среднегодовая концентрация взвешенных частиц РМ2,5 и РМ10 в атмосферном воздухе (мг/м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в городах, где ведутся наблюдения (на душу населения)». Во многих городах Казахстана превышены нормативные значения среднегодового уровня содержания PM10, установленные в Руководстве ВОЗ по качеству воздуха, равно как и стандарты качества воздуха ЕС.</w:t>
      </w:r>
    </w:p>
    <w:p w14:paraId="338076DE" w14:textId="2F9AA98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Согласно оценке Всемирного банка 2013 г</w:t>
      </w:r>
      <w:r w:rsidR="00413CF6"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загрязнение воздуха твердыми частицами ежегодно является причиной приблизительно 2</w:t>
      </w:r>
      <w:r w:rsidR="00413CF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800 случаев преждевременной смерти в Казахстане и обходится экономике более чем в 1,3 млрд. долл</w:t>
      </w:r>
      <w:r w:rsidR="006F4C9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США за счет увеличения расходов на здравоохранение. Согласно Концепции по переходу к «зеленой экономике», загрязнение воздуха является причиной до 6</w:t>
      </w:r>
      <w:r w:rsidR="00413CF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случаев преждевременной смерти в год. Согласно выводам исследования «Затраты в сфере здравоохранения, вызванные загрязнением воздуха в Казахстане» 2013 г</w:t>
      </w:r>
      <w:r w:rsidR="00413CF6"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средние оценочные показатели риска смерти, относимого на счет загрязнения воздуха, составляют около 16</w:t>
      </w:r>
      <w:r w:rsidR="006F4C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случаев в год с 95%-ным доверительным интервалом, не превышающим 25</w:t>
      </w:r>
      <w:r w:rsidR="006F4C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500. </w:t>
      </w:r>
    </w:p>
    <w:p w14:paraId="625CE7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Поэтому в Казахстане для полноценной оценки по цели 3 необходимо выделить и отслеживать заболевания, связанные с экологическими факторами.</w:t>
      </w:r>
      <w:r w:rsidR="006F4C9E" w:rsidRPr="00F0736F">
        <w:rPr>
          <w:rFonts w:ascii="Times New Roman" w:hAnsi="Times New Roman" w:cs="Times New Roman"/>
          <w:color w:val="000000" w:themeColor="text1"/>
        </w:rPr>
        <w:t xml:space="preserve"> (Таблица 1.6.6.).</w:t>
      </w:r>
    </w:p>
    <w:p w14:paraId="212FFD09" w14:textId="77777777" w:rsidR="00F674A4" w:rsidRPr="00F0736F" w:rsidRDefault="00F674A4" w:rsidP="008727D9">
      <w:pPr>
        <w:ind w:firstLine="709"/>
        <w:jc w:val="both"/>
        <w:rPr>
          <w:rFonts w:ascii="Times New Roman" w:hAnsi="Times New Roman" w:cs="Times New Roman"/>
          <w:color w:val="000000" w:themeColor="text1"/>
        </w:rPr>
      </w:pPr>
    </w:p>
    <w:p w14:paraId="490B166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1.6.6. Проблемы достижения ЦУР, связанных с вопросами загрязнения воздуха</w:t>
      </w:r>
    </w:p>
    <w:p w14:paraId="4967B9AC" w14:textId="77777777" w:rsidR="00F674A4" w:rsidRPr="00F0736F" w:rsidRDefault="00F674A4" w:rsidP="008727D9">
      <w:pPr>
        <w:ind w:firstLine="709"/>
        <w:jc w:val="both"/>
        <w:rPr>
          <w:color w:val="000000" w:themeColor="text1"/>
        </w:rPr>
      </w:pPr>
    </w:p>
    <w:tbl>
      <w:tblPr>
        <w:tblW w:w="9740" w:type="dxa"/>
        <w:tblInd w:w="108" w:type="dxa"/>
        <w:tblLayout w:type="fixed"/>
        <w:tblLook w:val="0000" w:firstRow="0" w:lastRow="0" w:firstColumn="0" w:lastColumn="0" w:noHBand="0" w:noVBand="0"/>
      </w:tblPr>
      <w:tblGrid>
        <w:gridCol w:w="2437"/>
        <w:gridCol w:w="2221"/>
        <w:gridCol w:w="1892"/>
        <w:gridCol w:w="1559"/>
        <w:gridCol w:w="1619"/>
        <w:gridCol w:w="12"/>
      </w:tblGrid>
      <w:tr w:rsidR="00F0736F" w:rsidRPr="00F0736F" w14:paraId="7528134E" w14:textId="77777777" w:rsidTr="005E0F7B">
        <w:trPr>
          <w:gridAfter w:val="1"/>
          <w:wAfter w:w="12" w:type="dxa"/>
        </w:trPr>
        <w:tc>
          <w:tcPr>
            <w:tcW w:w="2437" w:type="dxa"/>
            <w:tcBorders>
              <w:top w:val="single" w:sz="4" w:space="0" w:color="000000"/>
              <w:left w:val="single" w:sz="4" w:space="0" w:color="000000"/>
              <w:bottom w:val="single" w:sz="4" w:space="0" w:color="000000"/>
            </w:tcBorders>
            <w:shd w:val="clear" w:color="auto" w:fill="auto"/>
          </w:tcPr>
          <w:p w14:paraId="2B4ADB2B"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21" w:type="dxa"/>
            <w:tcBorders>
              <w:top w:val="single" w:sz="4" w:space="0" w:color="000000"/>
              <w:left w:val="single" w:sz="4" w:space="0" w:color="000000"/>
              <w:bottom w:val="single" w:sz="4" w:space="0" w:color="000000"/>
            </w:tcBorders>
            <w:shd w:val="clear" w:color="auto" w:fill="auto"/>
          </w:tcPr>
          <w:p w14:paraId="71C6D8BC"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892" w:type="dxa"/>
            <w:tcBorders>
              <w:top w:val="single" w:sz="4" w:space="0" w:color="000000"/>
              <w:left w:val="single" w:sz="4" w:space="0" w:color="000000"/>
              <w:bottom w:val="single" w:sz="4" w:space="0" w:color="000000"/>
            </w:tcBorders>
            <w:shd w:val="clear" w:color="auto" w:fill="auto"/>
          </w:tcPr>
          <w:p w14:paraId="74759583"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559" w:type="dxa"/>
            <w:tcBorders>
              <w:top w:val="single" w:sz="4" w:space="0" w:color="000000"/>
              <w:left w:val="single" w:sz="4" w:space="0" w:color="000000"/>
              <w:bottom w:val="single" w:sz="4" w:space="0" w:color="000000"/>
            </w:tcBorders>
            <w:shd w:val="clear" w:color="auto" w:fill="auto"/>
          </w:tcPr>
          <w:p w14:paraId="5DF5AE1C"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35255B30"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5C1C21DD" w14:textId="77777777" w:rsidTr="005E0F7B">
        <w:tc>
          <w:tcPr>
            <w:tcW w:w="9740" w:type="dxa"/>
            <w:gridSpan w:val="6"/>
            <w:tcBorders>
              <w:top w:val="single" w:sz="4" w:space="0" w:color="000000"/>
              <w:left w:val="single" w:sz="4" w:space="0" w:color="000000"/>
              <w:bottom w:val="single" w:sz="4" w:space="0" w:color="000000"/>
              <w:right w:val="single" w:sz="4" w:space="0" w:color="000000"/>
            </w:tcBorders>
            <w:shd w:val="clear" w:color="auto" w:fill="auto"/>
          </w:tcPr>
          <w:p w14:paraId="1D79937F"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ЦУР 3. Обеспечение здорового образа жизни и содействие благополучию для всех в любом возрасте</w:t>
            </w:r>
          </w:p>
        </w:tc>
      </w:tr>
      <w:tr w:rsidR="00F0736F" w:rsidRPr="00F0736F" w14:paraId="2569356F" w14:textId="77777777" w:rsidTr="005E0F7B">
        <w:trPr>
          <w:gridAfter w:val="1"/>
          <w:wAfter w:w="12" w:type="dxa"/>
        </w:trPr>
        <w:tc>
          <w:tcPr>
            <w:tcW w:w="2437" w:type="dxa"/>
            <w:tcBorders>
              <w:top w:val="single" w:sz="4" w:space="0" w:color="000000"/>
              <w:left w:val="single" w:sz="4" w:space="0" w:color="000000"/>
              <w:bottom w:val="single" w:sz="4" w:space="0" w:color="000000"/>
            </w:tcBorders>
            <w:shd w:val="clear" w:color="auto" w:fill="auto"/>
          </w:tcPr>
          <w:p w14:paraId="3E4BF400"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Задача 3.9 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tc>
        <w:tc>
          <w:tcPr>
            <w:tcW w:w="2221" w:type="dxa"/>
            <w:tcBorders>
              <w:top w:val="single" w:sz="4" w:space="0" w:color="000000"/>
              <w:left w:val="single" w:sz="4" w:space="0" w:color="000000"/>
              <w:bottom w:val="single" w:sz="4" w:space="0" w:color="000000"/>
            </w:tcBorders>
            <w:shd w:val="clear" w:color="auto" w:fill="auto"/>
          </w:tcPr>
          <w:p w14:paraId="02DC803E"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3.9.1 Смертность от загрязнения воздуха в жилых помещениях и атмосферного воздуха</w:t>
            </w:r>
          </w:p>
        </w:tc>
        <w:tc>
          <w:tcPr>
            <w:tcW w:w="1892" w:type="dxa"/>
            <w:tcBorders>
              <w:top w:val="single" w:sz="4" w:space="0" w:color="000000"/>
              <w:left w:val="single" w:sz="4" w:space="0" w:color="000000"/>
              <w:bottom w:val="single" w:sz="4" w:space="0" w:color="000000"/>
            </w:tcBorders>
            <w:shd w:val="clear" w:color="auto" w:fill="auto"/>
          </w:tcPr>
          <w:p w14:paraId="60306EA3"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p w14:paraId="3D115230"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Отслеживаемая статистикой смертность от респираторных заболеваний, от других заболеваний органов дыхания, сердечно-сосудистых заболеваний, астмы и т. п. может быть связана также с курением и другими социальными факторами.</w:t>
            </w:r>
          </w:p>
        </w:tc>
        <w:tc>
          <w:tcPr>
            <w:tcW w:w="1559" w:type="dxa"/>
            <w:tcBorders>
              <w:top w:val="single" w:sz="4" w:space="0" w:color="000000"/>
              <w:left w:val="single" w:sz="4" w:space="0" w:color="000000"/>
              <w:bottom w:val="single" w:sz="4" w:space="0" w:color="000000"/>
            </w:tcBorders>
            <w:shd w:val="clear" w:color="auto" w:fill="auto"/>
          </w:tcPr>
          <w:p w14:paraId="5C8AC64A"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Согласно оценке Всемирного банка 2013 г., загрязнение воздуха твердыми частицами ежегодно является причиной приблизительно 2800 случаев преждевременной смерти в Казахстане и обходится экономике более чем в 1,3 млрд. долларов США за счет увеличения расходов на здравоохранение</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52E5F054" w14:textId="77777777" w:rsidR="00F674A4" w:rsidRPr="00F0736F" w:rsidRDefault="00F674A4" w:rsidP="00BB73C0">
            <w:pPr>
              <w:ind w:firstLine="34"/>
              <w:jc w:val="both"/>
              <w:rPr>
                <w:color w:val="000000" w:themeColor="text1"/>
              </w:rPr>
            </w:pPr>
            <w:r w:rsidRPr="00F0736F">
              <w:rPr>
                <w:rFonts w:ascii="Times New Roman" w:hAnsi="Times New Roman" w:cs="Times New Roman"/>
                <w:color w:val="000000" w:themeColor="text1"/>
                <w:sz w:val="20"/>
                <w:szCs w:val="20"/>
              </w:rPr>
              <w:t>Необходимо выделить и отслеживать заболевания, связанные с экологическими факторами.</w:t>
            </w:r>
          </w:p>
          <w:p w14:paraId="5A41B27C" w14:textId="77777777" w:rsidR="00F674A4" w:rsidRPr="00F0736F" w:rsidRDefault="00F674A4" w:rsidP="00BB73C0">
            <w:pPr>
              <w:ind w:firstLine="34"/>
              <w:jc w:val="both"/>
              <w:rPr>
                <w:rFonts w:ascii="Times New Roman" w:hAnsi="Times New Roman" w:cs="Times New Roman"/>
                <w:color w:val="000000" w:themeColor="text1"/>
                <w:sz w:val="20"/>
                <w:szCs w:val="20"/>
              </w:rPr>
            </w:pPr>
          </w:p>
        </w:tc>
      </w:tr>
      <w:tr w:rsidR="00F0736F" w:rsidRPr="00F0736F" w14:paraId="6BE14672" w14:textId="77777777" w:rsidTr="005E0F7B">
        <w:tc>
          <w:tcPr>
            <w:tcW w:w="9740" w:type="dxa"/>
            <w:gridSpan w:val="6"/>
            <w:tcBorders>
              <w:top w:val="single" w:sz="4" w:space="0" w:color="000000"/>
              <w:left w:val="single" w:sz="4" w:space="0" w:color="000000"/>
              <w:bottom w:val="single" w:sz="4" w:space="0" w:color="000000"/>
              <w:right w:val="single" w:sz="4" w:space="0" w:color="000000"/>
            </w:tcBorders>
            <w:shd w:val="clear" w:color="auto" w:fill="auto"/>
          </w:tcPr>
          <w:p w14:paraId="5033BCDD" w14:textId="77777777" w:rsidR="00F674A4" w:rsidRPr="00F0736F" w:rsidRDefault="00F674A4" w:rsidP="005C5C5D">
            <w:pPr>
              <w:jc w:val="center"/>
              <w:rPr>
                <w:color w:val="000000" w:themeColor="text1"/>
              </w:rPr>
            </w:pPr>
            <w:r w:rsidRPr="00F0736F">
              <w:rPr>
                <w:rFonts w:ascii="Times New Roman" w:hAnsi="Times New Roman" w:cs="Times New Roman"/>
                <w:color w:val="000000" w:themeColor="text1"/>
                <w:sz w:val="20"/>
                <w:szCs w:val="20"/>
              </w:rPr>
              <w:t>ЦУР 11. Обеспечение открытости, безопасности, жизнестойкости и экологической устойчивости городов и населенных пунктов</w:t>
            </w:r>
          </w:p>
        </w:tc>
      </w:tr>
      <w:tr w:rsidR="00F0736F" w:rsidRPr="00F0736F" w14:paraId="0EF3AB67" w14:textId="77777777" w:rsidTr="005E0F7B">
        <w:trPr>
          <w:gridAfter w:val="1"/>
          <w:wAfter w:w="12" w:type="dxa"/>
        </w:trPr>
        <w:tc>
          <w:tcPr>
            <w:tcW w:w="2437" w:type="dxa"/>
            <w:tcBorders>
              <w:top w:val="single" w:sz="4" w:space="0" w:color="000000"/>
              <w:left w:val="single" w:sz="4" w:space="0" w:color="000000"/>
              <w:bottom w:val="single" w:sz="4" w:space="0" w:color="000000"/>
            </w:tcBorders>
            <w:shd w:val="clear" w:color="auto" w:fill="auto"/>
          </w:tcPr>
          <w:p w14:paraId="3C586D4A"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11.6 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tc>
        <w:tc>
          <w:tcPr>
            <w:tcW w:w="2221" w:type="dxa"/>
            <w:tcBorders>
              <w:top w:val="single" w:sz="4" w:space="0" w:color="000000"/>
              <w:left w:val="single" w:sz="4" w:space="0" w:color="000000"/>
              <w:bottom w:val="single" w:sz="4" w:space="0" w:color="000000"/>
            </w:tcBorders>
            <w:shd w:val="clear" w:color="auto" w:fill="auto"/>
          </w:tcPr>
          <w:p w14:paraId="27657CB0"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11.6.2 Среднегодовой уровень содержания мелких твердых частиц (например, класса PM2.5 и PM10) в атмосфере городов (в пересчете на численность населения)</w:t>
            </w:r>
          </w:p>
        </w:tc>
        <w:tc>
          <w:tcPr>
            <w:tcW w:w="1892" w:type="dxa"/>
            <w:tcBorders>
              <w:top w:val="single" w:sz="4" w:space="0" w:color="000000"/>
              <w:left w:val="single" w:sz="4" w:space="0" w:color="000000"/>
              <w:bottom w:val="single" w:sz="4" w:space="0" w:color="000000"/>
            </w:tcBorders>
            <w:shd w:val="clear" w:color="auto" w:fill="auto"/>
          </w:tcPr>
          <w:p w14:paraId="7B6D266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Среднегодовая концентрация взвешенных частиц РМ 2,5 и РМ 10 в атмосферном воздухе (мг/м3) в городах, где ведутся наблюдения</w:t>
            </w:r>
          </w:p>
        </w:tc>
        <w:tc>
          <w:tcPr>
            <w:tcW w:w="1559" w:type="dxa"/>
            <w:tcBorders>
              <w:top w:val="single" w:sz="4" w:space="0" w:color="000000"/>
              <w:left w:val="single" w:sz="4" w:space="0" w:color="000000"/>
              <w:bottom w:val="single" w:sz="4" w:space="0" w:color="000000"/>
            </w:tcBorders>
            <w:shd w:val="clear" w:color="auto" w:fill="auto"/>
          </w:tcPr>
          <w:p w14:paraId="25664B28"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605DF10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пересчет на душу населения и сравнение с международными показателями</w:t>
            </w:r>
          </w:p>
        </w:tc>
      </w:tr>
      <w:tr w:rsidR="00F674A4" w:rsidRPr="00F0736F" w14:paraId="12049093" w14:textId="77777777" w:rsidTr="005E0F7B">
        <w:trPr>
          <w:gridAfter w:val="1"/>
          <w:wAfter w:w="12" w:type="dxa"/>
        </w:trPr>
        <w:tc>
          <w:tcPr>
            <w:tcW w:w="2437" w:type="dxa"/>
            <w:tcBorders>
              <w:top w:val="single" w:sz="4" w:space="0" w:color="000000"/>
              <w:left w:val="single" w:sz="4" w:space="0" w:color="000000"/>
              <w:bottom w:val="single" w:sz="4" w:space="0" w:color="000000"/>
            </w:tcBorders>
            <w:shd w:val="clear" w:color="auto" w:fill="auto"/>
          </w:tcPr>
          <w:p w14:paraId="35034172"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11.7 К 2030 году обеспечить всеобщий доступ к безопасным, доступным и открытым для всех зеленым зонам и общественным местам, особенно для женщин и детей, пожилых людей и инвалидов</w:t>
            </w:r>
          </w:p>
        </w:tc>
        <w:tc>
          <w:tcPr>
            <w:tcW w:w="2221" w:type="dxa"/>
            <w:tcBorders>
              <w:top w:val="single" w:sz="4" w:space="0" w:color="000000"/>
              <w:left w:val="single" w:sz="4" w:space="0" w:color="000000"/>
              <w:bottom w:val="single" w:sz="4" w:space="0" w:color="000000"/>
            </w:tcBorders>
            <w:shd w:val="clear" w:color="auto" w:fill="auto"/>
          </w:tcPr>
          <w:p w14:paraId="58F280A3"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11.7.1 Средняя доля застроенной городской территории, относящейся к открытым для всех общественным местам, с указанием доступности в разбивке по полу, возрасту и признаку инвалидности</w:t>
            </w:r>
          </w:p>
        </w:tc>
        <w:tc>
          <w:tcPr>
            <w:tcW w:w="1892" w:type="dxa"/>
            <w:tcBorders>
              <w:top w:val="single" w:sz="4" w:space="0" w:color="000000"/>
              <w:left w:val="single" w:sz="4" w:space="0" w:color="000000"/>
              <w:bottom w:val="single" w:sz="4" w:space="0" w:color="000000"/>
            </w:tcBorders>
            <w:shd w:val="clear" w:color="auto" w:fill="auto"/>
          </w:tcPr>
          <w:p w14:paraId="6A3DDF5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559" w:type="dxa"/>
            <w:tcBorders>
              <w:top w:val="single" w:sz="4" w:space="0" w:color="000000"/>
              <w:left w:val="single" w:sz="4" w:space="0" w:color="000000"/>
              <w:bottom w:val="single" w:sz="4" w:space="0" w:color="000000"/>
            </w:tcBorders>
            <w:shd w:val="clear" w:color="auto" w:fill="auto"/>
          </w:tcPr>
          <w:p w14:paraId="62AD8BDB"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36DB317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Количество парковых зон относительно общей площади населенных пунктов</w:t>
            </w:r>
          </w:p>
        </w:tc>
      </w:tr>
    </w:tbl>
    <w:p w14:paraId="542B06AE" w14:textId="77777777" w:rsidR="00F674A4" w:rsidRPr="00F0736F" w:rsidRDefault="00F674A4" w:rsidP="008727D9">
      <w:pPr>
        <w:ind w:firstLine="709"/>
        <w:jc w:val="both"/>
        <w:rPr>
          <w:rFonts w:ascii="Times New Roman" w:hAnsi="Times New Roman" w:cs="Times New Roman"/>
          <w:color w:val="000000" w:themeColor="text1"/>
        </w:rPr>
      </w:pPr>
    </w:p>
    <w:p w14:paraId="11AC32A8" w14:textId="210DB674" w:rsidR="00F674A4" w:rsidRPr="00F0736F" w:rsidRDefault="00F674A4" w:rsidP="00744283">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16200AA9" w14:textId="49AA8FF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w:t>
      </w:r>
      <w:r w:rsidR="005C5C5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проблем </w:t>
      </w:r>
      <w:r w:rsidR="00DD78C6" w:rsidRPr="00F0736F">
        <w:rPr>
          <w:rFonts w:ascii="Times New Roman" w:hAnsi="Times New Roman" w:cs="Times New Roman"/>
          <w:color w:val="000000" w:themeColor="text1"/>
        </w:rPr>
        <w:t xml:space="preserve">качества воздуха </w:t>
      </w:r>
      <w:r w:rsidRPr="00F0736F">
        <w:rPr>
          <w:rFonts w:ascii="Times New Roman" w:hAnsi="Times New Roman" w:cs="Times New Roman"/>
          <w:color w:val="000000" w:themeColor="text1"/>
        </w:rPr>
        <w:t xml:space="preserve">в Стратегическом плане развития Республики Казахстан до 2025 года стоит прямая задача </w:t>
      </w:r>
      <w:r w:rsidR="005C5C5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Улучшение экологической ситуации</w:t>
      </w:r>
      <w:r w:rsidR="005C5C5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При этом необходимо повысить экологические стандарты Казахстана до уровня развитых стран, в том числе по показателям выбросов в атмосферу промышленными предприятиями и автотранспортом.</w:t>
      </w:r>
    </w:p>
    <w:p w14:paraId="6645AEA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рамках данной задачи предусмотрены следующие инициативы:</w:t>
      </w:r>
    </w:p>
    <w:p w14:paraId="1A499ABA" w14:textId="35192EDF" w:rsidR="00F674A4" w:rsidRPr="00F0736F" w:rsidRDefault="00943653" w:rsidP="008727D9">
      <w:pPr>
        <w:ind w:firstLine="709"/>
        <w:jc w:val="both"/>
        <w:rPr>
          <w:color w:val="000000" w:themeColor="text1"/>
        </w:rPr>
      </w:pPr>
      <w:r w:rsidRPr="00F0736F">
        <w:rPr>
          <w:rFonts w:ascii="Times New Roman" w:hAnsi="Times New Roman" w:cs="Times New Roman"/>
          <w:color w:val="000000" w:themeColor="text1"/>
        </w:rPr>
        <w:t>и</w:t>
      </w:r>
      <w:r w:rsidR="00F674A4" w:rsidRPr="00F0736F">
        <w:rPr>
          <w:rFonts w:ascii="Times New Roman" w:hAnsi="Times New Roman" w:cs="Times New Roman"/>
          <w:color w:val="000000" w:themeColor="text1"/>
        </w:rPr>
        <w:t xml:space="preserve">нициатива 5.17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Пересмотр экологического законодательства</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w:t>
      </w:r>
      <w:bookmarkStart w:id="25" w:name="z707"/>
      <w:bookmarkEnd w:id="25"/>
      <w:r w:rsidR="00F674A4" w:rsidRPr="00F0736F">
        <w:rPr>
          <w:rFonts w:ascii="Times New Roman" w:hAnsi="Times New Roman" w:cs="Times New Roman"/>
          <w:color w:val="000000" w:themeColor="text1"/>
        </w:rPr>
        <w:t xml:space="preserve"> В рамках совершенствования экологического законодательства буд</w:t>
      </w:r>
      <w:r w:rsidRPr="00F0736F">
        <w:rPr>
          <w:rFonts w:ascii="Times New Roman" w:hAnsi="Times New Roman" w:cs="Times New Roman"/>
          <w:color w:val="000000" w:themeColor="text1"/>
        </w:rPr>
        <w:t>е</w:t>
      </w:r>
      <w:r w:rsidR="00F674A4" w:rsidRPr="00F0736F">
        <w:rPr>
          <w:rFonts w:ascii="Times New Roman" w:hAnsi="Times New Roman" w:cs="Times New Roman"/>
          <w:color w:val="000000" w:themeColor="text1"/>
        </w:rPr>
        <w:t>т пересмотрена действующая система оценки воздействия на окружающую среду, простимулированы природопользователи к снижению эмиссий, усовершенствованы принципы нормирования выбросов, а также внедрены прогрессивные механизмы экологического регулирования. На основе международного опыта и технических и экономических возможностей будут пересмотрены экологические стандарты Казахстана.</w:t>
      </w:r>
    </w:p>
    <w:p w14:paraId="14C1A08C" w14:textId="2CB82271" w:rsidR="00F674A4" w:rsidRPr="00F0736F" w:rsidRDefault="00943653" w:rsidP="008727D9">
      <w:pPr>
        <w:ind w:firstLine="709"/>
        <w:jc w:val="both"/>
        <w:rPr>
          <w:color w:val="000000" w:themeColor="text1"/>
        </w:rPr>
      </w:pPr>
      <w:r w:rsidRPr="00F0736F">
        <w:rPr>
          <w:rFonts w:ascii="Times New Roman" w:hAnsi="Times New Roman" w:cs="Times New Roman"/>
          <w:color w:val="000000" w:themeColor="text1"/>
        </w:rPr>
        <w:t>и</w:t>
      </w:r>
      <w:r w:rsidR="00F674A4" w:rsidRPr="00F0736F">
        <w:rPr>
          <w:rFonts w:ascii="Times New Roman" w:hAnsi="Times New Roman" w:cs="Times New Roman"/>
          <w:color w:val="000000" w:themeColor="text1"/>
        </w:rPr>
        <w:t xml:space="preserve">нициатива 5.19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Внедрение принципа</w:t>
      </w:r>
      <w:r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rPr>
        <w:t>загрязнитель платит</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w:t>
      </w:r>
      <w:bookmarkStart w:id="26" w:name="z711"/>
      <w:bookmarkEnd w:id="26"/>
      <w:r w:rsidR="00F674A4" w:rsidRPr="00F0736F">
        <w:rPr>
          <w:rFonts w:ascii="Times New Roman" w:hAnsi="Times New Roman" w:cs="Times New Roman"/>
          <w:color w:val="000000" w:themeColor="text1"/>
        </w:rPr>
        <w:t xml:space="preserve"> Для предотвращения загрязнения охраны окружающей среды будет изучен и перенят лучший международный опыт по реализации принципа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загрязнитель платит</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предполагающий компенсацию ущерба окружающей среде со стороны предприятия. Это создаст реальные стимулы предприятиям снижать эмиссии загрязняющих веществ, инвестировать в природоохранные мероприятия, а также позволит использовать наказания и штрафы как механизм государственного принуждения только в крайних случаях.</w:t>
      </w:r>
    </w:p>
    <w:p w14:paraId="6338DF91" w14:textId="06749760" w:rsidR="00F674A4" w:rsidRPr="00F0736F" w:rsidRDefault="00943653" w:rsidP="008727D9">
      <w:pPr>
        <w:ind w:firstLine="709"/>
        <w:jc w:val="both"/>
        <w:rPr>
          <w:color w:val="000000" w:themeColor="text1"/>
        </w:rPr>
      </w:pPr>
      <w:r w:rsidRPr="00F0736F">
        <w:rPr>
          <w:rFonts w:ascii="Times New Roman" w:hAnsi="Times New Roman" w:cs="Times New Roman"/>
          <w:color w:val="000000" w:themeColor="text1"/>
        </w:rPr>
        <w:t>и</w:t>
      </w:r>
      <w:r w:rsidR="00F674A4" w:rsidRPr="00F0736F">
        <w:rPr>
          <w:rFonts w:ascii="Times New Roman" w:hAnsi="Times New Roman" w:cs="Times New Roman"/>
          <w:color w:val="000000" w:themeColor="text1"/>
        </w:rPr>
        <w:t xml:space="preserve">нициатива 5.20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Внедрение комплексных экологических разрешений для компаний</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w:t>
      </w:r>
      <w:bookmarkStart w:id="27" w:name="z712"/>
      <w:bookmarkEnd w:id="27"/>
      <w:r w:rsidR="00F674A4" w:rsidRPr="00F0736F">
        <w:rPr>
          <w:rFonts w:ascii="Times New Roman" w:hAnsi="Times New Roman" w:cs="Times New Roman"/>
          <w:color w:val="000000" w:themeColor="text1"/>
        </w:rPr>
        <w:t xml:space="preserve"> Вместо существующей системы экологического регулирования воздействия предприятий, основанного на нормировании предельно допустимых концентраций загрязняющих веществ на границах санитарных защитных зон, будет изучена и внедрена система выдачи комплексных экологических разрешений, основанных на применении наилучших доступных технологий.</w:t>
      </w:r>
    </w:p>
    <w:p w14:paraId="17E5AD2C" w14:textId="3627CD54" w:rsidR="00F674A4" w:rsidRPr="00F0736F" w:rsidRDefault="00943653" w:rsidP="008727D9">
      <w:pPr>
        <w:ind w:firstLine="709"/>
        <w:jc w:val="both"/>
        <w:rPr>
          <w:color w:val="000000" w:themeColor="text1"/>
        </w:rPr>
      </w:pPr>
      <w:r w:rsidRPr="00F0736F">
        <w:rPr>
          <w:rFonts w:ascii="Times New Roman" w:hAnsi="Times New Roman" w:cs="Times New Roman"/>
          <w:color w:val="000000" w:themeColor="text1"/>
        </w:rPr>
        <w:t>и</w:t>
      </w:r>
      <w:r w:rsidR="00F674A4" w:rsidRPr="00F0736F">
        <w:rPr>
          <w:rFonts w:ascii="Times New Roman" w:hAnsi="Times New Roman" w:cs="Times New Roman"/>
          <w:color w:val="000000" w:themeColor="text1"/>
        </w:rPr>
        <w:t xml:space="preserve">нициатива 5.21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Изменение процесса оценки влияния предприятий на окружающую среду</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w:t>
      </w:r>
      <w:bookmarkStart w:id="28" w:name="z713"/>
      <w:bookmarkEnd w:id="28"/>
      <w:r w:rsidR="00F674A4" w:rsidRPr="00F0736F">
        <w:rPr>
          <w:rFonts w:ascii="Times New Roman" w:hAnsi="Times New Roman" w:cs="Times New Roman"/>
          <w:color w:val="000000" w:themeColor="text1"/>
        </w:rPr>
        <w:t xml:space="preserve"> Для принятия экологически грамотных управленческих решений предприятиями МСБ процесс по выявлению характера, интенсивности и степени риска от воздействия любого вида хозяйственной деятельности на состояние окружающей среды и здоровья населения будет изменен на процесс оценки воздействия на окружающую среду.</w:t>
      </w:r>
    </w:p>
    <w:p w14:paraId="61312F40" w14:textId="34EABC2A" w:rsidR="00F674A4" w:rsidRPr="00F0736F" w:rsidRDefault="00943653" w:rsidP="008727D9">
      <w:pPr>
        <w:ind w:firstLine="709"/>
        <w:jc w:val="both"/>
        <w:rPr>
          <w:color w:val="000000" w:themeColor="text1"/>
        </w:rPr>
      </w:pPr>
      <w:r w:rsidRPr="00F0736F">
        <w:rPr>
          <w:rFonts w:ascii="Times New Roman" w:hAnsi="Times New Roman" w:cs="Times New Roman"/>
          <w:color w:val="000000" w:themeColor="text1"/>
        </w:rPr>
        <w:t>и</w:t>
      </w:r>
      <w:r w:rsidR="00F674A4" w:rsidRPr="00F0736F">
        <w:rPr>
          <w:rFonts w:ascii="Times New Roman" w:hAnsi="Times New Roman" w:cs="Times New Roman"/>
          <w:color w:val="000000" w:themeColor="text1"/>
        </w:rPr>
        <w:t xml:space="preserve">нициатива 5.22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Активное продвижение политики охраны окружающей среды</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w:t>
      </w:r>
      <w:bookmarkStart w:id="29" w:name="z714"/>
      <w:bookmarkEnd w:id="29"/>
      <w:r w:rsidR="00F674A4" w:rsidRPr="00F0736F">
        <w:rPr>
          <w:rFonts w:ascii="Times New Roman" w:hAnsi="Times New Roman" w:cs="Times New Roman"/>
          <w:color w:val="000000" w:themeColor="text1"/>
        </w:rPr>
        <w:t xml:space="preserve"> Акцент на широкое продвижение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зеленой</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политики будет сделан через публикации, прямые контакты между регулятором и компаниями с разъяснениями правил и принципов, вручение отраслевых наград за достижения в области охраны окружающей среды.</w:t>
      </w:r>
    </w:p>
    <w:p w14:paraId="36EE81EB"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Реализация перечисленных инициатив позволит в числе прочего значительно улучшить состояние атмосферного воздуха, что найдет отражение в таких измерениях, как повышение позиции Казахстана с 56-го до 40-го места в индексе человеческого развития ООН, увеличение продолжительности жизни до 75 лет, снижение смертности младенцев (до 7,2 на 1000 родившихся живыми соответственно), расширение охвата до 80% детей с 1 до 6 лет дошкольным образованием и воспитанием</w:t>
      </w:r>
      <w:r w:rsidRPr="00F0736F">
        <w:rPr>
          <w:rStyle w:val="a4"/>
          <w:rFonts w:ascii="Times New Roman" w:hAnsi="Times New Roman" w:cs="Times New Roman"/>
          <w:color w:val="000000" w:themeColor="text1"/>
        </w:rPr>
        <w:footnoteReference w:id="87"/>
      </w:r>
      <w:r w:rsidRPr="00F0736F">
        <w:rPr>
          <w:rFonts w:ascii="Times New Roman" w:hAnsi="Times New Roman" w:cs="Times New Roman"/>
          <w:color w:val="000000" w:themeColor="text1"/>
        </w:rPr>
        <w:t>.</w:t>
      </w:r>
    </w:p>
    <w:p w14:paraId="76FADBC6" w14:textId="0768897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преодоления технологического разрыва со странами ОЭСР в Стратегическом плане развития Республики Казахстан до 2025 года предусмотрена Инициатива 2.1 </w:t>
      </w:r>
      <w:r w:rsidR="0094365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Стандартизация технологических процессов</w:t>
      </w:r>
      <w:r w:rsidR="0094365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в рамках которой</w:t>
      </w:r>
      <w:bookmarkStart w:id="30" w:name="z353"/>
      <w:bookmarkEnd w:id="30"/>
      <w:r w:rsidRPr="00F0736F">
        <w:rPr>
          <w:rFonts w:ascii="Times New Roman" w:hAnsi="Times New Roman" w:cs="Times New Roman"/>
          <w:color w:val="000000" w:themeColor="text1"/>
        </w:rPr>
        <w:t xml:space="preserve"> буд</w:t>
      </w:r>
      <w:r w:rsidR="00943653"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т обеспечен</w:t>
      </w:r>
      <w:r w:rsidR="00943653"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 периодическое обновление национальных стандартов в соответствии со стандартами ОЭСР, активизирована работа отраслевых государственных органов в области стандартизации, расширены инструменты стимулирования предприятий для получения современных стандартов и повышения технологических компетенций, развита сеть аккредитованных лабораторий. В рамках данной работы государственными органами продолжатся анализ и актуализация технических регламентов и стандартов в отраслях на предмет соответствия международным требованиям и новым технологическим трендам. Там же Инициатива 2.5 </w:t>
      </w:r>
      <w:r w:rsidR="0094365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Стимулирование трансфера технологий</w:t>
      </w:r>
      <w:r w:rsidR="0094365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предусматривает содействие казахстанским компаниям при поиске, приобретении высокотехнологичных и передовых технологий за рубежом, а также посредством вхождения в международную сеть трансфера технологий.</w:t>
      </w:r>
    </w:p>
    <w:p w14:paraId="10CE3F1B" w14:textId="77777777" w:rsidR="00F674A4" w:rsidRPr="00F0736F" w:rsidRDefault="00F674A4" w:rsidP="008727D9">
      <w:pPr>
        <w:ind w:firstLine="709"/>
        <w:jc w:val="both"/>
        <w:rPr>
          <w:rFonts w:ascii="Calibri" w:hAnsi="Calibri"/>
          <w:color w:val="000000" w:themeColor="text1"/>
        </w:rPr>
      </w:pPr>
      <w:r w:rsidRPr="00F0736F">
        <w:rPr>
          <w:rFonts w:ascii="Times New Roman" w:hAnsi="Times New Roman" w:cs="Times New Roman"/>
          <w:color w:val="000000" w:themeColor="text1"/>
        </w:rPr>
        <w:t>Развитие сотрудничества с ОЭСР является одним из приоритетов внешнеэкономической политики Казахстана, поскольку Казахстан ставит целью вступление в эту организацию. Поэтому будет продолжена работа по имплементации передовых практик и стандартов ОЭСР, а также повышению уровня казахстанского участия в комитетах и рабочих органах ОЭСР в рамках соответствующего утвержденного плана действий (Задача 3. Углубление сотрудничества с ОЭСР).</w:t>
      </w:r>
    </w:p>
    <w:p w14:paraId="5357B22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Во исполнение Послания Президента Н.А. Назарбаева «Рост благосостояния казахстанцев: повышение доходов и качества жизни» от 5 октября 2018 года утвержден Общенациональный план мероприятий (ОНП). Пунктом 55 ОНП Министерству энергетики РК поручена разработка законопроекта по внесению изменений и дополнений в законодательство в части увеличения размеров административных санкций за нарушение экологического законодательства, совершенствование механизма проведения экологических проверок, а также установления норматива направления средств, поступающих от платы за эмиссию в окружающую среду, на решение вопросов, связанных с улучшением экологической ситуации соответствующего региона. </w:t>
      </w:r>
    </w:p>
    <w:p w14:paraId="665B00C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Пересмотр экологического законодательства на основе международного опыта предусматривает также Инициатива 5.17 Стратегического плана развития Республики Казахстан до 2025 года.</w:t>
      </w:r>
    </w:p>
    <w:p w14:paraId="4C398E03" w14:textId="28114462"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Во исполнение Общенационального плана, направленного на реализацию Послания Главы </w:t>
      </w:r>
      <w:r w:rsidR="00943653" w:rsidRPr="00F0736F">
        <w:rPr>
          <w:rFonts w:ascii="Times New Roman" w:hAnsi="Times New Roman" w:cs="Times New Roman"/>
          <w:color w:val="000000" w:themeColor="text1"/>
        </w:rPr>
        <w:t>г</w:t>
      </w:r>
      <w:r w:rsidRPr="00F0736F">
        <w:rPr>
          <w:rFonts w:ascii="Times New Roman" w:hAnsi="Times New Roman" w:cs="Times New Roman"/>
          <w:color w:val="000000" w:themeColor="text1"/>
        </w:rPr>
        <w:t>осударства «Новые возможности развития в условиях четвертой промышленной революции», проект Экологического кодекса в новой редакции внесен в Мажилис Парламента Республики Казахстан в декабре 2019 года.</w:t>
      </w:r>
    </w:p>
    <w:p w14:paraId="5709DA03" w14:textId="77777777" w:rsidR="00F674A4" w:rsidRPr="00F0736F" w:rsidRDefault="00DD78C6"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w:t>
      </w:r>
    </w:p>
    <w:p w14:paraId="2FFD8586" w14:textId="77777777" w:rsidR="00F674A4" w:rsidRPr="00F0736F" w:rsidRDefault="00F674A4" w:rsidP="008727D9">
      <w:pPr>
        <w:ind w:firstLine="709"/>
        <w:jc w:val="both"/>
        <w:rPr>
          <w:rFonts w:ascii="Times New Roman" w:hAnsi="Times New Roman" w:cs="Times New Roman"/>
          <w:b/>
          <w:bCs/>
          <w:color w:val="000000" w:themeColor="text1"/>
        </w:rPr>
      </w:pPr>
    </w:p>
    <w:p w14:paraId="2BF836C1" w14:textId="39792218"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31" w:name="_Toc57818728"/>
      <w:r w:rsidRPr="007272FB">
        <w:rPr>
          <w:rFonts w:ascii="Times New Roman" w:eastAsia="Times New Roman" w:hAnsi="Times New Roman" w:cs="Times New Roman"/>
          <w:color w:val="000000" w:themeColor="text1"/>
          <w:sz w:val="24"/>
          <w:szCs w:val="24"/>
        </w:rPr>
        <w:t>1.7. Снижение выбросов парниковых газов</w:t>
      </w:r>
      <w:bookmarkEnd w:id="31"/>
    </w:p>
    <w:p w14:paraId="6C59521E" w14:textId="77777777" w:rsidR="00F674A4" w:rsidRPr="00F0736F" w:rsidRDefault="00F674A4" w:rsidP="008727D9">
      <w:pPr>
        <w:ind w:firstLine="709"/>
        <w:jc w:val="both"/>
        <w:rPr>
          <w:rFonts w:ascii="Times New Roman" w:hAnsi="Times New Roman" w:cs="Times New Roman"/>
          <w:b/>
          <w:bCs/>
          <w:i/>
          <w:iCs/>
          <w:color w:val="000000" w:themeColor="text1"/>
        </w:rPr>
      </w:pPr>
    </w:p>
    <w:p w14:paraId="39B03818" w14:textId="77777777" w:rsidR="00B671A0" w:rsidRPr="00F0736F" w:rsidRDefault="00B671A0" w:rsidP="008727D9">
      <w:pPr>
        <w:ind w:firstLine="709"/>
        <w:jc w:val="both"/>
        <w:rPr>
          <w:rFonts w:ascii="Times New Roman" w:hAnsi="Times New Roman" w:cs="Times New Roman"/>
          <w:b/>
          <w:bCs/>
          <w:i/>
          <w:iCs/>
          <w:color w:val="000000" w:themeColor="text1"/>
        </w:rPr>
      </w:pPr>
      <w:r w:rsidRPr="00F0736F">
        <w:rPr>
          <w:rFonts w:ascii="Times New Roman" w:hAnsi="Times New Roman" w:cs="Times New Roman"/>
          <w:b/>
          <w:bCs/>
          <w:i/>
          <w:iCs/>
          <w:color w:val="000000" w:themeColor="text1"/>
        </w:rPr>
        <w:t>Национальные обязательства по сокращению выбросов ПГ</w:t>
      </w:r>
    </w:p>
    <w:p w14:paraId="3864B97A" w14:textId="77777777" w:rsidR="00B671A0" w:rsidRPr="00F0736F" w:rsidRDefault="00B671A0" w:rsidP="008727D9">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 xml:space="preserve">Казахстан является стороной Рамочной конвенции ООН об изменении климата (РКИК ООН), Киотского протокола к ней и Парижского соглашения, которое сменяет Киотский протокол с 2021 года. </w:t>
      </w:r>
    </w:p>
    <w:p w14:paraId="0B2C3F1C" w14:textId="77777777" w:rsidR="00B671A0" w:rsidRPr="00F0736F" w:rsidRDefault="00B671A0" w:rsidP="008727D9">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В рамках Киотского протокола Казахстан принял обязательство к 2020 году удержать выбросы парниковых газов (ПГ) без учета эмиссий и поглощений в секторе ЗИЗЛХ</w:t>
      </w:r>
      <w:r w:rsidR="00B54D98" w:rsidRPr="00F0736F">
        <w:rPr>
          <w:rFonts w:eastAsia="SimSun"/>
          <w:bCs/>
          <w:color w:val="000000" w:themeColor="text1"/>
          <w:vertAlign w:val="superscript"/>
        </w:rPr>
        <w:footnoteReference w:id="88"/>
      </w:r>
      <w:r w:rsidR="00B54D98" w:rsidRPr="00F0736F">
        <w:rPr>
          <w:rFonts w:eastAsia="SimSun"/>
          <w:bCs/>
          <w:color w:val="000000" w:themeColor="text1"/>
        </w:rPr>
        <w:t xml:space="preserve"> </w:t>
      </w:r>
      <w:r w:rsidRPr="00F0736F">
        <w:rPr>
          <w:rFonts w:ascii="Times New Roman" w:hAnsi="Times New Roman" w:cs="Times New Roman"/>
          <w:bCs/>
          <w:iCs/>
          <w:color w:val="000000" w:themeColor="text1"/>
        </w:rPr>
        <w:t xml:space="preserve"> на уровне 95 % от выбросов базового 1990 года.</w:t>
      </w:r>
    </w:p>
    <w:p w14:paraId="3B7DDB15" w14:textId="77777777" w:rsidR="00B671A0" w:rsidRPr="00F0736F" w:rsidRDefault="00B671A0" w:rsidP="008727D9">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 xml:space="preserve">В рамках Парижского соглашения в 2015 году Казахстан представил Секретариату РКИК ООН свой предполагаемый ОНУВ (определяемый на национальном уровне вклад), выразив готовность к 2030 </w:t>
      </w:r>
      <w:r w:rsidR="006F4C9E" w:rsidRPr="00F0736F">
        <w:rPr>
          <w:rFonts w:ascii="Times New Roman" w:hAnsi="Times New Roman" w:cs="Times New Roman"/>
          <w:bCs/>
          <w:iCs/>
          <w:color w:val="000000" w:themeColor="text1"/>
        </w:rPr>
        <w:t>году сократить выбросы ПГ на 15</w:t>
      </w:r>
      <w:r w:rsidRPr="00F0736F">
        <w:rPr>
          <w:rFonts w:ascii="Times New Roman" w:hAnsi="Times New Roman" w:cs="Times New Roman"/>
          <w:bCs/>
          <w:iCs/>
          <w:color w:val="000000" w:themeColor="text1"/>
        </w:rPr>
        <w:t>% от уровня 1990 года, а при условии получения внешней помощи (в виде передачи новых технологий) и благоприятной экономической ситуации – довести показатель до «-25%».</w:t>
      </w:r>
    </w:p>
    <w:p w14:paraId="664A7A29" w14:textId="77777777" w:rsidR="00B671A0" w:rsidRPr="00F0736F" w:rsidRDefault="00B671A0" w:rsidP="008727D9">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После ратификации Парижского соглашения и вступления его в силу</w:t>
      </w:r>
      <w:r w:rsidR="00B54D98" w:rsidRPr="00F0736F">
        <w:rPr>
          <w:rFonts w:eastAsia="SimSun"/>
          <w:bCs/>
          <w:color w:val="000000" w:themeColor="text1"/>
          <w:vertAlign w:val="superscript"/>
        </w:rPr>
        <w:footnoteReference w:id="89"/>
      </w:r>
      <w:r w:rsidR="00B54D98" w:rsidRPr="00F0736F">
        <w:rPr>
          <w:rFonts w:eastAsia="SimSun"/>
          <w:bCs/>
          <w:color w:val="000000" w:themeColor="text1"/>
        </w:rPr>
        <w:t xml:space="preserve"> </w:t>
      </w:r>
      <w:r w:rsidRPr="00F0736F">
        <w:rPr>
          <w:rFonts w:ascii="Times New Roman" w:hAnsi="Times New Roman" w:cs="Times New Roman"/>
          <w:bCs/>
          <w:iCs/>
          <w:color w:val="000000" w:themeColor="text1"/>
        </w:rPr>
        <w:t>Казахстан подтвердил ранее заявленный предполагаемый ОНУВ.</w:t>
      </w:r>
    </w:p>
    <w:p w14:paraId="523D6650" w14:textId="77777777" w:rsidR="00B671A0" w:rsidRPr="00F0736F" w:rsidRDefault="00B671A0" w:rsidP="008727D9">
      <w:pPr>
        <w:ind w:firstLine="709"/>
        <w:jc w:val="both"/>
        <w:rPr>
          <w:rFonts w:ascii="Times New Roman" w:hAnsi="Times New Roman" w:cs="Times New Roman"/>
          <w:b/>
          <w:bCs/>
          <w:i/>
          <w:iCs/>
          <w:color w:val="000000" w:themeColor="text1"/>
        </w:rPr>
      </w:pPr>
    </w:p>
    <w:p w14:paraId="188AE8BA" w14:textId="771DB8EC"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240EDCFF" w14:textId="77777777"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Согласно «Национальному докладу РК о кадастре антропогенных выбросов из источников и абсорбции поглотителями парниковых газов, не регулируемых Монреальским протоколом за период 1990-2018 гг.» </w:t>
      </w:r>
      <w:r w:rsidRPr="00F0736F">
        <w:rPr>
          <w:color w:val="000000" w:themeColor="text1"/>
          <w:vertAlign w:val="superscript"/>
        </w:rPr>
        <w:footnoteReference w:id="90"/>
      </w:r>
      <w:r w:rsidRPr="00F0736F">
        <w:rPr>
          <w:color w:val="000000" w:themeColor="text1"/>
        </w:rPr>
        <w:t xml:space="preserve">, </w:t>
      </w:r>
      <w:r w:rsidRPr="00F0736F">
        <w:rPr>
          <w:rFonts w:ascii="Times New Roman" w:hAnsi="Times New Roman" w:cs="Times New Roman"/>
          <w:color w:val="000000" w:themeColor="text1"/>
        </w:rPr>
        <w:t xml:space="preserve"> общие национальные выбросы парниковых газов в 1990 году без учета ЗИЗЛХ составили 401,9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sz w:val="16"/>
        </w:rPr>
        <w:t>2</w:t>
      </w:r>
      <w:r w:rsidRPr="00F0736F">
        <w:rPr>
          <w:rFonts w:ascii="Times New Roman" w:hAnsi="Times New Roman" w:cs="Times New Roman"/>
          <w:color w:val="000000" w:themeColor="text1"/>
        </w:rPr>
        <w:t xml:space="preserve">-экв., в 2018 году – 396,6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sz w:val="14"/>
        </w:rPr>
        <w:t>2</w:t>
      </w:r>
      <w:r w:rsidRPr="00F0736F">
        <w:rPr>
          <w:rFonts w:ascii="Times New Roman" w:hAnsi="Times New Roman" w:cs="Times New Roman"/>
          <w:color w:val="000000" w:themeColor="text1"/>
        </w:rPr>
        <w:t xml:space="preserve">-экв. (то есть были ниже уровня 1990 года на 1,3%). Нетто-эмиссии ПГ (с учетом ЗИЗЛХ) в 1990 году составили 386,3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sz w:val="16"/>
        </w:rPr>
        <w:t>2</w:t>
      </w:r>
      <w:r w:rsidRPr="00F0736F">
        <w:rPr>
          <w:rFonts w:ascii="Times New Roman" w:hAnsi="Times New Roman" w:cs="Times New Roman"/>
          <w:color w:val="000000" w:themeColor="text1"/>
        </w:rPr>
        <w:t xml:space="preserve">-экв., а в 2018 году – 401 885,9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sz w:val="16"/>
        </w:rPr>
        <w:t>2</w:t>
      </w:r>
      <w:r w:rsidRPr="00F0736F">
        <w:rPr>
          <w:rFonts w:ascii="Times New Roman" w:hAnsi="Times New Roman" w:cs="Times New Roman"/>
          <w:color w:val="000000" w:themeColor="text1"/>
        </w:rPr>
        <w:t>-экв. (то есть уже превысили уровень 1990 года на 4,05%).</w:t>
      </w:r>
    </w:p>
    <w:p w14:paraId="6940E9AB" w14:textId="2DF71C49" w:rsidR="00B54D98" w:rsidRPr="00F0736F" w:rsidRDefault="00B54D98" w:rsidP="008727D9">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 xml:space="preserve">Динамика выбросов ПГ РК за 1990-2018 гг. </w:t>
      </w:r>
      <w:r w:rsidRPr="00F0736F">
        <w:rPr>
          <w:rFonts w:ascii="Times New Roman" w:hAnsi="Times New Roman" w:cs="Times New Roman"/>
          <w:color w:val="000000" w:themeColor="text1"/>
        </w:rPr>
        <w:t>(</w:t>
      </w:r>
      <w:r w:rsidR="00943653" w:rsidRPr="00F0736F">
        <w:rPr>
          <w:rFonts w:ascii="Times New Roman" w:hAnsi="Times New Roman" w:cs="Times New Roman"/>
          <w:color w:val="000000" w:themeColor="text1"/>
        </w:rPr>
        <w:t>р</w:t>
      </w:r>
      <w:r w:rsidRPr="00F0736F">
        <w:rPr>
          <w:rFonts w:ascii="Times New Roman" w:hAnsi="Times New Roman" w:cs="Times New Roman"/>
          <w:color w:val="000000" w:themeColor="text1"/>
        </w:rPr>
        <w:t>исунок 1.7.1</w:t>
      </w:r>
      <w:r w:rsidR="0094365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хорошо коррелирует с динамикой ВВП страны. До 1996 года включительно наблюдалось поступательное и стремительное снижение объемов выбросов</w:t>
      </w:r>
      <w:r w:rsidRPr="00F0736F">
        <w:rPr>
          <w:rFonts w:ascii="Times New Roman" w:eastAsia="Calibri" w:hAnsi="Times New Roman" w:cs="Times New Roman"/>
          <w:color w:val="000000" w:themeColor="text1"/>
        </w:rPr>
        <w:t xml:space="preserve"> ПГ, связанное с экономическим спадом переходного периода. С 1997-го по 2000 год</w:t>
      </w:r>
      <w:r w:rsidR="006F4C9E" w:rsidRPr="00F0736F">
        <w:rPr>
          <w:rFonts w:ascii="Times New Roman" w:eastAsia="Calibri" w:hAnsi="Times New Roman" w:cs="Times New Roman"/>
          <w:color w:val="000000" w:themeColor="text1"/>
        </w:rPr>
        <w:t>ы</w:t>
      </w:r>
      <w:r w:rsidRPr="00F0736F">
        <w:rPr>
          <w:rFonts w:ascii="Times New Roman" w:eastAsia="Calibri" w:hAnsi="Times New Roman" w:cs="Times New Roman"/>
          <w:color w:val="000000" w:themeColor="text1"/>
        </w:rPr>
        <w:t xml:space="preserve"> видим колебания в фазу «глубокой экономической депрессии», когда экономика пыталась встать на ноги. </w:t>
      </w:r>
      <w:r w:rsidR="00943653" w:rsidRPr="00F0736F">
        <w:rPr>
          <w:rFonts w:ascii="Times New Roman" w:eastAsia="Calibri" w:hAnsi="Times New Roman" w:cs="Times New Roman"/>
          <w:color w:val="000000" w:themeColor="text1"/>
        </w:rPr>
        <w:t>С</w:t>
      </w:r>
      <w:r w:rsidRPr="00F0736F">
        <w:rPr>
          <w:rFonts w:ascii="Times New Roman" w:eastAsia="Calibri" w:hAnsi="Times New Roman" w:cs="Times New Roman"/>
          <w:color w:val="000000" w:themeColor="text1"/>
        </w:rPr>
        <w:t xml:space="preserve"> 2001 года наблюдается период поступательного увеличения выбросов ПГ за исключением годов, когда экономика Казахстана испытывала влияние внешних экономических кризисов.</w:t>
      </w:r>
    </w:p>
    <w:p w14:paraId="7A512673" w14:textId="77777777" w:rsidR="00096D0B" w:rsidRPr="00F0736F" w:rsidRDefault="00096D0B" w:rsidP="008727D9">
      <w:pPr>
        <w:ind w:firstLine="709"/>
        <w:jc w:val="both"/>
        <w:rPr>
          <w:rFonts w:ascii="Times New Roman" w:eastAsia="Calibri" w:hAnsi="Times New Roman" w:cs="Times New Roman"/>
          <w:color w:val="000000" w:themeColor="text1"/>
        </w:rPr>
      </w:pPr>
    </w:p>
    <w:p w14:paraId="163D081C" w14:textId="77777777" w:rsidR="00B671A0" w:rsidRPr="00F0736F" w:rsidRDefault="00797A05" w:rsidP="00943653">
      <w:pPr>
        <w:keepNext/>
        <w:jc w:val="center"/>
        <w:rPr>
          <w:color w:val="000000" w:themeColor="text1"/>
          <w:sz w:val="20"/>
          <w:szCs w:val="20"/>
        </w:rPr>
      </w:pPr>
      <w:r w:rsidRPr="00F0736F">
        <w:rPr>
          <w:rFonts w:ascii="Calibri" w:hAnsi="Calibri" w:cs="Times New Roman"/>
          <w:noProof/>
          <w:color w:val="000000" w:themeColor="text1"/>
          <w:sz w:val="22"/>
          <w:szCs w:val="22"/>
          <w:lang w:eastAsia="ru-RU" w:bidi="ar-SA"/>
        </w:rPr>
        <w:drawing>
          <wp:inline distT="0" distB="0" distL="0" distR="0" wp14:anchorId="60C9FAA9" wp14:editId="3FA20B86">
            <wp:extent cx="5943600" cy="26384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6CD73D" w14:textId="77777777" w:rsidR="00B671A0" w:rsidRPr="00F0736F" w:rsidRDefault="00B671A0" w:rsidP="008727D9">
      <w:pPr>
        <w:ind w:firstLine="709"/>
        <w:jc w:val="both"/>
        <w:rPr>
          <w:color w:val="000000" w:themeColor="text1"/>
          <w:sz w:val="20"/>
          <w:szCs w:val="20"/>
        </w:rPr>
      </w:pPr>
    </w:p>
    <w:p w14:paraId="040AC7CC" w14:textId="77777777" w:rsidR="00943653" w:rsidRPr="00F0736F" w:rsidRDefault="00B671A0" w:rsidP="00744283">
      <w:pPr>
        <w:ind w:firstLine="709"/>
        <w:jc w:val="both"/>
        <w:rPr>
          <w:rFonts w:asciiTheme="minorHAnsi" w:hAnsiTheme="minorHAnsi"/>
          <w:noProof/>
          <w:color w:val="000000" w:themeColor="text1"/>
        </w:rPr>
      </w:pPr>
      <w:r w:rsidRPr="00F0736F">
        <w:rPr>
          <w:color w:val="000000" w:themeColor="text1"/>
        </w:rPr>
        <w:t>Рис</w:t>
      </w:r>
      <w:r w:rsidR="006F4C9E" w:rsidRPr="00F0736F">
        <w:rPr>
          <w:rFonts w:asciiTheme="minorHAnsi" w:hAnsiTheme="minorHAnsi"/>
          <w:color w:val="000000" w:themeColor="text1"/>
        </w:rPr>
        <w:t>.</w:t>
      </w:r>
      <w:r w:rsidRPr="00F0736F">
        <w:rPr>
          <w:color w:val="000000" w:themeColor="text1"/>
        </w:rPr>
        <w:t xml:space="preserve"> 1.7.1. </w:t>
      </w:r>
      <w:r w:rsidRPr="00F0736F">
        <w:rPr>
          <w:noProof/>
          <w:color w:val="000000" w:themeColor="text1"/>
        </w:rPr>
        <w:t>Динамика национальных выбросов и поглощений ПГ за 1990-2018 годы</w:t>
      </w:r>
    </w:p>
    <w:p w14:paraId="708A1A6C" w14:textId="343C3004" w:rsidR="00744283" w:rsidRPr="00F0736F" w:rsidRDefault="00744283" w:rsidP="00744283">
      <w:pPr>
        <w:ind w:firstLine="709"/>
        <w:jc w:val="both"/>
        <w:rPr>
          <w:color w:val="000000" w:themeColor="text1"/>
        </w:rPr>
      </w:pPr>
      <w:r w:rsidRPr="00F0736F">
        <w:rPr>
          <w:i/>
          <w:color w:val="000000" w:themeColor="text1"/>
        </w:rPr>
        <w:t>Источник: Национальный кадастр выбросов, 2020</w:t>
      </w:r>
    </w:p>
    <w:p w14:paraId="7D248436" w14:textId="77777777" w:rsidR="00096D0B" w:rsidRPr="00F0736F" w:rsidRDefault="00096D0B" w:rsidP="00744283">
      <w:pPr>
        <w:jc w:val="both"/>
        <w:rPr>
          <w:rFonts w:ascii="Times New Roman" w:eastAsia="Calibri" w:hAnsi="Times New Roman" w:cs="Times New Roman"/>
          <w:color w:val="000000" w:themeColor="text1"/>
        </w:rPr>
      </w:pPr>
    </w:p>
    <w:p w14:paraId="7CF109DE" w14:textId="77777777" w:rsidR="00096D0B" w:rsidRPr="00F0736F" w:rsidRDefault="00096D0B" w:rsidP="008727D9">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Следует отметить, что более 80% выбросов ПГ в Казахстане связаны с добычей, переработкой и сжиганием топлива во всех секторах экономики (стационарными и мобильными ист</w:t>
      </w:r>
      <w:r w:rsidR="006F4C9E" w:rsidRPr="00F0736F">
        <w:rPr>
          <w:rFonts w:ascii="Times New Roman" w:eastAsia="Calibri" w:hAnsi="Times New Roman" w:cs="Times New Roman"/>
          <w:color w:val="000000" w:themeColor="text1"/>
        </w:rPr>
        <w:t>очниками), которые отражены на р</w:t>
      </w:r>
      <w:r w:rsidRPr="00F0736F">
        <w:rPr>
          <w:rFonts w:ascii="Times New Roman" w:eastAsia="Calibri" w:hAnsi="Times New Roman" w:cs="Times New Roman"/>
          <w:color w:val="000000" w:themeColor="text1"/>
        </w:rPr>
        <w:t>ис</w:t>
      </w:r>
      <w:r w:rsidR="006F4C9E"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1.7.1 как «Энергетика». Согласно МГЭИК, эти все выбросы группируются в категорию источников выбросов «Энергетическая деятельность». В 2018 года доля «Энергетической деятельности» в выбросах ПГ составила </w:t>
      </w:r>
      <w:r w:rsidRPr="00F0736F">
        <w:rPr>
          <w:rFonts w:ascii="Times New Roman" w:hAnsi="Times New Roman" w:cs="Times New Roman"/>
          <w:color w:val="000000" w:themeColor="text1"/>
        </w:rPr>
        <w:t>83,5%. Доля выбросов ПГ, не связанных со сжиганием топлива, в отраслях промышленности («ППИП») составила 5,6 %, в «Сельском хозяйстве» - 9,1%, в «Отходах» – 1,7%.</w:t>
      </w:r>
    </w:p>
    <w:p w14:paraId="46148C66" w14:textId="77777777" w:rsidR="00096D0B" w:rsidRPr="00F0736F" w:rsidRDefault="00096D0B" w:rsidP="008727D9">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В сравнении с уровнем выбросов 1990 года в 2018 году эмиссии в категории источников выбросов «</w:t>
      </w:r>
      <w:r w:rsidRPr="00F0736F">
        <w:rPr>
          <w:rFonts w:ascii="Times New Roman" w:eastAsia="Calibri" w:hAnsi="Times New Roman" w:cs="Times New Roman"/>
          <w:color w:val="000000" w:themeColor="text1"/>
          <w:lang w:val="kk-KZ"/>
        </w:rPr>
        <w:t xml:space="preserve">Энергетическая деятельность» </w:t>
      </w:r>
      <w:r w:rsidRPr="00F0736F">
        <w:rPr>
          <w:rFonts w:ascii="Times New Roman" w:eastAsia="Calibri" w:hAnsi="Times New Roman" w:cs="Times New Roman"/>
          <w:color w:val="000000" w:themeColor="text1"/>
        </w:rPr>
        <w:t>еще меньше на 0,6%, выбросы</w:t>
      </w:r>
      <w:r w:rsidR="00D408FC"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не связанные со сжиганием топлива в «</w:t>
      </w:r>
      <w:r w:rsidRPr="00F0736F">
        <w:rPr>
          <w:rFonts w:ascii="Times New Roman" w:eastAsia="Calibri" w:hAnsi="Times New Roman" w:cs="Times New Roman"/>
          <w:color w:val="000000" w:themeColor="text1"/>
          <w:lang w:val="kk-KZ"/>
        </w:rPr>
        <w:t>Сельском хозяйстве»</w:t>
      </w:r>
      <w:r w:rsidRPr="00F0736F">
        <w:rPr>
          <w:rFonts w:ascii="Times New Roman" w:eastAsia="Calibri" w:hAnsi="Times New Roman" w:cs="Times New Roman"/>
          <w:color w:val="000000" w:themeColor="text1"/>
        </w:rPr>
        <w:t xml:space="preserve"> </w:t>
      </w:r>
      <w:r w:rsidRPr="00F0736F">
        <w:rPr>
          <w:rFonts w:ascii="Times New Roman" w:hAnsi="Times New Roman" w:cs="Times New Roman"/>
          <w:color w:val="000000" w:themeColor="text1"/>
        </w:rPr>
        <w:t>еще меньше</w:t>
      </w:r>
      <w:r w:rsidRPr="00F0736F">
        <w:rPr>
          <w:rFonts w:ascii="Times New Roman" w:eastAsia="Calibri" w:hAnsi="Times New Roman" w:cs="Times New Roman"/>
          <w:color w:val="000000" w:themeColor="text1"/>
        </w:rPr>
        <w:t xml:space="preserve"> на 17,4%, в промышленности выросли на 11,6%, в ЗИЗЛХ – на 134,0 %, в «Отходах» – на 44,2%.</w:t>
      </w:r>
    </w:p>
    <w:p w14:paraId="1D5AFD8C" w14:textId="77777777" w:rsidR="00DB63C6" w:rsidRPr="00F0736F" w:rsidRDefault="00DB63C6" w:rsidP="008727D9">
      <w:pPr>
        <w:ind w:firstLine="709"/>
        <w:jc w:val="both"/>
        <w:rPr>
          <w:rFonts w:ascii="Times New Roman" w:eastAsia="Calibri" w:hAnsi="Times New Roman" w:cs="Times New Roman"/>
          <w:color w:val="000000" w:themeColor="text1"/>
        </w:rPr>
      </w:pPr>
    </w:p>
    <w:p w14:paraId="46BDAB31" w14:textId="77777777" w:rsidR="00B54D98" w:rsidRPr="00F0736F" w:rsidRDefault="00B54D98" w:rsidP="008727D9">
      <w:pPr>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Регулирование выбросов ПГ в Казахстане</w:t>
      </w:r>
    </w:p>
    <w:p w14:paraId="755D4DA4" w14:textId="77777777"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 2013 года в Казахстане действует национальная система квотирования выбросов ПГ и торговли квотами (СТВ), которая пока регулирует только выбросы углекислого газа. Выбросы других парниковых газов пока не квотируются. </w:t>
      </w:r>
    </w:p>
    <w:p w14:paraId="17787A6D" w14:textId="468631C7"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СТВ охватывает все установки, выбросы которых фактически превыша</w:t>
      </w:r>
      <w:r w:rsidR="00D408FC" w:rsidRPr="00F0736F">
        <w:rPr>
          <w:rFonts w:ascii="Times New Roman" w:hAnsi="Times New Roman" w:cs="Times New Roman"/>
          <w:color w:val="000000" w:themeColor="text1"/>
        </w:rPr>
        <w:t>ю</w:t>
      </w:r>
      <w:r w:rsidR="0047490D"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20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CO</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 в год. Распределение квот осуществляется на бесплатной основе. Углеродный бюджет периода определяется Национальным планом распределения квот (НПР). НПР утверждается постановлением Правительства РК.</w:t>
      </w:r>
    </w:p>
    <w:p w14:paraId="03FD662B" w14:textId="54A94838"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Работа СТВ в 2016-2017 гг. под давлением Национальной палаты предпринимателей «Атамекен» была временно приостановлена, в результате чего в 2017 году национальные выбросы ПГ подскочили сразу на 7,4% с учетом поглощений в секторе ЗИЗЛХ. В 2018 году СТВ была вновь запущена в соответствии с НПР на 2018-2020 годы, утверждённым Постановлением Правительства РК </w:t>
      </w:r>
      <w:r w:rsidR="0047490D" w:rsidRPr="00F0736F">
        <w:rPr>
          <w:rFonts w:ascii="Times New Roman" w:hAnsi="Times New Roman" w:cs="Times New Roman"/>
          <w:color w:val="000000" w:themeColor="text1"/>
        </w:rPr>
        <w:t xml:space="preserve">от 26 декабря 2017 года </w:t>
      </w:r>
      <w:r w:rsidRPr="00F0736F">
        <w:rPr>
          <w:rFonts w:ascii="Times New Roman" w:hAnsi="Times New Roman" w:cs="Times New Roman"/>
          <w:color w:val="000000" w:themeColor="text1"/>
        </w:rPr>
        <w:t>№</w:t>
      </w:r>
      <w:r w:rsidR="0047490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873 </w:t>
      </w:r>
      <w:r w:rsidR="0047490D"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бъем квот на третий бюджетный период был утвержден в объеме 485,9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 xml:space="preserve">-экв. (по 162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 xml:space="preserve">-экв в год), в том числе объем Государственного резерва на 3 года составил 35,3 млн.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w:t>
      </w:r>
    </w:p>
    <w:p w14:paraId="2B45266F" w14:textId="22806121"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Общий объем распределяемых квот рассчитывался таким образом, чтобы к 2020 году обеспечить сокращение выбросов CO</w:t>
      </w:r>
      <w:r w:rsidRPr="00F0736F">
        <w:rPr>
          <w:rFonts w:ascii="Times New Roman" w:hAnsi="Times New Roman" w:cs="Times New Roman"/>
          <w:color w:val="000000" w:themeColor="text1"/>
          <w:vertAlign w:val="subscript"/>
        </w:rPr>
        <w:t xml:space="preserve">2 </w:t>
      </w:r>
      <w:r w:rsidRPr="00F0736F">
        <w:rPr>
          <w:rFonts w:ascii="Times New Roman" w:hAnsi="Times New Roman" w:cs="Times New Roman"/>
          <w:color w:val="000000" w:themeColor="text1"/>
        </w:rPr>
        <w:t>на 5% по сравнению с уровнем 1990 г</w:t>
      </w:r>
      <w:r w:rsidR="0047490D"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При этом важно заметить, что уполномоченный орган имеет возможность регулировать через СТВ только 43% национальных выбросов ПГ.</w:t>
      </w:r>
    </w:p>
    <w:p w14:paraId="16E04D9D" w14:textId="77777777"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третьем бюджетном периоде операторам установок была предоставлена возможность выбирать методы расчета объемов бесплатно выделяемых им квот: исторический метод и метод применения удельных коэффициентов выбросов ПГ (УКВ). Около 2/3 операторов выбрали метод УКВ, так как это позволяет им запрашивать дополнительные бесплатные квоты из Государственного резерва в случае наращивания объемов производства и ввода новых источников.</w:t>
      </w:r>
    </w:p>
    <w:p w14:paraId="360E38FB" w14:textId="77777777"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Для регулирования выбросов ПГ в Казахстане наряду с СТВ введены в действие Государственный кадастр источников выбросов и поглощений ПГ (Кадастр) и Государственный реестр углеродных единиц (Реестр). Все операторы установок, выбросы которых квотируются в рамках национального СТВ, обязаны представлять ежегодно в уполномоченный орган в области охраны окружающей среды верифицированные отчеты об инвентаризации ПГ.</w:t>
      </w:r>
    </w:p>
    <w:p w14:paraId="5AACD0D2" w14:textId="500F3721" w:rsidR="00B54D98"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Оператором СТВ, Кадастра и Реестра является подведомственная структура уполномоченного органа </w:t>
      </w:r>
      <w:r w:rsidR="0047490D"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АО «Жасыл даму».</w:t>
      </w:r>
    </w:p>
    <w:p w14:paraId="32D3E7C0" w14:textId="77777777" w:rsidR="00F674A4" w:rsidRPr="00F0736F" w:rsidRDefault="00B54D98"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Казахстане нет налога на выбросы углерода.</w:t>
      </w:r>
    </w:p>
    <w:p w14:paraId="066E73F7" w14:textId="77777777" w:rsidR="00116D5B" w:rsidRPr="00F0736F" w:rsidRDefault="00116D5B" w:rsidP="008727D9">
      <w:pPr>
        <w:ind w:firstLine="709"/>
        <w:jc w:val="both"/>
        <w:rPr>
          <w:rFonts w:ascii="Times New Roman" w:hAnsi="Times New Roman" w:cs="Times New Roman"/>
          <w:color w:val="000000" w:themeColor="text1"/>
        </w:rPr>
      </w:pPr>
    </w:p>
    <w:p w14:paraId="56637B95"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Международный опыт</w:t>
      </w:r>
    </w:p>
    <w:p w14:paraId="4188ED74" w14:textId="1CAF154C"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2018 году </w:t>
      </w:r>
      <w:hyperlink r:id="rId34" w:history="1">
        <w:r w:rsidRPr="00F0736F">
          <w:rPr>
            <w:rStyle w:val="12"/>
            <w:rFonts w:ascii="Times New Roman" w:eastAsia="Times New Roman" w:hAnsi="Times New Roman" w:cs="Times New Roman"/>
            <w:b w:val="0"/>
            <w:bCs w:val="0"/>
            <w:color w:val="000000" w:themeColor="text1"/>
            <w:spacing w:val="2"/>
            <w:lang w:eastAsia="ru-RU"/>
          </w:rPr>
          <w:t>Межправительственная группа экспертов по изменению климата (Intergovernmental Panel on Climate Change, IPCC)</w:t>
        </w:r>
      </w:hyperlink>
      <w:r w:rsidRPr="00F0736F">
        <w:rPr>
          <w:rStyle w:val="12"/>
          <w:rFonts w:ascii="Times New Roman" w:eastAsia="Times New Roman" w:hAnsi="Times New Roman" w:cs="Times New Roman"/>
          <w:b w:val="0"/>
          <w:bCs w:val="0"/>
          <w:color w:val="000000" w:themeColor="text1"/>
          <w:spacing w:val="2"/>
          <w:lang w:eastAsia="ru-RU"/>
        </w:rPr>
        <w:t xml:space="preserve"> </w:t>
      </w:r>
      <w:r w:rsidRPr="00F0736F">
        <w:rPr>
          <w:rFonts w:ascii="Times New Roman" w:eastAsia="Times New Roman" w:hAnsi="Times New Roman" w:cs="Times New Roman"/>
          <w:color w:val="000000" w:themeColor="text1"/>
          <w:spacing w:val="2"/>
          <w:lang w:eastAsia="ru-RU"/>
        </w:rPr>
        <w:t xml:space="preserve">опубликовала специальный </w:t>
      </w:r>
      <w:hyperlink r:id="rId35" w:history="1">
        <w:r w:rsidRPr="00F0736F">
          <w:rPr>
            <w:rStyle w:val="12"/>
            <w:rFonts w:ascii="Times New Roman" w:eastAsia="Times New Roman" w:hAnsi="Times New Roman" w:cs="Times New Roman"/>
            <w:b w:val="0"/>
            <w:bCs w:val="0"/>
            <w:color w:val="000000" w:themeColor="text1"/>
            <w:spacing w:val="2"/>
            <w:lang w:eastAsia="ru-RU"/>
          </w:rPr>
          <w:t>доклад</w:t>
        </w:r>
        <w:r w:rsidRPr="00F0736F">
          <w:rPr>
            <w:rStyle w:val="a4"/>
            <w:rFonts w:ascii="Times New Roman" w:hAnsi="Times New Roman" w:cs="Times New Roman"/>
            <w:color w:val="000000" w:themeColor="text1"/>
          </w:rPr>
          <w:footnoteReference w:id="91"/>
        </w:r>
      </w:hyperlink>
      <w:r w:rsidRPr="00F0736F">
        <w:rPr>
          <w:rFonts w:ascii="Times New Roman" w:eastAsia="Times New Roman" w:hAnsi="Times New Roman" w:cs="Times New Roman"/>
          <w:color w:val="000000" w:themeColor="text1"/>
          <w:spacing w:val="2"/>
          <w:lang w:eastAsia="ru-RU"/>
        </w:rPr>
        <w:t>. Учёные со всего мира еще раз подчеркнули, что масштабные выбросы углекислого газа (CO</w:t>
      </w:r>
      <w:r w:rsidRPr="00F0736F">
        <w:rPr>
          <w:rFonts w:ascii="Times New Roman" w:eastAsia="Times New Roman" w:hAnsi="Times New Roman" w:cs="Times New Roman"/>
          <w:color w:val="000000" w:themeColor="text1"/>
          <w:spacing w:val="2"/>
          <w:vertAlign w:val="subscript"/>
          <w:lang w:eastAsia="ru-RU"/>
        </w:rPr>
        <w:t>2</w:t>
      </w:r>
      <w:r w:rsidRPr="00F0736F">
        <w:rPr>
          <w:rFonts w:ascii="Times New Roman" w:eastAsia="Times New Roman" w:hAnsi="Times New Roman" w:cs="Times New Roman"/>
          <w:color w:val="000000" w:themeColor="text1"/>
          <w:spacing w:val="2"/>
          <w:lang w:eastAsia="ru-RU"/>
        </w:rPr>
        <w:t>) и глобальные изменения климата, к которым это приводит, вызваны именно деятельностью человека. Поэтому</w:t>
      </w:r>
      <w:r w:rsidR="005E0F7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чтобы сберечь планету, их необходимо сократить к 2030 году почти на </w:t>
      </w:r>
      <w:hyperlink r:id="rId36" w:history="1">
        <w:r w:rsidRPr="00F0736F">
          <w:rPr>
            <w:rStyle w:val="12"/>
            <w:rFonts w:ascii="Times New Roman" w:eastAsia="Times New Roman" w:hAnsi="Times New Roman" w:cs="Times New Roman"/>
            <w:b w:val="0"/>
            <w:bCs w:val="0"/>
            <w:color w:val="000000" w:themeColor="text1"/>
            <w:spacing w:val="2"/>
            <w:lang w:eastAsia="ru-RU"/>
          </w:rPr>
          <w:t>45%</w:t>
        </w:r>
      </w:hyperlink>
      <w:r w:rsidR="00D408FC" w:rsidRPr="00F0736F">
        <w:rPr>
          <w:rFonts w:asciiTheme="minorHAnsi" w:hAnsiTheme="minorHAnsi"/>
          <w:color w:val="000000" w:themeColor="text1"/>
        </w:rPr>
        <w:t xml:space="preserve"> </w:t>
      </w:r>
      <w:r w:rsidRPr="00F0736F">
        <w:rPr>
          <w:rFonts w:ascii="Times New Roman" w:eastAsia="Times New Roman" w:hAnsi="Times New Roman" w:cs="Times New Roman"/>
          <w:color w:val="000000" w:themeColor="text1"/>
          <w:spacing w:val="2"/>
          <w:lang w:eastAsia="ru-RU"/>
        </w:rPr>
        <w:t xml:space="preserve">по сравнению с показателями 2010 года. </w:t>
      </w:r>
    </w:p>
    <w:p w14:paraId="3D0A4B50" w14:textId="4F9CB69D"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Вместе с тем, согласно отчету Международного энергетического агентства (МЭА) от 11 февраля 2020 г., годовые объемы глобальных выбросов углекислого газа в 2019 г. прекратили увеличиваться, несмотря на то, что мировая экономика выросла на 2,9%. В США было зарегистрировано наибольшее снижение выбросов по странам, которое составило 140 млн</w:t>
      </w:r>
      <w:r w:rsidR="005E0F7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w:t>
      </w:r>
      <w:r w:rsidR="00AC18E0" w:rsidRPr="00F0736F">
        <w:rPr>
          <w:rFonts w:ascii="Times New Roman" w:eastAsia="Times New Roman" w:hAnsi="Times New Roman" w:cs="Times New Roman"/>
          <w:color w:val="000000" w:themeColor="text1"/>
          <w:spacing w:val="2"/>
          <w:lang w:eastAsia="ru-RU"/>
        </w:rPr>
        <w:t>т.</w:t>
      </w:r>
      <w:r w:rsidRPr="00F0736F">
        <w:rPr>
          <w:rFonts w:ascii="Times New Roman" w:eastAsia="Times New Roman" w:hAnsi="Times New Roman" w:cs="Times New Roman"/>
          <w:color w:val="000000" w:themeColor="text1"/>
          <w:spacing w:val="2"/>
          <w:lang w:eastAsia="ru-RU"/>
        </w:rPr>
        <w:t>, и</w:t>
      </w:r>
      <w:r w:rsidR="00D408FC" w:rsidRPr="00F0736F">
        <w:rPr>
          <w:rFonts w:ascii="Times New Roman" w:eastAsia="Times New Roman" w:hAnsi="Times New Roman" w:cs="Times New Roman"/>
          <w:color w:val="000000" w:themeColor="text1"/>
          <w:spacing w:val="2"/>
          <w:lang w:eastAsia="ru-RU"/>
        </w:rPr>
        <w:t xml:space="preserve">ли </w:t>
      </w:r>
      <w:r w:rsidRPr="00F0736F">
        <w:rPr>
          <w:rFonts w:ascii="Times New Roman" w:eastAsia="Times New Roman" w:hAnsi="Times New Roman" w:cs="Times New Roman"/>
          <w:color w:val="000000" w:themeColor="text1"/>
          <w:spacing w:val="2"/>
          <w:lang w:eastAsia="ru-RU"/>
        </w:rPr>
        <w:t>2,9%. В настоящее время выбросы в США сократились почти на 1 гига</w:t>
      </w:r>
      <w:r w:rsidR="00AC18E0" w:rsidRPr="00F0736F">
        <w:rPr>
          <w:rFonts w:ascii="Times New Roman" w:eastAsia="Times New Roman" w:hAnsi="Times New Roman" w:cs="Times New Roman"/>
          <w:color w:val="000000" w:themeColor="text1"/>
          <w:spacing w:val="2"/>
          <w:lang w:eastAsia="ru-RU"/>
        </w:rPr>
        <w:t>т</w:t>
      </w:r>
      <w:r w:rsidR="005E0F7B" w:rsidRPr="00F0736F">
        <w:rPr>
          <w:rFonts w:ascii="Times New Roman" w:eastAsia="Times New Roman" w:hAnsi="Times New Roman" w:cs="Times New Roman"/>
          <w:color w:val="000000" w:themeColor="text1"/>
          <w:spacing w:val="2"/>
          <w:lang w:eastAsia="ru-RU"/>
        </w:rPr>
        <w:t>онн</w:t>
      </w:r>
      <w:r w:rsidRPr="00F0736F">
        <w:rPr>
          <w:rFonts w:ascii="Times New Roman" w:eastAsia="Times New Roman" w:hAnsi="Times New Roman" w:cs="Times New Roman"/>
          <w:color w:val="000000" w:themeColor="text1"/>
          <w:spacing w:val="2"/>
          <w:lang w:eastAsia="ru-RU"/>
        </w:rPr>
        <w:t>у по сравнению с пиковым значением 2000 года. Выбросы в Европейском Союзе снизились на 160 млн</w:t>
      </w:r>
      <w:r w:rsidR="00D408F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w:t>
      </w:r>
      <w:r w:rsidR="00AC18E0" w:rsidRPr="00F0736F">
        <w:rPr>
          <w:rFonts w:ascii="Times New Roman" w:eastAsia="Times New Roman" w:hAnsi="Times New Roman" w:cs="Times New Roman"/>
          <w:color w:val="000000" w:themeColor="text1"/>
          <w:spacing w:val="2"/>
          <w:lang w:eastAsia="ru-RU"/>
        </w:rPr>
        <w:t>т.</w:t>
      </w:r>
      <w:r w:rsidR="00D408F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или на 5%</w:t>
      </w:r>
      <w:r w:rsidR="005E0F7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в 2019 году за счет сокращения выбросов при генерации электроэнергии. Впервые больше электроэнергии было произведено на природном газе, чем на угле, в то время как ветровая энергетика почти догнала угольную. Выбросы Японии снизились на 45 млн</w:t>
      </w:r>
      <w:r w:rsidR="005E0F7B"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w:t>
      </w:r>
      <w:r w:rsidR="00AC18E0" w:rsidRPr="00F0736F">
        <w:rPr>
          <w:rFonts w:ascii="Times New Roman" w:eastAsia="Times New Roman" w:hAnsi="Times New Roman" w:cs="Times New Roman"/>
          <w:color w:val="000000" w:themeColor="text1"/>
          <w:spacing w:val="2"/>
          <w:lang w:eastAsia="ru-RU"/>
        </w:rPr>
        <w:t>т.</w:t>
      </w:r>
      <w:r w:rsidRPr="00F0736F">
        <w:rPr>
          <w:rFonts w:ascii="Times New Roman" w:eastAsia="Times New Roman" w:hAnsi="Times New Roman" w:cs="Times New Roman"/>
          <w:color w:val="000000" w:themeColor="text1"/>
          <w:spacing w:val="2"/>
          <w:lang w:eastAsia="ru-RU"/>
        </w:rPr>
        <w:t>, или примерно на 4%, что является самым быстрым темпом снижения с 2009 года, поскольку возросла выработка электроэнергии на недавно вновь запущенных атомных реакторах. В остальном мире объем выбросов в 2019 году вырос почти на 400 млн</w:t>
      </w:r>
      <w:r w:rsidR="00D408F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w:t>
      </w:r>
      <w:r w:rsidR="00AC18E0" w:rsidRPr="00F0736F">
        <w:rPr>
          <w:rFonts w:ascii="Times New Roman" w:eastAsia="Times New Roman" w:hAnsi="Times New Roman" w:cs="Times New Roman"/>
          <w:color w:val="000000" w:themeColor="text1"/>
          <w:spacing w:val="2"/>
          <w:lang w:eastAsia="ru-RU"/>
        </w:rPr>
        <w:t>т.</w:t>
      </w:r>
      <w:r w:rsidRPr="00F0736F">
        <w:rPr>
          <w:rFonts w:ascii="Times New Roman" w:eastAsia="Times New Roman" w:hAnsi="Times New Roman" w:cs="Times New Roman"/>
          <w:color w:val="000000" w:themeColor="text1"/>
          <w:spacing w:val="2"/>
          <w:lang w:eastAsia="ru-RU"/>
        </w:rPr>
        <w:t>, причем почти 80% этого роста приходилось на страны Азии, где электроэнергия, вырабатываемая на угле, продолжала расти. В странах с развитой экономикой выбросы от электроэнергетики снизились до уровня, который в последний раз наблюдался в конце 1980-х годов, когда спрос на электроэнергию был на треть ниже, чем сегодня. Выработка электроэнергии на основе угля в странах с развитой экономикой сократилась почти на 15% в годовом сравнении</w:t>
      </w:r>
      <w:r w:rsidRPr="00F0736F">
        <w:rPr>
          <w:rStyle w:val="a4"/>
          <w:rFonts w:ascii="Times New Roman" w:eastAsia="Times New Roman" w:hAnsi="Times New Roman" w:cs="Times New Roman"/>
          <w:color w:val="000000" w:themeColor="text1"/>
          <w:spacing w:val="2"/>
          <w:lang w:eastAsia="ru-RU"/>
        </w:rPr>
        <w:footnoteReference w:id="92"/>
      </w:r>
      <w:r w:rsidRPr="00F0736F">
        <w:rPr>
          <w:rFonts w:ascii="Times New Roman" w:eastAsia="Times New Roman" w:hAnsi="Times New Roman" w:cs="Times New Roman"/>
          <w:color w:val="000000" w:themeColor="text1"/>
          <w:spacing w:val="2"/>
          <w:lang w:eastAsia="ru-RU"/>
        </w:rPr>
        <w:t>.</w:t>
      </w:r>
    </w:p>
    <w:p w14:paraId="4EF8238A" w14:textId="359FC85E"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докладе «Новая климатическая экономика» (The 2018 Report of the Global Commission on the Economy and Climate) говорится, что для получения чистых экономических выгод в размере 26 трл</w:t>
      </w:r>
      <w:r w:rsidR="005E0F7B" w:rsidRPr="00F0736F">
        <w:rPr>
          <w:rFonts w:ascii="Times New Roman" w:eastAsia="Times New Roman" w:hAnsi="Times New Roman" w:cs="Times New Roman"/>
          <w:color w:val="000000" w:themeColor="text1"/>
          <w:spacing w:val="2"/>
          <w:lang w:eastAsia="ru-RU"/>
        </w:rPr>
        <w:t>н</w:t>
      </w:r>
      <w:r w:rsidR="00D408F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долл</w:t>
      </w:r>
      <w:r w:rsidR="00D408FC"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США до 2030 года и перевода мировой экономики на более стабильный климатический путь Глобальная комиссия призывает лиц, принимающих экономические решения в государственном и частном секторах, немедленно принять следующие меры (полностью - </w:t>
      </w:r>
      <w:hyperlink r:id="rId37" w:history="1">
        <w:r w:rsidRPr="00F0736F">
          <w:rPr>
            <w:rStyle w:val="a6"/>
            <w:rFonts w:ascii="Times New Roman" w:eastAsia="Times New Roman" w:hAnsi="Times New Roman" w:cs="Times New Roman"/>
            <w:color w:val="000000" w:themeColor="text1"/>
            <w:spacing w:val="2"/>
            <w:u w:val="none"/>
            <w:lang w:eastAsia="ru-RU"/>
          </w:rPr>
          <w:t>https://newclimateeconomy.report/2018/executive-summary/</w:t>
        </w:r>
      </w:hyperlink>
      <w:r w:rsidRPr="00F0736F">
        <w:rPr>
          <w:rFonts w:ascii="Times New Roman" w:eastAsia="Times New Roman" w:hAnsi="Times New Roman" w:cs="Times New Roman"/>
          <w:color w:val="000000" w:themeColor="text1"/>
          <w:spacing w:val="2"/>
          <w:lang w:eastAsia="ru-RU"/>
        </w:rPr>
        <w:t>):</w:t>
      </w:r>
    </w:p>
    <w:p w14:paraId="2078390E" w14:textId="508ECE90"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1. </w:t>
      </w:r>
      <w:r w:rsidR="005E0F7B" w:rsidRPr="00F0736F">
        <w:rPr>
          <w:rFonts w:ascii="Times New Roman" w:hAnsi="Times New Roman" w:cs="Times New Roman"/>
          <w:color w:val="000000" w:themeColor="text1"/>
        </w:rPr>
        <w:t>п</w:t>
      </w:r>
      <w:r w:rsidRPr="00F0736F">
        <w:rPr>
          <w:rFonts w:ascii="Times New Roman" w:hAnsi="Times New Roman" w:cs="Times New Roman"/>
          <w:color w:val="000000" w:themeColor="text1"/>
        </w:rPr>
        <w:t>равительства должны установить цену на углерод и перейти к обязательному раскрытию климатических рисков для крупных инвесторов и компаний</w:t>
      </w:r>
      <w:r w:rsidR="005E0F7B" w:rsidRPr="00F0736F">
        <w:rPr>
          <w:rFonts w:ascii="Times New Roman" w:hAnsi="Times New Roman" w:cs="Times New Roman"/>
          <w:color w:val="000000" w:themeColor="text1"/>
        </w:rPr>
        <w:t>;</w:t>
      </w:r>
    </w:p>
    <w:p w14:paraId="3F319259" w14:textId="7DDE2EE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2. </w:t>
      </w:r>
      <w:r w:rsidR="005E0F7B"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се страны должны уделять гораздо больше внимания инвестициям в устойчивую инфраструктуру в качестве одного из центральных факторов нового подхода к обеспечению роста. И дело чаще не в деньгах. Скорее, речь идет о создании более сильного руководства и технического потенциала для формирования надежных стратегий роста, инвестиционных планов и институциональных структур, которые могут согласовываться с секторальной политикой и способствовать притоку частных инвестиций в устойчивую инфраструктуру. Это включает в себя более продуманные здания, транспорт, энергетические и водные системы и города, а также инвестиции в природную инфраструктуру, которая лежит в основе нашей экономики, такие как леса и водно-болотные угодья, которые очищают воду и обеспечивают ценную борьбу с наводнениями</w:t>
      </w:r>
      <w:r w:rsidR="00E55742" w:rsidRPr="00F0736F">
        <w:rPr>
          <w:rFonts w:ascii="Times New Roman" w:hAnsi="Times New Roman" w:cs="Times New Roman"/>
          <w:color w:val="000000" w:themeColor="text1"/>
        </w:rPr>
        <w:t>;</w:t>
      </w:r>
    </w:p>
    <w:p w14:paraId="6BC82603" w14:textId="01D49FA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3. </w:t>
      </w:r>
      <w:r w:rsidR="00E55742" w:rsidRPr="00F0736F">
        <w:rPr>
          <w:rFonts w:ascii="Times New Roman" w:hAnsi="Times New Roman" w:cs="Times New Roman"/>
          <w:color w:val="000000" w:themeColor="text1"/>
        </w:rPr>
        <w:t>н</w:t>
      </w:r>
      <w:r w:rsidRPr="00F0736F">
        <w:rPr>
          <w:rFonts w:ascii="Times New Roman" w:hAnsi="Times New Roman" w:cs="Times New Roman"/>
          <w:color w:val="000000" w:themeColor="text1"/>
        </w:rPr>
        <w:t>еобходимо задействовать всю мощь частного сектора и инноваций. Многие компании и инвесторы уже демонстрируют лидерство, а другие готовы выстраивать вокруг этой повестки дня правильные политические сигналы. К 2020 году все компании Fortune 500 должны иметь научные цели, которые соответствуют Парижскому соглашению</w:t>
      </w:r>
      <w:r w:rsidR="00E55742" w:rsidRPr="00F0736F">
        <w:rPr>
          <w:rFonts w:ascii="Times New Roman" w:hAnsi="Times New Roman" w:cs="Times New Roman"/>
          <w:color w:val="000000" w:themeColor="text1"/>
        </w:rPr>
        <w:t>;</w:t>
      </w:r>
    </w:p>
    <w:p w14:paraId="78673E71" w14:textId="317F4B3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4. </w:t>
      </w:r>
      <w:r w:rsidR="00E55742" w:rsidRPr="00F0736F">
        <w:rPr>
          <w:rFonts w:ascii="Times New Roman" w:hAnsi="Times New Roman" w:cs="Times New Roman"/>
          <w:color w:val="000000" w:themeColor="text1"/>
        </w:rPr>
        <w:t>д</w:t>
      </w:r>
      <w:r w:rsidRPr="00F0736F">
        <w:rPr>
          <w:rFonts w:ascii="Times New Roman" w:hAnsi="Times New Roman" w:cs="Times New Roman"/>
          <w:color w:val="000000" w:themeColor="text1"/>
        </w:rPr>
        <w:t>ля обеспечения долгосрочного, справедливого роста и справедливого перехода необходим подход, ориентированный на интересы людей. В развивающихся странах и странах с формирующейся рыночной экономикой переходный период с низким уровнем выбросов углерода дает возможность перескочить через неэффективные и загрязняющие модели прошлого.</w:t>
      </w:r>
    </w:p>
    <w:p w14:paraId="2BD370E9" w14:textId="77777777"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spacing w:val="2"/>
          <w:lang w:eastAsia="ru-RU"/>
        </w:rPr>
        <w:t>В последние годы м</w:t>
      </w:r>
      <w:r w:rsidRPr="00F0736F">
        <w:rPr>
          <w:rFonts w:ascii="Times New Roman" w:hAnsi="Times New Roman" w:cs="Times New Roman"/>
          <w:color w:val="000000" w:themeColor="text1"/>
        </w:rPr>
        <w:t xml:space="preserve">еждународное сообщество издало </w:t>
      </w:r>
      <w:r w:rsidRPr="00F0736F">
        <w:rPr>
          <w:rFonts w:ascii="Times New Roman" w:hAnsi="Times New Roman" w:cs="Times New Roman"/>
          <w:b/>
          <w:color w:val="000000" w:themeColor="text1"/>
        </w:rPr>
        <w:t>руководства</w:t>
      </w:r>
      <w:r w:rsidRPr="00F0736F">
        <w:rPr>
          <w:rFonts w:ascii="Times New Roman" w:hAnsi="Times New Roman" w:cs="Times New Roman"/>
          <w:color w:val="000000" w:themeColor="text1"/>
        </w:rPr>
        <w:t>, в которых описывается, как страна может включать вопросы об адаптации к изменению климата в свое законодательство. Например, в 2013 году Европейский союз опубликовал Руководство по интеграции изменения климата и биоразнообразия в Оценку воздействия на окружающую среду</w:t>
      </w:r>
      <w:r w:rsidRPr="00F0736F">
        <w:rPr>
          <w:rStyle w:val="a4"/>
          <w:rFonts w:ascii="Times New Roman" w:hAnsi="Times New Roman" w:cs="Times New Roman"/>
          <w:color w:val="000000" w:themeColor="text1"/>
        </w:rPr>
        <w:footnoteReference w:id="93"/>
      </w:r>
      <w:r w:rsidRPr="00F0736F">
        <w:rPr>
          <w:rFonts w:ascii="Times New Roman" w:hAnsi="Times New Roman" w:cs="Times New Roman"/>
          <w:color w:val="000000" w:themeColor="text1"/>
        </w:rPr>
        <w:t>. В этом руководстве подчеркивается важность включения вопросов изменения климата в процессы ОВОС. В нем также описывается, как выявлять и оценивать проблемы изменения климата и биоразнообразия в ОВОС и как преодолевать критические проблемы для решения проблем изменения климата и биоразнообразия в ОВОС.</w:t>
      </w:r>
      <w:r w:rsidRPr="00F0736F">
        <w:rPr>
          <w:rStyle w:val="a4"/>
          <w:rFonts w:ascii="Times New Roman" w:hAnsi="Times New Roman" w:cs="Times New Roman"/>
          <w:color w:val="000000" w:themeColor="text1"/>
        </w:rPr>
        <w:footnoteReference w:id="94"/>
      </w:r>
    </w:p>
    <w:p w14:paraId="699F57D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2017 году Международный институт по окружающей среде и развитию (МИОР) в партнерстве с Глобальным экологическим фондом (ГЭФ), Программой развития Организации Объединенных Наций (ПРООН) и Программой Организации Объединенных Наций по окружающей среде (Программа ООН по окружающей среде) выпустили руководство по Национальным планам адаптации: понимание мандатов и обмен опытом</w:t>
      </w:r>
      <w:r w:rsidRPr="00F0736F">
        <w:rPr>
          <w:rStyle w:val="a4"/>
          <w:rFonts w:ascii="Times New Roman" w:hAnsi="Times New Roman" w:cs="Times New Roman"/>
          <w:bCs/>
          <w:color w:val="000000" w:themeColor="text1"/>
        </w:rPr>
        <w:footnoteReference w:id="95"/>
      </w:r>
      <w:r w:rsidRPr="00F0736F">
        <w:rPr>
          <w:rFonts w:ascii="Times New Roman" w:hAnsi="Times New Roman" w:cs="Times New Roman"/>
          <w:color w:val="000000" w:themeColor="text1"/>
        </w:rPr>
        <w:t>.</w:t>
      </w:r>
      <w:r w:rsidRPr="00F0736F">
        <w:rPr>
          <w:rFonts w:ascii="Times New Roman" w:hAnsi="Times New Roman" w:cs="Times New Roman"/>
          <w:bCs/>
          <w:color w:val="000000" w:themeColor="text1"/>
        </w:rPr>
        <w:t xml:space="preserve"> </w:t>
      </w:r>
      <w:r w:rsidRPr="00F0736F">
        <w:rPr>
          <w:rFonts w:ascii="Times New Roman" w:hAnsi="Times New Roman" w:cs="Times New Roman"/>
          <w:color w:val="000000" w:themeColor="text1"/>
        </w:rPr>
        <w:t>В этом руководстве обсуждаются правовые мандаты, связанные с национальными планами адаптации, которые различные страны применяют в целях адаптации к изменению климата, и предложения по различным способам создания национальных планов адаптации. Аналогичным образом Руководство ОЭСР по интеграции адаптации к изменению климата в сотрудничество в целях развития</w:t>
      </w:r>
      <w:r w:rsidRPr="00F0736F">
        <w:rPr>
          <w:rStyle w:val="a4"/>
          <w:rFonts w:ascii="Times New Roman" w:hAnsi="Times New Roman" w:cs="Times New Roman"/>
          <w:bCs/>
          <w:color w:val="000000" w:themeColor="text1"/>
        </w:rPr>
        <w:footnoteReference w:id="96"/>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предоставляет полезную информацию о том, как включить адаптацию в процессы развития, а в Руководстве Европейской экономической комиссии Организации Объединенных Наций по водным ресурсам и адаптации к изменению климата</w:t>
      </w:r>
      <w:r w:rsidRPr="00F0736F">
        <w:rPr>
          <w:rStyle w:val="a4"/>
          <w:rFonts w:ascii="Times New Roman" w:hAnsi="Times New Roman" w:cs="Times New Roman"/>
          <w:bCs/>
          <w:color w:val="000000" w:themeColor="text1"/>
        </w:rPr>
        <w:footnoteReference w:id="97"/>
      </w:r>
      <w:r w:rsidRPr="00F0736F">
        <w:rPr>
          <w:rFonts w:ascii="Times New Roman" w:hAnsi="Times New Roman" w:cs="Times New Roman"/>
          <w:bCs/>
          <w:color w:val="000000" w:themeColor="text1"/>
        </w:rPr>
        <w:t xml:space="preserve"> </w:t>
      </w:r>
      <w:r w:rsidRPr="00F0736F">
        <w:rPr>
          <w:rFonts w:ascii="Times New Roman" w:hAnsi="Times New Roman" w:cs="Times New Roman"/>
          <w:color w:val="000000" w:themeColor="text1"/>
        </w:rPr>
        <w:t>рассматриваются различные способы адаптации водных ресурсов в законодательство.</w:t>
      </w:r>
      <w:r w:rsidRPr="00F0736F">
        <w:rPr>
          <w:rFonts w:ascii="Times New Roman" w:eastAsia="Calibri" w:hAnsi="Times New Roman" w:cs="Times New Roman"/>
          <w:color w:val="000000" w:themeColor="text1"/>
          <w:lang w:eastAsia="ru-RU"/>
        </w:rPr>
        <w:t xml:space="preserve"> </w:t>
      </w:r>
    </w:p>
    <w:p w14:paraId="20FA7C20"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lang w:eastAsia="ru-RU"/>
        </w:rPr>
        <w:t>Примеры законодательств разных стран по борьбе с изменением климата и по адаптации к изменению климата приведены в публикации «Л</w:t>
      </w:r>
      <w:r w:rsidRPr="00F0736F">
        <w:rPr>
          <w:rFonts w:ascii="Times New Roman" w:hAnsi="Times New Roman" w:cs="Times New Roman"/>
          <w:color w:val="000000" w:themeColor="text1"/>
        </w:rPr>
        <w:t>учшие международные практики учитывания адаптации к изменению климата в рамочных законах об охране окружающей среды». Данная публикация подготовлена для Министерства энергетики Казахстана Институтом по изучению правовых вопросов окружающей среды в рамках инициативы C5+1, финансируемой Агентством США по международному развитию (USAID)</w:t>
      </w:r>
      <w:r w:rsidRPr="00F0736F">
        <w:rPr>
          <w:rStyle w:val="a4"/>
          <w:rFonts w:ascii="Times New Roman" w:hAnsi="Times New Roman" w:cs="Times New Roman"/>
          <w:color w:val="000000" w:themeColor="text1"/>
        </w:rPr>
        <w:footnoteReference w:id="98"/>
      </w:r>
      <w:r w:rsidRPr="00F0736F">
        <w:rPr>
          <w:rFonts w:ascii="Times New Roman" w:hAnsi="Times New Roman" w:cs="Times New Roman"/>
          <w:color w:val="000000" w:themeColor="text1"/>
        </w:rPr>
        <w:t>.</w:t>
      </w:r>
    </w:p>
    <w:p w14:paraId="44788C00"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Для решения климатической проблемы страны, некоммерческие организации (НКО) и лидеры объединяют свои усилия и знания, понимая, что борьба с изменением климата, это глобальная задача.</w:t>
      </w:r>
    </w:p>
    <w:p w14:paraId="5F9FB490" w14:textId="4F10814E"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координации работы НКО объединяются в различные «климатические» сети, крупнейшая из которых — Международная сеть для действий в защиту климата (Climate Action Network International или CAN-International). </w:t>
      </w:r>
      <w:r w:rsidRPr="00F0736F">
        <w:rPr>
          <w:rStyle w:val="12"/>
          <w:rFonts w:ascii="Times New Roman" w:hAnsi="Times New Roman" w:cs="Times New Roman"/>
          <w:color w:val="000000" w:themeColor="text1"/>
        </w:rPr>
        <w:t>CAN</w:t>
      </w:r>
      <w:r w:rsidRPr="00F0736F">
        <w:rPr>
          <w:rFonts w:ascii="Times New Roman" w:hAnsi="Times New Roman" w:cs="Times New Roman"/>
          <w:color w:val="000000" w:themeColor="text1"/>
        </w:rPr>
        <w:t xml:space="preserve"> – это всемирная коалиция, которая объединяет более 1</w:t>
      </w:r>
      <w:r w:rsidR="00E5574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300 некоммерческих организаций в 120 странах, включая такие ведущие экологические организации, как Greenpeace, WWF, Oxfam, Avaaz, научные, религиозные и другие организации по развитию. CAN объединяет усилия гражданского общества на международных переговорах Рамочной Конвенции ООН об изменении климата, в которых принимают участие в статусе наблюдателя.</w:t>
      </w:r>
    </w:p>
    <w:p w14:paraId="0CDEECF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CAN распространяет свежие «климатические» новости и организует площадки для обсуждения проблем, в том числе для переговоров и подготовки к конференциям и встречам, через несколько электронных рассылок (СAN-talk, CAN JI/CDM, CAN Forestry и т.д.). Благодаря этим электронным инструментам проводятся стратегические сессии, ежедневные встречи во время переговоров для обмена новостями, принятия решений и формируются рабочие группы и заявления</w:t>
      </w:r>
      <w:r w:rsidRPr="00F0736F">
        <w:rPr>
          <w:rStyle w:val="a4"/>
          <w:rFonts w:ascii="Times New Roman" w:hAnsi="Times New Roman" w:cs="Times New Roman"/>
          <w:color w:val="000000" w:themeColor="text1"/>
        </w:rPr>
        <w:footnoteReference w:id="99"/>
      </w:r>
      <w:r w:rsidRPr="00F0736F">
        <w:rPr>
          <w:rFonts w:ascii="Times New Roman" w:hAnsi="Times New Roman" w:cs="Times New Roman"/>
          <w:color w:val="000000" w:themeColor="text1"/>
        </w:rPr>
        <w:t>.</w:t>
      </w:r>
    </w:p>
    <w:p w14:paraId="5F36058A" w14:textId="20509641"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color w:val="000000" w:themeColor="text1"/>
          <w:kern w:val="0"/>
          <w:lang w:eastAsia="ru-RU" w:bidi="ar-SA"/>
        </w:rPr>
        <w:t>17 - 27 июня 2019 г</w:t>
      </w:r>
      <w:r w:rsidR="00157148" w:rsidRPr="00F0736F">
        <w:rPr>
          <w:rFonts w:ascii="Times New Roman" w:eastAsia="Times New Roman" w:hAnsi="Times New Roman" w:cs="Times New Roman"/>
          <w:bCs/>
          <w:color w:val="000000" w:themeColor="text1"/>
          <w:kern w:val="0"/>
          <w:lang w:eastAsia="ru-RU" w:bidi="ar-SA"/>
        </w:rPr>
        <w:t>ода</w:t>
      </w:r>
      <w:r w:rsidRPr="00F0736F">
        <w:rPr>
          <w:rFonts w:ascii="Times New Roman" w:eastAsia="Times New Roman" w:hAnsi="Times New Roman" w:cs="Times New Roman"/>
          <w:bCs/>
          <w:color w:val="000000" w:themeColor="text1"/>
          <w:kern w:val="0"/>
          <w:lang w:eastAsia="ru-RU" w:bidi="ar-SA"/>
        </w:rPr>
        <w:t xml:space="preserve"> в Бонне (Германия) состоялись заседания вспомогательных органов (ВОКНТА и ВОО) РКИК ООН об изменении климата. Это ежегодный подготовительный этап, на котором обсуждаются будущие решения в области изменения климата на экспертном уровне.</w:t>
      </w:r>
      <w:r w:rsidRPr="00F0736F">
        <w:rPr>
          <w:rFonts w:ascii="Times New Roman" w:eastAsia="Times New Roman" w:hAnsi="Times New Roman" w:cs="Times New Roman"/>
          <w:b/>
          <w:bCs/>
          <w:color w:val="000000" w:themeColor="text1"/>
          <w:kern w:val="0"/>
          <w:lang w:eastAsia="ru-RU" w:bidi="ar-SA"/>
        </w:rPr>
        <w:t xml:space="preserve"> </w:t>
      </w:r>
      <w:r w:rsidRPr="00F0736F">
        <w:rPr>
          <w:rFonts w:ascii="Times New Roman" w:eastAsia="Times New Roman" w:hAnsi="Times New Roman" w:cs="Times New Roman"/>
          <w:color w:val="000000" w:themeColor="text1"/>
          <w:kern w:val="0"/>
          <w:lang w:eastAsia="ru-RU" w:bidi="ar-SA"/>
        </w:rPr>
        <w:t>В работе заседаний основное внимание уделялось следующим аспектам реализации Парижского соглашения.</w:t>
      </w:r>
    </w:p>
    <w:p w14:paraId="367F6D5A" w14:textId="10F260A8"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Во-первых, необходимо определить общие временные рамки действия определяемых на национальном уровне вкладов стран (ОНУВ) в Парижско</w:t>
      </w:r>
      <w:r w:rsidR="0015714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е соглашение. Пока они у одних стран определены до 2025 года, у других стран до 2030 года. Скорее всего</w:t>
      </w:r>
      <w:r w:rsidR="0015714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такое различие сохранится до 2030 года, а далее пока более вероятным видится пятилетний период действия ОНУВ. И важно помнить, что в следующем году надо представить в Секретариат уточненный ОНУВ, даже если он определен до 2030 года.</w:t>
      </w:r>
    </w:p>
    <w:p w14:paraId="5192F6F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Во-вторых, реализация Парижского соглашения требует разработки общих методологических основ, чтобы результаты мер, предпринимаемых в разных странах, можно было сопоставлять и сравнивать. Это позволит показывать на международном уровне их результативность и видеть прогресс с реализацией Парижского соглашения в разных странах. Для этого определяются общие форматы для подачи отчетности по выбросам и поглощениям парниковых газов, а также по прогрессу с реализацией заявленных странами вкладов в Парижское соглашение.</w:t>
      </w:r>
    </w:p>
    <w:p w14:paraId="0E18BFA4" w14:textId="4571867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ходе прошедшей в первой половине декабря </w:t>
      </w:r>
      <w:r w:rsidR="005B35D4" w:rsidRPr="00F0736F">
        <w:rPr>
          <w:rFonts w:ascii="Times New Roman" w:hAnsi="Times New Roman" w:cs="Times New Roman"/>
          <w:color w:val="000000" w:themeColor="text1"/>
        </w:rPr>
        <w:t>2019 года в Мадриде</w:t>
      </w:r>
      <w:r w:rsidRPr="00F0736F">
        <w:rPr>
          <w:rFonts w:ascii="Times New Roman" w:hAnsi="Times New Roman" w:cs="Times New Roman"/>
          <w:color w:val="000000" w:themeColor="text1"/>
        </w:rPr>
        <w:t xml:space="preserve"> сделан вывод, что ведущие мировые державы недостаточно делают для того, чтобы </w:t>
      </w:r>
      <w:r w:rsidRPr="00F0736F">
        <w:rPr>
          <w:rStyle w:val="a6"/>
          <w:rFonts w:ascii="Times New Roman" w:hAnsi="Times New Roman" w:cs="Times New Roman"/>
          <w:color w:val="000000" w:themeColor="text1"/>
          <w:u w:val="none"/>
        </w:rPr>
        <w:t>п</w:t>
      </w:r>
      <w:r w:rsidRPr="00F0736F">
        <w:rPr>
          <w:rFonts w:ascii="Times New Roman" w:hAnsi="Times New Roman" w:cs="Times New Roman"/>
          <w:color w:val="000000" w:themeColor="text1"/>
        </w:rPr>
        <w:t xml:space="preserve">редотвратить надвигающуюся климатическую катастрофу. </w:t>
      </w:r>
      <w:r w:rsidRPr="00F0736F">
        <w:rPr>
          <w:rFonts w:ascii="Times New Roman" w:eastAsia="Times New Roman" w:hAnsi="Times New Roman" w:cs="Times New Roman"/>
          <w:color w:val="000000" w:themeColor="text1"/>
          <w:lang w:eastAsia="ru-RU"/>
        </w:rPr>
        <w:t xml:space="preserve">В 2019 году средняя температура уже превысила доиндустриальный уровень на 1,1°С, говорится в </w:t>
      </w:r>
      <w:hyperlink r:id="rId38" w:history="1">
        <w:r w:rsidRPr="00F0736F">
          <w:rPr>
            <w:rStyle w:val="a6"/>
            <w:rFonts w:ascii="Times New Roman" w:hAnsi="Times New Roman" w:cs="Times New Roman"/>
            <w:color w:val="000000" w:themeColor="text1"/>
            <w:u w:val="none"/>
          </w:rPr>
          <w:t>предварительном докладе</w:t>
        </w:r>
      </w:hyperlink>
      <w:r w:rsidRPr="00F0736F">
        <w:rPr>
          <w:rStyle w:val="a6"/>
          <w:rFonts w:ascii="Times New Roman" w:hAnsi="Times New Roman" w:cs="Times New Roman"/>
          <w:color w:val="000000" w:themeColor="text1"/>
          <w:u w:val="none"/>
        </w:rPr>
        <w:t xml:space="preserve"> </w:t>
      </w:r>
      <w:r w:rsidRPr="00F0736F">
        <w:rPr>
          <w:rFonts w:ascii="Times New Roman" w:eastAsia="Times New Roman" w:hAnsi="Times New Roman" w:cs="Times New Roman"/>
          <w:color w:val="000000" w:themeColor="text1"/>
          <w:lang w:eastAsia="ru-RU"/>
        </w:rPr>
        <w:t>о состоянии глобального климата.</w:t>
      </w:r>
    </w:p>
    <w:p w14:paraId="667CB79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 итогам исследования, регулярно проводимого немецкими организациями NewClimate Institute и Germanwatch, а также международной сетью Climate Action Network, составляется рейтинг, показывающий эффективность мер против изменения климата, принимаемых в разных странах. В 2019 году радикального поворота к лучшему вновь не произошло и первые три места в рейтинге остались свободными, потому что пока еще ни одна страна не сделала достаточно для достижения целей </w:t>
      </w:r>
      <w:hyperlink r:id="rId39" w:history="1">
        <w:r w:rsidRPr="00F0736F">
          <w:rPr>
            <w:rStyle w:val="a6"/>
            <w:rFonts w:ascii="Times New Roman" w:hAnsi="Times New Roman" w:cs="Times New Roman"/>
            <w:color w:val="000000" w:themeColor="text1"/>
            <w:u w:val="none"/>
          </w:rPr>
          <w:t>климатического соглашения</w:t>
        </w:r>
        <w:r w:rsidRPr="00F0736F">
          <w:rPr>
            <w:rStyle w:val="a4"/>
            <w:rFonts w:ascii="Times New Roman" w:hAnsi="Times New Roman" w:cs="Times New Roman"/>
            <w:color w:val="000000" w:themeColor="text1"/>
          </w:rPr>
          <w:footnoteReference w:id="100"/>
        </w:r>
      </w:hyperlink>
      <w:r w:rsidRPr="00F0736F">
        <w:rPr>
          <w:rFonts w:ascii="Times New Roman" w:hAnsi="Times New Roman" w:cs="Times New Roman"/>
          <w:color w:val="000000" w:themeColor="text1"/>
        </w:rPr>
        <w:t>.</w:t>
      </w:r>
    </w:p>
    <w:p w14:paraId="599CF559" w14:textId="3D72D005" w:rsidR="00F674A4" w:rsidRPr="00F0736F" w:rsidRDefault="00F674A4"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Действия стран оценивались по 14 параметрам в четырёх основных категориях: «Выбросы парниковых газов», «Возобновляемая энергетика», «Использование энергии» и «Климатическая политика». Казахстан занял только 54 </w:t>
      </w:r>
      <w:r w:rsidR="00D408FC" w:rsidRPr="00F0736F">
        <w:rPr>
          <w:rFonts w:ascii="Times New Roman" w:hAnsi="Times New Roman" w:cs="Times New Roman"/>
          <w:color w:val="000000" w:themeColor="text1"/>
        </w:rPr>
        <w:t xml:space="preserve">-е </w:t>
      </w:r>
      <w:r w:rsidRPr="00F0736F">
        <w:rPr>
          <w:rFonts w:ascii="Times New Roman" w:hAnsi="Times New Roman" w:cs="Times New Roman"/>
          <w:color w:val="000000" w:themeColor="text1"/>
        </w:rPr>
        <w:t>место из 61 стран (рисунок 1.7.2</w:t>
      </w:r>
      <w:r w:rsidR="0015714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757D4613" w14:textId="77777777" w:rsidR="005B35D4" w:rsidRPr="00F0736F" w:rsidRDefault="00206E1D" w:rsidP="008727D9">
      <w:pPr>
        <w:ind w:firstLine="709"/>
        <w:jc w:val="both"/>
        <w:rPr>
          <w:color w:val="000000" w:themeColor="text1"/>
        </w:rPr>
      </w:pPr>
      <w:r w:rsidRPr="00F0736F">
        <w:rPr>
          <w:rFonts w:ascii="Times New Roman" w:hAnsi="Times New Roman" w:cs="Times New Roman"/>
          <w:color w:val="000000" w:themeColor="text1"/>
        </w:rPr>
        <w:t xml:space="preserve"> </w:t>
      </w:r>
    </w:p>
    <w:p w14:paraId="61F63293" w14:textId="77777777" w:rsidR="005B35D4" w:rsidRPr="00F0736F" w:rsidRDefault="005B35D4" w:rsidP="008727D9">
      <w:pPr>
        <w:ind w:firstLine="709"/>
        <w:jc w:val="both"/>
        <w:rPr>
          <w:color w:val="000000" w:themeColor="text1"/>
        </w:rPr>
      </w:pPr>
    </w:p>
    <w:p w14:paraId="3CFF0BFE" w14:textId="77777777" w:rsidR="00F674A4" w:rsidRPr="00F0736F" w:rsidRDefault="00797A05" w:rsidP="00157148">
      <w:pPr>
        <w:jc w:val="center"/>
        <w:rPr>
          <w:rFonts w:ascii="Times New Roman" w:hAnsi="Times New Roman" w:cs="Times New Roman"/>
          <w:color w:val="000000" w:themeColor="text1"/>
        </w:rPr>
      </w:pPr>
      <w:r w:rsidRPr="00F0736F">
        <w:rPr>
          <w:rFonts w:ascii="Times New Roman" w:hAnsi="Times New Roman" w:cs="Times New Roman"/>
          <w:noProof/>
          <w:color w:val="000000" w:themeColor="text1"/>
          <w:lang w:eastAsia="ru-RU" w:bidi="ar-SA"/>
        </w:rPr>
        <w:drawing>
          <wp:inline distT="0" distB="0" distL="0" distR="0" wp14:anchorId="46A0DD42" wp14:editId="647D5E95">
            <wp:extent cx="3933825" cy="4848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l="-781" t="-439" r="-781" b="-439"/>
                    <a:stretch>
                      <a:fillRect/>
                    </a:stretch>
                  </pic:blipFill>
                  <pic:spPr bwMode="auto">
                    <a:xfrm>
                      <a:off x="0" y="0"/>
                      <a:ext cx="3933825" cy="4848225"/>
                    </a:xfrm>
                    <a:prstGeom prst="rect">
                      <a:avLst/>
                    </a:prstGeom>
                    <a:solidFill>
                      <a:srgbClr val="FFFFFF"/>
                    </a:solidFill>
                    <a:ln w="9525">
                      <a:noFill/>
                      <a:miter lim="800000"/>
                      <a:headEnd/>
                      <a:tailEnd/>
                    </a:ln>
                  </pic:spPr>
                </pic:pic>
              </a:graphicData>
            </a:graphic>
          </wp:inline>
        </w:drawing>
      </w:r>
    </w:p>
    <w:p w14:paraId="1F7BD9E8" w14:textId="77777777" w:rsidR="00F674A4" w:rsidRPr="00F0736F" w:rsidRDefault="00F674A4" w:rsidP="008727D9">
      <w:pPr>
        <w:ind w:firstLine="709"/>
        <w:jc w:val="both"/>
        <w:rPr>
          <w:rFonts w:ascii="Times New Roman" w:hAnsi="Times New Roman" w:cs="Times New Roman"/>
          <w:color w:val="000000" w:themeColor="text1"/>
        </w:rPr>
      </w:pPr>
    </w:p>
    <w:p w14:paraId="6D634975" w14:textId="2F42483D"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Рис</w:t>
      </w:r>
      <w:r w:rsidR="00157148" w:rsidRPr="00F0736F">
        <w:rPr>
          <w:rFonts w:ascii="Times New Roman" w:eastAsia="Times New Roman" w:hAnsi="Times New Roman" w:cs="Times New Roman"/>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1.7.2. Итоги </w:t>
      </w:r>
      <w:r w:rsidRPr="00F0736F">
        <w:rPr>
          <w:rFonts w:ascii="Times New Roman" w:hAnsi="Times New Roman" w:cs="Times New Roman"/>
          <w:color w:val="000000" w:themeColor="text1"/>
        </w:rPr>
        <w:t>рейтинга эффективности мер против изменения климата</w:t>
      </w:r>
    </w:p>
    <w:p w14:paraId="150605D7" w14:textId="77777777" w:rsidR="00F674A4" w:rsidRPr="00F0736F" w:rsidRDefault="00F674A4" w:rsidP="008727D9">
      <w:pPr>
        <w:ind w:firstLine="709"/>
        <w:jc w:val="both"/>
        <w:rPr>
          <w:rFonts w:ascii="Times New Roman" w:hAnsi="Times New Roman" w:cs="Times New Roman"/>
          <w:color w:val="000000" w:themeColor="text1"/>
        </w:rPr>
      </w:pPr>
    </w:p>
    <w:p w14:paraId="231AD828" w14:textId="77777777" w:rsidR="00096D0B" w:rsidRPr="00F0736F" w:rsidRDefault="00096D0B"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Неожиданно в первой десятке лидирующих стран оказалась Индия, которая </w:t>
      </w:r>
      <w:r w:rsidRPr="00F0736F">
        <w:rPr>
          <w:rFonts w:ascii="Times New Roman" w:hAnsi="Times New Roman" w:cs="Times New Roman"/>
          <w:color w:val="000000" w:themeColor="text1"/>
        </w:rPr>
        <w:t>вложила значительные средства в возобновляемые источники энергии и намерена к 2030 году за их счет обеспечить 40% энергопотребления.</w:t>
      </w:r>
      <w:r w:rsidRPr="00F0736F">
        <w:rPr>
          <w:rFonts w:ascii="Times New Roman" w:eastAsia="Times New Roman" w:hAnsi="Times New Roman" w:cs="Times New Roman"/>
          <w:color w:val="000000" w:themeColor="text1"/>
          <w:lang w:eastAsia="ru-RU"/>
        </w:rPr>
        <w:t xml:space="preserve"> Последнее место заняли США, т.к. собираются покинуть Парижское соглашение.</w:t>
      </w:r>
    </w:p>
    <w:p w14:paraId="57E34235" w14:textId="5CF25DD3" w:rsidR="00096D0B" w:rsidRPr="00F0736F" w:rsidRDefault="00096D0B" w:rsidP="00476BF6">
      <w:pPr>
        <w:pStyle w:val="afe"/>
        <w:spacing w:before="0" w:after="0"/>
        <w:ind w:firstLine="709"/>
        <w:jc w:val="both"/>
        <w:rPr>
          <w:color w:val="000000" w:themeColor="text1"/>
        </w:rPr>
      </w:pPr>
      <w:r w:rsidRPr="00F0736F">
        <w:rPr>
          <w:rFonts w:ascii="Times New Roman" w:hAnsi="Times New Roman" w:cs="Times New Roman"/>
          <w:i w:val="0"/>
          <w:iCs w:val="0"/>
          <w:color w:val="000000" w:themeColor="text1"/>
        </w:rPr>
        <w:t>На начало 2020 года о намерении достичь нулевых выбросов к 2050 году объявили уже 120 сторон Рамочной конвенции ООН об изменении климата, 15 субнациональных регионов, 398 городов, 786 предприятий и 16 инвесторов. Дания, Франция, Новая Зеландия, Швеция и Великобритания закрепили это обязательство в законодательстве. Евросоюз принял в 2019 году всеобъемлющий план декарбонизации, получивший название «Зеленая сделка» (EUGreenDeal). Частью этого плана является ужесточение регулирования выбросов ПГ во всех секторах экономики ЕС и внедрение системы углеродного регулирования импорта наиболее углеродоемкой продукции.</w:t>
      </w:r>
      <w:r w:rsidRPr="00F0736F">
        <w:rPr>
          <w:rFonts w:ascii="Times New Roman" w:eastAsia="Times New Roman" w:hAnsi="Times New Roman" w:cs="Times New Roman"/>
          <w:i w:val="0"/>
          <w:iCs w:val="0"/>
          <w:color w:val="000000" w:themeColor="text1"/>
        </w:rPr>
        <w:t xml:space="preserve"> Согласно этой Сделке</w:t>
      </w:r>
      <w:r w:rsidR="00A3210E" w:rsidRPr="00F0736F">
        <w:rPr>
          <w:rFonts w:ascii="Times New Roman" w:eastAsia="Times New Roman" w:hAnsi="Times New Roman" w:cs="Times New Roman"/>
          <w:i w:val="0"/>
          <w:iCs w:val="0"/>
          <w:color w:val="000000" w:themeColor="text1"/>
        </w:rPr>
        <w:t xml:space="preserve">, </w:t>
      </w:r>
      <w:r w:rsidRPr="00F0736F">
        <w:rPr>
          <w:rFonts w:ascii="Times New Roman" w:eastAsia="Times New Roman" w:hAnsi="Times New Roman" w:cs="Times New Roman"/>
          <w:i w:val="0"/>
          <w:iCs w:val="0"/>
          <w:color w:val="000000" w:themeColor="text1"/>
        </w:rPr>
        <w:t>в</w:t>
      </w:r>
      <w:r w:rsidR="00A3210E" w:rsidRPr="00F0736F">
        <w:rPr>
          <w:rFonts w:ascii="Times New Roman" w:eastAsia="Times New Roman" w:hAnsi="Times New Roman" w:cs="Times New Roman"/>
          <w:i w:val="0"/>
          <w:iCs w:val="0"/>
          <w:color w:val="000000" w:themeColor="text1"/>
        </w:rPr>
        <w:t xml:space="preserve"> </w:t>
      </w:r>
      <w:r w:rsidRPr="00F0736F">
        <w:rPr>
          <w:rFonts w:ascii="Times New Roman" w:eastAsia="Times New Roman" w:hAnsi="Times New Roman" w:cs="Times New Roman"/>
          <w:i w:val="0"/>
          <w:iCs w:val="0"/>
          <w:color w:val="000000" w:themeColor="text1"/>
        </w:rPr>
        <w:t>2020 году был разработан проект Климатического закона, который будет регулировать становление ЕС углеродно-нейтральным континентом.</w:t>
      </w:r>
    </w:p>
    <w:p w14:paraId="446FD6A0" w14:textId="634CEAF0" w:rsidR="00476BF6" w:rsidRPr="00F0736F" w:rsidRDefault="002F3641" w:rsidP="00476BF6">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мнению международных экспертов</w:t>
      </w:r>
      <w:r w:rsidRPr="00F0736F">
        <w:rPr>
          <w:rFonts w:ascii="Times New Roman" w:hAnsi="Times New Roman" w:cs="Times New Roman"/>
          <w:color w:val="000000" w:themeColor="text1"/>
          <w:vertAlign w:val="superscript"/>
        </w:rPr>
        <w:footnoteReference w:id="101"/>
      </w:r>
      <w:r w:rsidRPr="00F0736F">
        <w:rPr>
          <w:rFonts w:ascii="Times New Roman" w:hAnsi="Times New Roman" w:cs="Times New Roman"/>
          <w:color w:val="000000" w:themeColor="text1"/>
        </w:rPr>
        <w:t xml:space="preserve"> Казахстан имеет большой потенциал для снижения своего экологического следа в качестве глобального источника вы</w:t>
      </w:r>
      <w:r w:rsidR="00D408FC" w:rsidRPr="00F0736F">
        <w:rPr>
          <w:rFonts w:ascii="Times New Roman" w:hAnsi="Times New Roman" w:cs="Times New Roman"/>
          <w:color w:val="000000" w:themeColor="text1"/>
        </w:rPr>
        <w:t>бросов парниковых газов. Однако</w:t>
      </w:r>
      <w:r w:rsidRPr="00F0736F">
        <w:rPr>
          <w:rFonts w:ascii="Times New Roman" w:hAnsi="Times New Roman" w:cs="Times New Roman"/>
          <w:color w:val="000000" w:themeColor="text1"/>
        </w:rPr>
        <w:t xml:space="preserve"> </w:t>
      </w:r>
      <w:r w:rsidR="00476BF6" w:rsidRPr="00F0736F">
        <w:rPr>
          <w:rFonts w:ascii="Times New Roman" w:hAnsi="Times New Roman" w:cs="Times New Roman"/>
          <w:color w:val="000000" w:themeColor="text1"/>
        </w:rPr>
        <w:t xml:space="preserve">отсутствие в Казахстане национальной политики и, соответственно, </w:t>
      </w:r>
      <w:r w:rsidRPr="00F0736F">
        <w:rPr>
          <w:rFonts w:ascii="Times New Roman" w:hAnsi="Times New Roman" w:cs="Times New Roman"/>
          <w:color w:val="000000" w:themeColor="text1"/>
        </w:rPr>
        <w:t>законод</w:t>
      </w:r>
      <w:r w:rsidR="00476BF6" w:rsidRPr="00F0736F">
        <w:rPr>
          <w:rFonts w:ascii="Times New Roman" w:hAnsi="Times New Roman" w:cs="Times New Roman"/>
          <w:color w:val="000000" w:themeColor="text1"/>
        </w:rPr>
        <w:t>ательных актов, которое были бы</w:t>
      </w:r>
      <w:r w:rsidRPr="00F0736F">
        <w:rPr>
          <w:rFonts w:ascii="Times New Roman" w:hAnsi="Times New Roman" w:cs="Times New Roman"/>
          <w:color w:val="000000" w:themeColor="text1"/>
        </w:rPr>
        <w:t xml:space="preserve"> непосредственно направлены на решение проблем изменения климата, </w:t>
      </w:r>
      <w:r w:rsidR="00D408FC" w:rsidRPr="00F0736F">
        <w:rPr>
          <w:rFonts w:ascii="Times New Roman" w:hAnsi="Times New Roman" w:cs="Times New Roman"/>
          <w:color w:val="000000" w:themeColor="text1"/>
        </w:rPr>
        <w:t xml:space="preserve">отсутствие </w:t>
      </w:r>
      <w:r w:rsidRPr="00F0736F">
        <w:rPr>
          <w:rFonts w:ascii="Times New Roman" w:hAnsi="Times New Roman" w:cs="Times New Roman"/>
          <w:color w:val="000000" w:themeColor="text1"/>
        </w:rPr>
        <w:t>конкретного стратегичес</w:t>
      </w:r>
      <w:r w:rsidR="00476BF6" w:rsidRPr="00F0736F">
        <w:rPr>
          <w:rFonts w:ascii="Times New Roman" w:hAnsi="Times New Roman" w:cs="Times New Roman"/>
          <w:color w:val="000000" w:themeColor="text1"/>
        </w:rPr>
        <w:t>кого документа</w:t>
      </w:r>
      <w:r w:rsidR="00D408FC" w:rsidRPr="00F0736F">
        <w:rPr>
          <w:rFonts w:ascii="Times New Roman" w:hAnsi="Times New Roman" w:cs="Times New Roman"/>
          <w:color w:val="000000" w:themeColor="text1"/>
        </w:rPr>
        <w:t xml:space="preserve"> </w:t>
      </w:r>
      <w:r w:rsidR="00A3210E" w:rsidRPr="00F0736F">
        <w:rPr>
          <w:rFonts w:ascii="Times New Roman" w:hAnsi="Times New Roman" w:cs="Times New Roman"/>
          <w:color w:val="000000" w:themeColor="text1"/>
        </w:rPr>
        <w:t>в</w:t>
      </w:r>
      <w:r w:rsidR="00D408FC" w:rsidRPr="00F0736F">
        <w:rPr>
          <w:rFonts w:ascii="Times New Roman" w:hAnsi="Times New Roman" w:cs="Times New Roman"/>
          <w:color w:val="000000" w:themeColor="text1"/>
        </w:rPr>
        <w:t xml:space="preserve"> этом направлении </w:t>
      </w:r>
      <w:r w:rsidR="00476BF6" w:rsidRPr="00F0736F">
        <w:rPr>
          <w:rFonts w:ascii="Times New Roman" w:hAnsi="Times New Roman" w:cs="Times New Roman"/>
          <w:color w:val="000000" w:themeColor="text1"/>
        </w:rPr>
        <w:t xml:space="preserve">не позволяет придать вопросам изменения климата всестороннее признание и его комплексную значимость для различных отраслей, таких как энергетика, промышленность, сельское хозяйство, транспорт и градостроительное проектирование. В этой связи Правительству Казахстана рекомендовано: </w:t>
      </w:r>
    </w:p>
    <w:p w14:paraId="11899D22" w14:textId="4E9D7A58" w:rsidR="00476BF6" w:rsidRPr="00F0736F" w:rsidRDefault="00A3210E" w:rsidP="00476BF6">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w:t>
      </w:r>
      <w:r w:rsidR="00476BF6" w:rsidRPr="00F0736F">
        <w:rPr>
          <w:rFonts w:ascii="Times New Roman" w:hAnsi="Times New Roman" w:cs="Times New Roman"/>
          <w:color w:val="000000" w:themeColor="text1"/>
        </w:rPr>
        <w:t>азработать и принять стратегический документ по вопросам проблем изменения климата;</w:t>
      </w:r>
    </w:p>
    <w:p w14:paraId="675DCF21" w14:textId="60C162A5" w:rsidR="00476BF6" w:rsidRPr="00F0736F" w:rsidRDefault="00A3210E" w:rsidP="00476BF6">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w:t>
      </w:r>
      <w:r w:rsidR="00476BF6" w:rsidRPr="00F0736F">
        <w:rPr>
          <w:rFonts w:ascii="Times New Roman" w:hAnsi="Times New Roman" w:cs="Times New Roman"/>
          <w:color w:val="000000" w:themeColor="text1"/>
        </w:rPr>
        <w:t>оощрять области и города включать аспекты изменения климата в свои программы развития;</w:t>
      </w:r>
    </w:p>
    <w:p w14:paraId="14E02485" w14:textId="1B8BE620" w:rsidR="00476BF6" w:rsidRPr="00F0736F" w:rsidRDefault="00A3210E" w:rsidP="00476BF6">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w:t>
      </w:r>
      <w:r w:rsidR="00476BF6" w:rsidRPr="00F0736F">
        <w:rPr>
          <w:rFonts w:ascii="Times New Roman" w:hAnsi="Times New Roman" w:cs="Times New Roman"/>
          <w:color w:val="000000" w:themeColor="text1"/>
        </w:rPr>
        <w:t>одействовать разработке и осуществлению местных планов по адаптации;</w:t>
      </w:r>
    </w:p>
    <w:p w14:paraId="75E5BBA2" w14:textId="2653828A" w:rsidR="00476BF6" w:rsidRPr="00F0736F" w:rsidRDefault="00A3210E" w:rsidP="00C65402">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w:t>
      </w:r>
      <w:r w:rsidR="00476BF6" w:rsidRPr="00F0736F">
        <w:rPr>
          <w:rFonts w:ascii="Times New Roman" w:hAnsi="Times New Roman" w:cs="Times New Roman"/>
          <w:color w:val="000000" w:themeColor="text1"/>
        </w:rPr>
        <w:t>беспечить, чтобы проблемы изменения климата были в значительной степени интегрированы в отраслевые стратегические документы, планы и программы, в частности, в сфере жилищного строительства, транспорта, сельского хозяйства, градостроительного проектирования, здравоохранения, энергетики и промышленности, включая горнодобывающую отрасль.</w:t>
      </w:r>
    </w:p>
    <w:p w14:paraId="095C3456" w14:textId="77777777" w:rsidR="00C65402" w:rsidRPr="00F0736F" w:rsidRDefault="00C65402" w:rsidP="00C65402">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междунардными экспертами</w:t>
      </w:r>
      <w:r w:rsidRPr="00F0736F">
        <w:rPr>
          <w:rFonts w:ascii="Times New Roman" w:hAnsi="Times New Roman" w:cs="Times New Roman"/>
          <w:color w:val="000000" w:themeColor="text1"/>
          <w:vertAlign w:val="superscript"/>
        </w:rPr>
        <w:footnoteReference w:id="102"/>
      </w:r>
      <w:r w:rsidRPr="00F0736F">
        <w:rPr>
          <w:rFonts w:ascii="Times New Roman" w:hAnsi="Times New Roman" w:cs="Times New Roman"/>
          <w:color w:val="000000" w:themeColor="text1"/>
        </w:rPr>
        <w:t xml:space="preserve"> отмечено, что для многих секторов экономики в Казахстане характерно общее отсутствие более стратегического видения, которое учитывало бы экологические, социальные и другие воздействия из разных источников, а также последствия изменения климата и возникающую в результате необходимость разработки мер по смягчению воздействия на климат</w:t>
      </w:r>
      <w:r w:rsidR="0001742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и адаптации к изменению климата для этого сектора.</w:t>
      </w:r>
    </w:p>
    <w:p w14:paraId="31506BBC" w14:textId="77777777" w:rsidR="00C65402" w:rsidRPr="00F0736F" w:rsidRDefault="00C65402" w:rsidP="00C65402">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Поэтому рекомендуют Правительству Казахстана: </w:t>
      </w:r>
    </w:p>
    <w:p w14:paraId="79E3EABD" w14:textId="77777777" w:rsidR="00A3210E" w:rsidRPr="00F0736F" w:rsidRDefault="00A3210E" w:rsidP="00A3210E">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в</w:t>
      </w:r>
      <w:r w:rsidR="00C65402" w:rsidRPr="00F0736F">
        <w:rPr>
          <w:rFonts w:ascii="Times New Roman" w:hAnsi="Times New Roman" w:cs="Times New Roman"/>
          <w:i/>
          <w:iCs/>
          <w:color w:val="000000" w:themeColor="text1"/>
        </w:rPr>
        <w:t>недрить стратегическую экологическую оценку (СЭО) в качестве вспомогательного инструмента для разработки обоснованной и скоординированной политики в области устойчивого развития, которая учитывала бы аспекты изменения климата;</w:t>
      </w:r>
    </w:p>
    <w:p w14:paraId="78E40535" w14:textId="43101640" w:rsidR="00C65402" w:rsidRPr="00F0736F" w:rsidRDefault="00A3210E" w:rsidP="00A3210E">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о</w:t>
      </w:r>
      <w:r w:rsidR="00C65402" w:rsidRPr="00F0736F">
        <w:rPr>
          <w:rFonts w:ascii="Times New Roman" w:hAnsi="Times New Roman" w:cs="Times New Roman"/>
          <w:i/>
          <w:iCs/>
          <w:color w:val="000000" w:themeColor="text1"/>
        </w:rPr>
        <w:t>беспечить, чтобы аспекты изменения климата (смягчение воздействия и адаптация, связанные со снижением риска бедствий) явным образом являлись составной частью СЭО;</w:t>
      </w:r>
    </w:p>
    <w:p w14:paraId="5EA8B8B7" w14:textId="5D1FE7FD" w:rsidR="00C65402" w:rsidRPr="00F0736F" w:rsidRDefault="00A3210E" w:rsidP="00C65402">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о</w:t>
      </w:r>
      <w:r w:rsidR="00C65402" w:rsidRPr="00F0736F">
        <w:rPr>
          <w:rFonts w:ascii="Times New Roman" w:hAnsi="Times New Roman" w:cs="Times New Roman"/>
          <w:i/>
          <w:iCs/>
          <w:color w:val="000000" w:themeColor="text1"/>
        </w:rPr>
        <w:t>беспечить проведение СЭО применительно к стратегическим документам в области жилищного хозяйства, транспорта, сельского хозяйства, землепользования, городского развития, энергетики и промышленности, включая горнодобывающую отрасль и другие отрасли, на национальном и областном уровнях.</w:t>
      </w:r>
    </w:p>
    <w:p w14:paraId="09C32511" w14:textId="59F89776" w:rsidR="00017424" w:rsidRPr="00F0736F" w:rsidRDefault="00C65402" w:rsidP="00C0158F">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Сценарии смягчения воздействия на климат показывают, что Казахстан своей безусловной цели по обеспечению сокращения выбросов ПГ к 2030 г</w:t>
      </w:r>
      <w:r w:rsidR="00017424" w:rsidRPr="00F0736F">
        <w:rPr>
          <w:rFonts w:ascii="Times New Roman" w:hAnsi="Times New Roman" w:cs="Times New Roman"/>
          <w:color w:val="000000" w:themeColor="text1"/>
        </w:rPr>
        <w:t>оду на 15</w:t>
      </w:r>
      <w:r w:rsidRPr="00F0736F">
        <w:rPr>
          <w:rFonts w:ascii="Times New Roman" w:hAnsi="Times New Roman" w:cs="Times New Roman"/>
          <w:color w:val="000000" w:themeColor="text1"/>
        </w:rPr>
        <w:t>% по сравнению с 1990 г</w:t>
      </w:r>
      <w:r w:rsidR="00017424" w:rsidRPr="00F0736F">
        <w:rPr>
          <w:rFonts w:ascii="Times New Roman" w:hAnsi="Times New Roman" w:cs="Times New Roman"/>
          <w:color w:val="000000" w:themeColor="text1"/>
        </w:rPr>
        <w:t>одом</w:t>
      </w:r>
      <w:r w:rsidRPr="00F0736F">
        <w:rPr>
          <w:rFonts w:ascii="Times New Roman" w:hAnsi="Times New Roman" w:cs="Times New Roman"/>
          <w:color w:val="000000" w:themeColor="text1"/>
        </w:rPr>
        <w:t xml:space="preserve"> сможет достичь только при условии принятия существующих и дополнительных мер. При этом Всемирный банк рекомендует Казахстану актуализировать сценарии смягчения воздействия на климат</w:t>
      </w:r>
      <w:r w:rsidR="0001742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на основе более реалистичного прогноза роста ВВП на 1% и разработать индивидуальные и реалистичные стратегии и планы. </w:t>
      </w:r>
    </w:p>
    <w:p w14:paraId="1E71B5D3" w14:textId="77777777" w:rsidR="00C0158F" w:rsidRPr="00F0736F" w:rsidRDefault="00C65402" w:rsidP="00C0158F">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Необходимо также</w:t>
      </w:r>
      <w:r w:rsidR="00C0158F" w:rsidRPr="00F0736F">
        <w:rPr>
          <w:rFonts w:ascii="Times New Roman" w:hAnsi="Times New Roman" w:cs="Times New Roman"/>
          <w:color w:val="000000" w:themeColor="text1"/>
        </w:rPr>
        <w:t>:</w:t>
      </w:r>
    </w:p>
    <w:p w14:paraId="0B591F6B" w14:textId="767C729F" w:rsidR="00C65402" w:rsidRPr="00F0736F" w:rsidRDefault="00232818" w:rsidP="00C0158F">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у</w:t>
      </w:r>
      <w:r w:rsidR="00C65402" w:rsidRPr="00F0736F">
        <w:rPr>
          <w:rFonts w:ascii="Times New Roman" w:hAnsi="Times New Roman" w:cs="Times New Roman"/>
          <w:color w:val="000000" w:themeColor="text1"/>
        </w:rPr>
        <w:t>честь вклад в сокращение выбросов ПГ от секторов, не относящихся к КазСТВ (транспорт, городские территории, жилье, управление отходами, коммерческая деятельность), которым в настоящее время уделяется недостаточно внимания</w:t>
      </w:r>
      <w:r w:rsidRPr="00F0736F">
        <w:rPr>
          <w:rFonts w:ascii="Times New Roman" w:hAnsi="Times New Roman" w:cs="Times New Roman"/>
          <w:color w:val="000000" w:themeColor="text1"/>
        </w:rPr>
        <w:t>;</w:t>
      </w:r>
    </w:p>
    <w:p w14:paraId="75171573" w14:textId="697056E9" w:rsidR="00C0158F" w:rsidRPr="00F0736F" w:rsidRDefault="00232818" w:rsidP="00C0158F">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у</w:t>
      </w:r>
      <w:r w:rsidR="00C0158F" w:rsidRPr="00F0736F">
        <w:rPr>
          <w:rFonts w:ascii="Times New Roman" w:hAnsi="Times New Roman" w:cs="Times New Roman"/>
          <w:i/>
          <w:iCs/>
          <w:color w:val="000000" w:themeColor="text1"/>
        </w:rPr>
        <w:t>крепить систему торговли квотами на выбросы в Казахстане, отказавшись от метода базовой линии /базового метода распределения;</w:t>
      </w:r>
    </w:p>
    <w:p w14:paraId="119EC4DB" w14:textId="46BD7799" w:rsidR="00C0158F" w:rsidRPr="00F0736F" w:rsidRDefault="00232818" w:rsidP="00C0158F">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п</w:t>
      </w:r>
      <w:r w:rsidR="00C0158F" w:rsidRPr="00F0736F">
        <w:rPr>
          <w:rFonts w:ascii="Times New Roman" w:hAnsi="Times New Roman" w:cs="Times New Roman"/>
          <w:i/>
          <w:iCs/>
          <w:color w:val="000000" w:themeColor="text1"/>
        </w:rPr>
        <w:t>ринять меры в отношении выбросов в секторах, не относящихся к КазСТВ, включая разработку комплексных планов, конкретных мероприятий и показателей для мониторинга прогресса в сокращении выбросов;</w:t>
      </w:r>
    </w:p>
    <w:p w14:paraId="12F2C494" w14:textId="278A021B" w:rsidR="00C0158F" w:rsidRPr="00F0736F" w:rsidRDefault="00232818" w:rsidP="00C0158F">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в</w:t>
      </w:r>
      <w:r w:rsidR="00C0158F" w:rsidRPr="00F0736F">
        <w:rPr>
          <w:rFonts w:ascii="Times New Roman" w:hAnsi="Times New Roman" w:cs="Times New Roman"/>
          <w:i/>
          <w:iCs/>
          <w:color w:val="000000" w:themeColor="text1"/>
        </w:rPr>
        <w:t>вести углеродный налог для таких секторов, как жилищное хозяйство и коммерческий сектор, с целью стимулирования перехода на более устойчивые технологии;</w:t>
      </w:r>
    </w:p>
    <w:p w14:paraId="066C0C07" w14:textId="39F5F7D6" w:rsidR="00C0158F" w:rsidRPr="00F0736F" w:rsidRDefault="00232818" w:rsidP="00C0158F">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п</w:t>
      </w:r>
      <w:r w:rsidR="00C0158F" w:rsidRPr="00F0736F">
        <w:rPr>
          <w:rFonts w:ascii="Times New Roman" w:hAnsi="Times New Roman" w:cs="Times New Roman"/>
          <w:i/>
          <w:iCs/>
          <w:color w:val="000000" w:themeColor="text1"/>
        </w:rPr>
        <w:t>ересмотреть нормативные документы, направленные на повышение энергоэффективности и расширение использования возобновляемых источников энергии для новых и существующих зданий в соответствии с международными стандартами для зданий с практически нулевым уровнем энергопотребления;</w:t>
      </w:r>
    </w:p>
    <w:p w14:paraId="7A162D19" w14:textId="3593256B" w:rsidR="00C0158F" w:rsidRPr="00F0736F" w:rsidRDefault="00232818" w:rsidP="00C0158F">
      <w:pPr>
        <w:widowControl w:val="0"/>
        <w:ind w:firstLine="709"/>
        <w:jc w:val="both"/>
        <w:rPr>
          <w:rFonts w:ascii="Times New Roman" w:hAnsi="Times New Roman" w:cs="Times New Roman"/>
          <w:i/>
          <w:iCs/>
          <w:color w:val="000000" w:themeColor="text1"/>
        </w:rPr>
      </w:pPr>
      <w:r w:rsidRPr="00F0736F">
        <w:rPr>
          <w:rFonts w:ascii="Times New Roman" w:hAnsi="Times New Roman" w:cs="Times New Roman"/>
          <w:i/>
          <w:iCs/>
          <w:color w:val="000000" w:themeColor="text1"/>
        </w:rPr>
        <w:t>с</w:t>
      </w:r>
      <w:r w:rsidR="00C0158F" w:rsidRPr="00F0736F">
        <w:rPr>
          <w:rFonts w:ascii="Times New Roman" w:hAnsi="Times New Roman" w:cs="Times New Roman"/>
          <w:i/>
          <w:iCs/>
          <w:color w:val="000000" w:themeColor="text1"/>
        </w:rPr>
        <w:t xml:space="preserve">тимулировать внедрение возобновляемых источников энергии, таких как фотоэлектрические устройства, геотермальные тепловые насосы и биогазовые установки, в жилищном хозяйстве, уличном освещении, </w:t>
      </w:r>
      <w:r w:rsidR="00017424" w:rsidRPr="00F0736F">
        <w:rPr>
          <w:rFonts w:ascii="Times New Roman" w:hAnsi="Times New Roman" w:cs="Times New Roman"/>
          <w:i/>
          <w:iCs/>
          <w:color w:val="000000" w:themeColor="text1"/>
        </w:rPr>
        <w:t>секторе коммунальных услуг и т.</w:t>
      </w:r>
      <w:r w:rsidR="00C0158F" w:rsidRPr="00F0736F">
        <w:rPr>
          <w:rFonts w:ascii="Times New Roman" w:hAnsi="Times New Roman" w:cs="Times New Roman"/>
          <w:i/>
          <w:iCs/>
          <w:color w:val="000000" w:themeColor="text1"/>
        </w:rPr>
        <w:t>д. в качестве частичной альтернативы использованию угля.</w:t>
      </w:r>
    </w:p>
    <w:p w14:paraId="3FCD2001" w14:textId="77777777" w:rsidR="00C65402" w:rsidRPr="00F0736F" w:rsidRDefault="00C65402" w:rsidP="008727D9">
      <w:pPr>
        <w:ind w:firstLine="709"/>
        <w:jc w:val="both"/>
        <w:rPr>
          <w:rFonts w:ascii="Times New Roman" w:hAnsi="Times New Roman" w:cs="Times New Roman"/>
          <w:color w:val="000000" w:themeColor="text1"/>
        </w:rPr>
      </w:pPr>
    </w:p>
    <w:p w14:paraId="3B518D05" w14:textId="77777777" w:rsidR="00017424" w:rsidRPr="00F0736F" w:rsidRDefault="00F674A4" w:rsidP="008727D9">
      <w:pPr>
        <w:ind w:firstLine="709"/>
        <w:jc w:val="both"/>
        <w:rPr>
          <w:rFonts w:ascii="Times New Roman" w:hAnsi="Times New Roman" w:cs="Times New Roman"/>
          <w:b/>
          <w:bCs/>
          <w:i/>
          <w:iCs/>
          <w:color w:val="000000" w:themeColor="text1"/>
        </w:rPr>
      </w:pPr>
      <w:r w:rsidRPr="00F0736F">
        <w:rPr>
          <w:rFonts w:ascii="Times New Roman" w:hAnsi="Times New Roman" w:cs="Times New Roman"/>
          <w:b/>
          <w:bCs/>
          <w:i/>
          <w:iCs/>
          <w:color w:val="000000" w:themeColor="text1"/>
        </w:rPr>
        <w:t>Проблемы достижения ЦУР</w:t>
      </w:r>
    </w:p>
    <w:p w14:paraId="429BDDA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3 цели устойчивого развития из 17 (9, 12, 13) ставят конкретные задачи по сокращению выбросов парниковых газов и по адаптации к изменению климата (таблица 1.7.1).</w:t>
      </w:r>
    </w:p>
    <w:p w14:paraId="7093D5B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Казахстане не отслеживается, но может рассчитываться показатель 9.4.1 задачи 9.4, цели 9.</w:t>
      </w:r>
    </w:p>
    <w:p w14:paraId="7279C8B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Казахстане не отслеживаются показатели, связанные с достижением Цели 12, а именно: задачи 12.1, задачи 12.4, задачи 12.7, задачи 12.c.</w:t>
      </w:r>
    </w:p>
    <w:p w14:paraId="4515A6B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 задачи 13.1 Цели 13 в Казахстане отслеживается показатель «Число пострадавших и погибших в результате чрезвычайных ситуаций природного характера», который не имеет четко выраженной тенденции изменений. Однако не отслеживаются показатель 13.1.2 и показатель 13.1.3.</w:t>
      </w:r>
    </w:p>
    <w:p w14:paraId="6AA88D2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Также отсутствуют показатели для решения задачи 13.2 и задачи 13.3, хотя страна включила значительное количество мер по борьбе с изменением климата в свои стратегические документы. </w:t>
      </w:r>
    </w:p>
    <w:p w14:paraId="5F3CA5A7" w14:textId="77777777" w:rsidR="00F674A4" w:rsidRPr="00F0736F" w:rsidRDefault="00F674A4" w:rsidP="008727D9">
      <w:pPr>
        <w:ind w:firstLine="709"/>
        <w:jc w:val="both"/>
        <w:rPr>
          <w:rFonts w:ascii="Times New Roman" w:hAnsi="Times New Roman" w:cs="Times New Roman"/>
          <w:color w:val="000000" w:themeColor="text1"/>
        </w:rPr>
      </w:pPr>
    </w:p>
    <w:p w14:paraId="34ABDB4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1.7.1. Проблемы достижения ЦУР, связанных с вопросами изменения климата</w:t>
      </w:r>
    </w:p>
    <w:p w14:paraId="4006E916"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2670"/>
        <w:gridCol w:w="2715"/>
        <w:gridCol w:w="1650"/>
        <w:gridCol w:w="1429"/>
        <w:gridCol w:w="1581"/>
      </w:tblGrid>
      <w:tr w:rsidR="00F0736F" w:rsidRPr="00F0736F" w14:paraId="62A54B25" w14:textId="77777777">
        <w:tc>
          <w:tcPr>
            <w:tcW w:w="2670" w:type="dxa"/>
            <w:tcBorders>
              <w:top w:val="single" w:sz="4" w:space="0" w:color="000000"/>
              <w:left w:val="single" w:sz="4" w:space="0" w:color="000000"/>
              <w:bottom w:val="single" w:sz="4" w:space="0" w:color="000000"/>
            </w:tcBorders>
            <w:shd w:val="clear" w:color="auto" w:fill="auto"/>
          </w:tcPr>
          <w:p w14:paraId="6428CBBA"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715" w:type="dxa"/>
            <w:tcBorders>
              <w:top w:val="single" w:sz="4" w:space="0" w:color="000000"/>
              <w:left w:val="single" w:sz="4" w:space="0" w:color="000000"/>
              <w:bottom w:val="single" w:sz="4" w:space="0" w:color="000000"/>
            </w:tcBorders>
            <w:shd w:val="clear" w:color="auto" w:fill="auto"/>
          </w:tcPr>
          <w:p w14:paraId="0C1C9D81"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650" w:type="dxa"/>
            <w:tcBorders>
              <w:top w:val="single" w:sz="4" w:space="0" w:color="000000"/>
              <w:left w:val="single" w:sz="4" w:space="0" w:color="000000"/>
              <w:bottom w:val="single" w:sz="4" w:space="0" w:color="000000"/>
            </w:tcBorders>
            <w:shd w:val="clear" w:color="auto" w:fill="auto"/>
          </w:tcPr>
          <w:p w14:paraId="40D305CD"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429" w:type="dxa"/>
            <w:tcBorders>
              <w:top w:val="single" w:sz="4" w:space="0" w:color="000000"/>
              <w:left w:val="single" w:sz="4" w:space="0" w:color="000000"/>
              <w:bottom w:val="single" w:sz="4" w:space="0" w:color="000000"/>
            </w:tcBorders>
            <w:shd w:val="clear" w:color="auto" w:fill="auto"/>
          </w:tcPr>
          <w:p w14:paraId="7A925C31"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BE7B205"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226310D9" w14:textId="77777777">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7A40C8C4"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ЦУР 9. Создание стойкой инфраструктуры, содействие всеохватной и устойчивой индустриализации и инновациям</w:t>
            </w:r>
          </w:p>
        </w:tc>
      </w:tr>
      <w:tr w:rsidR="00F0736F" w:rsidRPr="00F0736F" w14:paraId="132817C6" w14:textId="77777777">
        <w:tc>
          <w:tcPr>
            <w:tcW w:w="2670" w:type="dxa"/>
            <w:tcBorders>
              <w:top w:val="single" w:sz="4" w:space="0" w:color="000000"/>
              <w:left w:val="single" w:sz="4" w:space="0" w:color="000000"/>
              <w:bottom w:val="single" w:sz="4" w:space="0" w:color="000000"/>
            </w:tcBorders>
            <w:shd w:val="clear" w:color="auto" w:fill="auto"/>
          </w:tcPr>
          <w:p w14:paraId="4D8A223C"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c>
          <w:tcPr>
            <w:tcW w:w="2715" w:type="dxa"/>
            <w:tcBorders>
              <w:top w:val="single" w:sz="4" w:space="0" w:color="000000"/>
              <w:left w:val="single" w:sz="4" w:space="0" w:color="000000"/>
              <w:bottom w:val="single" w:sz="4" w:space="0" w:color="000000"/>
            </w:tcBorders>
            <w:shd w:val="clear" w:color="auto" w:fill="auto"/>
          </w:tcPr>
          <w:p w14:paraId="475023A0"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9.4.1 Выбросы CO2 на единицу добавленной стоимости</w:t>
            </w:r>
          </w:p>
        </w:tc>
        <w:tc>
          <w:tcPr>
            <w:tcW w:w="1650" w:type="dxa"/>
            <w:tcBorders>
              <w:top w:val="single" w:sz="4" w:space="0" w:color="000000"/>
              <w:left w:val="single" w:sz="4" w:space="0" w:color="000000"/>
              <w:bottom w:val="single" w:sz="4" w:space="0" w:color="000000"/>
            </w:tcBorders>
            <w:shd w:val="clear" w:color="auto" w:fill="auto"/>
          </w:tcPr>
          <w:p w14:paraId="68738412"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29" w:type="dxa"/>
            <w:tcBorders>
              <w:top w:val="single" w:sz="4" w:space="0" w:color="000000"/>
              <w:left w:val="single" w:sz="4" w:space="0" w:color="000000"/>
              <w:bottom w:val="single" w:sz="4" w:space="0" w:color="000000"/>
            </w:tcBorders>
            <w:shd w:val="clear" w:color="auto" w:fill="auto"/>
          </w:tcPr>
          <w:p w14:paraId="329E834D"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061FF5DF"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Необходимо введение соответствующего показателя</w:t>
            </w:r>
          </w:p>
        </w:tc>
      </w:tr>
      <w:tr w:rsidR="00F0736F" w:rsidRPr="00F0736F" w14:paraId="1082F449" w14:textId="77777777">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0424BD68"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ЦУР 12. Обеспечение перехода к рациональным моделям потребления и производства</w:t>
            </w:r>
          </w:p>
        </w:tc>
      </w:tr>
      <w:tr w:rsidR="00F0736F" w:rsidRPr="00F0736F" w14:paraId="1CEC94DD" w14:textId="77777777">
        <w:tc>
          <w:tcPr>
            <w:tcW w:w="2670" w:type="dxa"/>
            <w:tcBorders>
              <w:top w:val="single" w:sz="4" w:space="0" w:color="000000"/>
              <w:left w:val="single" w:sz="4" w:space="0" w:color="000000"/>
              <w:bottom w:val="single" w:sz="4" w:space="0" w:color="000000"/>
            </w:tcBorders>
            <w:shd w:val="clear" w:color="auto" w:fill="auto"/>
          </w:tcPr>
          <w:p w14:paraId="0AE23C29"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12.1 Осуществлять Десятилетнюю стратегию действий по переходу к использованию рациональных моделей потребления и производства с участием всех стран, причем первыми к ней должны приступить развитые страны, и с учетом развития и потенциала развивающихся стран</w:t>
            </w:r>
          </w:p>
        </w:tc>
        <w:tc>
          <w:tcPr>
            <w:tcW w:w="2715" w:type="dxa"/>
            <w:tcBorders>
              <w:top w:val="single" w:sz="4" w:space="0" w:color="000000"/>
              <w:left w:val="single" w:sz="4" w:space="0" w:color="000000"/>
              <w:bottom w:val="single" w:sz="4" w:space="0" w:color="000000"/>
            </w:tcBorders>
            <w:shd w:val="clear" w:color="auto" w:fill="auto"/>
          </w:tcPr>
          <w:p w14:paraId="242AA7BE"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12.1.1 Число стран, имеющих национальный план действий по переходу к рациональным моделям потребления и производства или включивших рациональное потребление и производство в качестве приоритета или задачи в национальную стратегию</w:t>
            </w:r>
          </w:p>
        </w:tc>
        <w:tc>
          <w:tcPr>
            <w:tcW w:w="1650" w:type="dxa"/>
            <w:tcBorders>
              <w:top w:val="single" w:sz="4" w:space="0" w:color="000000"/>
              <w:left w:val="single" w:sz="4" w:space="0" w:color="000000"/>
              <w:bottom w:val="single" w:sz="4" w:space="0" w:color="000000"/>
            </w:tcBorders>
            <w:shd w:val="clear" w:color="auto" w:fill="auto"/>
          </w:tcPr>
          <w:p w14:paraId="1371FC5E"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В Казахстане принята Концепция по переходу к «зеленой экономике»</w:t>
            </w:r>
          </w:p>
        </w:tc>
        <w:tc>
          <w:tcPr>
            <w:tcW w:w="1429" w:type="dxa"/>
            <w:tcBorders>
              <w:top w:val="single" w:sz="4" w:space="0" w:color="000000"/>
              <w:left w:val="single" w:sz="4" w:space="0" w:color="000000"/>
              <w:bottom w:val="single" w:sz="4" w:space="0" w:color="000000"/>
            </w:tcBorders>
            <w:shd w:val="clear" w:color="auto" w:fill="auto"/>
          </w:tcPr>
          <w:p w14:paraId="16EB5B8C"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E23C29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Нет</w:t>
            </w:r>
          </w:p>
        </w:tc>
      </w:tr>
      <w:tr w:rsidR="00F0736F" w:rsidRPr="00F0736F" w14:paraId="30923D82" w14:textId="77777777">
        <w:tc>
          <w:tcPr>
            <w:tcW w:w="2670" w:type="dxa"/>
            <w:tcBorders>
              <w:top w:val="single" w:sz="4" w:space="0" w:color="000000"/>
              <w:left w:val="single" w:sz="4" w:space="0" w:color="000000"/>
              <w:bottom w:val="single" w:sz="4" w:space="0" w:color="000000"/>
            </w:tcBorders>
            <w:shd w:val="clear" w:color="auto" w:fill="auto"/>
          </w:tcPr>
          <w:p w14:paraId="3B17A7BF"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12.2 К 2030 году добиться рационального освоения и эффективного использования природных ресурсов</w:t>
            </w:r>
          </w:p>
        </w:tc>
        <w:tc>
          <w:tcPr>
            <w:tcW w:w="2715" w:type="dxa"/>
            <w:tcBorders>
              <w:top w:val="single" w:sz="4" w:space="0" w:color="000000"/>
              <w:left w:val="single" w:sz="4" w:space="0" w:color="000000"/>
              <w:bottom w:val="single" w:sz="4" w:space="0" w:color="000000"/>
            </w:tcBorders>
            <w:shd w:val="clear" w:color="auto" w:fill="auto"/>
          </w:tcPr>
          <w:p w14:paraId="158B0C7A"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12.2.1 Совокупные ресурсозатраты и ресурсозатраты на душу населения и в процентном отношении к ВВП</w:t>
            </w:r>
          </w:p>
          <w:p w14:paraId="126A5FBE"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12.2.2 Совокупное внутреннее материальное потребление и внутреннее материальное потребление на душу населения и по отношению к ВВП</w:t>
            </w:r>
          </w:p>
        </w:tc>
        <w:tc>
          <w:tcPr>
            <w:tcW w:w="1650" w:type="dxa"/>
            <w:tcBorders>
              <w:top w:val="single" w:sz="4" w:space="0" w:color="000000"/>
              <w:left w:val="single" w:sz="4" w:space="0" w:color="000000"/>
              <w:bottom w:val="single" w:sz="4" w:space="0" w:color="000000"/>
            </w:tcBorders>
            <w:shd w:val="clear" w:color="auto" w:fill="auto"/>
          </w:tcPr>
          <w:p w14:paraId="15E7B113"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29" w:type="dxa"/>
            <w:tcBorders>
              <w:top w:val="single" w:sz="4" w:space="0" w:color="000000"/>
              <w:left w:val="single" w:sz="4" w:space="0" w:color="000000"/>
              <w:bottom w:val="single" w:sz="4" w:space="0" w:color="000000"/>
            </w:tcBorders>
            <w:shd w:val="clear" w:color="auto" w:fill="auto"/>
          </w:tcPr>
          <w:p w14:paraId="7480F07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11958815"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Необходимы соответствующие показатели</w:t>
            </w:r>
          </w:p>
        </w:tc>
      </w:tr>
      <w:tr w:rsidR="00F0736F" w:rsidRPr="00F0736F" w14:paraId="05709CAD" w14:textId="77777777">
        <w:tc>
          <w:tcPr>
            <w:tcW w:w="2670" w:type="dxa"/>
            <w:tcBorders>
              <w:top w:val="single" w:sz="4" w:space="0" w:color="000000"/>
              <w:left w:val="single" w:sz="4" w:space="0" w:color="000000"/>
              <w:bottom w:val="single" w:sz="4" w:space="0" w:color="000000"/>
            </w:tcBorders>
            <w:shd w:val="clear" w:color="auto" w:fill="auto"/>
          </w:tcPr>
          <w:p w14:paraId="754E80AF"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12.6 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 ресурсов в своих отчетах</w:t>
            </w:r>
          </w:p>
        </w:tc>
        <w:tc>
          <w:tcPr>
            <w:tcW w:w="2715" w:type="dxa"/>
            <w:tcBorders>
              <w:top w:val="single" w:sz="4" w:space="0" w:color="000000"/>
              <w:left w:val="single" w:sz="4" w:space="0" w:color="000000"/>
              <w:bottom w:val="single" w:sz="4" w:space="0" w:color="000000"/>
            </w:tcBorders>
            <w:shd w:val="clear" w:color="auto" w:fill="auto"/>
          </w:tcPr>
          <w:p w14:paraId="5FABBF52"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12.6.1 Число компаний, публикующих отчеты о рациональном использовании ресурсов</w:t>
            </w:r>
          </w:p>
        </w:tc>
        <w:tc>
          <w:tcPr>
            <w:tcW w:w="1650" w:type="dxa"/>
            <w:tcBorders>
              <w:top w:val="single" w:sz="4" w:space="0" w:color="000000"/>
              <w:left w:val="single" w:sz="4" w:space="0" w:color="000000"/>
              <w:bottom w:val="single" w:sz="4" w:space="0" w:color="000000"/>
            </w:tcBorders>
            <w:shd w:val="clear" w:color="auto" w:fill="auto"/>
          </w:tcPr>
          <w:p w14:paraId="5AD78F78"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29" w:type="dxa"/>
            <w:tcBorders>
              <w:top w:val="single" w:sz="4" w:space="0" w:color="000000"/>
              <w:left w:val="single" w:sz="4" w:space="0" w:color="000000"/>
              <w:bottom w:val="single" w:sz="4" w:space="0" w:color="000000"/>
            </w:tcBorders>
            <w:shd w:val="clear" w:color="auto" w:fill="auto"/>
          </w:tcPr>
          <w:p w14:paraId="1AA7D0E7"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3305ED62"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Необходимы соответствующие показатели</w:t>
            </w:r>
          </w:p>
        </w:tc>
      </w:tr>
      <w:tr w:rsidR="00F0736F" w:rsidRPr="00F0736F" w14:paraId="118C5349" w14:textId="77777777">
        <w:tc>
          <w:tcPr>
            <w:tcW w:w="2670" w:type="dxa"/>
            <w:tcBorders>
              <w:top w:val="single" w:sz="4" w:space="0" w:color="000000"/>
              <w:left w:val="single" w:sz="4" w:space="0" w:color="000000"/>
              <w:bottom w:val="single" w:sz="4" w:space="0" w:color="000000"/>
            </w:tcBorders>
            <w:shd w:val="clear" w:color="auto" w:fill="auto"/>
          </w:tcPr>
          <w:p w14:paraId="4C3744AE"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12.c Рационализировать отличающееся неэффективностью субсидирование использования ископаемого топлива, ведущее к его расточительному потреблению, посредством устранения рыночных диспропорций с учетом национальных условий, в том числе путем реорганизации налогообложения и постепенного отказа от вредных субсидий там, где они существуют, для учета их экологических последствий, в полной мере принимая во внимание особые потребности и условия развивающихся стран и сводя к минимуму возможные негативные последствия для их развития таким образом, чтобы защитить интересы нуждающихся и уязвимых групп населения</w:t>
            </w:r>
          </w:p>
        </w:tc>
        <w:tc>
          <w:tcPr>
            <w:tcW w:w="2715" w:type="dxa"/>
            <w:tcBorders>
              <w:top w:val="single" w:sz="4" w:space="0" w:color="000000"/>
              <w:left w:val="single" w:sz="4" w:space="0" w:color="000000"/>
              <w:bottom w:val="single" w:sz="4" w:space="0" w:color="000000"/>
            </w:tcBorders>
            <w:shd w:val="clear" w:color="auto" w:fill="auto"/>
          </w:tcPr>
          <w:p w14:paraId="7F52AB03"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12.c.1 Сумма субсидий на ископаемое топливо на единицу ВВП (производство и потребление) и их доля в совокупных национальных расходах на ископаемое топливо</w:t>
            </w:r>
          </w:p>
        </w:tc>
        <w:tc>
          <w:tcPr>
            <w:tcW w:w="1650" w:type="dxa"/>
            <w:tcBorders>
              <w:top w:val="single" w:sz="4" w:space="0" w:color="000000"/>
              <w:left w:val="single" w:sz="4" w:space="0" w:color="000000"/>
              <w:bottom w:val="single" w:sz="4" w:space="0" w:color="000000"/>
            </w:tcBorders>
            <w:shd w:val="clear" w:color="auto" w:fill="auto"/>
          </w:tcPr>
          <w:p w14:paraId="21779032"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29" w:type="dxa"/>
            <w:tcBorders>
              <w:top w:val="single" w:sz="4" w:space="0" w:color="000000"/>
              <w:left w:val="single" w:sz="4" w:space="0" w:color="000000"/>
              <w:bottom w:val="single" w:sz="4" w:space="0" w:color="000000"/>
            </w:tcBorders>
            <w:shd w:val="clear" w:color="auto" w:fill="auto"/>
          </w:tcPr>
          <w:p w14:paraId="02E39C9E"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70FC13B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Необходимы соответствующие показатели</w:t>
            </w:r>
          </w:p>
        </w:tc>
      </w:tr>
      <w:tr w:rsidR="00F0736F" w:rsidRPr="00F0736F" w14:paraId="415B76B9" w14:textId="77777777">
        <w:tc>
          <w:tcPr>
            <w:tcW w:w="10045" w:type="dxa"/>
            <w:gridSpan w:val="5"/>
            <w:tcBorders>
              <w:top w:val="single" w:sz="4" w:space="0" w:color="000000"/>
              <w:left w:val="single" w:sz="4" w:space="0" w:color="000000"/>
              <w:bottom w:val="single" w:sz="4" w:space="0" w:color="000000"/>
              <w:right w:val="single" w:sz="4" w:space="0" w:color="000000"/>
            </w:tcBorders>
            <w:shd w:val="clear" w:color="auto" w:fill="auto"/>
          </w:tcPr>
          <w:p w14:paraId="4F63C3CD" w14:textId="77777777" w:rsidR="00F674A4" w:rsidRPr="00F0736F" w:rsidRDefault="00F674A4" w:rsidP="00232818">
            <w:pPr>
              <w:ind w:firstLine="34"/>
              <w:jc w:val="center"/>
              <w:rPr>
                <w:color w:val="000000" w:themeColor="text1"/>
              </w:rPr>
            </w:pPr>
            <w:r w:rsidRPr="00F0736F">
              <w:rPr>
                <w:rFonts w:ascii="Times New Roman" w:hAnsi="Times New Roman" w:cs="Times New Roman"/>
                <w:color w:val="000000" w:themeColor="text1"/>
                <w:sz w:val="20"/>
                <w:szCs w:val="20"/>
              </w:rPr>
              <w:t>ЦУР 13. Принятие срочных мер по борьбе с изменением климата и его последствиями</w:t>
            </w:r>
          </w:p>
        </w:tc>
      </w:tr>
      <w:tr w:rsidR="00F0736F" w:rsidRPr="00F0736F" w14:paraId="5963ACB4" w14:textId="77777777">
        <w:tc>
          <w:tcPr>
            <w:tcW w:w="2670" w:type="dxa"/>
            <w:tcBorders>
              <w:top w:val="single" w:sz="4" w:space="0" w:color="000000"/>
              <w:left w:val="single" w:sz="4" w:space="0" w:color="000000"/>
              <w:bottom w:val="single" w:sz="4" w:space="0" w:color="000000"/>
            </w:tcBorders>
            <w:shd w:val="clear" w:color="auto" w:fill="auto"/>
          </w:tcPr>
          <w:p w14:paraId="6CE67C95"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13.1 Повысить сопротивляемость и способность адаптироваться к опасным климатическим явлениям и стихийным бедствиям во всех странах</w:t>
            </w:r>
          </w:p>
        </w:tc>
        <w:tc>
          <w:tcPr>
            <w:tcW w:w="2715" w:type="dxa"/>
            <w:tcBorders>
              <w:top w:val="single" w:sz="4" w:space="0" w:color="000000"/>
              <w:left w:val="single" w:sz="4" w:space="0" w:color="000000"/>
              <w:bottom w:val="single" w:sz="4" w:space="0" w:color="000000"/>
            </w:tcBorders>
            <w:shd w:val="clear" w:color="auto" w:fill="auto"/>
          </w:tcPr>
          <w:p w14:paraId="6146571D"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13.1.1 Число погибших, пропавших без вести и пострадавших непосредственно в результате бедствий на 100 000 человек</w:t>
            </w:r>
          </w:p>
        </w:tc>
        <w:tc>
          <w:tcPr>
            <w:tcW w:w="1650" w:type="dxa"/>
            <w:tcBorders>
              <w:top w:val="single" w:sz="4" w:space="0" w:color="000000"/>
              <w:left w:val="single" w:sz="4" w:space="0" w:color="000000"/>
              <w:bottom w:val="single" w:sz="4" w:space="0" w:color="000000"/>
            </w:tcBorders>
            <w:shd w:val="clear" w:color="auto" w:fill="auto"/>
          </w:tcPr>
          <w:p w14:paraId="6288DE75"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Число пострадавших и погибших в результате чрезвычайных ситуаций природного характера</w:t>
            </w:r>
          </w:p>
        </w:tc>
        <w:tc>
          <w:tcPr>
            <w:tcW w:w="1429" w:type="dxa"/>
            <w:tcBorders>
              <w:top w:val="single" w:sz="4" w:space="0" w:color="000000"/>
              <w:left w:val="single" w:sz="4" w:space="0" w:color="000000"/>
              <w:bottom w:val="single" w:sz="4" w:space="0" w:color="000000"/>
            </w:tcBorders>
            <w:shd w:val="clear" w:color="auto" w:fill="auto"/>
          </w:tcPr>
          <w:p w14:paraId="37CB1010"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0433FC53"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Нет</w:t>
            </w:r>
          </w:p>
        </w:tc>
      </w:tr>
      <w:tr w:rsidR="00F0736F" w:rsidRPr="00F0736F" w14:paraId="1E0422D6" w14:textId="77777777">
        <w:tc>
          <w:tcPr>
            <w:tcW w:w="2670" w:type="dxa"/>
            <w:tcBorders>
              <w:top w:val="single" w:sz="4" w:space="0" w:color="000000"/>
              <w:left w:val="single" w:sz="4" w:space="0" w:color="000000"/>
              <w:bottom w:val="single" w:sz="4" w:space="0" w:color="000000"/>
            </w:tcBorders>
            <w:shd w:val="clear" w:color="auto" w:fill="auto"/>
          </w:tcPr>
          <w:p w14:paraId="5FE56A3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13.2 Включить меры реагирования на изменение климата в политику, стратегии и планирование на национальном уровне</w:t>
            </w:r>
          </w:p>
        </w:tc>
        <w:tc>
          <w:tcPr>
            <w:tcW w:w="2715" w:type="dxa"/>
            <w:tcBorders>
              <w:top w:val="single" w:sz="4" w:space="0" w:color="000000"/>
              <w:left w:val="single" w:sz="4" w:space="0" w:color="000000"/>
              <w:bottom w:val="single" w:sz="4" w:space="0" w:color="000000"/>
            </w:tcBorders>
            <w:shd w:val="clear" w:color="auto" w:fill="auto"/>
          </w:tcPr>
          <w:p w14:paraId="7F282D8B"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13.2.1 Число стран, сообщивших о создании или введении в действие комплексной политики/стратегии/плана, повышающих их способность адаптироваться к неблагоприятным последствиям изменения климата и содействующих развитию их потенциала противодействия климатическим изменениям и снижению выбросов парниковых газов таким образом, чтобы это не ставило под угрозу производство продовольствия (включая национальный адаптационный план, определяемый на национальном уровне вклад, национальную систему информирования населения, подготовку двухгодичного обновленного доклада или другое)</w:t>
            </w:r>
          </w:p>
        </w:tc>
        <w:tc>
          <w:tcPr>
            <w:tcW w:w="1650" w:type="dxa"/>
            <w:tcBorders>
              <w:top w:val="single" w:sz="4" w:space="0" w:color="000000"/>
              <w:left w:val="single" w:sz="4" w:space="0" w:color="000000"/>
              <w:bottom w:val="single" w:sz="4" w:space="0" w:color="000000"/>
            </w:tcBorders>
            <w:shd w:val="clear" w:color="auto" w:fill="auto"/>
          </w:tcPr>
          <w:p w14:paraId="436839D6"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создано</w:t>
            </w:r>
          </w:p>
        </w:tc>
        <w:tc>
          <w:tcPr>
            <w:tcW w:w="1429" w:type="dxa"/>
            <w:tcBorders>
              <w:top w:val="single" w:sz="4" w:space="0" w:color="000000"/>
              <w:left w:val="single" w:sz="4" w:space="0" w:color="000000"/>
              <w:bottom w:val="single" w:sz="4" w:space="0" w:color="000000"/>
            </w:tcBorders>
            <w:shd w:val="clear" w:color="auto" w:fill="auto"/>
          </w:tcPr>
          <w:p w14:paraId="107FA8D4" w14:textId="77777777" w:rsidR="00F674A4" w:rsidRPr="00F0736F" w:rsidRDefault="00F674A4" w:rsidP="00037501">
            <w:pPr>
              <w:snapToGrid w:val="0"/>
              <w:ind w:firstLine="34"/>
              <w:jc w:val="both"/>
              <w:rPr>
                <w:rFonts w:ascii="Times New Roman" w:hAnsi="Times New Roman" w:cs="Times New Roman"/>
                <w:color w:val="000000" w:themeColor="text1"/>
                <w:sz w:val="20"/>
                <w:szCs w:val="20"/>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0C7C779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по адаптации к изменению климата с соответствующими показателями</w:t>
            </w:r>
          </w:p>
        </w:tc>
      </w:tr>
      <w:tr w:rsidR="00F0736F" w:rsidRPr="00F0736F" w14:paraId="5DA77BC4" w14:textId="77777777">
        <w:tc>
          <w:tcPr>
            <w:tcW w:w="2670" w:type="dxa"/>
            <w:tcBorders>
              <w:top w:val="single" w:sz="4" w:space="0" w:color="000000"/>
              <w:left w:val="single" w:sz="4" w:space="0" w:color="000000"/>
              <w:bottom w:val="single" w:sz="4" w:space="0" w:color="000000"/>
            </w:tcBorders>
            <w:shd w:val="clear" w:color="auto" w:fill="auto"/>
          </w:tcPr>
          <w:p w14:paraId="1FB93CD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13.3 Улучшить просвещение, распространение информации и возможности людей и учреждений по смягчению остроты и ослаблению последствий изменения климата, адаптации к ним и раннему предупреждению</w:t>
            </w:r>
          </w:p>
        </w:tc>
        <w:tc>
          <w:tcPr>
            <w:tcW w:w="2715" w:type="dxa"/>
            <w:tcBorders>
              <w:top w:val="single" w:sz="4" w:space="0" w:color="000000"/>
              <w:left w:val="single" w:sz="4" w:space="0" w:color="000000"/>
              <w:bottom w:val="single" w:sz="4" w:space="0" w:color="000000"/>
            </w:tcBorders>
            <w:shd w:val="clear" w:color="auto" w:fill="auto"/>
          </w:tcPr>
          <w:p w14:paraId="205EE5EF"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13.3.1 Число стран, включивших вопросы смягчения остроты и ослабления последствий изменения климата, адаптации к ним и раннего предупреждения в учебные программы начальной и средней школы и высших учебных заведений</w:t>
            </w:r>
          </w:p>
          <w:p w14:paraId="73A7CAA7"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13.3.2 Число стран, сообщивших об укреплении институциональных, системных и индивидуальных возможностей для осуществления мер в области адаптации к климатическим изменениям, смягчения их последствий и передачи и развития технологии</w:t>
            </w:r>
          </w:p>
        </w:tc>
        <w:tc>
          <w:tcPr>
            <w:tcW w:w="1650" w:type="dxa"/>
            <w:tcBorders>
              <w:top w:val="single" w:sz="4" w:space="0" w:color="000000"/>
              <w:left w:val="single" w:sz="4" w:space="0" w:color="000000"/>
              <w:bottom w:val="single" w:sz="4" w:space="0" w:color="000000"/>
            </w:tcBorders>
            <w:shd w:val="clear" w:color="auto" w:fill="auto"/>
          </w:tcPr>
          <w:p w14:paraId="071657CA"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 создано</w:t>
            </w:r>
          </w:p>
        </w:tc>
        <w:tc>
          <w:tcPr>
            <w:tcW w:w="1429" w:type="dxa"/>
            <w:tcBorders>
              <w:top w:val="single" w:sz="4" w:space="0" w:color="000000"/>
              <w:left w:val="single" w:sz="4" w:space="0" w:color="000000"/>
              <w:bottom w:val="single" w:sz="4" w:space="0" w:color="000000"/>
            </w:tcBorders>
            <w:shd w:val="clear" w:color="auto" w:fill="auto"/>
          </w:tcPr>
          <w:p w14:paraId="7F32A23E" w14:textId="77777777" w:rsidR="00F674A4" w:rsidRPr="00F0736F" w:rsidRDefault="00F674A4" w:rsidP="00037501">
            <w:pPr>
              <w:snapToGrid w:val="0"/>
              <w:ind w:firstLine="34"/>
              <w:jc w:val="both"/>
              <w:rPr>
                <w:rFonts w:ascii="Times New Roman" w:hAnsi="Times New Roman" w:cs="Times New Roman"/>
                <w:color w:val="000000" w:themeColor="text1"/>
                <w:sz w:val="20"/>
                <w:szCs w:val="20"/>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48717C3"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по адаптации к изменению климата с соответствующими показателями</w:t>
            </w:r>
          </w:p>
        </w:tc>
      </w:tr>
      <w:tr w:rsidR="00F674A4" w:rsidRPr="00F0736F" w14:paraId="64398B7A" w14:textId="77777777">
        <w:tc>
          <w:tcPr>
            <w:tcW w:w="2670" w:type="dxa"/>
            <w:tcBorders>
              <w:top w:val="single" w:sz="4" w:space="0" w:color="000000"/>
              <w:left w:val="single" w:sz="4" w:space="0" w:color="000000"/>
              <w:bottom w:val="single" w:sz="4" w:space="0" w:color="000000"/>
            </w:tcBorders>
            <w:shd w:val="clear" w:color="auto" w:fill="auto"/>
          </w:tcPr>
          <w:p w14:paraId="7D43E59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Задача 13.a Выполнить взятое на себя развитыми странами, являющимися участниками Рамочной конвенции Организации Объединенных Наций об изменении климата, обязательство достичь цели ежегодной мобилизации к 2020 году общими усилиями 100 млрд. долл. США из всех источников для удовлетворения потребностей развивающихся стран в контексте принятия конструктивных мер по смягчению остроты последствий изменения климата и обеспечения прозрачности их осуществления, а также обеспечить полномасштабное функционирование Зеленого климатического фонда путем его капитализации в кратчайшие возможные сроки</w:t>
            </w:r>
          </w:p>
        </w:tc>
        <w:tc>
          <w:tcPr>
            <w:tcW w:w="2715" w:type="dxa"/>
            <w:tcBorders>
              <w:top w:val="single" w:sz="4" w:space="0" w:color="000000"/>
              <w:left w:val="single" w:sz="4" w:space="0" w:color="000000"/>
              <w:bottom w:val="single" w:sz="4" w:space="0" w:color="000000"/>
            </w:tcBorders>
            <w:shd w:val="clear" w:color="auto" w:fill="auto"/>
          </w:tcPr>
          <w:p w14:paraId="30CAE3F0"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13.a.1 Сумма (в долл. США), мобилизованная за год с 2020 по 2025 год в соответствии с обязательством по мобилизации 100 млрд. долл. США</w:t>
            </w:r>
          </w:p>
        </w:tc>
        <w:tc>
          <w:tcPr>
            <w:tcW w:w="1650" w:type="dxa"/>
            <w:tcBorders>
              <w:top w:val="single" w:sz="4" w:space="0" w:color="000000"/>
              <w:left w:val="single" w:sz="4" w:space="0" w:color="000000"/>
              <w:bottom w:val="single" w:sz="4" w:space="0" w:color="000000"/>
            </w:tcBorders>
            <w:shd w:val="clear" w:color="auto" w:fill="auto"/>
          </w:tcPr>
          <w:p w14:paraId="72973631"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Казахстан ратифицировал Парижское соглашение</w:t>
            </w:r>
          </w:p>
        </w:tc>
        <w:tc>
          <w:tcPr>
            <w:tcW w:w="1429" w:type="dxa"/>
            <w:tcBorders>
              <w:top w:val="single" w:sz="4" w:space="0" w:color="000000"/>
              <w:left w:val="single" w:sz="4" w:space="0" w:color="000000"/>
              <w:bottom w:val="single" w:sz="4" w:space="0" w:color="000000"/>
            </w:tcBorders>
            <w:shd w:val="clear" w:color="auto" w:fill="auto"/>
          </w:tcPr>
          <w:p w14:paraId="2E06E4FF"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98BD364" w14:textId="77777777" w:rsidR="00F674A4" w:rsidRPr="00F0736F" w:rsidRDefault="00F674A4" w:rsidP="00037501">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по низкоуглеродному развитию с соответствующими показателями</w:t>
            </w:r>
          </w:p>
        </w:tc>
      </w:tr>
    </w:tbl>
    <w:p w14:paraId="0EA8B398" w14:textId="77777777" w:rsidR="00F674A4" w:rsidRPr="00F0736F" w:rsidRDefault="00F674A4" w:rsidP="008727D9">
      <w:pPr>
        <w:ind w:firstLine="709"/>
        <w:jc w:val="both"/>
        <w:rPr>
          <w:rFonts w:ascii="Times New Roman" w:hAnsi="Times New Roman" w:cs="Times New Roman"/>
          <w:color w:val="000000" w:themeColor="text1"/>
        </w:rPr>
      </w:pPr>
    </w:p>
    <w:p w14:paraId="78FE93C0" w14:textId="730FA966"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59771C2B" w14:textId="77777777" w:rsidR="00F674A4" w:rsidRPr="00F0736F" w:rsidRDefault="00017424" w:rsidP="008727D9">
      <w:pPr>
        <w:ind w:firstLine="709"/>
        <w:jc w:val="both"/>
        <w:rPr>
          <w:color w:val="000000" w:themeColor="text1"/>
        </w:rPr>
      </w:pPr>
      <w:r w:rsidRPr="00F0736F">
        <w:rPr>
          <w:rFonts w:ascii="Times New Roman" w:hAnsi="Times New Roman" w:cs="Times New Roman"/>
          <w:color w:val="000000" w:themeColor="text1"/>
        </w:rPr>
        <w:t>Не</w:t>
      </w:r>
      <w:r w:rsidR="00F674A4" w:rsidRPr="00F0736F">
        <w:rPr>
          <w:rFonts w:ascii="Times New Roman" w:hAnsi="Times New Roman" w:cs="Times New Roman"/>
          <w:color w:val="000000" w:themeColor="text1"/>
        </w:rPr>
        <w:t>смотря на значительное снижение за годы независимости, энергоемкость экономики Казахстана по данным МЭА, по-прежнему почти в два раза выше, чем в Германии, и выше среднемирового показателя.</w:t>
      </w:r>
    </w:p>
    <w:p w14:paraId="49807B5B" w14:textId="4A569C22" w:rsidR="00F674A4" w:rsidRPr="00F0736F" w:rsidRDefault="00172348" w:rsidP="008727D9">
      <w:pPr>
        <w:ind w:firstLine="709"/>
        <w:jc w:val="both"/>
        <w:rPr>
          <w:bCs/>
          <w:color w:val="000000" w:themeColor="text1"/>
        </w:rPr>
      </w:pP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lang w:val="en-GB"/>
        </w:rPr>
        <w:t>Climate</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Action</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Tracker</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 независимый научный аналитический центр, который отслеживает действия правительств в области климата и меры, направленные на выполнение обязательсв Парижского соглашения – предполагает, что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цели Казахстана в области доли возобновляемых источников в производстве электроэнергии – 3% к 2020 году, 10% к 2030 году и 50% к 2050 году, которые предусмотрены Концепцией по переходу к «зеленой экономике» – должны быть значительно усилены, чтобы соответствовать заявленному Казахстаном обязательству»</w:t>
      </w:r>
      <w:r w:rsidR="00F674A4" w:rsidRPr="00F0736F">
        <w:rPr>
          <w:rStyle w:val="a4"/>
          <w:rFonts w:ascii="Times New Roman" w:hAnsi="Times New Roman" w:cs="Times New Roman"/>
          <w:color w:val="000000" w:themeColor="text1"/>
          <w:lang w:val="en-GB"/>
        </w:rPr>
        <w:footnoteReference w:id="103"/>
      </w:r>
      <w:r w:rsidR="00F674A4" w:rsidRPr="00F0736F">
        <w:rPr>
          <w:rFonts w:ascii="Times New Roman" w:hAnsi="Times New Roman" w:cs="Times New Roman"/>
          <w:color w:val="000000" w:themeColor="text1"/>
        </w:rPr>
        <w:t xml:space="preserve">. В частности,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lang w:val="en-GB"/>
        </w:rPr>
        <w:t>Climate</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Action</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Tracker</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утверждает, что планируемая Казахстаном модернизация существующих угольных электростанций, а также переход на газ в генерации электроэнергии являются недальновидными, так как натуральный газ не является достаточно долгосрочным решением для глубокой трансформации, необходимой для достижения целей Парижского соглашения. Поэтому </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lang w:val="en-GB"/>
        </w:rPr>
        <w:t>Climate</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Action</w:t>
      </w:r>
      <w:r w:rsidR="00F674A4" w:rsidRPr="00F0736F">
        <w:rPr>
          <w:rFonts w:ascii="Times New Roman" w:hAnsi="Times New Roman" w:cs="Times New Roman"/>
          <w:color w:val="000000" w:themeColor="text1"/>
        </w:rPr>
        <w:t xml:space="preserve"> </w:t>
      </w:r>
      <w:r w:rsidR="00F674A4" w:rsidRPr="00F0736F">
        <w:rPr>
          <w:rFonts w:ascii="Times New Roman" w:hAnsi="Times New Roman" w:cs="Times New Roman"/>
          <w:color w:val="000000" w:themeColor="text1"/>
          <w:lang w:val="en-GB"/>
        </w:rPr>
        <w:t>Tracker</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приходит к выводу, </w:t>
      </w:r>
      <w:r w:rsidR="00F674A4" w:rsidRPr="00F0736F">
        <w:rPr>
          <w:rFonts w:ascii="Times New Roman" w:hAnsi="Times New Roman" w:cs="Times New Roman"/>
          <w:bCs/>
          <w:color w:val="000000" w:themeColor="text1"/>
        </w:rPr>
        <w:t xml:space="preserve">что на данный момент национальная политика остается крайне слабой и, по прогнозам, в значительной степени Казахстан не выполнит обязательств Парижского соглашения. </w:t>
      </w:r>
    </w:p>
    <w:p w14:paraId="610934D0" w14:textId="63ECBA4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выполнения обязательств Казахстана по Парижскому соглашению в Стратегическом плане до 2025 года в рамках Политики 6 </w:t>
      </w:r>
      <w:r w:rsidR="00172348" w:rsidRPr="00F0736F">
        <w:rPr>
          <w:rFonts w:ascii="Times New Roman" w:hAnsi="Times New Roman" w:cs="Times New Roman"/>
          <w:bCs/>
          <w:color w:val="000000" w:themeColor="text1"/>
        </w:rPr>
        <w:t>«з</w:t>
      </w:r>
      <w:r w:rsidRPr="00F0736F">
        <w:rPr>
          <w:rFonts w:ascii="Times New Roman" w:hAnsi="Times New Roman" w:cs="Times New Roman"/>
          <w:bCs/>
          <w:color w:val="000000" w:themeColor="text1"/>
        </w:rPr>
        <w:t>еленая</w:t>
      </w:r>
      <w:r w:rsidR="00172348"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rPr>
        <w:t xml:space="preserve"> экономика и охрана окружающей среды предусмотрена прямая задача 1. Достижение целей Парижского соглашения.</w:t>
      </w:r>
      <w:r w:rsidRPr="00F0736F">
        <w:rPr>
          <w:rFonts w:ascii="Times New Roman" w:hAnsi="Times New Roman" w:cs="Times New Roman"/>
          <w:color w:val="000000" w:themeColor="text1"/>
        </w:rPr>
        <w:t xml:space="preserve"> Реализация Казахстаном Парижского соглашения по изменению климата и дальнейшие меры по созданию Центра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технологий и инвестиционных проектов на базе ЭКСПО будут предметными шагами по переходу страны к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экономике. Наряду с расширением определений, относящихся к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экономике, Концепция по переходу к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экономике будет также приведена в соответствие с Парижским соглашением. Направления развития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экономики будут способствовать предотвращению изменения климата и адаптации к ним для достижения принятых обязательств по снижению выбросов парниковых газов путем применения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технологий.</w:t>
      </w:r>
    </w:p>
    <w:p w14:paraId="393BF8D6" w14:textId="07F24D7F"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финансирования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технологий будут использоваться международные фонды и частные инвестиции, а также республиканский и местные бюджеты.</w:t>
      </w:r>
    </w:p>
    <w:p w14:paraId="4CC60B73" w14:textId="27ED0854"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Инвестиции будут выделяться в рамках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Зеленого климатического фонда</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созданного по инициативе правительств 124 стран с целью ограничения и сокращения выбросов парниковых газов в развивающихся странах, а также для помощи в адаптации к последствиям изменения климата.</w:t>
      </w:r>
    </w:p>
    <w:p w14:paraId="64B20F38" w14:textId="0B5EEA7E"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Государственные средства будут выделяться в рамках проектов ГЧП. При этом планирование финансовых ресурсов будет проводиться оперативно и гибко, так как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зеленые</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технологии постоянно совершенствуются и происходит быстрое удешевление производственных процессов. В связи с этим будут определены четкие критерии по оценке применяемых технологий проектов для дальнейшего планирования и учета средств, затраченных на переход к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экономике.</w:t>
      </w:r>
    </w:p>
    <w:p w14:paraId="1DFECC6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Продолжится работа по развитию рынка торговли квотами на выбросы и будут приняты меры по его интеграции с зарубежными рынками.</w:t>
      </w:r>
    </w:p>
    <w:p w14:paraId="52F39ACD" w14:textId="22F3A58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Кроме того, Казахстан намерен стать региональным лидером в сфере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финансов на базе инфраструктуры МФЦА и созданного Международного центра </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зеленых</w:t>
      </w:r>
      <w:r w:rsidR="004C720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технологий и инвестиционных проектов.</w:t>
      </w:r>
    </w:p>
    <w:p w14:paraId="6686841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 целью выработки конкретных мер по декарбонизации экономики будет проведена комплексная оценка и учет в программных отраслевых документах экономического влияния выбросов углекислого газа на состояние окружающей среды, на условия ведения бизнеса, качество жизни, здоровье и производительность граждан</w:t>
      </w:r>
      <w:r w:rsidRPr="00F0736F">
        <w:rPr>
          <w:rStyle w:val="a4"/>
          <w:rFonts w:ascii="Times New Roman" w:hAnsi="Times New Roman" w:cs="Times New Roman"/>
          <w:color w:val="000000" w:themeColor="text1"/>
        </w:rPr>
        <w:footnoteReference w:id="104"/>
      </w:r>
      <w:r w:rsidRPr="00F0736F">
        <w:rPr>
          <w:rFonts w:ascii="Times New Roman" w:hAnsi="Times New Roman" w:cs="Times New Roman"/>
          <w:color w:val="000000" w:themeColor="text1"/>
        </w:rPr>
        <w:t xml:space="preserve">. </w:t>
      </w:r>
    </w:p>
    <w:p w14:paraId="5186231F" w14:textId="77777777" w:rsidR="00F674A4" w:rsidRPr="00F0736F" w:rsidRDefault="00F674A4" w:rsidP="00B5230F">
      <w:pPr>
        <w:ind w:firstLine="709"/>
        <w:jc w:val="both"/>
        <w:rPr>
          <w:color w:val="000000" w:themeColor="text1"/>
        </w:rPr>
      </w:pPr>
      <w:r w:rsidRPr="00F0736F">
        <w:rPr>
          <w:rFonts w:ascii="Times New Roman" w:hAnsi="Times New Roman" w:cs="Times New Roman"/>
          <w:color w:val="000000" w:themeColor="text1"/>
        </w:rPr>
        <w:t xml:space="preserve">В целях реализации пункта 19 статьи 4 Парижского соглашения стороны должны стремиться сообщать долгосрочные стратегии развития с низким уровнем выбросов парниковых газов с учетом статьи 2, принимая во внимание свою общую, но дифференцированную ответственность. Это означает, что все страны, включая Казахстан в целях выполнения требований Парижского соглашения должны представить свою долгосрочную Стратегию низкоуглеродного развития. </w:t>
      </w:r>
    </w:p>
    <w:p w14:paraId="21FE420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Совместно с Германским обществом по международному сотрудничеству (</w:t>
      </w:r>
      <w:r w:rsidRPr="00F0736F">
        <w:rPr>
          <w:rFonts w:ascii="Times New Roman" w:hAnsi="Times New Roman" w:cs="Times New Roman"/>
          <w:color w:val="000000" w:themeColor="text1"/>
          <w:lang w:val="kk-KZ"/>
        </w:rPr>
        <w:t>GIZ</w:t>
      </w:r>
      <w:r w:rsidRPr="00F0736F">
        <w:rPr>
          <w:rFonts w:ascii="Times New Roman" w:hAnsi="Times New Roman" w:cs="Times New Roman"/>
          <w:color w:val="000000" w:themeColor="text1"/>
        </w:rPr>
        <w:t xml:space="preserve">) в 2019 году МЭГПР приступило к разработке </w:t>
      </w:r>
      <w:r w:rsidRPr="00F0736F">
        <w:rPr>
          <w:rFonts w:ascii="Times New Roman" w:hAnsi="Times New Roman" w:cs="Times New Roman"/>
          <w:b/>
          <w:bCs/>
          <w:color w:val="000000" w:themeColor="text1"/>
        </w:rPr>
        <w:t>Стратегии низкоуглеродного развития РК до 2050 года.</w:t>
      </w:r>
      <w:r w:rsidRPr="00F0736F">
        <w:rPr>
          <w:rFonts w:ascii="Times New Roman" w:hAnsi="Times New Roman" w:cs="Times New Roman"/>
          <w:color w:val="000000" w:themeColor="text1"/>
        </w:rPr>
        <w:t xml:space="preserve"> Основной целью Стратегии является определение путей выполнения Республики Казахстан Парижского соглашения до 2050 года.</w:t>
      </w:r>
    </w:p>
    <w:p w14:paraId="3237608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рамках проекта будет проведен анализ текущей ситуации (2019 год), сбор данных, разработка сценариев и моделирование, обсуждение, калибрация модели (2020 год), распространение результатов (2021 год).</w:t>
      </w:r>
    </w:p>
    <w:p w14:paraId="117FFDE8" w14:textId="62155BE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понимания</w:t>
      </w:r>
      <w:r w:rsidR="009C7F0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достигнет ли Казахстан свой определяемый на национальном уровне вклад по сокращению выбросов парниковых газов на 15% к 2030 г</w:t>
      </w:r>
      <w:r w:rsidR="004C7209"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по отношению к уровню выбросов 1990 года, а также возможность сокращения на 25% к 2030 г</w:t>
      </w:r>
      <w:r w:rsidR="004C7209"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Стратегия низкоуглеродного развития должна определить возможности и выгоды замещения или сокращения использования ископаемого топлива, а также:</w:t>
      </w:r>
    </w:p>
    <w:p w14:paraId="763C6A5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сценарий развития экономики и энергетики страны до 2050 года при сохранении текущей структуры экономики, энергетического баланса, сложившихся тенденций развития технологической базы в основных отраслях и секторах экономики;</w:t>
      </w:r>
    </w:p>
    <w:p w14:paraId="06C8B39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сценарий выбросов парниковых газов до 2050 года при сохранении текущих темпов развития экономики и выполнении текущих планов по использованию традиционных видов энергии;</w:t>
      </w:r>
    </w:p>
    <w:p w14:paraId="5C9EB15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сценарий выбросов парниковых газов до 2050 года при развитии ВИЭ, перехода на газ и выполнении показателей по энергоэффективности;</w:t>
      </w:r>
    </w:p>
    <w:p w14:paraId="4F06891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выгоды, дополнительные выгоды «с</w:t>
      </w:r>
      <w:r w:rsidRPr="00F0736F">
        <w:rPr>
          <w:rFonts w:ascii="Times New Roman" w:hAnsi="Times New Roman" w:cs="Times New Roman"/>
          <w:color w:val="000000" w:themeColor="text1"/>
          <w:lang w:val="en-US"/>
        </w:rPr>
        <w:t>o</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en-US"/>
        </w:rPr>
        <w:t>benefit</w:t>
      </w:r>
      <w:r w:rsidRPr="00F0736F">
        <w:rPr>
          <w:rFonts w:ascii="Times New Roman" w:hAnsi="Times New Roman" w:cs="Times New Roman"/>
          <w:color w:val="000000" w:themeColor="text1"/>
        </w:rPr>
        <w:t>» и риски при различных сценариях</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развития экономики;</w:t>
      </w:r>
    </w:p>
    <w:p w14:paraId="48C5DE18" w14:textId="296900DA"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какой вклад по сокращению выбросов парниковых газов Казахстан может выполнить, и какие есть возможности по повышению своих амбиций, предоставит информацию о выявлении потенциальных конфликтов интересов, а также синергизма </w:t>
      </w:r>
      <w:r w:rsidR="004C7209"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 xml:space="preserve"> будущей политикой.</w:t>
      </w:r>
    </w:p>
    <w:p w14:paraId="69E6150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Основными направлениями деятельности для достижения высокого уровня снижения парниковых газов являются: </w:t>
      </w:r>
    </w:p>
    <w:p w14:paraId="3AC1DDB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сокращение потребления энергии (повышение энергоэффективности, снижение энергоемкости); </w:t>
      </w:r>
    </w:p>
    <w:p w14:paraId="3A62F74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более чистое производство электричества; </w:t>
      </w:r>
    </w:p>
    <w:p w14:paraId="01B5B4D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переход на более чистое топливо и сокращение выбросов парниковых газов в отраслях, не связанных с производством энергии; </w:t>
      </w:r>
    </w:p>
    <w:p w14:paraId="32E85A1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технологии улавливания и хранения оставшихся выбросов.</w:t>
      </w:r>
    </w:p>
    <w:p w14:paraId="16D56CC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Важным вопросом при разработке Стратегии будет вопрос ее включения в Систему государственного планирования, поэтому предполагается, что часть Стратегии станет разделом Концепции по переходу Республики Казахстан к «зеленой экономике».</w:t>
      </w:r>
    </w:p>
    <w:p w14:paraId="14BB6DF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ПРООН в Казахстане начат процесс подготовки Восьмого национального сообщения Республики Казахстан для Рамочной конвенции ООН об изменении климата и подготовка двух (четвертого и пятого) двухгодичных докладов.</w:t>
      </w:r>
    </w:p>
    <w:p w14:paraId="75760B0B" w14:textId="77777777" w:rsidR="00F674A4" w:rsidRPr="00F0736F" w:rsidRDefault="00BF0631" w:rsidP="00B5230F">
      <w:pPr>
        <w:ind w:firstLine="709"/>
        <w:jc w:val="both"/>
        <w:rPr>
          <w:color w:val="000000" w:themeColor="text1"/>
        </w:rPr>
      </w:pPr>
      <w:r w:rsidRPr="00F0736F">
        <w:rPr>
          <w:rFonts w:ascii="Times New Roman" w:hAnsi="Times New Roman" w:cs="Times New Roman"/>
          <w:color w:val="000000" w:themeColor="text1"/>
          <w:lang w:val="kk-KZ"/>
        </w:rPr>
        <w:t xml:space="preserve"> </w:t>
      </w:r>
    </w:p>
    <w:p w14:paraId="4C92AA4B"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32" w:name="_Toc57818729"/>
      <w:r w:rsidRPr="007272FB">
        <w:rPr>
          <w:rFonts w:ascii="Times New Roman" w:eastAsia="Times New Roman" w:hAnsi="Times New Roman" w:cs="Times New Roman"/>
          <w:color w:val="000000" w:themeColor="text1"/>
          <w:sz w:val="24"/>
          <w:szCs w:val="24"/>
        </w:rPr>
        <w:t>1.8. Сохранение и эффективное управление экосистемами</w:t>
      </w:r>
      <w:bookmarkEnd w:id="32"/>
    </w:p>
    <w:p w14:paraId="319BDE7B" w14:textId="77777777" w:rsidR="00F674A4" w:rsidRPr="00F0736F" w:rsidRDefault="00F674A4" w:rsidP="008727D9">
      <w:pPr>
        <w:ind w:firstLine="709"/>
        <w:jc w:val="both"/>
        <w:rPr>
          <w:rFonts w:ascii="Times New Roman" w:hAnsi="Times New Roman" w:cs="Times New Roman"/>
          <w:color w:val="000000" w:themeColor="text1"/>
        </w:rPr>
      </w:pPr>
    </w:p>
    <w:bookmarkEnd w:id="11"/>
    <w:p w14:paraId="43B2E95A" w14:textId="3C5282C9" w:rsidR="009D15F8" w:rsidRPr="00F0736F" w:rsidRDefault="009D15F8" w:rsidP="009D15F8">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41AF0546" w14:textId="7DE26129"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lang w:eastAsia="ru-RU"/>
        </w:rPr>
        <w:t>Концепция по переходу Республики Казахстан к «зеленой экономике»</w:t>
      </w:r>
      <w:r w:rsidRPr="00F0736F">
        <w:rPr>
          <w:rFonts w:ascii="Times New Roman" w:eastAsia="Calibri" w:hAnsi="Times New Roman" w:cs="Times New Roman"/>
          <w:i/>
          <w:color w:val="000000" w:themeColor="text1"/>
          <w:lang w:eastAsia="ru-RU"/>
        </w:rPr>
        <w:t xml:space="preserve"> </w:t>
      </w:r>
      <w:r w:rsidRPr="00F0736F">
        <w:rPr>
          <w:rFonts w:ascii="Times New Roman" w:eastAsia="Calibri" w:hAnsi="Times New Roman" w:cs="Times New Roman"/>
          <w:color w:val="000000" w:themeColor="text1"/>
          <w:lang w:eastAsia="ru-RU"/>
        </w:rPr>
        <w:t>одной из основных целей ставит цель «Сохранение, рациональное использование и воспроизводство рыбных, лесных ресурсов, ресурсов животного мира, объектов природно-заповедного фонда».</w:t>
      </w:r>
      <w:r w:rsidRPr="00F0736F">
        <w:rPr>
          <w:rFonts w:ascii="Times New Roman" w:eastAsia="Calibri" w:hAnsi="Times New Roman" w:cs="Times New Roman"/>
          <w:b/>
          <w:bCs/>
          <w:color w:val="000000" w:themeColor="text1"/>
          <w:lang w:eastAsia="ru-RU"/>
        </w:rPr>
        <w:t xml:space="preserve"> </w:t>
      </w:r>
      <w:r w:rsidRPr="00F0736F">
        <w:rPr>
          <w:rFonts w:ascii="Times New Roman" w:eastAsia="Calibri" w:hAnsi="Times New Roman" w:cs="Times New Roman"/>
          <w:color w:val="000000" w:themeColor="text1"/>
          <w:lang w:eastAsia="ru-RU"/>
        </w:rPr>
        <w:t>Такая же задача поставлена в действующем в настоящее время Стратегическом плане Министерства сельского хозяйства Республики Казахстан на 2017-2021 годы</w:t>
      </w:r>
      <w:r w:rsidRPr="00F0736F">
        <w:rPr>
          <w:rStyle w:val="a4"/>
          <w:rFonts w:ascii="Times New Roman" w:eastAsia="Calibri" w:hAnsi="Times New Roman" w:cs="Times New Roman"/>
          <w:color w:val="000000" w:themeColor="text1"/>
          <w:lang w:eastAsia="ru-RU"/>
        </w:rPr>
        <w:footnoteReference w:id="105"/>
      </w:r>
      <w:r w:rsidRPr="00F0736F">
        <w:rPr>
          <w:rFonts w:ascii="Times New Roman" w:eastAsia="Calibri" w:hAnsi="Times New Roman" w:cs="Times New Roman"/>
          <w:color w:val="000000" w:themeColor="text1"/>
          <w:lang w:eastAsia="ru-RU"/>
        </w:rPr>
        <w:t xml:space="preserve">. В частности, </w:t>
      </w:r>
      <w:r w:rsidRPr="00F0736F">
        <w:rPr>
          <w:rFonts w:ascii="Times New Roman" w:eastAsia="Calibri" w:hAnsi="Times New Roman" w:cs="Times New Roman"/>
          <w:b/>
          <w:bCs/>
          <w:color w:val="000000" w:themeColor="text1"/>
          <w:lang w:eastAsia="ru-RU"/>
        </w:rPr>
        <w:t xml:space="preserve">в области сохранения лесов </w:t>
      </w:r>
      <w:r w:rsidRPr="00F0736F">
        <w:rPr>
          <w:rFonts w:ascii="Times New Roman" w:eastAsia="Calibri" w:hAnsi="Times New Roman" w:cs="Times New Roman"/>
          <w:color w:val="000000" w:themeColor="text1"/>
          <w:lang w:eastAsia="ru-RU"/>
        </w:rPr>
        <w:t>данный план</w:t>
      </w:r>
      <w:r w:rsidRPr="00F0736F">
        <w:rPr>
          <w:rFonts w:ascii="Times New Roman" w:eastAsia="Calibri" w:hAnsi="Times New Roman" w:cs="Times New Roman"/>
          <w:b/>
          <w:bCs/>
          <w:color w:val="000000" w:themeColor="text1"/>
          <w:lang w:eastAsia="ru-RU"/>
        </w:rPr>
        <w:t xml:space="preserve"> </w:t>
      </w:r>
      <w:r w:rsidRPr="00F0736F">
        <w:rPr>
          <w:rFonts w:ascii="Times New Roman" w:eastAsia="Calibri" w:hAnsi="Times New Roman" w:cs="Times New Roman"/>
          <w:color w:val="000000" w:themeColor="text1"/>
          <w:lang w:eastAsia="ru-RU"/>
        </w:rPr>
        <w:t>устанавливает целевые показатели доведения площади покрытых лесом угодий на особо охраняемых природных территориях и территориях специализированных предприятий лесного хозяйства до 1</w:t>
      </w:r>
      <w:r w:rsidR="003263AB" w:rsidRPr="00F0736F">
        <w:rPr>
          <w:rFonts w:ascii="Times New Roman" w:eastAsia="Calibri" w:hAnsi="Times New Roman" w:cs="Times New Roman"/>
          <w:color w:val="000000" w:themeColor="text1"/>
          <w:lang w:eastAsia="ru-RU"/>
        </w:rPr>
        <w:t xml:space="preserve"> </w:t>
      </w:r>
      <w:r w:rsidRPr="00F0736F">
        <w:rPr>
          <w:rFonts w:ascii="Times New Roman" w:eastAsia="Calibri" w:hAnsi="Times New Roman" w:cs="Times New Roman"/>
          <w:color w:val="000000" w:themeColor="text1"/>
          <w:lang w:eastAsia="ru-RU"/>
        </w:rPr>
        <w:t>716 тыс. га в 2020 году, до 1</w:t>
      </w:r>
      <w:r w:rsidR="003263AB" w:rsidRPr="00F0736F">
        <w:rPr>
          <w:rFonts w:ascii="Times New Roman" w:eastAsia="Calibri" w:hAnsi="Times New Roman" w:cs="Times New Roman"/>
          <w:color w:val="000000" w:themeColor="text1"/>
          <w:lang w:eastAsia="ru-RU"/>
        </w:rPr>
        <w:t xml:space="preserve"> </w:t>
      </w:r>
      <w:r w:rsidRPr="00F0736F">
        <w:rPr>
          <w:rFonts w:ascii="Times New Roman" w:eastAsia="Calibri" w:hAnsi="Times New Roman" w:cs="Times New Roman"/>
          <w:color w:val="000000" w:themeColor="text1"/>
          <w:lang w:eastAsia="ru-RU"/>
        </w:rPr>
        <w:t>721 - в 2021 году и до 1</w:t>
      </w:r>
      <w:r w:rsidR="003263AB" w:rsidRPr="00F0736F">
        <w:rPr>
          <w:rFonts w:ascii="Times New Roman" w:eastAsia="Calibri" w:hAnsi="Times New Roman" w:cs="Times New Roman"/>
          <w:color w:val="000000" w:themeColor="text1"/>
          <w:lang w:eastAsia="ru-RU"/>
        </w:rPr>
        <w:t xml:space="preserve"> </w:t>
      </w:r>
      <w:r w:rsidRPr="00F0736F">
        <w:rPr>
          <w:rFonts w:ascii="Times New Roman" w:eastAsia="Calibri" w:hAnsi="Times New Roman" w:cs="Times New Roman"/>
          <w:color w:val="000000" w:themeColor="text1"/>
          <w:lang w:eastAsia="ru-RU"/>
        </w:rPr>
        <w:t>726 - в 2022 году.</w:t>
      </w:r>
    </w:p>
    <w:p w14:paraId="726A37A0"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Приоритетными направлениями лесного хозяйства являются: лесоустройство на территории государственного лесного фонда, авиационные работы по охране и защите лесного фонда, воспроизводство лесов и лесоразведение, искусственное разведение объектов растительного мира, лесохозяйственное проектирование. </w:t>
      </w:r>
    </w:p>
    <w:p w14:paraId="6FE4F63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Кроме того, в Стратегическом плане МСХ РК на 2020-2024 годы было предусмотрено достижение следующих целевых индикаторов:</w:t>
      </w:r>
    </w:p>
    <w:p w14:paraId="3DC6E7B6"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прирост численности редких и исчезающих видов копытных животных и сайгаков, в том числе тугайный благородный олень – 0,7%, кулан – 0,9%, джейран – 0,5%, архар – 1,4%, сайгаков -10%;</w:t>
      </w:r>
    </w:p>
    <w:p w14:paraId="12B40677" w14:textId="77777777" w:rsidR="009D15F8" w:rsidRPr="00F0736F" w:rsidRDefault="009D15F8" w:rsidP="009D15F8">
      <w:pPr>
        <w:ind w:firstLine="709"/>
        <w:jc w:val="both"/>
        <w:rPr>
          <w:color w:val="000000" w:themeColor="text1"/>
        </w:rPr>
      </w:pPr>
      <w:r w:rsidRPr="00F0736F">
        <w:rPr>
          <w:rStyle w:val="21"/>
          <w:rFonts w:ascii="Times New Roman" w:hAnsi="Times New Roman" w:cs="Times New Roman"/>
          <w:color w:val="000000" w:themeColor="text1"/>
          <w:sz w:val="24"/>
        </w:rPr>
        <w:t>- сохранение рыбных ресурсов и других водных животных – 70 видов, в том числе: ценных видов, являющихся объектами рыболовства – 52 вида, редких и находящихся под угрозой исчезновения видов – 18 видов.</w:t>
      </w:r>
    </w:p>
    <w:p w14:paraId="1F68B270" w14:textId="77777777" w:rsidR="009D15F8" w:rsidRPr="00F0736F" w:rsidRDefault="009D15F8" w:rsidP="009D15F8">
      <w:pPr>
        <w:ind w:firstLine="709"/>
        <w:jc w:val="both"/>
        <w:rPr>
          <w:color w:val="000000" w:themeColor="text1"/>
        </w:rPr>
      </w:pPr>
      <w:r w:rsidRPr="00F0736F">
        <w:rPr>
          <w:rFonts w:ascii="Times New Roman" w:hAnsi="Times New Roman" w:cs="Times New Roman"/>
          <w:b/>
          <w:bCs/>
          <w:color w:val="000000" w:themeColor="text1"/>
        </w:rPr>
        <w:t>Лесовосстановление и лесоразведение</w:t>
      </w:r>
      <w:r w:rsidRPr="00F0736F">
        <w:rPr>
          <w:rFonts w:ascii="Times New Roman" w:hAnsi="Times New Roman" w:cs="Times New Roman"/>
          <w:color w:val="000000" w:themeColor="text1"/>
        </w:rPr>
        <w:t xml:space="preserve"> в Казахстане имеют весьма значительное международное значение, т. к. леса Казахстана занимают территорию около 13 млн. га.</w:t>
      </w:r>
    </w:p>
    <w:p w14:paraId="0E9236CD" w14:textId="773A12DC"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Программными целевыми индикаторами было намечено достичь площади покрытых лесом угодий на особо охраняемых природных территориях и территориях специализированных предприятий лесного хозяйства за 2018, 2019 годы </w:t>
      </w:r>
      <w:r w:rsidR="00710DB1" w:rsidRPr="00F0736F">
        <w:rPr>
          <w:rFonts w:ascii="Times New Roman" w:hAnsi="Times New Roman" w:cs="Times New Roman"/>
          <w:color w:val="000000" w:themeColor="text1"/>
        </w:rPr>
        <w:t xml:space="preserve">1422,9 и 1544 тыс. га </w:t>
      </w:r>
      <w:r w:rsidRPr="00F0736F">
        <w:rPr>
          <w:rFonts w:ascii="Times New Roman" w:hAnsi="Times New Roman" w:cs="Times New Roman"/>
          <w:color w:val="000000" w:themeColor="text1"/>
        </w:rPr>
        <w:t>соответственно. Фактический целевой индикатор, согласно материалам учета лесного фонда за 2018, 2019 годы</w:t>
      </w:r>
      <w:r w:rsidR="00710DB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составил 1540,17 </w:t>
      </w:r>
      <w:r w:rsidR="00710DB1" w:rsidRPr="00F0736F">
        <w:rPr>
          <w:rFonts w:ascii="Times New Roman" w:hAnsi="Times New Roman" w:cs="Times New Roman"/>
          <w:color w:val="000000" w:themeColor="text1"/>
        </w:rPr>
        <w:t>и</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1711,39 тыс. га</w:t>
      </w:r>
      <w:r w:rsidR="00710DB1" w:rsidRPr="00F0736F">
        <w:rPr>
          <w:rFonts w:ascii="Times New Roman" w:hAnsi="Times New Roman" w:cs="Times New Roman"/>
          <w:color w:val="000000" w:themeColor="text1"/>
        </w:rPr>
        <w:t xml:space="preserve"> соответственно</w:t>
      </w:r>
      <w:r w:rsidRPr="00F0736F">
        <w:rPr>
          <w:rFonts w:ascii="Times New Roman" w:hAnsi="Times New Roman" w:cs="Times New Roman"/>
          <w:color w:val="000000" w:themeColor="text1"/>
        </w:rPr>
        <w:t>, то есть показатели были выполнены.</w:t>
      </w:r>
    </w:p>
    <w:p w14:paraId="1A4D0E39" w14:textId="45BF7829"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Основным целевым показателем в сфере лесного хозяйства является увеличение лесистости республики до </w:t>
      </w:r>
      <w:r w:rsidR="00403CE3">
        <w:rPr>
          <w:rFonts w:ascii="Times New Roman" w:hAnsi="Times New Roman" w:cs="Times New Roman"/>
          <w:color w:val="000000" w:themeColor="text1"/>
        </w:rPr>
        <w:t>4,8</w:t>
      </w:r>
      <w:r w:rsidRPr="00F0736F">
        <w:rPr>
          <w:rFonts w:ascii="Times New Roman" w:hAnsi="Times New Roman" w:cs="Times New Roman"/>
          <w:color w:val="000000" w:themeColor="text1"/>
        </w:rPr>
        <w:t>%.</w:t>
      </w:r>
    </w:p>
    <w:p w14:paraId="19275995" w14:textId="1386FEDA"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lang w:val="kk-KZ"/>
        </w:rPr>
        <w:t>По итогам 2019 года площадь лесного фонда составила 30,0 млн</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га (</w:t>
      </w:r>
      <w:r w:rsidRPr="00F0736F">
        <w:rPr>
          <w:rFonts w:ascii="Times New Roman" w:hAnsi="Times New Roman" w:cs="Times New Roman"/>
          <w:color w:val="000000" w:themeColor="text1"/>
        </w:rPr>
        <w:t>4,8% от территории страны</w:t>
      </w:r>
      <w:r w:rsidRPr="00F0736F">
        <w:rPr>
          <w:rFonts w:ascii="Times New Roman" w:hAnsi="Times New Roman" w:cs="Times New Roman"/>
          <w:color w:val="000000" w:themeColor="text1"/>
          <w:lang w:val="kk-KZ"/>
        </w:rPr>
        <w:t>)</w:t>
      </w:r>
      <w:r w:rsidR="009C7F04"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lang w:val="kk-KZ"/>
        </w:rPr>
        <w:t xml:space="preserve"> увеличившись по срав</w:t>
      </w:r>
      <w:r w:rsidR="009C7F04" w:rsidRPr="00F0736F">
        <w:rPr>
          <w:rFonts w:ascii="Times New Roman" w:hAnsi="Times New Roman" w:cs="Times New Roman"/>
          <w:color w:val="000000" w:themeColor="text1"/>
          <w:lang w:val="kk-KZ"/>
        </w:rPr>
        <w:t>н</w:t>
      </w:r>
      <w:r w:rsidRPr="00F0736F">
        <w:rPr>
          <w:rFonts w:ascii="Times New Roman" w:hAnsi="Times New Roman" w:cs="Times New Roman"/>
          <w:color w:val="000000" w:themeColor="text1"/>
          <w:lang w:val="kk-KZ"/>
        </w:rPr>
        <w:t>ению с 2010 годом на</w:t>
      </w:r>
      <w:r w:rsidRPr="00F0736F">
        <w:rPr>
          <w:rFonts w:ascii="Times New Roman" w:hAnsi="Times New Roman" w:cs="Times New Roman"/>
          <w:color w:val="000000" w:themeColor="text1"/>
        </w:rPr>
        <w:t xml:space="preserve"> 1,3 млн. га (таблица 1.8.1.). В 2017 году площадь лесного фонда составила 29,8 млн. га, а в 2018 году – 30,04 млн. га. Наибольшие площади лесных земель сосредоточены в Кызылординской (6,7 млн. га), Алматинской (5,4 млн. га), Жамбылской (4,4 млн. га), Восточно-Казахстанской (3,8 млн. га) и Туркестанской (3,4 млн. га) областях. </w:t>
      </w:r>
      <w:r w:rsidR="00F0736F">
        <w:rPr>
          <w:rFonts w:ascii="Times New Roman" w:hAnsi="Times New Roman" w:cs="Times New Roman"/>
          <w:color w:val="000000" w:themeColor="text1"/>
        </w:rPr>
        <w:t>При этом</w:t>
      </w:r>
      <w:r w:rsidRPr="00F0736F">
        <w:rPr>
          <w:rFonts w:ascii="Times New Roman" w:hAnsi="Times New Roman" w:cs="Times New Roman"/>
          <w:color w:val="000000" w:themeColor="text1"/>
        </w:rPr>
        <w:t xml:space="preserve">, в Жамбылской области самая высокая лесистость территории – 15,9%, далее идут Туркестанская – 14,2%, Кызылординская – 13,9%, Алматинская – 9,4% области. </w:t>
      </w:r>
    </w:p>
    <w:p w14:paraId="15A45770" w14:textId="77777777" w:rsidR="009D15F8" w:rsidRPr="00F0736F" w:rsidRDefault="009D15F8" w:rsidP="009D15F8">
      <w:pPr>
        <w:ind w:firstLine="709"/>
        <w:jc w:val="both"/>
        <w:rPr>
          <w:rFonts w:ascii="Times New Roman" w:hAnsi="Times New Roman" w:cs="Times New Roman"/>
          <w:color w:val="000000" w:themeColor="text1"/>
        </w:rPr>
      </w:pPr>
    </w:p>
    <w:p w14:paraId="5CBB20E7"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1.8.1. Основные показатели лесного фонда (на конец года)</w:t>
      </w:r>
      <w:r w:rsidRPr="00F0736F">
        <w:rPr>
          <w:rFonts w:ascii="Times New Roman" w:hAnsi="Times New Roman" w:cs="Times New Roman"/>
          <w:color w:val="000000" w:themeColor="text1"/>
        </w:rPr>
        <w:tab/>
      </w:r>
      <w:r w:rsidRPr="00F0736F">
        <w:rPr>
          <w:rFonts w:ascii="Times New Roman" w:hAnsi="Times New Roman" w:cs="Times New Roman"/>
          <w:color w:val="000000" w:themeColor="text1"/>
        </w:rPr>
        <w:tab/>
      </w:r>
    </w:p>
    <w:p w14:paraId="11EA271F" w14:textId="77777777" w:rsidR="009D15F8" w:rsidRPr="00F0736F" w:rsidRDefault="009D15F8" w:rsidP="009D15F8">
      <w:pPr>
        <w:ind w:firstLine="709"/>
        <w:jc w:val="both"/>
        <w:rPr>
          <w:rFonts w:ascii="Times New Roman" w:hAnsi="Times New Roman" w:cs="Times New Roman"/>
          <w:color w:val="000000" w:themeColor="text1"/>
        </w:rPr>
      </w:pPr>
    </w:p>
    <w:tbl>
      <w:tblPr>
        <w:tblW w:w="9628" w:type="dxa"/>
        <w:tblInd w:w="283" w:type="dxa"/>
        <w:tblLayout w:type="fixed"/>
        <w:tblCellMar>
          <w:left w:w="48" w:type="dxa"/>
        </w:tblCellMar>
        <w:tblLook w:val="0000" w:firstRow="0" w:lastRow="0" w:firstColumn="0" w:lastColumn="0" w:noHBand="0" w:noVBand="0"/>
      </w:tblPr>
      <w:tblGrid>
        <w:gridCol w:w="6030"/>
        <w:gridCol w:w="1185"/>
        <w:gridCol w:w="945"/>
        <w:gridCol w:w="1468"/>
      </w:tblGrid>
      <w:tr w:rsidR="00F0736F" w:rsidRPr="00F0736F" w14:paraId="3E45FF6D" w14:textId="77777777" w:rsidTr="0017426D">
        <w:trPr>
          <w:trHeight w:val="217"/>
        </w:trPr>
        <w:tc>
          <w:tcPr>
            <w:tcW w:w="6030" w:type="dxa"/>
            <w:tcBorders>
              <w:top w:val="single" w:sz="4" w:space="0" w:color="000001"/>
              <w:left w:val="single" w:sz="4" w:space="0" w:color="000001"/>
              <w:bottom w:val="single" w:sz="4" w:space="0" w:color="000001"/>
            </w:tcBorders>
            <w:shd w:val="clear" w:color="auto" w:fill="auto"/>
            <w:vAlign w:val="center"/>
          </w:tcPr>
          <w:p w14:paraId="5EEB84A3" w14:textId="77777777" w:rsidR="009D15F8" w:rsidRPr="00F0736F" w:rsidRDefault="009D15F8" w:rsidP="00710DB1">
            <w:pPr>
              <w:jc w:val="center"/>
              <w:rPr>
                <w:color w:val="000000" w:themeColor="text1"/>
              </w:rPr>
            </w:pPr>
            <w:r w:rsidRPr="00F0736F">
              <w:rPr>
                <w:rFonts w:ascii="Times New Roman" w:hAnsi="Times New Roman" w:cs="Times New Roman"/>
                <w:color w:val="000000" w:themeColor="text1"/>
                <w:sz w:val="20"/>
                <w:szCs w:val="20"/>
              </w:rPr>
              <w:t>Показатели</w:t>
            </w:r>
          </w:p>
        </w:tc>
        <w:tc>
          <w:tcPr>
            <w:tcW w:w="1185" w:type="dxa"/>
            <w:tcBorders>
              <w:top w:val="single" w:sz="4" w:space="0" w:color="000001"/>
              <w:left w:val="single" w:sz="4" w:space="0" w:color="000001"/>
              <w:bottom w:val="single" w:sz="4" w:space="0" w:color="000001"/>
            </w:tcBorders>
            <w:shd w:val="clear" w:color="auto" w:fill="auto"/>
          </w:tcPr>
          <w:p w14:paraId="0C4C39C9" w14:textId="77777777" w:rsidR="009D15F8" w:rsidRPr="00F0736F" w:rsidRDefault="009D15F8" w:rsidP="00710DB1">
            <w:pPr>
              <w:jc w:val="center"/>
              <w:rPr>
                <w:color w:val="000000" w:themeColor="text1"/>
              </w:rPr>
            </w:pPr>
            <w:r w:rsidRPr="00F0736F">
              <w:rPr>
                <w:rFonts w:ascii="Times New Roman" w:hAnsi="Times New Roman" w:cs="Times New Roman"/>
                <w:color w:val="000000" w:themeColor="text1"/>
                <w:sz w:val="20"/>
                <w:szCs w:val="20"/>
              </w:rPr>
              <w:t>2017</w:t>
            </w:r>
          </w:p>
        </w:tc>
        <w:tc>
          <w:tcPr>
            <w:tcW w:w="945" w:type="dxa"/>
            <w:tcBorders>
              <w:top w:val="single" w:sz="4" w:space="0" w:color="000001"/>
              <w:left w:val="single" w:sz="4" w:space="0" w:color="000001"/>
              <w:bottom w:val="single" w:sz="4" w:space="0" w:color="000001"/>
            </w:tcBorders>
            <w:shd w:val="clear" w:color="auto" w:fill="auto"/>
          </w:tcPr>
          <w:p w14:paraId="63517BF4" w14:textId="77777777" w:rsidR="009D15F8" w:rsidRPr="00F0736F" w:rsidRDefault="009D15F8" w:rsidP="00710DB1">
            <w:pPr>
              <w:jc w:val="center"/>
              <w:rPr>
                <w:color w:val="000000" w:themeColor="text1"/>
              </w:rPr>
            </w:pPr>
            <w:r w:rsidRPr="00F0736F">
              <w:rPr>
                <w:rFonts w:ascii="Times New Roman" w:hAnsi="Times New Roman" w:cs="Times New Roman"/>
                <w:color w:val="000000" w:themeColor="text1"/>
                <w:sz w:val="20"/>
                <w:szCs w:val="20"/>
              </w:rPr>
              <w:t>2018</w:t>
            </w:r>
          </w:p>
        </w:tc>
        <w:tc>
          <w:tcPr>
            <w:tcW w:w="1468" w:type="dxa"/>
            <w:tcBorders>
              <w:top w:val="single" w:sz="4" w:space="0" w:color="000001"/>
              <w:left w:val="single" w:sz="4" w:space="0" w:color="000001"/>
              <w:bottom w:val="single" w:sz="4" w:space="0" w:color="000001"/>
              <w:right w:val="single" w:sz="4" w:space="0" w:color="000001"/>
            </w:tcBorders>
            <w:shd w:val="clear" w:color="auto" w:fill="auto"/>
          </w:tcPr>
          <w:p w14:paraId="480D38B9" w14:textId="77777777" w:rsidR="009D15F8" w:rsidRPr="00F0736F" w:rsidRDefault="009D15F8" w:rsidP="00710DB1">
            <w:pPr>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2A234E5E" w14:textId="77777777" w:rsidTr="0017426D">
        <w:trPr>
          <w:trHeight w:val="527"/>
        </w:trPr>
        <w:tc>
          <w:tcPr>
            <w:tcW w:w="6030" w:type="dxa"/>
            <w:tcBorders>
              <w:top w:val="single" w:sz="4" w:space="0" w:color="000001"/>
              <w:left w:val="single" w:sz="4" w:space="0" w:color="000001"/>
              <w:bottom w:val="single" w:sz="4" w:space="0" w:color="000001"/>
            </w:tcBorders>
            <w:shd w:val="clear" w:color="auto" w:fill="auto"/>
            <w:vAlign w:val="bottom"/>
          </w:tcPr>
          <w:p w14:paraId="1E64D9DB" w14:textId="77777777" w:rsidR="009D15F8" w:rsidRPr="00F0736F" w:rsidRDefault="009D15F8" w:rsidP="00037501">
            <w:pPr>
              <w:jc w:val="both"/>
              <w:rPr>
                <w:color w:val="000000" w:themeColor="text1"/>
              </w:rPr>
            </w:pPr>
            <w:r w:rsidRPr="00F0736F">
              <w:rPr>
                <w:rFonts w:ascii="Times New Roman" w:hAnsi="Times New Roman" w:cs="Times New Roman"/>
                <w:color w:val="000000" w:themeColor="text1"/>
                <w:sz w:val="20"/>
                <w:szCs w:val="20"/>
                <w:lang w:val="kk-KZ"/>
              </w:rPr>
              <w:t>П</w:t>
            </w:r>
            <w:r w:rsidRPr="00F0736F">
              <w:rPr>
                <w:rFonts w:ascii="Times New Roman" w:hAnsi="Times New Roman" w:cs="Times New Roman"/>
                <w:color w:val="000000" w:themeColor="text1"/>
                <w:sz w:val="20"/>
                <w:szCs w:val="20"/>
              </w:rPr>
              <w:t>лощадь лесного фонда (включая леса, переданные во временное пользование), млн. га</w:t>
            </w:r>
          </w:p>
        </w:tc>
        <w:tc>
          <w:tcPr>
            <w:tcW w:w="1185" w:type="dxa"/>
            <w:tcBorders>
              <w:top w:val="single" w:sz="4" w:space="0" w:color="000001"/>
              <w:left w:val="single" w:sz="4" w:space="0" w:color="000000"/>
              <w:bottom w:val="single" w:sz="4" w:space="0" w:color="000001"/>
            </w:tcBorders>
            <w:shd w:val="clear" w:color="auto" w:fill="auto"/>
            <w:vAlign w:val="bottom"/>
          </w:tcPr>
          <w:p w14:paraId="1E06778F"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29,8</w:t>
            </w:r>
          </w:p>
        </w:tc>
        <w:tc>
          <w:tcPr>
            <w:tcW w:w="945" w:type="dxa"/>
            <w:tcBorders>
              <w:top w:val="single" w:sz="4" w:space="0" w:color="000001"/>
              <w:left w:val="single" w:sz="4" w:space="0" w:color="000000"/>
              <w:bottom w:val="single" w:sz="4" w:space="0" w:color="000001"/>
            </w:tcBorders>
            <w:shd w:val="clear" w:color="auto" w:fill="auto"/>
            <w:vAlign w:val="bottom"/>
          </w:tcPr>
          <w:p w14:paraId="792569FC"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30,1</w:t>
            </w:r>
          </w:p>
        </w:tc>
        <w:tc>
          <w:tcPr>
            <w:tcW w:w="1468" w:type="dxa"/>
            <w:tcBorders>
              <w:top w:val="single" w:sz="4" w:space="0" w:color="000001"/>
              <w:left w:val="single" w:sz="4" w:space="0" w:color="000000"/>
              <w:bottom w:val="single" w:sz="4" w:space="0" w:color="000001"/>
              <w:right w:val="single" w:sz="4" w:space="0" w:color="000000"/>
            </w:tcBorders>
            <w:shd w:val="clear" w:color="auto" w:fill="auto"/>
          </w:tcPr>
          <w:p w14:paraId="2B5FDBDD" w14:textId="77777777" w:rsidR="009D15F8" w:rsidRPr="00F0736F" w:rsidRDefault="009D15F8" w:rsidP="00037501">
            <w:pPr>
              <w:snapToGrid w:val="0"/>
              <w:jc w:val="center"/>
              <w:rPr>
                <w:rFonts w:ascii="Times New Roman" w:hAnsi="Times New Roman" w:cs="Times New Roman"/>
                <w:color w:val="000000" w:themeColor="text1"/>
                <w:sz w:val="20"/>
                <w:szCs w:val="20"/>
              </w:rPr>
            </w:pPr>
          </w:p>
          <w:p w14:paraId="178275BE" w14:textId="77777777" w:rsidR="009D15F8" w:rsidRPr="00F0736F" w:rsidRDefault="009D15F8" w:rsidP="00037501">
            <w:pPr>
              <w:jc w:val="center"/>
              <w:rPr>
                <w:rFonts w:ascii="Times New Roman" w:hAnsi="Times New Roman" w:cs="Times New Roman"/>
                <w:color w:val="000000" w:themeColor="text1"/>
                <w:sz w:val="20"/>
                <w:szCs w:val="20"/>
              </w:rPr>
            </w:pPr>
          </w:p>
          <w:p w14:paraId="02EBC64E"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30,1</w:t>
            </w:r>
          </w:p>
        </w:tc>
      </w:tr>
      <w:tr w:rsidR="00F0736F" w:rsidRPr="00F0736F" w14:paraId="2DA79B1F" w14:textId="77777777" w:rsidTr="0017426D">
        <w:trPr>
          <w:trHeight w:val="106"/>
        </w:trPr>
        <w:tc>
          <w:tcPr>
            <w:tcW w:w="6030" w:type="dxa"/>
            <w:tcBorders>
              <w:top w:val="single" w:sz="4" w:space="0" w:color="000001"/>
              <w:left w:val="single" w:sz="4" w:space="0" w:color="000001"/>
              <w:bottom w:val="single" w:sz="4" w:space="0" w:color="000001"/>
            </w:tcBorders>
            <w:shd w:val="clear" w:color="auto" w:fill="auto"/>
            <w:vAlign w:val="bottom"/>
          </w:tcPr>
          <w:p w14:paraId="27823030" w14:textId="77777777" w:rsidR="009D15F8" w:rsidRPr="00F0736F" w:rsidRDefault="009D15F8" w:rsidP="00037501">
            <w:pPr>
              <w:jc w:val="both"/>
              <w:rPr>
                <w:color w:val="000000" w:themeColor="text1"/>
              </w:rPr>
            </w:pPr>
            <w:r w:rsidRPr="00F0736F">
              <w:rPr>
                <w:rFonts w:ascii="Times New Roman" w:hAnsi="Times New Roman" w:cs="Times New Roman"/>
                <w:color w:val="000000" w:themeColor="text1"/>
                <w:sz w:val="20"/>
                <w:szCs w:val="20"/>
              </w:rPr>
              <w:t>Земли покрытые лесом, млн. га</w:t>
            </w:r>
          </w:p>
        </w:tc>
        <w:tc>
          <w:tcPr>
            <w:tcW w:w="1185" w:type="dxa"/>
            <w:tcBorders>
              <w:top w:val="single" w:sz="4" w:space="0" w:color="000001"/>
              <w:left w:val="single" w:sz="4" w:space="0" w:color="000000"/>
              <w:bottom w:val="single" w:sz="4" w:space="0" w:color="000001"/>
            </w:tcBorders>
            <w:shd w:val="clear" w:color="auto" w:fill="auto"/>
            <w:vAlign w:val="bottom"/>
          </w:tcPr>
          <w:p w14:paraId="487F6938"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12,9</w:t>
            </w:r>
          </w:p>
        </w:tc>
        <w:tc>
          <w:tcPr>
            <w:tcW w:w="945" w:type="dxa"/>
            <w:tcBorders>
              <w:top w:val="single" w:sz="4" w:space="0" w:color="000001"/>
              <w:left w:val="single" w:sz="4" w:space="0" w:color="000000"/>
              <w:bottom w:val="single" w:sz="4" w:space="0" w:color="000001"/>
            </w:tcBorders>
            <w:shd w:val="clear" w:color="auto" w:fill="auto"/>
            <w:vAlign w:val="bottom"/>
          </w:tcPr>
          <w:p w14:paraId="5AF463A2"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12,9</w:t>
            </w:r>
          </w:p>
        </w:tc>
        <w:tc>
          <w:tcPr>
            <w:tcW w:w="1468" w:type="dxa"/>
            <w:tcBorders>
              <w:top w:val="single" w:sz="4" w:space="0" w:color="000001"/>
              <w:left w:val="single" w:sz="4" w:space="0" w:color="000000"/>
              <w:bottom w:val="single" w:sz="4" w:space="0" w:color="000001"/>
              <w:right w:val="single" w:sz="4" w:space="0" w:color="000000"/>
            </w:tcBorders>
            <w:shd w:val="clear" w:color="auto" w:fill="auto"/>
          </w:tcPr>
          <w:p w14:paraId="6C9F12F8"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13,1</w:t>
            </w:r>
          </w:p>
        </w:tc>
      </w:tr>
      <w:tr w:rsidR="00F0736F" w:rsidRPr="00F0736F" w14:paraId="2216B62C" w14:textId="77777777" w:rsidTr="0017426D">
        <w:trPr>
          <w:trHeight w:val="297"/>
        </w:trPr>
        <w:tc>
          <w:tcPr>
            <w:tcW w:w="6030" w:type="dxa"/>
            <w:tcBorders>
              <w:top w:val="single" w:sz="4" w:space="0" w:color="000001"/>
              <w:left w:val="single" w:sz="4" w:space="0" w:color="000001"/>
              <w:bottom w:val="single" w:sz="4" w:space="0" w:color="000001"/>
            </w:tcBorders>
            <w:shd w:val="clear" w:color="auto" w:fill="auto"/>
            <w:vAlign w:val="bottom"/>
          </w:tcPr>
          <w:p w14:paraId="11F6C4D0" w14:textId="77777777" w:rsidR="009D15F8" w:rsidRPr="00F0736F" w:rsidRDefault="009D15F8" w:rsidP="00037501">
            <w:pPr>
              <w:jc w:val="both"/>
              <w:rPr>
                <w:color w:val="000000" w:themeColor="text1"/>
              </w:rPr>
            </w:pPr>
            <w:r w:rsidRPr="00F0736F">
              <w:rPr>
                <w:rFonts w:ascii="Times New Roman" w:hAnsi="Times New Roman" w:cs="Times New Roman"/>
                <w:color w:val="000000" w:themeColor="text1"/>
                <w:sz w:val="20"/>
                <w:szCs w:val="20"/>
              </w:rPr>
              <w:t xml:space="preserve">Общий запас древесины на корню, млн. </w:t>
            </w:r>
            <w:r w:rsidRPr="00F0736F">
              <w:rPr>
                <w:rFonts w:ascii="Times New Roman" w:hAnsi="Times New Roman" w:cs="Times New Roman"/>
                <w:color w:val="000000" w:themeColor="text1"/>
                <w:sz w:val="20"/>
                <w:szCs w:val="20"/>
                <w:lang w:val="kk-KZ"/>
              </w:rPr>
              <w:t xml:space="preserve">куб. </w:t>
            </w:r>
            <w:r w:rsidRPr="00F0736F">
              <w:rPr>
                <w:rFonts w:ascii="Times New Roman" w:hAnsi="Times New Roman" w:cs="Times New Roman"/>
                <w:color w:val="000000" w:themeColor="text1"/>
                <w:sz w:val="20"/>
                <w:szCs w:val="20"/>
              </w:rPr>
              <w:t>м</w:t>
            </w:r>
            <w:r w:rsidRPr="00F0736F">
              <w:rPr>
                <w:rFonts w:ascii="Times New Roman" w:hAnsi="Times New Roman" w:cs="Times New Roman"/>
                <w:color w:val="000000" w:themeColor="text1"/>
                <w:sz w:val="20"/>
                <w:szCs w:val="20"/>
                <w:lang w:val="kk-KZ"/>
              </w:rPr>
              <w:t>етров</w:t>
            </w:r>
          </w:p>
        </w:tc>
        <w:tc>
          <w:tcPr>
            <w:tcW w:w="1185" w:type="dxa"/>
            <w:tcBorders>
              <w:top w:val="single" w:sz="4" w:space="0" w:color="000001"/>
              <w:left w:val="single" w:sz="4" w:space="0" w:color="000000"/>
              <w:bottom w:val="single" w:sz="4" w:space="0" w:color="000001"/>
            </w:tcBorders>
            <w:shd w:val="clear" w:color="auto" w:fill="auto"/>
            <w:vAlign w:val="bottom"/>
          </w:tcPr>
          <w:p w14:paraId="42E91D27"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421,9</w:t>
            </w:r>
          </w:p>
        </w:tc>
        <w:tc>
          <w:tcPr>
            <w:tcW w:w="945" w:type="dxa"/>
            <w:tcBorders>
              <w:top w:val="single" w:sz="4" w:space="0" w:color="000001"/>
              <w:left w:val="single" w:sz="4" w:space="0" w:color="000000"/>
              <w:bottom w:val="single" w:sz="4" w:space="0" w:color="000001"/>
            </w:tcBorders>
            <w:shd w:val="clear" w:color="auto" w:fill="auto"/>
            <w:vAlign w:val="bottom"/>
          </w:tcPr>
          <w:p w14:paraId="041046DA"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421,9</w:t>
            </w:r>
          </w:p>
        </w:tc>
        <w:tc>
          <w:tcPr>
            <w:tcW w:w="1468" w:type="dxa"/>
            <w:tcBorders>
              <w:top w:val="single" w:sz="4" w:space="0" w:color="000001"/>
              <w:left w:val="single" w:sz="4" w:space="0" w:color="000000"/>
              <w:bottom w:val="single" w:sz="4" w:space="0" w:color="000001"/>
              <w:right w:val="single" w:sz="4" w:space="0" w:color="000000"/>
            </w:tcBorders>
            <w:shd w:val="clear" w:color="auto" w:fill="auto"/>
          </w:tcPr>
          <w:p w14:paraId="7F7AB8F6" w14:textId="77777777" w:rsidR="009D15F8" w:rsidRPr="00F0736F" w:rsidRDefault="009D15F8" w:rsidP="00037501">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449,9</w:t>
            </w:r>
          </w:p>
        </w:tc>
      </w:tr>
      <w:tr w:rsidR="00F0736F" w:rsidRPr="00F0736F" w14:paraId="4177A7B8" w14:textId="77777777" w:rsidTr="0017426D">
        <w:trPr>
          <w:trHeight w:val="361"/>
        </w:trPr>
        <w:tc>
          <w:tcPr>
            <w:tcW w:w="6030" w:type="dxa"/>
            <w:tcBorders>
              <w:top w:val="single" w:sz="4" w:space="0" w:color="000001"/>
              <w:left w:val="single" w:sz="4" w:space="0" w:color="000001"/>
              <w:bottom w:val="single" w:sz="4" w:space="0" w:color="000001"/>
            </w:tcBorders>
            <w:shd w:val="clear" w:color="auto" w:fill="auto"/>
            <w:vAlign w:val="bottom"/>
          </w:tcPr>
          <w:p w14:paraId="5C5772C0" w14:textId="77777777" w:rsidR="009D15F8" w:rsidRPr="00F0736F" w:rsidRDefault="009D15F8" w:rsidP="00037501">
            <w:pPr>
              <w:jc w:val="both"/>
              <w:rPr>
                <w:color w:val="000000" w:themeColor="text1"/>
              </w:rPr>
            </w:pPr>
            <w:r w:rsidRPr="00F0736F">
              <w:rPr>
                <w:rFonts w:ascii="Times New Roman" w:hAnsi="Times New Roman" w:cs="Times New Roman"/>
                <w:color w:val="000000" w:themeColor="text1"/>
                <w:sz w:val="20"/>
                <w:szCs w:val="20"/>
              </w:rPr>
              <w:t xml:space="preserve">Лесистость территории, в </w:t>
            </w:r>
            <w:r w:rsidRPr="00F0736F">
              <w:rPr>
                <w:rFonts w:ascii="Times New Roman" w:hAnsi="Times New Roman" w:cs="Times New Roman"/>
                <w:color w:val="000000" w:themeColor="text1"/>
                <w:sz w:val="20"/>
                <w:szCs w:val="20"/>
                <w:lang w:val="kk-KZ"/>
              </w:rPr>
              <w:t>процентах</w:t>
            </w:r>
          </w:p>
        </w:tc>
        <w:tc>
          <w:tcPr>
            <w:tcW w:w="1185" w:type="dxa"/>
            <w:tcBorders>
              <w:top w:val="single" w:sz="4" w:space="0" w:color="000001"/>
              <w:left w:val="single" w:sz="4" w:space="0" w:color="000001"/>
              <w:bottom w:val="single" w:sz="4" w:space="0" w:color="000001"/>
            </w:tcBorders>
            <w:shd w:val="clear" w:color="auto" w:fill="auto"/>
            <w:vAlign w:val="bottom"/>
          </w:tcPr>
          <w:p w14:paraId="21DA1581"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4,7</w:t>
            </w:r>
          </w:p>
        </w:tc>
        <w:tc>
          <w:tcPr>
            <w:tcW w:w="945" w:type="dxa"/>
            <w:tcBorders>
              <w:top w:val="single" w:sz="4" w:space="0" w:color="000001"/>
              <w:left w:val="single" w:sz="4" w:space="0" w:color="000001"/>
              <w:bottom w:val="single" w:sz="4" w:space="0" w:color="000001"/>
            </w:tcBorders>
            <w:shd w:val="clear" w:color="auto" w:fill="auto"/>
            <w:vAlign w:val="bottom"/>
          </w:tcPr>
          <w:p w14:paraId="4677C2F7"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4,7</w:t>
            </w:r>
          </w:p>
        </w:tc>
        <w:tc>
          <w:tcPr>
            <w:tcW w:w="1468" w:type="dxa"/>
            <w:tcBorders>
              <w:top w:val="single" w:sz="4" w:space="0" w:color="000001"/>
              <w:left w:val="single" w:sz="4" w:space="0" w:color="000001"/>
              <w:bottom w:val="single" w:sz="4" w:space="0" w:color="000001"/>
              <w:right w:val="single" w:sz="4" w:space="0" w:color="000001"/>
            </w:tcBorders>
            <w:shd w:val="clear" w:color="auto" w:fill="auto"/>
          </w:tcPr>
          <w:p w14:paraId="7B7F540B" w14:textId="77777777" w:rsidR="009D15F8" w:rsidRPr="00F0736F" w:rsidRDefault="009D15F8" w:rsidP="00037501">
            <w:pPr>
              <w:snapToGrid w:val="0"/>
              <w:jc w:val="center"/>
              <w:rPr>
                <w:rFonts w:ascii="Times New Roman" w:hAnsi="Times New Roman" w:cs="Times New Roman"/>
                <w:color w:val="000000" w:themeColor="text1"/>
                <w:sz w:val="20"/>
                <w:szCs w:val="20"/>
              </w:rPr>
            </w:pPr>
          </w:p>
          <w:p w14:paraId="5EC833CA"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4,8</w:t>
            </w:r>
          </w:p>
        </w:tc>
      </w:tr>
    </w:tbl>
    <w:p w14:paraId="266A27CB" w14:textId="3696A176" w:rsidR="009D15F8" w:rsidRPr="00F0736F" w:rsidRDefault="009D15F8" w:rsidP="009D15F8">
      <w:pPr>
        <w:ind w:firstLine="709"/>
        <w:jc w:val="both"/>
        <w:rPr>
          <w:rFonts w:ascii="Times New Roman" w:hAnsi="Times New Roman" w:cs="Times New Roman"/>
          <w:i/>
          <w:iCs/>
          <w:color w:val="000000" w:themeColor="text1"/>
          <w:sz w:val="20"/>
          <w:lang w:val="kk-KZ"/>
        </w:rPr>
      </w:pPr>
      <w:r w:rsidRPr="00F0736F">
        <w:rPr>
          <w:rFonts w:ascii="Times New Roman" w:hAnsi="Times New Roman" w:cs="Times New Roman"/>
          <w:i/>
          <w:iCs/>
          <w:color w:val="000000" w:themeColor="text1"/>
          <w:sz w:val="20"/>
          <w:lang w:val="kk-KZ"/>
        </w:rPr>
        <w:t>по данным Комитета лесного хозяйства и животного мира МСХ РК</w:t>
      </w:r>
    </w:p>
    <w:p w14:paraId="51856A71" w14:textId="77777777" w:rsidR="009D15F8" w:rsidRPr="00F0736F" w:rsidRDefault="009D15F8" w:rsidP="009D15F8">
      <w:pPr>
        <w:ind w:firstLine="709"/>
        <w:jc w:val="both"/>
        <w:rPr>
          <w:i/>
          <w:iCs/>
          <w:color w:val="000000" w:themeColor="text1"/>
        </w:rPr>
      </w:pPr>
      <w:r w:rsidRPr="00F0736F">
        <w:rPr>
          <w:rFonts w:ascii="Times New Roman" w:hAnsi="Times New Roman" w:cs="Times New Roman"/>
          <w:i/>
          <w:iCs/>
          <w:color w:val="000000" w:themeColor="text1"/>
          <w:sz w:val="20"/>
          <w:szCs w:val="20"/>
        </w:rPr>
        <w:t>по данным Комитета по статистике</w:t>
      </w:r>
    </w:p>
    <w:p w14:paraId="065146C6" w14:textId="77777777" w:rsidR="009D15F8" w:rsidRPr="00F0736F" w:rsidRDefault="009D15F8" w:rsidP="009D15F8">
      <w:pPr>
        <w:ind w:firstLine="709"/>
        <w:jc w:val="both"/>
        <w:rPr>
          <w:rFonts w:ascii="Times New Roman" w:eastAsia="Calibri" w:hAnsi="Times New Roman" w:cs="Times New Roman"/>
          <w:color w:val="000000" w:themeColor="text1"/>
        </w:rPr>
      </w:pPr>
    </w:p>
    <w:p w14:paraId="7714C59C"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 xml:space="preserve">В 2018 году, совместно с акиматами областей, начата разработка пошагового плана по увеличению объемов воспроизводства лесов. Утверждены Планы создания зеленых зон вокруг областных центров и озеленения населенных пунктов. На 01.01.2020 года в Казахстане насчитывалось 13,1 млн. га лесов </w:t>
      </w:r>
      <w:r w:rsidRPr="00F0736F">
        <w:rPr>
          <w:rFonts w:ascii="Times New Roman" w:hAnsi="Times New Roman" w:cs="Times New Roman"/>
          <w:color w:val="000000" w:themeColor="text1"/>
        </w:rPr>
        <w:t>(таблица 1.8.2.)</w:t>
      </w:r>
      <w:r w:rsidRPr="00F0736F">
        <w:rPr>
          <w:rFonts w:ascii="Times New Roman" w:eastAsia="Calibri" w:hAnsi="Times New Roman" w:cs="Times New Roman"/>
          <w:color w:val="000000" w:themeColor="text1"/>
        </w:rPr>
        <w:t>, производилось 1,5 млн. м</w:t>
      </w:r>
      <w:r w:rsidRPr="00F0736F">
        <w:rPr>
          <w:rFonts w:ascii="Times New Roman" w:eastAsia="Calibri" w:hAnsi="Times New Roman" w:cs="Times New Roman"/>
          <w:color w:val="000000" w:themeColor="text1"/>
          <w:vertAlign w:val="superscript"/>
        </w:rPr>
        <w:t>3</w:t>
      </w:r>
      <w:r w:rsidRPr="00F0736F">
        <w:rPr>
          <w:rFonts w:ascii="Times New Roman" w:eastAsia="Calibri" w:hAnsi="Times New Roman" w:cs="Times New Roman"/>
          <w:color w:val="000000" w:themeColor="text1"/>
        </w:rPr>
        <w:t xml:space="preserve"> древесины. </w:t>
      </w:r>
    </w:p>
    <w:p w14:paraId="72EDEDE6"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 xml:space="preserve">В 2019 году было проведено воспроизводство лесов на площади 63,9 тыс. га, что на 11,2 тыс. га больше показателя 2018 года. В 2019 году проведены работы по созданию зеленой зоны столицы Казахстана, г. Нур-Султан на площади 4,6 тыс. га. Разработаны Рабочие проекты и картографические материалы создания зеленых зон вокруг областных центров Актобе, Кызылорда и Туркестан по аналогии с зеленой зоной столицы. </w:t>
      </w:r>
      <w:r w:rsidRPr="00F0736F">
        <w:rPr>
          <w:rFonts w:ascii="Times New Roman" w:eastAsia="Times New Roman" w:hAnsi="Times New Roman" w:cs="Times New Roman"/>
          <w:color w:val="000000" w:themeColor="text1"/>
        </w:rPr>
        <w:t xml:space="preserve">В октябре 2019 года проведена </w:t>
      </w:r>
      <w:r w:rsidRPr="00F0736F">
        <w:rPr>
          <w:rFonts w:ascii="Times New Roman" w:eastAsia="Times New Roman" w:hAnsi="Times New Roman" w:cs="Times New Roman"/>
          <w:color w:val="000000" w:themeColor="text1"/>
          <w:lang w:eastAsia="ru-RU"/>
        </w:rPr>
        <w:t xml:space="preserve">республиканская </w:t>
      </w:r>
      <w:r w:rsidRPr="00F0736F">
        <w:rPr>
          <w:rFonts w:ascii="Times New Roman" w:eastAsia="Times New Roman" w:hAnsi="Times New Roman" w:cs="Times New Roman"/>
          <w:bCs/>
          <w:color w:val="000000" w:themeColor="text1"/>
          <w:lang w:eastAsia="ru-RU"/>
        </w:rPr>
        <w:t>акция по посадке деревьев.</w:t>
      </w:r>
      <w:r w:rsidRPr="00F0736F">
        <w:rPr>
          <w:rFonts w:ascii="Times New Roman" w:eastAsia="Times New Roman" w:hAnsi="Times New Roman" w:cs="Times New Roman"/>
          <w:b/>
          <w:color w:val="000000" w:themeColor="text1"/>
          <w:lang w:eastAsia="ru-RU"/>
        </w:rPr>
        <w:t xml:space="preserve"> </w:t>
      </w:r>
      <w:r w:rsidRPr="00F0736F">
        <w:rPr>
          <w:rFonts w:ascii="Times New Roman" w:eastAsia="Times New Roman" w:hAnsi="Times New Roman" w:cs="Times New Roman"/>
          <w:color w:val="000000" w:themeColor="text1"/>
          <w:lang w:eastAsia="ru-RU"/>
        </w:rPr>
        <w:t>Приняли участие более 260 тыс. человек, высажено более 1 млн. деревьев.</w:t>
      </w:r>
      <w:r w:rsidRPr="00F0736F">
        <w:rPr>
          <w:rFonts w:ascii="Times New Roman" w:hAnsi="Times New Roman" w:cs="Times New Roman"/>
          <w:color w:val="000000" w:themeColor="text1"/>
        </w:rPr>
        <w:t xml:space="preserve"> </w:t>
      </w:r>
    </w:p>
    <w:p w14:paraId="2CCC970D" w14:textId="4BBCF466" w:rsidR="009D15F8" w:rsidRPr="00F0736F" w:rsidRDefault="009D15F8" w:rsidP="009D15F8">
      <w:pPr>
        <w:ind w:firstLine="709"/>
        <w:jc w:val="both"/>
        <w:rPr>
          <w:color w:val="000000" w:themeColor="text1"/>
        </w:rPr>
      </w:pPr>
      <w:r w:rsidRPr="00F0736F">
        <w:rPr>
          <w:rFonts w:ascii="Times New Roman" w:eastAsia="Calibri" w:hAnsi="Times New Roman" w:cs="Times New Roman"/>
          <w:bCs/>
          <w:color w:val="000000" w:themeColor="text1"/>
        </w:rPr>
        <w:t>В 2019 году в Алматинской, Жамбылской, Кызылординской и Туркенстанской областях также посажено 165,6 тысяч сеянцев саксаула и посеяно 23,5 тыс</w:t>
      </w:r>
      <w:r w:rsidR="009C7F04" w:rsidRPr="00F0736F">
        <w:rPr>
          <w:rFonts w:ascii="Times New Roman" w:eastAsia="Calibri" w:hAnsi="Times New Roman" w:cs="Times New Roman"/>
          <w:bCs/>
          <w:color w:val="000000" w:themeColor="text1"/>
        </w:rPr>
        <w:t>.</w:t>
      </w:r>
      <w:r w:rsidRPr="00F0736F">
        <w:rPr>
          <w:rFonts w:ascii="Times New Roman" w:eastAsia="Calibri" w:hAnsi="Times New Roman" w:cs="Times New Roman"/>
          <w:bCs/>
          <w:color w:val="000000" w:themeColor="text1"/>
        </w:rPr>
        <w:t xml:space="preserve"> г</w:t>
      </w:r>
      <w:r w:rsidR="009C7F04" w:rsidRPr="00F0736F">
        <w:rPr>
          <w:rFonts w:ascii="Times New Roman" w:eastAsia="Calibri" w:hAnsi="Times New Roman" w:cs="Times New Roman"/>
          <w:bCs/>
          <w:color w:val="000000" w:themeColor="text1"/>
        </w:rPr>
        <w:t xml:space="preserve">а </w:t>
      </w:r>
      <w:r w:rsidRPr="00F0736F">
        <w:rPr>
          <w:rFonts w:ascii="Times New Roman" w:eastAsia="Calibri" w:hAnsi="Times New Roman" w:cs="Times New Roman"/>
          <w:bCs/>
          <w:color w:val="000000" w:themeColor="text1"/>
        </w:rPr>
        <w:t xml:space="preserve">семян саксаула. </w:t>
      </w:r>
    </w:p>
    <w:p w14:paraId="3FCBA95C" w14:textId="77777777" w:rsidR="009D15F8" w:rsidRPr="00F0736F" w:rsidRDefault="009D15F8" w:rsidP="009D15F8">
      <w:pPr>
        <w:ind w:firstLine="709"/>
        <w:jc w:val="both"/>
        <w:rPr>
          <w:rFonts w:ascii="Times New Roman" w:hAnsi="Times New Roman" w:cs="Times New Roman"/>
          <w:color w:val="000000" w:themeColor="text1"/>
        </w:rPr>
      </w:pPr>
    </w:p>
    <w:p w14:paraId="032D0DE2"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1.8.2. Объемы лесовосстановительных работ</w:t>
      </w:r>
    </w:p>
    <w:p w14:paraId="727A5A4F" w14:textId="77777777" w:rsidR="009D15F8" w:rsidRPr="00F0736F" w:rsidRDefault="009D15F8" w:rsidP="009D15F8">
      <w:pPr>
        <w:ind w:firstLine="709"/>
        <w:jc w:val="both"/>
        <w:rPr>
          <w:rFonts w:ascii="Times New Roman" w:hAnsi="Times New Roman" w:cs="Times New Roman"/>
          <w:color w:val="000000" w:themeColor="text1"/>
        </w:rPr>
      </w:pPr>
    </w:p>
    <w:tbl>
      <w:tblPr>
        <w:tblW w:w="9781" w:type="dxa"/>
        <w:tblInd w:w="5" w:type="dxa"/>
        <w:tblLayout w:type="fixed"/>
        <w:tblCellMar>
          <w:left w:w="5" w:type="dxa"/>
          <w:right w:w="0" w:type="dxa"/>
        </w:tblCellMar>
        <w:tblLook w:val="0000" w:firstRow="0" w:lastRow="0" w:firstColumn="0" w:lastColumn="0" w:noHBand="0" w:noVBand="0"/>
      </w:tblPr>
      <w:tblGrid>
        <w:gridCol w:w="1038"/>
        <w:gridCol w:w="1230"/>
        <w:gridCol w:w="3119"/>
        <w:gridCol w:w="4394"/>
      </w:tblGrid>
      <w:tr w:rsidR="00F0736F" w:rsidRPr="00F0736F" w14:paraId="6354CF7D" w14:textId="77777777" w:rsidTr="0017426D">
        <w:trPr>
          <w:cantSplit/>
          <w:trHeight w:val="253"/>
        </w:trPr>
        <w:tc>
          <w:tcPr>
            <w:tcW w:w="1038" w:type="dxa"/>
            <w:vMerge w:val="restart"/>
            <w:tcBorders>
              <w:top w:val="single" w:sz="4" w:space="0" w:color="000001"/>
              <w:left w:val="single" w:sz="4" w:space="0" w:color="000001"/>
              <w:bottom w:val="single" w:sz="4" w:space="0" w:color="000001"/>
            </w:tcBorders>
            <w:shd w:val="clear" w:color="auto" w:fill="auto"/>
            <w:vAlign w:val="center"/>
          </w:tcPr>
          <w:p w14:paraId="5AE78648" w14:textId="77777777" w:rsidR="009D15F8" w:rsidRPr="00F0736F" w:rsidRDefault="009D15F8" w:rsidP="00710DB1">
            <w:pPr>
              <w:ind w:hanging="5"/>
              <w:jc w:val="center"/>
              <w:rPr>
                <w:color w:val="000000" w:themeColor="text1"/>
              </w:rPr>
            </w:pPr>
            <w:r w:rsidRPr="00F0736F">
              <w:rPr>
                <w:rFonts w:ascii="Times New Roman" w:hAnsi="Times New Roman" w:cs="Times New Roman"/>
                <w:color w:val="000000" w:themeColor="text1"/>
                <w:sz w:val="20"/>
                <w:szCs w:val="20"/>
              </w:rPr>
              <w:t>Годы</w:t>
            </w:r>
          </w:p>
        </w:tc>
        <w:tc>
          <w:tcPr>
            <w:tcW w:w="4349" w:type="dxa"/>
            <w:gridSpan w:val="2"/>
            <w:tcBorders>
              <w:top w:val="single" w:sz="4" w:space="0" w:color="000001"/>
              <w:left w:val="single" w:sz="4" w:space="0" w:color="000001"/>
              <w:bottom w:val="single" w:sz="4" w:space="0" w:color="000001"/>
            </w:tcBorders>
            <w:shd w:val="clear" w:color="auto" w:fill="auto"/>
            <w:vAlign w:val="center"/>
          </w:tcPr>
          <w:p w14:paraId="7F175331" w14:textId="77777777" w:rsidR="009D15F8" w:rsidRPr="00F0736F" w:rsidRDefault="009D15F8" w:rsidP="00710DB1">
            <w:pPr>
              <w:ind w:hanging="5"/>
              <w:jc w:val="center"/>
              <w:rPr>
                <w:color w:val="000000" w:themeColor="text1"/>
              </w:rPr>
            </w:pPr>
            <w:r w:rsidRPr="00F0736F">
              <w:rPr>
                <w:rFonts w:ascii="Times New Roman" w:hAnsi="Times New Roman" w:cs="Times New Roman"/>
                <w:color w:val="000000" w:themeColor="text1"/>
                <w:sz w:val="20"/>
                <w:szCs w:val="20"/>
              </w:rPr>
              <w:t>Лесовосстановление, тыс. га</w:t>
            </w:r>
          </w:p>
        </w:tc>
        <w:tc>
          <w:tcPr>
            <w:tcW w:w="4394" w:type="dxa"/>
            <w:vMerge w:val="restart"/>
            <w:tcBorders>
              <w:top w:val="single" w:sz="4" w:space="0" w:color="000001"/>
              <w:left w:val="single" w:sz="4" w:space="0" w:color="000001"/>
              <w:right w:val="single" w:sz="4" w:space="0" w:color="000001"/>
            </w:tcBorders>
            <w:shd w:val="clear" w:color="auto" w:fill="auto"/>
            <w:vAlign w:val="center"/>
          </w:tcPr>
          <w:p w14:paraId="3CDF733D" w14:textId="77777777" w:rsidR="009D15F8" w:rsidRPr="00F0736F" w:rsidRDefault="009D15F8" w:rsidP="00710DB1">
            <w:pPr>
              <w:ind w:hanging="5"/>
              <w:jc w:val="center"/>
              <w:rPr>
                <w:color w:val="000000" w:themeColor="text1"/>
              </w:rPr>
            </w:pPr>
            <w:r w:rsidRPr="00F0736F">
              <w:rPr>
                <w:rFonts w:ascii="Times New Roman" w:hAnsi="Times New Roman" w:cs="Times New Roman"/>
                <w:color w:val="000000" w:themeColor="text1"/>
                <w:sz w:val="20"/>
                <w:szCs w:val="20"/>
              </w:rPr>
              <w:t>Доля посева и посадки леса в общей площади, на которой проводились лесовосстановительные работы, в процентах</w:t>
            </w:r>
          </w:p>
        </w:tc>
      </w:tr>
      <w:tr w:rsidR="00F0736F" w:rsidRPr="00F0736F" w14:paraId="116EECE9" w14:textId="77777777" w:rsidTr="0017426D">
        <w:trPr>
          <w:cantSplit/>
          <w:trHeight w:val="287"/>
        </w:trPr>
        <w:tc>
          <w:tcPr>
            <w:tcW w:w="1038" w:type="dxa"/>
            <w:vMerge/>
            <w:tcBorders>
              <w:top w:val="single" w:sz="4" w:space="0" w:color="000001"/>
              <w:left w:val="single" w:sz="4" w:space="0" w:color="000001"/>
              <w:bottom w:val="single" w:sz="4" w:space="0" w:color="000001"/>
            </w:tcBorders>
            <w:shd w:val="clear" w:color="auto" w:fill="auto"/>
            <w:vAlign w:val="center"/>
          </w:tcPr>
          <w:p w14:paraId="47A8D091" w14:textId="77777777" w:rsidR="009D15F8" w:rsidRPr="00F0736F" w:rsidRDefault="009D15F8" w:rsidP="00037501">
            <w:pPr>
              <w:snapToGrid w:val="0"/>
              <w:ind w:hanging="5"/>
              <w:jc w:val="both"/>
              <w:rPr>
                <w:rFonts w:ascii="Times New Roman" w:hAnsi="Times New Roman" w:cs="Times New Roman"/>
                <w:color w:val="000000" w:themeColor="text1"/>
                <w:sz w:val="20"/>
                <w:szCs w:val="20"/>
              </w:rPr>
            </w:pPr>
          </w:p>
        </w:tc>
        <w:tc>
          <w:tcPr>
            <w:tcW w:w="1230" w:type="dxa"/>
            <w:tcBorders>
              <w:top w:val="single" w:sz="4" w:space="0" w:color="000001"/>
              <w:left w:val="single" w:sz="4" w:space="0" w:color="000001"/>
              <w:bottom w:val="single" w:sz="4" w:space="0" w:color="000001"/>
            </w:tcBorders>
            <w:shd w:val="clear" w:color="auto" w:fill="auto"/>
            <w:vAlign w:val="center"/>
          </w:tcPr>
          <w:p w14:paraId="32562291" w14:textId="77777777" w:rsidR="009D15F8" w:rsidRPr="00F0736F" w:rsidRDefault="009D15F8" w:rsidP="00710DB1">
            <w:pPr>
              <w:ind w:hanging="5"/>
              <w:jc w:val="center"/>
              <w:rPr>
                <w:color w:val="000000" w:themeColor="text1"/>
              </w:rPr>
            </w:pPr>
            <w:r w:rsidRPr="00F0736F">
              <w:rPr>
                <w:rFonts w:ascii="Times New Roman" w:hAnsi="Times New Roman" w:cs="Times New Roman"/>
                <w:color w:val="000000" w:themeColor="text1"/>
                <w:sz w:val="20"/>
                <w:szCs w:val="20"/>
              </w:rPr>
              <w:t>всего</w:t>
            </w:r>
          </w:p>
        </w:tc>
        <w:tc>
          <w:tcPr>
            <w:tcW w:w="3119" w:type="dxa"/>
            <w:tcBorders>
              <w:top w:val="single" w:sz="4" w:space="0" w:color="000001"/>
              <w:left w:val="single" w:sz="4" w:space="0" w:color="000001"/>
              <w:bottom w:val="single" w:sz="4" w:space="0" w:color="000001"/>
            </w:tcBorders>
            <w:shd w:val="clear" w:color="auto" w:fill="auto"/>
            <w:vAlign w:val="center"/>
          </w:tcPr>
          <w:p w14:paraId="2D78F0FD" w14:textId="77777777" w:rsidR="009D15F8" w:rsidRPr="00F0736F" w:rsidRDefault="009D15F8" w:rsidP="00710DB1">
            <w:pPr>
              <w:ind w:hanging="5"/>
              <w:jc w:val="center"/>
              <w:rPr>
                <w:color w:val="000000" w:themeColor="text1"/>
              </w:rPr>
            </w:pPr>
            <w:r w:rsidRPr="00F0736F">
              <w:rPr>
                <w:rFonts w:ascii="Times New Roman" w:hAnsi="Times New Roman" w:cs="Times New Roman"/>
                <w:color w:val="000000" w:themeColor="text1"/>
                <w:sz w:val="20"/>
                <w:szCs w:val="20"/>
              </w:rPr>
              <w:t>в том числе посадка и посев леса</w:t>
            </w:r>
          </w:p>
        </w:tc>
        <w:tc>
          <w:tcPr>
            <w:tcW w:w="4394" w:type="dxa"/>
            <w:vMerge/>
            <w:tcBorders>
              <w:left w:val="single" w:sz="4" w:space="0" w:color="000001"/>
              <w:bottom w:val="single" w:sz="4" w:space="0" w:color="000001"/>
              <w:right w:val="single" w:sz="4" w:space="0" w:color="000001"/>
            </w:tcBorders>
            <w:shd w:val="clear" w:color="auto" w:fill="auto"/>
          </w:tcPr>
          <w:p w14:paraId="13C1EB5C" w14:textId="77777777" w:rsidR="009D15F8" w:rsidRPr="00F0736F" w:rsidRDefault="009D15F8" w:rsidP="00037501">
            <w:pPr>
              <w:snapToGrid w:val="0"/>
              <w:ind w:hanging="5"/>
              <w:jc w:val="both"/>
              <w:rPr>
                <w:rFonts w:ascii="Times New Roman" w:hAnsi="Times New Roman" w:cs="Times New Roman"/>
                <w:color w:val="000000" w:themeColor="text1"/>
                <w:sz w:val="20"/>
                <w:szCs w:val="20"/>
              </w:rPr>
            </w:pPr>
          </w:p>
        </w:tc>
      </w:tr>
      <w:tr w:rsidR="00F0736F" w:rsidRPr="00F0736F" w14:paraId="797BC4B1" w14:textId="77777777" w:rsidTr="0017426D">
        <w:trPr>
          <w:trHeight w:val="66"/>
        </w:trPr>
        <w:tc>
          <w:tcPr>
            <w:tcW w:w="1038" w:type="dxa"/>
            <w:tcBorders>
              <w:top w:val="single" w:sz="4" w:space="0" w:color="000001"/>
              <w:left w:val="single" w:sz="4" w:space="0" w:color="000001"/>
              <w:bottom w:val="single" w:sz="4" w:space="0" w:color="000001"/>
            </w:tcBorders>
            <w:shd w:val="clear" w:color="auto" w:fill="auto"/>
          </w:tcPr>
          <w:p w14:paraId="67835ADE" w14:textId="77777777" w:rsidR="009D15F8" w:rsidRPr="00F0736F" w:rsidRDefault="009D15F8" w:rsidP="00037501">
            <w:pPr>
              <w:ind w:hanging="5"/>
              <w:jc w:val="both"/>
              <w:rPr>
                <w:color w:val="000000" w:themeColor="text1"/>
              </w:rPr>
            </w:pPr>
            <w:r w:rsidRPr="00F0736F">
              <w:rPr>
                <w:rFonts w:ascii="Times New Roman" w:hAnsi="Times New Roman" w:cs="Times New Roman"/>
                <w:color w:val="000000" w:themeColor="text1"/>
                <w:sz w:val="20"/>
                <w:szCs w:val="20"/>
              </w:rPr>
              <w:t>2017</w:t>
            </w:r>
          </w:p>
        </w:tc>
        <w:tc>
          <w:tcPr>
            <w:tcW w:w="1230" w:type="dxa"/>
            <w:tcBorders>
              <w:top w:val="single" w:sz="4" w:space="0" w:color="000001"/>
              <w:left w:val="single" w:sz="4" w:space="0" w:color="000001"/>
              <w:bottom w:val="single" w:sz="4" w:space="0" w:color="000001"/>
            </w:tcBorders>
            <w:shd w:val="clear" w:color="auto" w:fill="auto"/>
          </w:tcPr>
          <w:p w14:paraId="3541E7A4"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57,21</w:t>
            </w:r>
          </w:p>
        </w:tc>
        <w:tc>
          <w:tcPr>
            <w:tcW w:w="3119" w:type="dxa"/>
            <w:tcBorders>
              <w:top w:val="single" w:sz="4" w:space="0" w:color="000001"/>
              <w:left w:val="single" w:sz="4" w:space="0" w:color="000001"/>
              <w:bottom w:val="single" w:sz="4" w:space="0" w:color="000001"/>
            </w:tcBorders>
            <w:shd w:val="clear" w:color="auto" w:fill="auto"/>
          </w:tcPr>
          <w:p w14:paraId="3C60551F"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44,9</w:t>
            </w:r>
          </w:p>
        </w:tc>
        <w:tc>
          <w:tcPr>
            <w:tcW w:w="4394" w:type="dxa"/>
            <w:tcBorders>
              <w:top w:val="single" w:sz="4" w:space="0" w:color="000001"/>
              <w:left w:val="single" w:sz="4" w:space="0" w:color="000001"/>
              <w:bottom w:val="single" w:sz="4" w:space="0" w:color="000001"/>
              <w:right w:val="single" w:sz="4" w:space="0" w:color="000001"/>
            </w:tcBorders>
            <w:shd w:val="clear" w:color="auto" w:fill="auto"/>
          </w:tcPr>
          <w:p w14:paraId="56AE583B"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78,5</w:t>
            </w:r>
          </w:p>
        </w:tc>
      </w:tr>
      <w:tr w:rsidR="00F0736F" w:rsidRPr="00F0736F" w14:paraId="7AEEBA90" w14:textId="77777777" w:rsidTr="0017426D">
        <w:trPr>
          <w:trHeight w:val="66"/>
        </w:trPr>
        <w:tc>
          <w:tcPr>
            <w:tcW w:w="1038" w:type="dxa"/>
            <w:tcBorders>
              <w:top w:val="single" w:sz="4" w:space="0" w:color="000001"/>
              <w:left w:val="single" w:sz="4" w:space="0" w:color="000001"/>
              <w:bottom w:val="single" w:sz="4" w:space="0" w:color="000001"/>
            </w:tcBorders>
            <w:shd w:val="clear" w:color="auto" w:fill="auto"/>
          </w:tcPr>
          <w:p w14:paraId="1C35C4C5" w14:textId="77777777" w:rsidR="009D15F8" w:rsidRPr="00F0736F" w:rsidRDefault="009D15F8" w:rsidP="00037501">
            <w:pPr>
              <w:ind w:hanging="5"/>
              <w:jc w:val="both"/>
              <w:rPr>
                <w:color w:val="000000" w:themeColor="text1"/>
              </w:rPr>
            </w:pPr>
            <w:r w:rsidRPr="00F0736F">
              <w:rPr>
                <w:rFonts w:ascii="Times New Roman" w:hAnsi="Times New Roman" w:cs="Times New Roman"/>
                <w:color w:val="000000" w:themeColor="text1"/>
                <w:sz w:val="20"/>
                <w:szCs w:val="20"/>
              </w:rPr>
              <w:t>2018</w:t>
            </w:r>
          </w:p>
        </w:tc>
        <w:tc>
          <w:tcPr>
            <w:tcW w:w="1230" w:type="dxa"/>
            <w:tcBorders>
              <w:top w:val="single" w:sz="4" w:space="0" w:color="000001"/>
              <w:left w:val="single" w:sz="4" w:space="0" w:color="000001"/>
              <w:bottom w:val="single" w:sz="4" w:space="0" w:color="000001"/>
            </w:tcBorders>
            <w:shd w:val="clear" w:color="auto" w:fill="auto"/>
          </w:tcPr>
          <w:p w14:paraId="55CA86D1"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52,7</w:t>
            </w:r>
          </w:p>
        </w:tc>
        <w:tc>
          <w:tcPr>
            <w:tcW w:w="3119" w:type="dxa"/>
            <w:tcBorders>
              <w:top w:val="single" w:sz="4" w:space="0" w:color="000001"/>
              <w:left w:val="single" w:sz="4" w:space="0" w:color="000001"/>
              <w:bottom w:val="single" w:sz="4" w:space="0" w:color="000001"/>
            </w:tcBorders>
            <w:shd w:val="clear" w:color="auto" w:fill="auto"/>
          </w:tcPr>
          <w:p w14:paraId="55A2E42E"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42,9</w:t>
            </w:r>
          </w:p>
        </w:tc>
        <w:tc>
          <w:tcPr>
            <w:tcW w:w="4394" w:type="dxa"/>
            <w:tcBorders>
              <w:top w:val="single" w:sz="4" w:space="0" w:color="000001"/>
              <w:left w:val="single" w:sz="4" w:space="0" w:color="000001"/>
              <w:bottom w:val="single" w:sz="4" w:space="0" w:color="000001"/>
              <w:right w:val="single" w:sz="4" w:space="0" w:color="000001"/>
            </w:tcBorders>
            <w:shd w:val="clear" w:color="auto" w:fill="auto"/>
          </w:tcPr>
          <w:p w14:paraId="651893E6"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81,4</w:t>
            </w:r>
          </w:p>
        </w:tc>
      </w:tr>
      <w:tr w:rsidR="00F0736F" w:rsidRPr="00F0736F" w14:paraId="2C4EBB00" w14:textId="77777777" w:rsidTr="0017426D">
        <w:trPr>
          <w:trHeight w:val="66"/>
        </w:trPr>
        <w:tc>
          <w:tcPr>
            <w:tcW w:w="1038" w:type="dxa"/>
            <w:tcBorders>
              <w:top w:val="single" w:sz="4" w:space="0" w:color="000001"/>
              <w:left w:val="single" w:sz="4" w:space="0" w:color="000001"/>
              <w:bottom w:val="single" w:sz="4" w:space="0" w:color="000001"/>
            </w:tcBorders>
            <w:shd w:val="clear" w:color="auto" w:fill="auto"/>
          </w:tcPr>
          <w:p w14:paraId="3378289D" w14:textId="77777777" w:rsidR="009D15F8" w:rsidRPr="00F0736F" w:rsidRDefault="009D15F8" w:rsidP="00037501">
            <w:pPr>
              <w:ind w:hanging="5"/>
              <w:jc w:val="both"/>
              <w:rPr>
                <w:color w:val="000000" w:themeColor="text1"/>
              </w:rPr>
            </w:pPr>
            <w:r w:rsidRPr="00F0736F">
              <w:rPr>
                <w:rFonts w:ascii="Times New Roman" w:hAnsi="Times New Roman" w:cs="Times New Roman"/>
                <w:color w:val="000000" w:themeColor="text1"/>
                <w:sz w:val="20"/>
                <w:szCs w:val="20"/>
              </w:rPr>
              <w:t>2019</w:t>
            </w:r>
          </w:p>
        </w:tc>
        <w:tc>
          <w:tcPr>
            <w:tcW w:w="1230" w:type="dxa"/>
            <w:tcBorders>
              <w:top w:val="single" w:sz="4" w:space="0" w:color="000001"/>
              <w:left w:val="single" w:sz="4" w:space="0" w:color="000001"/>
              <w:bottom w:val="single" w:sz="4" w:space="0" w:color="000001"/>
            </w:tcBorders>
            <w:shd w:val="clear" w:color="auto" w:fill="auto"/>
          </w:tcPr>
          <w:p w14:paraId="23BAE415" w14:textId="77777777" w:rsidR="009D15F8" w:rsidRPr="00F0736F" w:rsidRDefault="009D15F8" w:rsidP="00037501">
            <w:pPr>
              <w:ind w:hanging="5"/>
              <w:jc w:val="center"/>
              <w:rPr>
                <w:color w:val="000000" w:themeColor="text1"/>
              </w:rPr>
            </w:pPr>
            <w:r w:rsidRPr="00F0736F">
              <w:rPr>
                <w:rFonts w:ascii="Times New Roman" w:hAnsi="Times New Roman" w:cs="Times New Roman"/>
                <w:color w:val="000000" w:themeColor="text1"/>
                <w:sz w:val="20"/>
                <w:szCs w:val="20"/>
              </w:rPr>
              <w:t>63,9</w:t>
            </w:r>
          </w:p>
        </w:tc>
        <w:tc>
          <w:tcPr>
            <w:tcW w:w="3119" w:type="dxa"/>
            <w:tcBorders>
              <w:top w:val="single" w:sz="4" w:space="0" w:color="000001"/>
              <w:left w:val="single" w:sz="4" w:space="0" w:color="000001"/>
              <w:bottom w:val="single" w:sz="4" w:space="0" w:color="000001"/>
            </w:tcBorders>
            <w:shd w:val="clear" w:color="auto" w:fill="auto"/>
          </w:tcPr>
          <w:p w14:paraId="53CCB353" w14:textId="77777777" w:rsidR="009D15F8" w:rsidRPr="00F0736F" w:rsidRDefault="009D15F8" w:rsidP="00037501">
            <w:pPr>
              <w:snapToGrid w:val="0"/>
              <w:ind w:hanging="5"/>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57,1</w:t>
            </w:r>
          </w:p>
        </w:tc>
        <w:tc>
          <w:tcPr>
            <w:tcW w:w="4394" w:type="dxa"/>
            <w:tcBorders>
              <w:top w:val="single" w:sz="4" w:space="0" w:color="000001"/>
              <w:left w:val="single" w:sz="4" w:space="0" w:color="000001"/>
              <w:bottom w:val="single" w:sz="4" w:space="0" w:color="000001"/>
              <w:right w:val="single" w:sz="4" w:space="0" w:color="000001"/>
            </w:tcBorders>
            <w:shd w:val="clear" w:color="auto" w:fill="auto"/>
          </w:tcPr>
          <w:p w14:paraId="6F084BBE" w14:textId="77777777" w:rsidR="009D15F8" w:rsidRPr="00F0736F" w:rsidRDefault="009D15F8" w:rsidP="00037501">
            <w:pPr>
              <w:snapToGrid w:val="0"/>
              <w:ind w:hanging="5"/>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89,3</w:t>
            </w:r>
          </w:p>
        </w:tc>
      </w:tr>
    </w:tbl>
    <w:p w14:paraId="6368B5F5" w14:textId="77777777" w:rsidR="009D15F8" w:rsidRPr="00F0736F" w:rsidRDefault="009D15F8" w:rsidP="009D15F8">
      <w:pPr>
        <w:ind w:firstLine="709"/>
        <w:jc w:val="both"/>
        <w:rPr>
          <w:rFonts w:ascii="Times New Roman" w:hAnsi="Times New Roman" w:cs="Times New Roman"/>
          <w:color w:val="000000" w:themeColor="text1"/>
        </w:rPr>
      </w:pPr>
      <w:r w:rsidRPr="00F0736F">
        <w:rPr>
          <w:rFonts w:ascii="Times New Roman" w:hAnsi="Times New Roman" w:cs="Times New Roman"/>
          <w:i/>
          <w:iCs/>
          <w:color w:val="000000" w:themeColor="text1"/>
          <w:sz w:val="20"/>
          <w:szCs w:val="20"/>
        </w:rPr>
        <w:t>по данным Комитета по статистике</w:t>
      </w:r>
    </w:p>
    <w:p w14:paraId="4319525E" w14:textId="77777777" w:rsidR="009D15F8" w:rsidRPr="00F0736F" w:rsidRDefault="009D15F8" w:rsidP="009D15F8">
      <w:pPr>
        <w:ind w:firstLine="709"/>
        <w:jc w:val="both"/>
        <w:rPr>
          <w:rFonts w:ascii="Times New Roman" w:hAnsi="Times New Roman" w:cs="Times New Roman"/>
          <w:color w:val="000000" w:themeColor="text1"/>
        </w:rPr>
      </w:pPr>
    </w:p>
    <w:p w14:paraId="3D79BC3C" w14:textId="77777777" w:rsidR="009D15F8" w:rsidRPr="00F0736F" w:rsidRDefault="009D15F8" w:rsidP="009D15F8">
      <w:pPr>
        <w:ind w:firstLine="709"/>
        <w:jc w:val="both"/>
        <w:rPr>
          <w:i/>
          <w:color w:val="000000" w:themeColor="text1"/>
        </w:rPr>
      </w:pPr>
      <w:r w:rsidRPr="00F0736F">
        <w:rPr>
          <w:rFonts w:ascii="Times New Roman" w:hAnsi="Times New Roman" w:cs="Times New Roman"/>
          <w:bCs/>
          <w:color w:val="000000" w:themeColor="text1"/>
        </w:rPr>
        <w:t>На осушенном дне Аральского моря</w:t>
      </w:r>
      <w:r w:rsidRPr="00F0736F">
        <w:rPr>
          <w:rFonts w:ascii="Times New Roman" w:hAnsi="Times New Roman" w:cs="Times New Roman"/>
          <w:color w:val="000000" w:themeColor="text1"/>
        </w:rPr>
        <w:t xml:space="preserve"> создано 61 тыс. га насаждений саксаула. В рамках сотрудничества между Службой лесного хозяйства Республики Корея реализован грантовый проект по фитомелиорации осушенного дна Аральского моря в Кызылординской области, по итогам которого в период 2018-2020 года произведена посадка саксаула на осушенном дне Аральского моря на общей площади 13,3 тыс. га.</w:t>
      </w:r>
    </w:p>
    <w:p w14:paraId="02372CB5"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bCs/>
          <w:color w:val="000000" w:themeColor="text1"/>
        </w:rPr>
        <w:t xml:space="preserve">Предусматривается также расширение площади ООПТ «Барсакельмесский государственный заповедник» путем включения части дельты р. Сырдарья. </w:t>
      </w:r>
      <w:r w:rsidRPr="00F0736F">
        <w:rPr>
          <w:rFonts w:ascii="Times New Roman" w:eastAsia="Calibri" w:hAnsi="Times New Roman" w:cs="Times New Roman"/>
          <w:color w:val="000000" w:themeColor="text1"/>
        </w:rPr>
        <w:t>В целях перехода от прямого посева на посадку сеянцами саксаула в г. Казалинск Кызылординской области в 2019 году создан лесной питомник по выращиванию сеянцев саксаула. Проектная мощность питомника – 4,4 млн. сеянцев в год.</w:t>
      </w:r>
      <w:r w:rsidRPr="00F0736F">
        <w:rPr>
          <w:rFonts w:ascii="Times New Roman" w:hAnsi="Times New Roman" w:cs="Times New Roman"/>
          <w:color w:val="000000" w:themeColor="text1"/>
        </w:rPr>
        <w:t xml:space="preserve"> </w:t>
      </w:r>
    </w:p>
    <w:p w14:paraId="19BAC63E"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 целях восстановления </w:t>
      </w:r>
      <w:r w:rsidRPr="00F0736F">
        <w:rPr>
          <w:rFonts w:ascii="Times New Roman" w:hAnsi="Times New Roman" w:cs="Times New Roman"/>
          <w:bCs/>
          <w:color w:val="000000" w:themeColor="text1"/>
        </w:rPr>
        <w:t>ленточных боров Прииртышья</w:t>
      </w:r>
      <w:r w:rsidRPr="00F0736F">
        <w:rPr>
          <w:rFonts w:ascii="Times New Roman" w:hAnsi="Times New Roman" w:cs="Times New Roman"/>
          <w:color w:val="000000" w:themeColor="text1"/>
        </w:rPr>
        <w:t xml:space="preserve"> на площади 30 га создан лесной питомник производительностью 15 млн. штук сеянцев сосны в год.</w:t>
      </w:r>
    </w:p>
    <w:p w14:paraId="2D53EBA1"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Уникальным для Казахстана является создание санитарной защитной зеленой зоны (СЗЗЗ) столицы Казахстана Астаны (ныне Нур-Султан) в условиях засушливой степи, которая создается по поручению Президента Республики Казахстан. В соответствии со Стратегическим планом Министерства сельского хозяйства Республики Казахстан на 2014 - 2018 годы, утвержденным приказом Министра сельского хозяйства Республики Казахстан от 15 декабря 2014 года № 1-1/665, общая площадь зеленой зоны Нур-Султан за период ее создания с 1997 по 2019 год составила 87 тыс. га, до 2023 года планируется довести площадь до 100 тыс. га.</w:t>
      </w:r>
    </w:p>
    <w:p w14:paraId="07834553"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 xml:space="preserve">Для обеспечения лесокультурных мероприятий </w:t>
      </w:r>
      <w:r w:rsidRPr="00F0736F">
        <w:rPr>
          <w:rFonts w:ascii="Times New Roman" w:eastAsia="Calibri" w:hAnsi="Times New Roman" w:cs="Times New Roman"/>
          <w:bCs/>
          <w:color w:val="000000" w:themeColor="text1"/>
        </w:rPr>
        <w:t>посадочным материалом</w:t>
      </w:r>
      <w:r w:rsidRPr="00F0736F">
        <w:rPr>
          <w:rFonts w:ascii="Times New Roman" w:eastAsia="Calibri" w:hAnsi="Times New Roman" w:cs="Times New Roman"/>
          <w:color w:val="000000" w:themeColor="text1"/>
        </w:rPr>
        <w:t xml:space="preserve"> на землях государственных лесовладельцев в 2019 году действуют 155 постоянных лесных питомников общей площадью 4238 га. Ежегодный фактический объем производства посадочного материала по республике составляет более 160 млн. штук. В целях увеличения объемов воспроизводства лесов и лесоразведения, повышения приживаемости создаваемых лесных культур на территории ГЛПР «Семей орманы» в Восточно-Казахстанской области создан лесосеменной комплекс, ориентированный на выращивание посадочного материала с закрытой корневой системой. Проектная мощность комплекса – 3,0 млн. посадочного материала в год. </w:t>
      </w:r>
    </w:p>
    <w:p w14:paraId="52073FB7" w14:textId="46B6D9E1" w:rsidR="009D15F8" w:rsidRPr="00F0736F" w:rsidRDefault="009D15F8" w:rsidP="009D15F8">
      <w:pPr>
        <w:ind w:firstLine="709"/>
        <w:jc w:val="both"/>
        <w:rPr>
          <w:color w:val="000000" w:themeColor="text1"/>
        </w:rPr>
      </w:pPr>
      <w:r w:rsidRPr="00F0736F">
        <w:rPr>
          <w:rFonts w:ascii="Times New Roman" w:eastAsia="Times New Roman" w:hAnsi="Times New Roman" w:cs="Times New Roman"/>
          <w:color w:val="000000" w:themeColor="text1"/>
          <w:szCs w:val="28"/>
          <w:lang w:eastAsia="ru-RU" w:bidi="ar-SA"/>
        </w:rPr>
        <w:t xml:space="preserve">В 2019 году сотрудниками </w:t>
      </w:r>
      <w:r w:rsidRPr="00F0736F">
        <w:rPr>
          <w:rFonts w:ascii="Times New Roman" w:hAnsi="Times New Roman" w:cs="Times New Roman"/>
          <w:color w:val="000000" w:themeColor="text1"/>
          <w:szCs w:val="28"/>
        </w:rPr>
        <w:t>республиканского селекционно-семеноводческого центра</w:t>
      </w:r>
      <w:r w:rsidRPr="00F0736F">
        <w:rPr>
          <w:rFonts w:ascii="Times New Roman" w:eastAsia="Times New Roman" w:hAnsi="Times New Roman" w:cs="Times New Roman"/>
          <w:color w:val="000000" w:themeColor="text1"/>
          <w:szCs w:val="28"/>
          <w:lang w:eastAsia="ru-RU" w:bidi="ar-SA"/>
        </w:rPr>
        <w:t xml:space="preserve"> проведена экспертиза качества лесных семян в объеме – </w:t>
      </w:r>
      <w:r w:rsidRPr="00F0736F">
        <w:rPr>
          <w:rFonts w:ascii="Times New Roman" w:eastAsia="Arial Unicode MS" w:hAnsi="Times New Roman" w:cs="Times New Roman"/>
          <w:color w:val="000000" w:themeColor="text1"/>
          <w:szCs w:val="28"/>
          <w:lang w:eastAsia="ru-RU" w:bidi="ar-SA"/>
        </w:rPr>
        <w:t xml:space="preserve">174,4 тыс. </w:t>
      </w:r>
      <w:r w:rsidRPr="00F0736F">
        <w:rPr>
          <w:rFonts w:ascii="Times New Roman" w:eastAsia="Times New Roman" w:hAnsi="Times New Roman" w:cs="Times New Roman"/>
          <w:color w:val="000000" w:themeColor="text1"/>
          <w:szCs w:val="28"/>
          <w:lang w:eastAsia="ru-RU" w:bidi="ar-SA"/>
        </w:rPr>
        <w:t xml:space="preserve">кг семян, </w:t>
      </w:r>
      <w:r w:rsidRPr="00F0736F">
        <w:rPr>
          <w:rFonts w:ascii="Times New Roman" w:eastAsia="Times New Roman" w:hAnsi="Times New Roman" w:cs="Times New Roman"/>
          <w:bCs/>
          <w:color w:val="000000" w:themeColor="text1"/>
          <w:szCs w:val="28"/>
          <w:lang w:eastAsia="ru-RU" w:bidi="ar-SA"/>
        </w:rPr>
        <w:t xml:space="preserve">в том числе </w:t>
      </w:r>
      <w:r w:rsidRPr="00F0736F">
        <w:rPr>
          <w:rFonts w:ascii="Times New Roman" w:eastAsia="Times New Roman" w:hAnsi="Times New Roman" w:cs="Times New Roman"/>
          <w:bCs/>
          <w:color w:val="000000" w:themeColor="text1"/>
          <w:szCs w:val="28"/>
          <w:lang w:eastAsia="ru-RU"/>
        </w:rPr>
        <w:t>по первому классу качества 39,7 кг, по второму – 27,7 кг, по третьему – 102,9 кг, некондиционные по всхожести и чистоте – 4,1 тыс. кг.</w:t>
      </w:r>
    </w:p>
    <w:p w14:paraId="7B244304"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szCs w:val="28"/>
        </w:rPr>
        <w:t xml:space="preserve">Формирование, учет и аттестация </w:t>
      </w:r>
      <w:r w:rsidRPr="00F0736F">
        <w:rPr>
          <w:rFonts w:ascii="Times New Roman" w:eastAsia="Times New Roman" w:hAnsi="Times New Roman" w:cs="Times New Roman"/>
          <w:color w:val="000000" w:themeColor="text1"/>
          <w:szCs w:val="28"/>
          <w:lang w:eastAsia="ru-RU" w:bidi="ar-SA"/>
        </w:rPr>
        <w:t>объектов селекционно-семеноводческого назначения</w:t>
      </w:r>
      <w:r w:rsidRPr="00F0736F">
        <w:rPr>
          <w:rFonts w:ascii="Times New Roman" w:hAnsi="Times New Roman" w:cs="Times New Roman"/>
          <w:color w:val="000000" w:themeColor="text1"/>
          <w:szCs w:val="28"/>
        </w:rPr>
        <w:t xml:space="preserve"> проведены на площади 13517,09 га, в том числе 33,09 га </w:t>
      </w:r>
      <w:r w:rsidR="009C7F04"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szCs w:val="28"/>
        </w:rPr>
        <w:t xml:space="preserve">лесосеменные плантации, 3397,8 га </w:t>
      </w:r>
      <w:r w:rsidR="009C7F04" w:rsidRPr="00F0736F">
        <w:rPr>
          <w:rFonts w:ascii="Times New Roman" w:hAnsi="Times New Roman" w:cs="Times New Roman"/>
          <w:color w:val="000000" w:themeColor="text1"/>
          <w:szCs w:val="28"/>
        </w:rPr>
        <w:t>-</w:t>
      </w:r>
      <w:r w:rsidRPr="00F0736F">
        <w:rPr>
          <w:rFonts w:ascii="Times New Roman" w:hAnsi="Times New Roman" w:cs="Times New Roman"/>
          <w:color w:val="000000" w:themeColor="text1"/>
          <w:szCs w:val="28"/>
        </w:rPr>
        <w:t xml:space="preserve">постоянные лесосеменные участки, 8070,9 га </w:t>
      </w:r>
      <w:r w:rsidR="009C7F04"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szCs w:val="28"/>
        </w:rPr>
        <w:t xml:space="preserve">временные лесосеменные участки, 2015,3 га </w:t>
      </w:r>
      <w:r w:rsidR="009C7F04" w:rsidRPr="00F0736F">
        <w:rPr>
          <w:rFonts w:ascii="Times New Roman" w:hAnsi="Times New Roman" w:cs="Times New Roman"/>
          <w:color w:val="000000" w:themeColor="text1"/>
          <w:szCs w:val="28"/>
        </w:rPr>
        <w:t>-</w:t>
      </w:r>
      <w:r w:rsidRPr="00F0736F">
        <w:rPr>
          <w:rFonts w:ascii="Times New Roman" w:hAnsi="Times New Roman" w:cs="Times New Roman"/>
          <w:color w:val="000000" w:themeColor="text1"/>
          <w:szCs w:val="28"/>
        </w:rPr>
        <w:t>плюсовые насаждения (рис. 1.8.1.).</w:t>
      </w:r>
      <w:r w:rsidRPr="00F0736F">
        <w:rPr>
          <w:rFonts w:ascii="Times New Roman" w:hAnsi="Times New Roman" w:cs="Times New Roman"/>
          <w:color w:val="000000" w:themeColor="text1"/>
        </w:rPr>
        <w:t xml:space="preserve"> </w:t>
      </w:r>
    </w:p>
    <w:p w14:paraId="392BF41A" w14:textId="77777777" w:rsidR="009D15F8" w:rsidRPr="00F0736F" w:rsidRDefault="009D15F8" w:rsidP="009D15F8">
      <w:pPr>
        <w:ind w:firstLine="709"/>
        <w:jc w:val="both"/>
        <w:rPr>
          <w:rFonts w:ascii="Times New Roman" w:hAnsi="Times New Roman" w:cs="Times New Roman"/>
          <w:color w:val="000000" w:themeColor="text1"/>
        </w:rPr>
      </w:pPr>
    </w:p>
    <w:p w14:paraId="664068D4" w14:textId="77777777" w:rsidR="009D15F8" w:rsidRPr="00F0736F" w:rsidRDefault="00797A05" w:rsidP="00E149ED">
      <w:pPr>
        <w:jc w:val="center"/>
        <w:rPr>
          <w:rFonts w:ascii="Times New Roman" w:hAnsi="Times New Roman" w:cs="Times New Roman"/>
          <w:color w:val="000000" w:themeColor="text1"/>
        </w:rPr>
      </w:pPr>
      <w:r w:rsidRPr="00F0736F">
        <w:rPr>
          <w:rFonts w:ascii="Times New Roman" w:hAnsi="Times New Roman" w:cs="Times New Roman"/>
          <w:noProof/>
          <w:color w:val="000000" w:themeColor="text1"/>
          <w:lang w:eastAsia="ru-RU" w:bidi="ar-SA"/>
        </w:rPr>
        <w:drawing>
          <wp:inline distT="0" distB="0" distL="0" distR="0" wp14:anchorId="6F157906" wp14:editId="0413B049">
            <wp:extent cx="3600869" cy="1962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2057" t="-3525" r="-2057" b="-3525"/>
                    <a:stretch>
                      <a:fillRect/>
                    </a:stretch>
                  </pic:blipFill>
                  <pic:spPr bwMode="auto">
                    <a:xfrm>
                      <a:off x="0" y="0"/>
                      <a:ext cx="3605743" cy="1964806"/>
                    </a:xfrm>
                    <a:prstGeom prst="rect">
                      <a:avLst/>
                    </a:prstGeom>
                    <a:solidFill>
                      <a:srgbClr val="FFFFFF"/>
                    </a:solidFill>
                    <a:ln w="9525">
                      <a:noFill/>
                      <a:miter lim="800000"/>
                      <a:headEnd/>
                      <a:tailEnd/>
                    </a:ln>
                  </pic:spPr>
                </pic:pic>
              </a:graphicData>
            </a:graphic>
          </wp:inline>
        </w:drawing>
      </w:r>
    </w:p>
    <w:p w14:paraId="10D96072" w14:textId="77777777" w:rsidR="00E149ED" w:rsidRPr="00F0736F" w:rsidRDefault="00E149ED" w:rsidP="009C7F04">
      <w:pPr>
        <w:ind w:firstLine="709"/>
        <w:jc w:val="center"/>
        <w:rPr>
          <w:rFonts w:ascii="Times New Roman" w:hAnsi="Times New Roman" w:cs="Times New Roman"/>
          <w:color w:val="000000" w:themeColor="text1"/>
        </w:rPr>
      </w:pPr>
    </w:p>
    <w:p w14:paraId="50026F9F" w14:textId="527FEDFA" w:rsidR="009D15F8" w:rsidRPr="00F0736F" w:rsidRDefault="009D15F8" w:rsidP="00E149ED">
      <w:pPr>
        <w:ind w:firstLine="709"/>
        <w:jc w:val="both"/>
        <w:rPr>
          <w:color w:val="000000" w:themeColor="text1"/>
        </w:rPr>
      </w:pPr>
      <w:r w:rsidRPr="00F0736F">
        <w:rPr>
          <w:rFonts w:ascii="Times New Roman" w:hAnsi="Times New Roman" w:cs="Times New Roman"/>
          <w:color w:val="000000" w:themeColor="text1"/>
        </w:rPr>
        <w:t>Рис</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1.8.1. Сведения о наличии объектов селекционно-семеноводческого назначения на 01.01.2019 г.</w:t>
      </w:r>
    </w:p>
    <w:p w14:paraId="0881021A" w14:textId="77777777" w:rsidR="009D15F8" w:rsidRPr="00F0736F" w:rsidRDefault="009D15F8" w:rsidP="009D15F8">
      <w:pPr>
        <w:ind w:firstLine="709"/>
        <w:jc w:val="both"/>
        <w:rPr>
          <w:rFonts w:ascii="Times New Roman" w:hAnsi="Times New Roman" w:cs="Times New Roman"/>
          <w:color w:val="000000" w:themeColor="text1"/>
        </w:rPr>
      </w:pPr>
    </w:p>
    <w:p w14:paraId="583A6308" w14:textId="39CC6704"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Кроме того, в состав селекционно-генетических объектов входят 1</w:t>
      </w:r>
      <w:r w:rsidR="00E149E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191 штук плюсовых деревьев, 70</w:t>
      </w:r>
      <w:r w:rsidR="00E149E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106,4 га </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лесные генетические резерваты, 46,0 га </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географические культуры, 8,37 </w:t>
      </w:r>
      <w:r w:rsidR="009C7F0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га архивы клонов плюсовых деревьев, 12,4 га </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испытательные культуры популяций, 18,7 га </w:t>
      </w:r>
      <w:r w:rsidR="009C7F0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испытательные культуры плюсовых деревьев, 7,2 га </w:t>
      </w:r>
      <w:r w:rsidR="009C7F04"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испытательные культуры гибридов, проведены работы по уходу и содержанию данных объектов.</w:t>
      </w:r>
    </w:p>
    <w:p w14:paraId="52F5FD9A" w14:textId="77777777" w:rsidR="009D15F8" w:rsidRPr="00F0736F" w:rsidRDefault="009D15F8" w:rsidP="009D15F8">
      <w:pPr>
        <w:ind w:firstLine="709"/>
        <w:jc w:val="both"/>
        <w:rPr>
          <w:rFonts w:ascii="Times New Roman" w:hAnsi="Times New Roman" w:cs="Times New Roman"/>
          <w:color w:val="000000" w:themeColor="text1"/>
        </w:rPr>
      </w:pPr>
    </w:p>
    <w:p w14:paraId="420ED2AA" w14:textId="4A9E0208" w:rsidR="009D15F8" w:rsidRPr="00F0736F" w:rsidRDefault="009D15F8" w:rsidP="009D15F8">
      <w:pPr>
        <w:ind w:firstLine="709"/>
        <w:jc w:val="both"/>
        <w:rPr>
          <w:color w:val="000000" w:themeColor="text1"/>
        </w:rPr>
      </w:pPr>
      <w:r w:rsidRPr="00F0736F">
        <w:rPr>
          <w:rFonts w:ascii="Times New Roman" w:hAnsi="Times New Roman" w:cs="Times New Roman"/>
          <w:b/>
          <w:bCs/>
          <w:color w:val="000000" w:themeColor="text1"/>
        </w:rPr>
        <w:t>Площадь очагов вредителей и болезней лесов</w:t>
      </w:r>
      <w:r w:rsidRPr="00F0736F">
        <w:rPr>
          <w:rFonts w:ascii="Times New Roman" w:hAnsi="Times New Roman" w:cs="Times New Roman"/>
          <w:color w:val="000000" w:themeColor="text1"/>
        </w:rPr>
        <w:t xml:space="preserve"> на 1 января 2018 г. составила 161</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321,2 га. После проведения лесозащитных мероприятий в 2017 году площадь очагов уменьшилось на 36</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816 га, а под воздействи</w:t>
      </w:r>
      <w:r w:rsidR="009C7F04" w:rsidRPr="00F0736F">
        <w:rPr>
          <w:rFonts w:ascii="Times New Roman" w:hAnsi="Times New Roman" w:cs="Times New Roman"/>
          <w:color w:val="000000" w:themeColor="text1"/>
        </w:rPr>
        <w:t>ем естественных факторов затухла</w:t>
      </w:r>
      <w:r w:rsidRPr="00F0736F">
        <w:rPr>
          <w:rFonts w:ascii="Times New Roman" w:hAnsi="Times New Roman" w:cs="Times New Roman"/>
          <w:color w:val="000000" w:themeColor="text1"/>
        </w:rPr>
        <w:t xml:space="preserve"> до 48</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151,6 га, за этот же период возникло новых очагов на площади 35</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855,8 га (рис. 1.8.2.). </w:t>
      </w:r>
    </w:p>
    <w:p w14:paraId="4DB495CE" w14:textId="5A964AC4"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w:t>
      </w:r>
      <w:r w:rsidRPr="00F0736F">
        <w:rPr>
          <w:rFonts w:ascii="Times New Roman" w:eastAsia="Calibri" w:hAnsi="Times New Roman" w:cs="Times New Roman"/>
          <w:color w:val="000000" w:themeColor="text1"/>
        </w:rPr>
        <w:t>лощадь очагов вредителей и болезней лесов</w:t>
      </w:r>
      <w:r w:rsidRPr="00F0736F">
        <w:rPr>
          <w:rFonts w:ascii="Times New Roman" w:eastAsia="Calibri" w:hAnsi="Times New Roman" w:cs="Times New Roman"/>
          <w:b/>
          <w:color w:val="000000" w:themeColor="text1"/>
        </w:rPr>
        <w:t xml:space="preserve"> </w:t>
      </w:r>
      <w:r w:rsidRPr="00F0736F">
        <w:rPr>
          <w:rFonts w:ascii="Times New Roman" w:eastAsia="Calibri" w:hAnsi="Times New Roman" w:cs="Times New Roman"/>
          <w:color w:val="000000" w:themeColor="text1"/>
        </w:rPr>
        <w:t>на 1 января 2019 г</w:t>
      </w:r>
      <w:r w:rsidR="009C7F04" w:rsidRPr="00F0736F">
        <w:rPr>
          <w:rFonts w:ascii="Times New Roman" w:eastAsia="Calibri" w:hAnsi="Times New Roman" w:cs="Times New Roman"/>
          <w:color w:val="000000" w:themeColor="text1"/>
        </w:rPr>
        <w:t>ода</w:t>
      </w:r>
      <w:r w:rsidRPr="00F0736F">
        <w:rPr>
          <w:rFonts w:ascii="Times New Roman" w:eastAsia="Calibri" w:hAnsi="Times New Roman" w:cs="Times New Roman"/>
          <w:color w:val="000000" w:themeColor="text1"/>
        </w:rPr>
        <w:t xml:space="preserve"> </w:t>
      </w:r>
      <w:r w:rsidRPr="00F0736F">
        <w:rPr>
          <w:rFonts w:ascii="Times New Roman" w:hAnsi="Times New Roman" w:cs="Times New Roman"/>
          <w:color w:val="000000" w:themeColor="text1"/>
        </w:rPr>
        <w:t>составила 189</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413,3 га. В результате проведения лесозащитных мероприятий в первом полугодии 2018 года площадь очагов уменьшилась на 12</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515,2 га, а под воздействием естественн</w:t>
      </w:r>
      <w:r w:rsidR="009C7F04" w:rsidRPr="00F0736F">
        <w:rPr>
          <w:rFonts w:ascii="Times New Roman" w:hAnsi="Times New Roman" w:cs="Times New Roman"/>
          <w:color w:val="000000" w:themeColor="text1"/>
        </w:rPr>
        <w:t>ых факторов затухла</w:t>
      </w:r>
      <w:r w:rsidRPr="00F0736F">
        <w:rPr>
          <w:rFonts w:ascii="Times New Roman" w:hAnsi="Times New Roman" w:cs="Times New Roman"/>
          <w:color w:val="000000" w:themeColor="text1"/>
        </w:rPr>
        <w:t xml:space="preserve"> 13</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210,3 га. За этот же период возникло новых очагов на площади 68</w:t>
      </w:r>
      <w:r w:rsidR="000035F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070,4 га. </w:t>
      </w:r>
    </w:p>
    <w:p w14:paraId="23E3D5B5" w14:textId="68914FAD"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По состоянию на 15 ноября 2019 год</w:t>
      </w:r>
      <w:r w:rsidR="009C7F04"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 площадь очагов вредителей лесов составила </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207</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895,3 га. После проведения лесозащитных мероприятий в 2019 году площадь очагов уменьшилась на 33</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501,1 га. За этот же период возникло новых очагов на площади 51</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983,1 га.</w:t>
      </w:r>
    </w:p>
    <w:p w14:paraId="768A3A5F" w14:textId="0B45E51A"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Наибольший урон лесам наносят непарный шелкопряд – 28</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125,6 га, звездчатый пилильщик</w:t>
      </w:r>
      <w:r w:rsidR="00CA444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ткач – 6</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780 га, пихтовая корневая губка – 95</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852,4 га, стволовая гниль – 21</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279,9 га, яблоневая моль – 6</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303,7 га, бактериальный рак</w:t>
      </w:r>
      <w:r w:rsidR="006019B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водянка – 7</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266,7 га, ильмовый ногохвост – </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669,3 га, парша – 12</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218 га, бурополосая пяденица – 2</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647,6 га, саксауловая галлица – 12</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672,5 га, северный березовый пилильщик – 2</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528,4 и другие – 10</w:t>
      </w:r>
      <w:r w:rsidR="006019B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551,2 га.</w:t>
      </w:r>
    </w:p>
    <w:p w14:paraId="2FEE4281"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По результатам исследований Института зоологии КН МОН РК</w:t>
      </w:r>
      <w:r w:rsidR="00CA444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горных лесах Юго-Восточного Казахстана в 2015 - 2017 гг. выяснилось, что среди 116 выявленных здесь видов насекомых – стволовых вредителей </w:t>
      </w:r>
      <w:r w:rsidR="00656AC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24 вида оказались вселенцами из более северных (Алтай, Сауро-Тарабагатай) или более южных (Западный Тянь-Шань) горных систем. Это </w:t>
      </w:r>
      <w:r w:rsidR="00656AC1" w:rsidRPr="00F0736F">
        <w:rPr>
          <w:rFonts w:ascii="Times New Roman" w:hAnsi="Times New Roman" w:cs="Times New Roman"/>
          <w:color w:val="000000" w:themeColor="text1"/>
        </w:rPr>
        <w:t>ука</w:t>
      </w:r>
      <w:r w:rsidRPr="00F0736F">
        <w:rPr>
          <w:rFonts w:ascii="Times New Roman" w:hAnsi="Times New Roman" w:cs="Times New Roman"/>
          <w:color w:val="000000" w:themeColor="text1"/>
        </w:rPr>
        <w:t xml:space="preserve">зывает </w:t>
      </w:r>
      <w:r w:rsidR="00656AC1" w:rsidRPr="00F0736F">
        <w:rPr>
          <w:rFonts w:ascii="Times New Roman" w:hAnsi="Times New Roman" w:cs="Times New Roman"/>
          <w:color w:val="000000" w:themeColor="text1"/>
        </w:rPr>
        <w:t xml:space="preserve">на </w:t>
      </w:r>
      <w:r w:rsidRPr="00F0736F">
        <w:rPr>
          <w:rFonts w:ascii="Times New Roman" w:hAnsi="Times New Roman" w:cs="Times New Roman"/>
          <w:color w:val="000000" w:themeColor="text1"/>
        </w:rPr>
        <w:t>высокие темпы расселения чужеродных видов в Казахстане.</w:t>
      </w:r>
    </w:p>
    <w:p w14:paraId="627A093B" w14:textId="77777777" w:rsidR="009D15F8" w:rsidRPr="00F0736F" w:rsidRDefault="009D15F8" w:rsidP="009D15F8">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Динамика распространения очагов вредителей во многом зависит от погодных условий и биологических особенностей вредителей леса. </w:t>
      </w:r>
    </w:p>
    <w:p w14:paraId="7EC10960" w14:textId="77777777" w:rsidR="009D15F8" w:rsidRPr="00F0736F" w:rsidRDefault="009D15F8" w:rsidP="009D15F8">
      <w:pPr>
        <w:ind w:firstLine="709"/>
        <w:jc w:val="both"/>
        <w:rPr>
          <w:rFonts w:ascii="Times New Roman" w:hAnsi="Times New Roman" w:cs="Times New Roman"/>
          <w:color w:val="000000" w:themeColor="text1"/>
        </w:rPr>
      </w:pPr>
    </w:p>
    <w:p w14:paraId="4E91AC1F" w14:textId="77777777" w:rsidR="00CC5774" w:rsidRPr="00F0736F" w:rsidRDefault="00797A05" w:rsidP="006019B2">
      <w:pPr>
        <w:jc w:val="center"/>
        <w:rPr>
          <w:rFonts w:ascii="Times New Roman" w:hAnsi="Times New Roman" w:cs="Times New Roman"/>
          <w:color w:val="000000" w:themeColor="text1"/>
        </w:rPr>
      </w:pPr>
      <w:r w:rsidRPr="00F0736F">
        <w:rPr>
          <w:noProof/>
          <w:color w:val="000000" w:themeColor="text1"/>
          <w:lang w:eastAsia="ru-RU" w:bidi="ar-SA"/>
        </w:rPr>
        <w:drawing>
          <wp:inline distT="0" distB="0" distL="0" distR="0" wp14:anchorId="56102C48" wp14:editId="457FAE4E">
            <wp:extent cx="5800725" cy="37147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800725" cy="3714750"/>
                    </a:xfrm>
                    <a:prstGeom prst="rect">
                      <a:avLst/>
                    </a:prstGeom>
                    <a:noFill/>
                    <a:ln w="9525">
                      <a:noFill/>
                      <a:miter lim="800000"/>
                      <a:headEnd/>
                      <a:tailEnd/>
                    </a:ln>
                  </pic:spPr>
                </pic:pic>
              </a:graphicData>
            </a:graphic>
          </wp:inline>
        </w:drawing>
      </w:r>
    </w:p>
    <w:p w14:paraId="45851207" w14:textId="77777777" w:rsidR="00CC5774" w:rsidRPr="00F0736F" w:rsidRDefault="00CC5774" w:rsidP="009D15F8">
      <w:pPr>
        <w:ind w:firstLine="709"/>
        <w:jc w:val="both"/>
        <w:rPr>
          <w:rFonts w:ascii="Times New Roman" w:hAnsi="Times New Roman" w:cs="Times New Roman"/>
          <w:color w:val="000000" w:themeColor="text1"/>
        </w:rPr>
      </w:pPr>
    </w:p>
    <w:p w14:paraId="1D117E8C" w14:textId="402226AB" w:rsidR="009D15F8" w:rsidRPr="00F0736F" w:rsidRDefault="009D15F8" w:rsidP="006019B2">
      <w:pPr>
        <w:ind w:firstLine="709"/>
        <w:jc w:val="both"/>
        <w:rPr>
          <w:color w:val="000000" w:themeColor="text1"/>
        </w:rPr>
      </w:pPr>
      <w:r w:rsidRPr="00F0736F">
        <w:rPr>
          <w:rFonts w:ascii="Times New Roman" w:hAnsi="Times New Roman" w:cs="Times New Roman"/>
          <w:color w:val="000000" w:themeColor="text1"/>
        </w:rPr>
        <w:t>Рис</w:t>
      </w:r>
      <w:r w:rsidR="00656AC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1.8.2. Динамика распространения вредителей и болезней лесов</w:t>
      </w:r>
    </w:p>
    <w:p w14:paraId="433078D5" w14:textId="77777777" w:rsidR="009D15F8" w:rsidRPr="00F0736F" w:rsidRDefault="009D15F8" w:rsidP="009D15F8">
      <w:pPr>
        <w:ind w:firstLine="709"/>
        <w:jc w:val="both"/>
        <w:rPr>
          <w:rFonts w:ascii="Times New Roman" w:hAnsi="Times New Roman" w:cs="Times New Roman"/>
          <w:color w:val="000000" w:themeColor="text1"/>
        </w:rPr>
      </w:pPr>
    </w:p>
    <w:p w14:paraId="35985128"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2019 году в рамках Лесного проекта ПРООН/МЭГПР проведена оценка лесопатологического состояния лесов в 5-ти пилотных лесоохранных учреждениях Алматинской области. Район исследований охватывал саксауловые, тугайные и горные леса Тянь-Шаня и Жетысуский Алатау, основными лесообразующими древесными породами которых являются саксаул черный, ель Шренка, туранга, лох, яблоня и др. По результатам работы были выработаны рекомендации по улучшению лесозащитных и профилактических мер борьбы с вредителями и болезнями лесов. Одной из рекомендаций является внедрение биологических препаратов для борьбы с вредителями лесов. Применение биопрепа</w:t>
      </w:r>
      <w:r w:rsidR="00656AC1" w:rsidRPr="00F0736F">
        <w:rPr>
          <w:rFonts w:ascii="Times New Roman" w:hAnsi="Times New Roman" w:cs="Times New Roman"/>
          <w:color w:val="000000" w:themeColor="text1"/>
        </w:rPr>
        <w:t>ратов в Казахстане составляет 2</w:t>
      </w:r>
      <w:r w:rsidRPr="00F0736F">
        <w:rPr>
          <w:rFonts w:ascii="Times New Roman" w:hAnsi="Times New Roman" w:cs="Times New Roman"/>
          <w:color w:val="000000" w:themeColor="text1"/>
        </w:rPr>
        <w:t>%, в то время как в Китае 60%, Германии – 90%, Франции – 95% и в Бельгии – 94%. Основным преимуществом использования биопрепаратов является высокая эффективность и экологичность. В качестве недостатка можно выделить высокую стоимость.</w:t>
      </w:r>
    </w:p>
    <w:p w14:paraId="2F6E33D7"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 xml:space="preserve">Для борьбы с яблонной молью испытан биологический препарат Актарофит (Энтолек К). Биопрепарат показал высокую эффективность 92-100%, не уступая химическим, которые применялись лесхозом ранее. Действующее вещество препарата - комплекс природных авермектинов, которые продуцируются полезными почвенными грибами Streptomyces avermitilis. При внесении согласно инструкции, не токсичен для пауков, хищных клопов, муравьев, жужелиц, дождевых червей и пр., быстро разлагается в окружающей среде, что препятствует его накоплению в плодах, овощах и грунте.  </w:t>
      </w:r>
    </w:p>
    <w:p w14:paraId="31C77D72" w14:textId="77777777" w:rsidR="009D15F8" w:rsidRPr="00F0736F" w:rsidRDefault="009D15F8" w:rsidP="009D15F8">
      <w:pPr>
        <w:ind w:firstLine="709"/>
        <w:jc w:val="both"/>
        <w:rPr>
          <w:color w:val="000000" w:themeColor="text1"/>
        </w:rPr>
      </w:pPr>
      <w:r w:rsidRPr="00F0736F">
        <w:rPr>
          <w:rFonts w:ascii="Times New Roman" w:eastAsia="Times New Roman" w:hAnsi="Times New Roman" w:cs="Times New Roman"/>
          <w:b/>
          <w:bCs/>
          <w:color w:val="000000" w:themeColor="text1"/>
          <w:szCs w:val="28"/>
          <w:lang w:eastAsia="ru-RU"/>
        </w:rPr>
        <w:t>Охрана лесов от пожаров</w:t>
      </w:r>
      <w:r w:rsidRPr="00F0736F">
        <w:rPr>
          <w:rFonts w:ascii="Times New Roman" w:eastAsia="Times New Roman" w:hAnsi="Times New Roman" w:cs="Times New Roman"/>
          <w:bCs/>
          <w:color w:val="000000" w:themeColor="text1"/>
          <w:szCs w:val="28"/>
          <w:lang w:eastAsia="ru-RU"/>
        </w:rPr>
        <w:t xml:space="preserve"> осуществляется РГКП «Казавиалесо</w:t>
      </w:r>
      <w:r w:rsidRPr="00F0736F">
        <w:rPr>
          <w:rFonts w:ascii="Times New Roman" w:eastAsia="Times New Roman" w:hAnsi="Times New Roman" w:cs="Times New Roman"/>
          <w:bCs/>
          <w:color w:val="000000" w:themeColor="text1"/>
          <w:szCs w:val="28"/>
          <w:lang w:val="kk-KZ" w:eastAsia="ru-RU"/>
        </w:rPr>
        <w:t>о</w:t>
      </w:r>
      <w:r w:rsidRPr="00F0736F">
        <w:rPr>
          <w:rFonts w:ascii="Times New Roman" w:eastAsia="Times New Roman" w:hAnsi="Times New Roman" w:cs="Times New Roman"/>
          <w:bCs/>
          <w:color w:val="000000" w:themeColor="text1"/>
          <w:szCs w:val="28"/>
          <w:lang w:eastAsia="ru-RU"/>
        </w:rPr>
        <w:t>храна» ежегодно на площади около 30% территории государственного лесного фонда посредством авиационной охраны. Также государственными учреждениями лесного хозяйства и подведомственными организациями Комитета проводятся работы по созданию минерализованных полос и уходу за ними.</w:t>
      </w:r>
    </w:p>
    <w:p w14:paraId="4D245D0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Разрабатываются и согласовываются планы взаимодействия по борьбе с лесными пожарами структурных подразделений лесного хозяйства акиматов областей, природоохранных учреждений и подведомственных организаций Комитета по чрезвычайным ситуациям Министерства внутренних дел Республики Казахстан. </w:t>
      </w:r>
    </w:p>
    <w:p w14:paraId="07127F03" w14:textId="77777777" w:rsidR="00CC5774" w:rsidRPr="00F0736F" w:rsidRDefault="00656AC1" w:rsidP="00CC5774">
      <w:pPr>
        <w:ind w:firstLine="567"/>
        <w:jc w:val="both"/>
        <w:rPr>
          <w:color w:val="000000" w:themeColor="text1"/>
        </w:rPr>
      </w:pPr>
      <w:r w:rsidRPr="00F0736F">
        <w:rPr>
          <w:rFonts w:ascii="Times New Roman" w:hAnsi="Times New Roman" w:cs="Times New Roman"/>
          <w:color w:val="000000" w:themeColor="text1"/>
          <w:szCs w:val="28"/>
        </w:rPr>
        <w:t>Проводятся обучение</w:t>
      </w:r>
      <w:r w:rsidR="00CC5774" w:rsidRPr="00F0736F">
        <w:rPr>
          <w:rFonts w:ascii="Times New Roman" w:hAnsi="Times New Roman" w:cs="Times New Roman"/>
          <w:color w:val="000000" w:themeColor="text1"/>
          <w:szCs w:val="28"/>
        </w:rPr>
        <w:t xml:space="preserve"> и инструктаж лесопожарных служб по вопросам противопожарного обустройства территории и тушения лесных пожаров, а также </w:t>
      </w:r>
      <w:r w:rsidRPr="00F0736F">
        <w:rPr>
          <w:rFonts w:ascii="Times New Roman" w:hAnsi="Times New Roman" w:cs="Times New Roman"/>
          <w:color w:val="000000" w:themeColor="text1"/>
          <w:szCs w:val="28"/>
        </w:rPr>
        <w:t xml:space="preserve">по </w:t>
      </w:r>
      <w:r w:rsidR="00CC5774" w:rsidRPr="00F0736F">
        <w:rPr>
          <w:rFonts w:ascii="Times New Roman" w:hAnsi="Times New Roman" w:cs="Times New Roman"/>
          <w:color w:val="000000" w:themeColor="text1"/>
          <w:szCs w:val="28"/>
        </w:rPr>
        <w:t>порядку составления протоколов за нарушение Правил пожарной безопасности в лесах. Формируются пожарные команды</w:t>
      </w:r>
      <w:r w:rsidR="00CC5774" w:rsidRPr="00F0736F">
        <w:rPr>
          <w:rFonts w:ascii="Times New Roman" w:hAnsi="Times New Roman" w:cs="Times New Roman"/>
          <w:color w:val="000000" w:themeColor="text1"/>
          <w:szCs w:val="28"/>
          <w:lang w:val="kk-KZ"/>
        </w:rPr>
        <w:t xml:space="preserve">. </w:t>
      </w:r>
      <w:r w:rsidR="00CC5774" w:rsidRPr="00F0736F">
        <w:rPr>
          <w:rFonts w:ascii="Times New Roman" w:hAnsi="Times New Roman" w:cs="Times New Roman"/>
          <w:color w:val="000000" w:themeColor="text1"/>
          <w:szCs w:val="28"/>
        </w:rPr>
        <w:t>Производится ремонт противопожарной техники, оборудования и наблюдательных объектов</w:t>
      </w:r>
      <w:r w:rsidR="00CC5774" w:rsidRPr="00F0736F">
        <w:rPr>
          <w:rFonts w:ascii="Times New Roman" w:hAnsi="Times New Roman" w:cs="Times New Roman"/>
          <w:color w:val="000000" w:themeColor="text1"/>
          <w:szCs w:val="28"/>
          <w:lang w:val="kk-KZ"/>
        </w:rPr>
        <w:t xml:space="preserve">. </w:t>
      </w:r>
      <w:r w:rsidR="00CC5774" w:rsidRPr="00F0736F">
        <w:rPr>
          <w:rFonts w:ascii="Times New Roman" w:hAnsi="Times New Roman" w:cs="Times New Roman"/>
          <w:color w:val="000000" w:themeColor="text1"/>
          <w:szCs w:val="28"/>
        </w:rPr>
        <w:t>Изготавливаются аншлаги и панно на природоохранные темы с указанием номеров телефонов лесопожарных служб</w:t>
      </w:r>
      <w:r w:rsidR="00CC5774" w:rsidRPr="00F0736F">
        <w:rPr>
          <w:rFonts w:ascii="Times New Roman" w:hAnsi="Times New Roman" w:cs="Times New Roman"/>
          <w:color w:val="000000" w:themeColor="text1"/>
          <w:szCs w:val="28"/>
          <w:lang w:val="kk-KZ"/>
        </w:rPr>
        <w:t xml:space="preserve">. </w:t>
      </w:r>
      <w:r w:rsidR="00CC5774" w:rsidRPr="00F0736F">
        <w:rPr>
          <w:rFonts w:ascii="Times New Roman" w:hAnsi="Times New Roman" w:cs="Times New Roman"/>
          <w:color w:val="000000" w:themeColor="text1"/>
          <w:szCs w:val="28"/>
        </w:rPr>
        <w:t>Создаются резервные запасы горюче-смазочных материалов</w:t>
      </w:r>
      <w:r w:rsidR="00CC5774" w:rsidRPr="00F0736F">
        <w:rPr>
          <w:rFonts w:ascii="Times New Roman" w:hAnsi="Times New Roman" w:cs="Times New Roman"/>
          <w:color w:val="000000" w:themeColor="text1"/>
          <w:szCs w:val="28"/>
          <w:lang w:val="kk-KZ"/>
        </w:rPr>
        <w:t xml:space="preserve">. </w:t>
      </w:r>
      <w:r w:rsidR="00CC5774" w:rsidRPr="00F0736F">
        <w:rPr>
          <w:rFonts w:ascii="Times New Roman" w:hAnsi="Times New Roman" w:cs="Times New Roman"/>
          <w:color w:val="000000" w:themeColor="text1"/>
          <w:szCs w:val="28"/>
        </w:rPr>
        <w:t>Производится ремонт радиосвязи и телефонной связи</w:t>
      </w:r>
      <w:r w:rsidR="00CC5774" w:rsidRPr="00F0736F">
        <w:rPr>
          <w:rFonts w:ascii="Times New Roman" w:hAnsi="Times New Roman" w:cs="Times New Roman"/>
          <w:color w:val="000000" w:themeColor="text1"/>
          <w:szCs w:val="28"/>
          <w:lang w:val="kk-KZ"/>
        </w:rPr>
        <w:t>.</w:t>
      </w:r>
      <w:r w:rsidR="00CC5774" w:rsidRPr="00F0736F">
        <w:rPr>
          <w:rFonts w:ascii="Times New Roman" w:hAnsi="Times New Roman" w:cs="Times New Roman"/>
          <w:color w:val="000000" w:themeColor="text1"/>
          <w:szCs w:val="28"/>
        </w:rPr>
        <w:t xml:space="preserve"> </w:t>
      </w:r>
    </w:p>
    <w:p w14:paraId="6B9F4DE9"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szCs w:val="28"/>
        </w:rPr>
        <w:t>На авиаподразделениях производится ежегодная переподготовка и допуск к работам по тушению лесных пожаров инструкторского и десантного состава авиапожарной службы</w:t>
      </w:r>
      <w:r w:rsidRPr="00F0736F">
        <w:rPr>
          <w:rFonts w:ascii="Times New Roman" w:hAnsi="Times New Roman" w:cs="Times New Roman"/>
          <w:color w:val="000000" w:themeColor="text1"/>
          <w:szCs w:val="28"/>
          <w:lang w:val="kk-KZ"/>
        </w:rPr>
        <w:t>.</w:t>
      </w:r>
      <w:r w:rsidRPr="00F0736F">
        <w:rPr>
          <w:rFonts w:ascii="Times New Roman" w:hAnsi="Times New Roman" w:cs="Times New Roman"/>
          <w:color w:val="000000" w:themeColor="text1"/>
          <w:szCs w:val="28"/>
        </w:rPr>
        <w:t xml:space="preserve"> </w:t>
      </w:r>
    </w:p>
    <w:p w14:paraId="597CC9D8" w14:textId="3E346010"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szCs w:val="28"/>
        </w:rPr>
        <w:t>На сайт</w:t>
      </w:r>
      <w:r w:rsidR="00656AC1" w:rsidRPr="00F0736F">
        <w:rPr>
          <w:rFonts w:ascii="Times New Roman" w:hAnsi="Times New Roman" w:cs="Times New Roman"/>
          <w:color w:val="000000" w:themeColor="text1"/>
          <w:szCs w:val="28"/>
        </w:rPr>
        <w:t>ах подведомственных организаци</w:t>
      </w:r>
      <w:r w:rsidR="006019B2" w:rsidRPr="00F0736F">
        <w:rPr>
          <w:rFonts w:ascii="Times New Roman" w:hAnsi="Times New Roman" w:cs="Times New Roman"/>
          <w:color w:val="000000" w:themeColor="text1"/>
          <w:szCs w:val="28"/>
        </w:rPr>
        <w:t>й</w:t>
      </w:r>
      <w:r w:rsidRPr="00F0736F">
        <w:rPr>
          <w:rFonts w:ascii="Times New Roman" w:hAnsi="Times New Roman" w:cs="Times New Roman"/>
          <w:color w:val="000000" w:themeColor="text1"/>
          <w:szCs w:val="28"/>
        </w:rPr>
        <w:t xml:space="preserve"> лесного хозяйства регулярно размещаются информации о мероприятиях по подготовке к пожароопасному периоду</w:t>
      </w:r>
      <w:r w:rsidRPr="00F0736F">
        <w:rPr>
          <w:rFonts w:ascii="Times New Roman" w:hAnsi="Times New Roman" w:cs="Times New Roman"/>
          <w:color w:val="000000" w:themeColor="text1"/>
          <w:szCs w:val="28"/>
          <w:lang w:val="kk-KZ"/>
        </w:rPr>
        <w:t>.</w:t>
      </w:r>
      <w:r w:rsidRPr="00F0736F">
        <w:rPr>
          <w:rFonts w:ascii="Times New Roman" w:hAnsi="Times New Roman" w:cs="Times New Roman"/>
          <w:color w:val="000000" w:themeColor="text1"/>
          <w:szCs w:val="28"/>
        </w:rPr>
        <w:t xml:space="preserve"> </w:t>
      </w:r>
    </w:p>
    <w:p w14:paraId="23585A62"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 xml:space="preserve">По мере схода снежного покрова проводятся контролируемые отжиги травянистой растительности на территории лесного фонда и прилегаемых к нему территориях с целью снижения пожарной опасности. </w:t>
      </w:r>
    </w:p>
    <w:p w14:paraId="0F901F32"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spacing w:val="-2"/>
          <w:szCs w:val="28"/>
        </w:rPr>
        <w:t>В 201</w:t>
      </w:r>
      <w:r w:rsidRPr="00F0736F">
        <w:rPr>
          <w:rFonts w:ascii="Times New Roman" w:hAnsi="Times New Roman" w:cs="Times New Roman"/>
          <w:color w:val="000000" w:themeColor="text1"/>
          <w:spacing w:val="-2"/>
          <w:szCs w:val="28"/>
          <w:lang w:val="kk-KZ"/>
        </w:rPr>
        <w:t>8</w:t>
      </w:r>
      <w:r w:rsidRPr="00F0736F">
        <w:rPr>
          <w:rFonts w:ascii="Times New Roman" w:hAnsi="Times New Roman" w:cs="Times New Roman"/>
          <w:color w:val="000000" w:themeColor="text1"/>
          <w:spacing w:val="-2"/>
          <w:szCs w:val="28"/>
        </w:rPr>
        <w:t xml:space="preserve"> году в целях противопожарной пропаганды и регулярного освещения в средствах массовой информации вопросов, связанных с соблюдением правил пожарной безопасности в лесостепных массивах</w:t>
      </w:r>
      <w:r w:rsidR="00656AC1" w:rsidRPr="00F0736F">
        <w:rPr>
          <w:rFonts w:ascii="Times New Roman" w:hAnsi="Times New Roman" w:cs="Times New Roman"/>
          <w:color w:val="000000" w:themeColor="text1"/>
          <w:spacing w:val="-2"/>
          <w:szCs w:val="28"/>
        </w:rPr>
        <w:t>,</w:t>
      </w:r>
      <w:r w:rsidRPr="00F0736F">
        <w:rPr>
          <w:rFonts w:ascii="Times New Roman" w:hAnsi="Times New Roman" w:cs="Times New Roman"/>
          <w:color w:val="000000" w:themeColor="text1"/>
          <w:spacing w:val="-2"/>
          <w:szCs w:val="28"/>
        </w:rPr>
        <w:t xml:space="preserve"> организован показ видеороликов на противопожарную тематику на государственном и русском языках на республиканском и местных телеканалах.</w:t>
      </w:r>
    </w:p>
    <w:p w14:paraId="2709807B"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По вопросам обеспечения охраны лесов от пожаров установлена персональная ответственность первых руководителей территориальных органов и подведомственных организаций Комитета лесного хозяйства и животного мира МСХ РК, а также структурных подразделений лесного хозяйства акиматов областей.</w:t>
      </w:r>
    </w:p>
    <w:p w14:paraId="3292B4D1" w14:textId="537C6D30"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spacing w:val="-2"/>
        </w:rPr>
        <w:t>По данным МВД РК</w:t>
      </w:r>
      <w:r w:rsidR="00656AC1" w:rsidRPr="00F0736F">
        <w:rPr>
          <w:rFonts w:ascii="Times New Roman" w:hAnsi="Times New Roman" w:cs="Times New Roman"/>
          <w:color w:val="000000" w:themeColor="text1"/>
          <w:spacing w:val="-2"/>
        </w:rPr>
        <w:t>,</w:t>
      </w:r>
      <w:r w:rsidRPr="00F0736F">
        <w:rPr>
          <w:rFonts w:ascii="Times New Roman" w:hAnsi="Times New Roman" w:cs="Times New Roman"/>
          <w:color w:val="000000" w:themeColor="text1"/>
          <w:spacing w:val="-2"/>
        </w:rPr>
        <w:t xml:space="preserve"> е</w:t>
      </w:r>
      <w:r w:rsidRPr="00F0736F">
        <w:rPr>
          <w:rFonts w:ascii="Times New Roman" w:hAnsi="Times New Roman" w:cs="Times New Roman"/>
          <w:color w:val="000000" w:themeColor="text1"/>
        </w:rPr>
        <w:t>жегодно в стране происходит до 4 тыс. природных пожаров и загораний, которыми охватывается свыше 200 тыс. г</w:t>
      </w:r>
      <w:r w:rsidR="006019B2"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ущерб, нанесенный пожарами, превышает 150 млн. тенге.</w:t>
      </w:r>
    </w:p>
    <w:p w14:paraId="412F905D"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При этом, в среднем 400 пожаров приходятся на территории государственного лесного фонда республики. Одновременно с лесными пожарами в среднем ликвидируются 3,5 тыс. степных пожаров и загораний.</w:t>
      </w:r>
    </w:p>
    <w:p w14:paraId="58C222D7" w14:textId="67759D15"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2018 году на территории лесного фонда страны количество пожаров снизилось на 36% и составило 358 пожаров, материальный ущерб на 3%. При этом площадь, пройденная огнем, увеличилась в 8 раз (таблица 1.8.3</w:t>
      </w:r>
      <w:r w:rsidR="006019B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w:t>
      </w:r>
    </w:p>
    <w:p w14:paraId="2ABF70E4" w14:textId="77777777" w:rsidR="009D15F8" w:rsidRPr="00F0736F" w:rsidRDefault="009D15F8" w:rsidP="009D15F8">
      <w:pPr>
        <w:ind w:firstLine="709"/>
        <w:jc w:val="both"/>
        <w:rPr>
          <w:rFonts w:ascii="Times New Roman" w:hAnsi="Times New Roman" w:cs="Times New Roman"/>
          <w:color w:val="000000" w:themeColor="text1"/>
        </w:rPr>
      </w:pPr>
    </w:p>
    <w:p w14:paraId="0D5AAC0E"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1.8.3</w:t>
      </w:r>
      <w:r w:rsidR="00656AC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Лесные пожары</w:t>
      </w:r>
    </w:p>
    <w:p w14:paraId="6A8744AA" w14:textId="77777777" w:rsidR="009D15F8" w:rsidRPr="00F0736F" w:rsidRDefault="009D15F8" w:rsidP="009D15F8">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808"/>
        <w:gridCol w:w="1261"/>
        <w:gridCol w:w="2607"/>
        <w:gridCol w:w="2662"/>
        <w:gridCol w:w="2607"/>
      </w:tblGrid>
      <w:tr w:rsidR="00F0736F" w:rsidRPr="00F0736F" w14:paraId="7099F625" w14:textId="77777777" w:rsidTr="0017426D">
        <w:tc>
          <w:tcPr>
            <w:tcW w:w="808" w:type="dxa"/>
            <w:tcBorders>
              <w:top w:val="single" w:sz="4" w:space="0" w:color="000000"/>
              <w:left w:val="single" w:sz="4" w:space="0" w:color="000000"/>
              <w:bottom w:val="single" w:sz="4" w:space="0" w:color="000000"/>
            </w:tcBorders>
            <w:shd w:val="clear" w:color="auto" w:fill="auto"/>
            <w:vAlign w:val="center"/>
          </w:tcPr>
          <w:p w14:paraId="626214B5"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Годы</w:t>
            </w:r>
          </w:p>
        </w:tc>
        <w:tc>
          <w:tcPr>
            <w:tcW w:w="1261" w:type="dxa"/>
            <w:tcBorders>
              <w:top w:val="single" w:sz="4" w:space="0" w:color="000000"/>
              <w:left w:val="single" w:sz="4" w:space="0" w:color="000000"/>
              <w:bottom w:val="single" w:sz="4" w:space="0" w:color="000000"/>
            </w:tcBorders>
            <w:shd w:val="clear" w:color="auto" w:fill="auto"/>
            <w:vAlign w:val="center"/>
          </w:tcPr>
          <w:p w14:paraId="67C1539F"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Число лесных пожаров, случаев</w:t>
            </w:r>
          </w:p>
        </w:tc>
        <w:tc>
          <w:tcPr>
            <w:tcW w:w="2607" w:type="dxa"/>
            <w:tcBorders>
              <w:top w:val="single" w:sz="4" w:space="0" w:color="000000"/>
              <w:left w:val="single" w:sz="4" w:space="0" w:color="000000"/>
              <w:bottom w:val="single" w:sz="4" w:space="0" w:color="000000"/>
            </w:tcBorders>
            <w:shd w:val="clear" w:color="auto" w:fill="auto"/>
            <w:vAlign w:val="center"/>
          </w:tcPr>
          <w:p w14:paraId="7EB1DBDE"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Лесная площадь, пройденная пожарами, гектаров</w:t>
            </w:r>
          </w:p>
        </w:tc>
        <w:tc>
          <w:tcPr>
            <w:tcW w:w="2662" w:type="dxa"/>
            <w:tcBorders>
              <w:top w:val="single" w:sz="4" w:space="0" w:color="000000"/>
              <w:left w:val="single" w:sz="4" w:space="0" w:color="000000"/>
              <w:bottom w:val="single" w:sz="4" w:space="0" w:color="000000"/>
            </w:tcBorders>
            <w:shd w:val="clear" w:color="auto" w:fill="auto"/>
            <w:vAlign w:val="center"/>
          </w:tcPr>
          <w:p w14:paraId="084CBD14"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Ущерб, причиненный пожарами, в текущих ценах, млн. тенге</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E4B43"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Средняя площадь одного пожара, гектаров</w:t>
            </w:r>
          </w:p>
        </w:tc>
      </w:tr>
      <w:tr w:rsidR="00F0736F" w:rsidRPr="00F0736F" w14:paraId="55870131" w14:textId="77777777" w:rsidTr="0017426D">
        <w:tc>
          <w:tcPr>
            <w:tcW w:w="808" w:type="dxa"/>
            <w:tcBorders>
              <w:top w:val="single" w:sz="4" w:space="0" w:color="000000"/>
              <w:left w:val="single" w:sz="4" w:space="0" w:color="000000"/>
              <w:bottom w:val="single" w:sz="4" w:space="0" w:color="000000"/>
            </w:tcBorders>
            <w:shd w:val="clear" w:color="auto" w:fill="auto"/>
            <w:vAlign w:val="center"/>
          </w:tcPr>
          <w:p w14:paraId="5D84DB1C" w14:textId="77777777" w:rsidR="009D15F8" w:rsidRPr="00F0736F" w:rsidRDefault="009D15F8" w:rsidP="0017426D">
            <w:pPr>
              <w:jc w:val="both"/>
              <w:rPr>
                <w:color w:val="000000" w:themeColor="text1"/>
              </w:rPr>
            </w:pPr>
            <w:r w:rsidRPr="00F0736F">
              <w:rPr>
                <w:rFonts w:ascii="Times New Roman" w:hAnsi="Times New Roman" w:cs="Times New Roman"/>
                <w:color w:val="000000" w:themeColor="text1"/>
                <w:sz w:val="20"/>
                <w:szCs w:val="20"/>
              </w:rPr>
              <w:t>2017</w:t>
            </w:r>
          </w:p>
        </w:tc>
        <w:tc>
          <w:tcPr>
            <w:tcW w:w="1261" w:type="dxa"/>
            <w:tcBorders>
              <w:top w:val="single" w:sz="4" w:space="0" w:color="000000"/>
              <w:left w:val="single" w:sz="4" w:space="0" w:color="000000"/>
              <w:bottom w:val="single" w:sz="4" w:space="0" w:color="000000"/>
            </w:tcBorders>
            <w:shd w:val="clear" w:color="auto" w:fill="auto"/>
            <w:vAlign w:val="center"/>
          </w:tcPr>
          <w:p w14:paraId="4CD6A0B4"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563</w:t>
            </w:r>
          </w:p>
        </w:tc>
        <w:tc>
          <w:tcPr>
            <w:tcW w:w="2607" w:type="dxa"/>
            <w:tcBorders>
              <w:top w:val="single" w:sz="4" w:space="0" w:color="000000"/>
              <w:left w:val="single" w:sz="4" w:space="0" w:color="000000"/>
              <w:bottom w:val="single" w:sz="4" w:space="0" w:color="000000"/>
            </w:tcBorders>
            <w:shd w:val="clear" w:color="auto" w:fill="auto"/>
            <w:vAlign w:val="center"/>
          </w:tcPr>
          <w:p w14:paraId="60E009EE"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19 690</w:t>
            </w:r>
          </w:p>
        </w:tc>
        <w:tc>
          <w:tcPr>
            <w:tcW w:w="2662" w:type="dxa"/>
            <w:tcBorders>
              <w:top w:val="single" w:sz="4" w:space="0" w:color="000000"/>
              <w:left w:val="single" w:sz="4" w:space="0" w:color="000000"/>
              <w:bottom w:val="single" w:sz="4" w:space="0" w:color="000000"/>
            </w:tcBorders>
            <w:shd w:val="clear" w:color="auto" w:fill="auto"/>
            <w:vAlign w:val="center"/>
          </w:tcPr>
          <w:p w14:paraId="0DE9E8EC"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215,4</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96A11"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351</w:t>
            </w:r>
          </w:p>
        </w:tc>
      </w:tr>
      <w:tr w:rsidR="00F0736F" w:rsidRPr="00F0736F" w14:paraId="698C60A4" w14:textId="77777777" w:rsidTr="0017426D">
        <w:tc>
          <w:tcPr>
            <w:tcW w:w="808" w:type="dxa"/>
            <w:tcBorders>
              <w:top w:val="single" w:sz="4" w:space="0" w:color="000000"/>
              <w:left w:val="single" w:sz="4" w:space="0" w:color="000000"/>
              <w:bottom w:val="single" w:sz="4" w:space="0" w:color="000000"/>
            </w:tcBorders>
            <w:shd w:val="clear" w:color="auto" w:fill="auto"/>
            <w:vAlign w:val="center"/>
          </w:tcPr>
          <w:p w14:paraId="374587AC" w14:textId="77777777" w:rsidR="009D15F8" w:rsidRPr="00F0736F" w:rsidRDefault="009D15F8" w:rsidP="0017426D">
            <w:pPr>
              <w:jc w:val="both"/>
              <w:rPr>
                <w:color w:val="000000" w:themeColor="text1"/>
              </w:rPr>
            </w:pPr>
            <w:r w:rsidRPr="00F0736F">
              <w:rPr>
                <w:rFonts w:ascii="Times New Roman" w:hAnsi="Times New Roman" w:cs="Times New Roman"/>
                <w:color w:val="000000" w:themeColor="text1"/>
                <w:sz w:val="20"/>
                <w:szCs w:val="20"/>
              </w:rPr>
              <w:t>2018</w:t>
            </w:r>
          </w:p>
        </w:tc>
        <w:tc>
          <w:tcPr>
            <w:tcW w:w="1261" w:type="dxa"/>
            <w:tcBorders>
              <w:top w:val="single" w:sz="4" w:space="0" w:color="000000"/>
              <w:left w:val="single" w:sz="4" w:space="0" w:color="000000"/>
              <w:bottom w:val="single" w:sz="4" w:space="0" w:color="000000"/>
            </w:tcBorders>
            <w:shd w:val="clear" w:color="auto" w:fill="auto"/>
            <w:vAlign w:val="center"/>
          </w:tcPr>
          <w:p w14:paraId="0172A748"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358</w:t>
            </w:r>
          </w:p>
        </w:tc>
        <w:tc>
          <w:tcPr>
            <w:tcW w:w="2607" w:type="dxa"/>
            <w:tcBorders>
              <w:top w:val="single" w:sz="4" w:space="0" w:color="000000"/>
              <w:left w:val="single" w:sz="4" w:space="0" w:color="000000"/>
              <w:bottom w:val="single" w:sz="4" w:space="0" w:color="000000"/>
            </w:tcBorders>
            <w:shd w:val="clear" w:color="auto" w:fill="auto"/>
            <w:vAlign w:val="center"/>
          </w:tcPr>
          <w:p w14:paraId="268827CF"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162 605</w:t>
            </w:r>
          </w:p>
        </w:tc>
        <w:tc>
          <w:tcPr>
            <w:tcW w:w="2662" w:type="dxa"/>
            <w:tcBorders>
              <w:top w:val="single" w:sz="4" w:space="0" w:color="000000"/>
              <w:left w:val="single" w:sz="4" w:space="0" w:color="000000"/>
              <w:bottom w:val="single" w:sz="4" w:space="0" w:color="000000"/>
            </w:tcBorders>
            <w:shd w:val="clear" w:color="auto" w:fill="auto"/>
            <w:vAlign w:val="center"/>
          </w:tcPr>
          <w:p w14:paraId="506C01F2"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209,6</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38CC6"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454</w:t>
            </w:r>
          </w:p>
        </w:tc>
      </w:tr>
      <w:tr w:rsidR="00F0736F" w:rsidRPr="00F0736F" w14:paraId="1B1A623F" w14:textId="77777777" w:rsidTr="0017426D">
        <w:tc>
          <w:tcPr>
            <w:tcW w:w="808" w:type="dxa"/>
            <w:tcBorders>
              <w:top w:val="single" w:sz="4" w:space="0" w:color="000000"/>
              <w:left w:val="single" w:sz="4" w:space="0" w:color="000000"/>
              <w:bottom w:val="single" w:sz="4" w:space="0" w:color="000000"/>
            </w:tcBorders>
            <w:shd w:val="clear" w:color="auto" w:fill="auto"/>
            <w:vAlign w:val="center"/>
          </w:tcPr>
          <w:p w14:paraId="4964762E" w14:textId="77777777" w:rsidR="009D15F8" w:rsidRPr="00F0736F" w:rsidRDefault="009D15F8" w:rsidP="0017426D">
            <w:pPr>
              <w:jc w:val="both"/>
              <w:rPr>
                <w:color w:val="000000" w:themeColor="text1"/>
              </w:rPr>
            </w:pPr>
            <w:r w:rsidRPr="00F0736F">
              <w:rPr>
                <w:rFonts w:ascii="Times New Roman" w:hAnsi="Times New Roman" w:cs="Times New Roman"/>
                <w:color w:val="000000" w:themeColor="text1"/>
                <w:sz w:val="20"/>
                <w:szCs w:val="20"/>
              </w:rPr>
              <w:t>2019</w:t>
            </w:r>
          </w:p>
        </w:tc>
        <w:tc>
          <w:tcPr>
            <w:tcW w:w="1261" w:type="dxa"/>
            <w:tcBorders>
              <w:top w:val="single" w:sz="4" w:space="0" w:color="000000"/>
              <w:left w:val="single" w:sz="4" w:space="0" w:color="000000"/>
              <w:bottom w:val="single" w:sz="4" w:space="0" w:color="000000"/>
            </w:tcBorders>
            <w:shd w:val="clear" w:color="auto" w:fill="auto"/>
            <w:vAlign w:val="center"/>
          </w:tcPr>
          <w:p w14:paraId="2E168D31"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628</w:t>
            </w:r>
          </w:p>
        </w:tc>
        <w:tc>
          <w:tcPr>
            <w:tcW w:w="2607" w:type="dxa"/>
            <w:tcBorders>
              <w:top w:val="single" w:sz="4" w:space="0" w:color="000000"/>
              <w:left w:val="single" w:sz="4" w:space="0" w:color="000000"/>
              <w:bottom w:val="single" w:sz="4" w:space="0" w:color="000000"/>
            </w:tcBorders>
            <w:shd w:val="clear" w:color="auto" w:fill="auto"/>
            <w:vAlign w:val="center"/>
          </w:tcPr>
          <w:p w14:paraId="32335968"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39227</w:t>
            </w:r>
          </w:p>
        </w:tc>
        <w:tc>
          <w:tcPr>
            <w:tcW w:w="2662" w:type="dxa"/>
            <w:tcBorders>
              <w:top w:val="single" w:sz="4" w:space="0" w:color="000000"/>
              <w:left w:val="single" w:sz="4" w:space="0" w:color="000000"/>
              <w:bottom w:val="single" w:sz="4" w:space="0" w:color="000000"/>
            </w:tcBorders>
            <w:shd w:val="clear" w:color="auto" w:fill="auto"/>
            <w:vAlign w:val="center"/>
          </w:tcPr>
          <w:p w14:paraId="76F9C4FE"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563.5</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38C9" w14:textId="77777777" w:rsidR="009D15F8" w:rsidRPr="00F0736F" w:rsidRDefault="009D15F8" w:rsidP="006019B2">
            <w:pPr>
              <w:jc w:val="center"/>
              <w:rPr>
                <w:color w:val="000000" w:themeColor="text1"/>
              </w:rPr>
            </w:pPr>
            <w:r w:rsidRPr="00F0736F">
              <w:rPr>
                <w:rFonts w:ascii="Times New Roman" w:hAnsi="Times New Roman" w:cs="Times New Roman"/>
                <w:color w:val="000000" w:themeColor="text1"/>
                <w:sz w:val="20"/>
                <w:szCs w:val="20"/>
              </w:rPr>
              <w:t>62,4</w:t>
            </w:r>
          </w:p>
        </w:tc>
      </w:tr>
    </w:tbl>
    <w:p w14:paraId="5E37BB97" w14:textId="77777777" w:rsidR="009D15F8" w:rsidRPr="00F0736F" w:rsidRDefault="009D15F8" w:rsidP="009D15F8">
      <w:pPr>
        <w:ind w:firstLine="709"/>
        <w:jc w:val="both"/>
        <w:rPr>
          <w:i/>
          <w:color w:val="000000" w:themeColor="text1"/>
        </w:rPr>
      </w:pPr>
      <w:r w:rsidRPr="00F0736F">
        <w:rPr>
          <w:rFonts w:ascii="Times New Roman" w:hAnsi="Times New Roman" w:cs="Times New Roman"/>
          <w:i/>
          <w:color w:val="000000" w:themeColor="text1"/>
          <w:sz w:val="20"/>
          <w:szCs w:val="20"/>
        </w:rPr>
        <w:t>Источник: М</w:t>
      </w:r>
      <w:r w:rsidR="00CC5774" w:rsidRPr="00F0736F">
        <w:rPr>
          <w:rFonts w:ascii="Times New Roman" w:hAnsi="Times New Roman" w:cs="Times New Roman"/>
          <w:i/>
          <w:color w:val="000000" w:themeColor="text1"/>
          <w:sz w:val="20"/>
          <w:szCs w:val="20"/>
        </w:rPr>
        <w:t>ЭГПР</w:t>
      </w:r>
      <w:r w:rsidRPr="00F0736F">
        <w:rPr>
          <w:rFonts w:ascii="Times New Roman" w:hAnsi="Times New Roman" w:cs="Times New Roman"/>
          <w:i/>
          <w:color w:val="000000" w:themeColor="text1"/>
          <w:sz w:val="20"/>
          <w:szCs w:val="20"/>
        </w:rPr>
        <w:t xml:space="preserve"> РК</w:t>
      </w:r>
    </w:p>
    <w:p w14:paraId="1B246C3F" w14:textId="77777777" w:rsidR="009D15F8" w:rsidRPr="00F0736F" w:rsidRDefault="009D15F8" w:rsidP="009D15F8">
      <w:pPr>
        <w:ind w:firstLine="709"/>
        <w:jc w:val="both"/>
        <w:rPr>
          <w:rFonts w:ascii="Times New Roman" w:hAnsi="Times New Roman" w:cs="Times New Roman"/>
          <w:color w:val="000000" w:themeColor="text1"/>
        </w:rPr>
      </w:pPr>
    </w:p>
    <w:p w14:paraId="5F595EF0" w14:textId="5926C348" w:rsidR="009D15F8" w:rsidRPr="00F0736F" w:rsidRDefault="009D15F8" w:rsidP="009D15F8">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году в лесах по РК произошло 628 случаев лесных пожаров общей площадью </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73</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512,6 га, в том числе лесная </w:t>
      </w:r>
      <w:r w:rsidR="00475EC5" w:rsidRPr="00F0736F">
        <w:rPr>
          <w:rFonts w:ascii="Times New Roman" w:hAnsi="Times New Roman" w:cs="Times New Roman"/>
          <w:color w:val="000000" w:themeColor="text1"/>
        </w:rPr>
        <w:t>–</w:t>
      </w:r>
      <w:r w:rsidR="00656AC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39</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226,9 га, в том числе покрытая лесом </w:t>
      </w:r>
      <w:r w:rsidR="00475EC5" w:rsidRPr="00F0736F">
        <w:rPr>
          <w:rFonts w:ascii="Times New Roman" w:hAnsi="Times New Roman" w:cs="Times New Roman"/>
          <w:color w:val="000000" w:themeColor="text1"/>
        </w:rPr>
        <w:t>–</w:t>
      </w:r>
      <w:r w:rsidR="00656AC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34</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523,04 га, из них верховой </w:t>
      </w:r>
      <w:r w:rsidR="00656AC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773,29 га, не лесная площадь </w:t>
      </w:r>
      <w:r w:rsidR="00475EC5" w:rsidRPr="00F0736F">
        <w:rPr>
          <w:rFonts w:ascii="Times New Roman" w:hAnsi="Times New Roman" w:cs="Times New Roman"/>
          <w:color w:val="000000" w:themeColor="text1"/>
        </w:rPr>
        <w:t>–</w:t>
      </w:r>
      <w:r w:rsidR="00656AC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34</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288,68 га. Общий ущерб от пожаров 563,5 млн. тенге. Средняя лесная площадь пожара на территории ГЛФ составила 62,4 га.</w:t>
      </w:r>
    </w:p>
    <w:p w14:paraId="029C03EB"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 xml:space="preserve">Исходя из мировой практики, проблема ежегодных неконтролируемых палов сухой травы на землях сельхозназначения носит комплексный характер - огонь палов переходит на земли лесного фонда и в населенные пункты. Ситуация еще более усугубляется отсутствием защитных минерализованных полос или несвоевременным их обновлением. </w:t>
      </w:r>
    </w:p>
    <w:p w14:paraId="364F02F9" w14:textId="77777777"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В соответствии с Законом «О гражданской защите»</w:t>
      </w:r>
      <w:r w:rsidR="00656AC1"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обязанность по тушению природных пожаров на землях запаса относится к компетенции МИО. В то же время, в 2018 году подразделения МВД привлекались к тушению 87 лесных пожаров.</w:t>
      </w:r>
    </w:p>
    <w:p w14:paraId="1031D192" w14:textId="1E537141"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Для реагирования на природные пожары МИО создано 3</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919 добровольных противопожарных формирований, на вооружении которых находится более 9 тыс. ед. техники, в т. ч. 283 пожарных автомобиля, 8</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231 ед. приспособленной техники, 945 пожарных мотопомп. Личный состав формирований составляет более 42 тыс. человек.</w:t>
      </w:r>
    </w:p>
    <w:p w14:paraId="6241809D" w14:textId="04D91163"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rPr>
        <w:t>МВД разработан и согласован с заинтересованными центральными государственными (МЭГПР, МИИР, МО, МЦРОАП, МОН, МЗ, МЭ, МИОР, КНБ) и местными исполнительными органами совместный приказ МВД и МСХ «План мероприятий по снижению рисков бедствий и ликвидации лесных и степных пожаров на территории Республики Казахстан в пожароопасный сезон 2019 года» (приказ МВД №</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286 от 10.04.2019 г. и МСХ №</w:t>
      </w:r>
      <w:r w:rsidR="00475EC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160 от 18.04.2019 г.).</w:t>
      </w:r>
    </w:p>
    <w:p w14:paraId="05EFF82E" w14:textId="4913F9DB"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szCs w:val="28"/>
          <w:lang w:val="kk-KZ"/>
        </w:rPr>
        <w:t>В 2018 году в лесах по РК зафиксировано 419 случаев незаконной порубки леса в объеме 3</w:t>
      </w:r>
      <w:r w:rsidR="00475EC5"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553,64 м</w:t>
      </w:r>
      <w:r w:rsidRPr="00F0736F">
        <w:rPr>
          <w:rFonts w:ascii="Times New Roman" w:hAnsi="Times New Roman" w:cs="Times New Roman"/>
          <w:color w:val="000000" w:themeColor="text1"/>
          <w:szCs w:val="28"/>
          <w:vertAlign w:val="superscript"/>
          <w:lang w:val="kk-KZ"/>
        </w:rPr>
        <w:t>3</w:t>
      </w:r>
      <w:r w:rsidRPr="00F0736F">
        <w:rPr>
          <w:rFonts w:ascii="Times New Roman" w:hAnsi="Times New Roman" w:cs="Times New Roman"/>
          <w:color w:val="000000" w:themeColor="text1"/>
          <w:szCs w:val="28"/>
          <w:lang w:val="kk-KZ"/>
        </w:rPr>
        <w:t>. Общий ущерб составил 46</w:t>
      </w:r>
      <w:r w:rsidR="00475EC5"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531,4 тыс.</w:t>
      </w:r>
      <w:r w:rsidR="00656AC1"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тенге.</w:t>
      </w:r>
    </w:p>
    <w:p w14:paraId="6210BAD3" w14:textId="70695B46" w:rsidR="00CC5774" w:rsidRPr="00F0736F" w:rsidRDefault="00CC5774" w:rsidP="00CC5774">
      <w:pPr>
        <w:ind w:firstLine="567"/>
        <w:jc w:val="both"/>
        <w:rPr>
          <w:color w:val="000000" w:themeColor="text1"/>
        </w:rPr>
      </w:pPr>
      <w:r w:rsidRPr="00F0736F">
        <w:rPr>
          <w:rFonts w:ascii="Times New Roman" w:hAnsi="Times New Roman" w:cs="Times New Roman"/>
          <w:color w:val="000000" w:themeColor="text1"/>
          <w:szCs w:val="28"/>
          <w:lang w:val="kk-KZ"/>
        </w:rPr>
        <w:t>В лесах, находящихся в ведении областных исполнительных органов и других государствен</w:t>
      </w:r>
      <w:r w:rsidR="00656AC1" w:rsidRPr="00F0736F">
        <w:rPr>
          <w:rFonts w:ascii="Times New Roman" w:hAnsi="Times New Roman" w:cs="Times New Roman"/>
          <w:color w:val="000000" w:themeColor="text1"/>
          <w:szCs w:val="28"/>
          <w:lang w:val="kk-KZ"/>
        </w:rPr>
        <w:t>ных лесовладельцев</w:t>
      </w:r>
      <w:r w:rsidR="00475EC5" w:rsidRPr="00F0736F">
        <w:rPr>
          <w:rFonts w:ascii="Times New Roman" w:hAnsi="Times New Roman" w:cs="Times New Roman"/>
          <w:color w:val="000000" w:themeColor="text1"/>
          <w:szCs w:val="28"/>
          <w:lang w:val="kk-KZ"/>
        </w:rPr>
        <w:t>,</w:t>
      </w:r>
      <w:r w:rsidR="00656AC1" w:rsidRPr="00F0736F">
        <w:rPr>
          <w:rFonts w:ascii="Times New Roman" w:hAnsi="Times New Roman" w:cs="Times New Roman"/>
          <w:color w:val="000000" w:themeColor="text1"/>
          <w:szCs w:val="28"/>
          <w:lang w:val="kk-KZ"/>
        </w:rPr>
        <w:t xml:space="preserve"> зафиксирован</w:t>
      </w:r>
      <w:r w:rsidRPr="00F0736F">
        <w:rPr>
          <w:rFonts w:ascii="Times New Roman" w:hAnsi="Times New Roman" w:cs="Times New Roman"/>
          <w:color w:val="000000" w:themeColor="text1"/>
          <w:szCs w:val="28"/>
          <w:lang w:val="kk-KZ"/>
        </w:rPr>
        <w:t xml:space="preserve"> 341 случа</w:t>
      </w:r>
      <w:r w:rsidR="00656AC1" w:rsidRPr="00F0736F">
        <w:rPr>
          <w:rFonts w:ascii="Times New Roman" w:hAnsi="Times New Roman" w:cs="Times New Roman"/>
          <w:color w:val="000000" w:themeColor="text1"/>
          <w:szCs w:val="28"/>
          <w:lang w:val="kk-KZ"/>
        </w:rPr>
        <w:t>й</w:t>
      </w:r>
      <w:r w:rsidRPr="00F0736F">
        <w:rPr>
          <w:rFonts w:ascii="Times New Roman" w:hAnsi="Times New Roman" w:cs="Times New Roman"/>
          <w:color w:val="000000" w:themeColor="text1"/>
          <w:szCs w:val="28"/>
          <w:lang w:val="kk-KZ"/>
        </w:rPr>
        <w:t xml:space="preserve"> незаконной порубки леса в объеме </w:t>
      </w:r>
      <w:r w:rsidR="00475EC5"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3</w:t>
      </w:r>
      <w:r w:rsidR="00475EC5"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102,79 м</w:t>
      </w:r>
      <w:r w:rsidRPr="00F0736F">
        <w:rPr>
          <w:rFonts w:ascii="Times New Roman" w:hAnsi="Times New Roman" w:cs="Times New Roman"/>
          <w:color w:val="000000" w:themeColor="text1"/>
          <w:szCs w:val="28"/>
          <w:vertAlign w:val="superscript"/>
          <w:lang w:val="kk-KZ"/>
        </w:rPr>
        <w:t>3</w:t>
      </w:r>
      <w:r w:rsidRPr="00F0736F">
        <w:rPr>
          <w:rFonts w:ascii="Times New Roman" w:hAnsi="Times New Roman" w:cs="Times New Roman"/>
          <w:color w:val="000000" w:themeColor="text1"/>
          <w:szCs w:val="28"/>
          <w:lang w:val="kk-KZ"/>
        </w:rPr>
        <w:t>. Общий ущерб составил 34</w:t>
      </w:r>
      <w:r w:rsidR="00475EC5"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710,4 тыс.</w:t>
      </w:r>
      <w:r w:rsidR="00656AC1"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lang w:val="kk-KZ"/>
        </w:rPr>
        <w:t xml:space="preserve">тенге. </w:t>
      </w:r>
      <w:r w:rsidRPr="00F0736F">
        <w:rPr>
          <w:rFonts w:ascii="Times New Roman" w:hAnsi="Times New Roman" w:cs="Times New Roman"/>
          <w:color w:val="000000" w:themeColor="text1"/>
          <w:szCs w:val="28"/>
        </w:rPr>
        <w:t>В</w:t>
      </w:r>
      <w:r w:rsidRPr="00F0736F">
        <w:rPr>
          <w:rFonts w:ascii="Times New Roman" w:eastAsia="Calibri" w:hAnsi="Times New Roman" w:cs="Times New Roman"/>
          <w:bCs/>
          <w:color w:val="000000" w:themeColor="text1"/>
          <w:szCs w:val="28"/>
          <w:lang w:val="kk-KZ"/>
        </w:rPr>
        <w:t xml:space="preserve"> лесах, находящихся в ведении Комитета лесного хозяйства и животного мира</w:t>
      </w:r>
      <w:r w:rsidR="00656AC1" w:rsidRPr="00F0736F">
        <w:rPr>
          <w:rFonts w:ascii="Times New Roman" w:eastAsia="Calibri" w:hAnsi="Times New Roman" w:cs="Times New Roman"/>
          <w:bCs/>
          <w:color w:val="000000" w:themeColor="text1"/>
          <w:szCs w:val="28"/>
          <w:lang w:val="kk-KZ"/>
        </w:rPr>
        <w:t>,</w:t>
      </w:r>
      <w:r w:rsidRPr="00F0736F">
        <w:rPr>
          <w:rFonts w:ascii="Times New Roman" w:eastAsia="Calibri" w:hAnsi="Times New Roman" w:cs="Times New Roman"/>
          <w:bCs/>
          <w:color w:val="000000" w:themeColor="text1"/>
          <w:szCs w:val="28"/>
          <w:lang w:val="kk-KZ"/>
        </w:rPr>
        <w:t xml:space="preserve"> зафиксировано 78 случаев незаконной порубки леса в объеме 450,85 м</w:t>
      </w:r>
      <w:r w:rsidRPr="00F0736F">
        <w:rPr>
          <w:rFonts w:ascii="Times New Roman" w:eastAsia="Calibri" w:hAnsi="Times New Roman" w:cs="Times New Roman"/>
          <w:bCs/>
          <w:color w:val="000000" w:themeColor="text1"/>
          <w:szCs w:val="28"/>
          <w:vertAlign w:val="superscript"/>
          <w:lang w:val="kk-KZ"/>
        </w:rPr>
        <w:t>3</w:t>
      </w:r>
      <w:r w:rsidRPr="00F0736F">
        <w:rPr>
          <w:rFonts w:ascii="Times New Roman" w:eastAsia="Calibri" w:hAnsi="Times New Roman" w:cs="Times New Roman"/>
          <w:bCs/>
          <w:color w:val="000000" w:themeColor="text1"/>
          <w:szCs w:val="28"/>
          <w:lang w:val="kk-KZ"/>
        </w:rPr>
        <w:t>. Ущерб составил 11</w:t>
      </w:r>
      <w:r w:rsidR="00475EC5" w:rsidRPr="00F0736F">
        <w:rPr>
          <w:rFonts w:ascii="Times New Roman" w:eastAsia="Calibri" w:hAnsi="Times New Roman" w:cs="Times New Roman"/>
          <w:bCs/>
          <w:color w:val="000000" w:themeColor="text1"/>
          <w:szCs w:val="28"/>
          <w:lang w:val="kk-KZ"/>
        </w:rPr>
        <w:t xml:space="preserve"> </w:t>
      </w:r>
      <w:r w:rsidRPr="00F0736F">
        <w:rPr>
          <w:rFonts w:ascii="Times New Roman" w:eastAsia="Calibri" w:hAnsi="Times New Roman" w:cs="Times New Roman"/>
          <w:bCs/>
          <w:color w:val="000000" w:themeColor="text1"/>
          <w:szCs w:val="28"/>
          <w:lang w:val="kk-KZ"/>
        </w:rPr>
        <w:t>821 тыс. тенге.</w:t>
      </w:r>
    </w:p>
    <w:p w14:paraId="36DC20BF" w14:textId="1B974EF3" w:rsidR="00CC5774" w:rsidRPr="00F0736F" w:rsidRDefault="009D15F8" w:rsidP="00CC5774">
      <w:pPr>
        <w:ind w:firstLine="567"/>
        <w:jc w:val="both"/>
        <w:rPr>
          <w:color w:val="000000" w:themeColor="text1"/>
        </w:rPr>
      </w:pPr>
      <w:r w:rsidRPr="00F0736F">
        <w:rPr>
          <w:rFonts w:ascii="Times New Roman" w:hAnsi="Times New Roman" w:cs="Times New Roman"/>
          <w:color w:val="000000" w:themeColor="text1"/>
        </w:rPr>
        <w:t>В 2019 году на территории гослесфонда зафиксировано 367 случаев незаконной порубки леса в объеме 4</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245,2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Общий ущерб составил 32</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313,8 тыс. тенге. </w:t>
      </w:r>
      <w:r w:rsidR="00CC5774" w:rsidRPr="00F0736F">
        <w:rPr>
          <w:rFonts w:ascii="Times New Roman" w:hAnsi="Times New Roman" w:cs="Times New Roman"/>
          <w:color w:val="000000" w:themeColor="text1"/>
        </w:rPr>
        <w:t>В лесах, находящихся в ведении областных исполнительных органов и других государственных лесовладельцев</w:t>
      </w:r>
      <w:r w:rsidR="00656AC1" w:rsidRPr="00F0736F">
        <w:rPr>
          <w:rFonts w:ascii="Times New Roman" w:hAnsi="Times New Roman" w:cs="Times New Roman"/>
          <w:color w:val="000000" w:themeColor="text1"/>
        </w:rPr>
        <w:t>,</w:t>
      </w:r>
      <w:r w:rsidR="00CC5774" w:rsidRPr="00F0736F">
        <w:rPr>
          <w:rFonts w:ascii="Times New Roman" w:hAnsi="Times New Roman" w:cs="Times New Roman"/>
          <w:color w:val="000000" w:themeColor="text1"/>
        </w:rPr>
        <w:t xml:space="preserve"> зафиксировано 303 случа</w:t>
      </w:r>
      <w:r w:rsidR="00656AC1" w:rsidRPr="00F0736F">
        <w:rPr>
          <w:rFonts w:ascii="Times New Roman" w:hAnsi="Times New Roman" w:cs="Times New Roman"/>
          <w:color w:val="000000" w:themeColor="text1"/>
        </w:rPr>
        <w:t>я</w:t>
      </w:r>
      <w:r w:rsidR="00CC5774" w:rsidRPr="00F0736F">
        <w:rPr>
          <w:rFonts w:ascii="Times New Roman" w:hAnsi="Times New Roman" w:cs="Times New Roman"/>
          <w:color w:val="000000" w:themeColor="text1"/>
        </w:rPr>
        <w:t xml:space="preserve"> незаконной порубки леса в объеме 3</w:t>
      </w:r>
      <w:r w:rsidR="0049541E" w:rsidRPr="00F0736F">
        <w:rPr>
          <w:rFonts w:ascii="Times New Roman" w:hAnsi="Times New Roman" w:cs="Times New Roman"/>
          <w:color w:val="000000" w:themeColor="text1"/>
        </w:rPr>
        <w:t xml:space="preserve"> </w:t>
      </w:r>
      <w:r w:rsidR="00CC5774" w:rsidRPr="00F0736F">
        <w:rPr>
          <w:rFonts w:ascii="Times New Roman" w:hAnsi="Times New Roman" w:cs="Times New Roman"/>
          <w:color w:val="000000" w:themeColor="text1"/>
        </w:rPr>
        <w:t>549,4 м</w:t>
      </w:r>
      <w:r w:rsidR="00CC5774" w:rsidRPr="00F0736F">
        <w:rPr>
          <w:rFonts w:ascii="Times New Roman" w:hAnsi="Times New Roman" w:cs="Times New Roman"/>
          <w:color w:val="000000" w:themeColor="text1"/>
          <w:vertAlign w:val="superscript"/>
        </w:rPr>
        <w:t>3</w:t>
      </w:r>
      <w:r w:rsidR="00CC5774" w:rsidRPr="00F0736F">
        <w:rPr>
          <w:rFonts w:ascii="Times New Roman" w:hAnsi="Times New Roman" w:cs="Times New Roman"/>
          <w:color w:val="000000" w:themeColor="text1"/>
        </w:rPr>
        <w:t>. Общий ущерб составил</w:t>
      </w:r>
      <w:r w:rsidR="00CC5774" w:rsidRPr="00F0736F">
        <w:rPr>
          <w:rFonts w:ascii="Times New Roman" w:hAnsi="Times New Roman" w:cs="Times New Roman"/>
          <w:color w:val="000000" w:themeColor="text1"/>
          <w:lang w:val="kk-KZ"/>
        </w:rPr>
        <w:t xml:space="preserve"> </w:t>
      </w:r>
      <w:r w:rsidR="00CC5774" w:rsidRPr="00F0736F">
        <w:rPr>
          <w:rFonts w:ascii="Times New Roman" w:hAnsi="Times New Roman" w:cs="Times New Roman"/>
          <w:color w:val="000000" w:themeColor="text1"/>
        </w:rPr>
        <w:t>25</w:t>
      </w:r>
      <w:r w:rsidR="0049541E" w:rsidRPr="00F0736F">
        <w:rPr>
          <w:rFonts w:ascii="Times New Roman" w:hAnsi="Times New Roman" w:cs="Times New Roman"/>
          <w:color w:val="000000" w:themeColor="text1"/>
        </w:rPr>
        <w:t xml:space="preserve"> </w:t>
      </w:r>
      <w:r w:rsidR="00CC5774" w:rsidRPr="00F0736F">
        <w:rPr>
          <w:rFonts w:ascii="Times New Roman" w:hAnsi="Times New Roman" w:cs="Times New Roman"/>
          <w:color w:val="000000" w:themeColor="text1"/>
        </w:rPr>
        <w:t>380,4 тыс. тенге. В лесах, находящихся в ведении Комитета лесного хозяйства и животно</w:t>
      </w:r>
      <w:r w:rsidR="00656AC1" w:rsidRPr="00F0736F">
        <w:rPr>
          <w:rFonts w:ascii="Times New Roman" w:hAnsi="Times New Roman" w:cs="Times New Roman"/>
          <w:color w:val="000000" w:themeColor="text1"/>
        </w:rPr>
        <w:t>го мира зафиксировано 64 случая</w:t>
      </w:r>
      <w:r w:rsidR="00CC5774" w:rsidRPr="00F0736F">
        <w:rPr>
          <w:rFonts w:ascii="Times New Roman" w:hAnsi="Times New Roman" w:cs="Times New Roman"/>
          <w:color w:val="000000" w:themeColor="text1"/>
        </w:rPr>
        <w:t xml:space="preserve"> незаконной порубки леса в объеме 695,8 м</w:t>
      </w:r>
      <w:r w:rsidR="00CC5774" w:rsidRPr="00F0736F">
        <w:rPr>
          <w:rFonts w:ascii="Times New Roman" w:hAnsi="Times New Roman" w:cs="Times New Roman"/>
          <w:color w:val="000000" w:themeColor="text1"/>
          <w:vertAlign w:val="superscript"/>
        </w:rPr>
        <w:t>3</w:t>
      </w:r>
      <w:r w:rsidR="00CC5774" w:rsidRPr="00F0736F">
        <w:rPr>
          <w:rFonts w:ascii="Times New Roman" w:hAnsi="Times New Roman" w:cs="Times New Roman"/>
          <w:color w:val="000000" w:themeColor="text1"/>
        </w:rPr>
        <w:t xml:space="preserve">. Ущерб составил </w:t>
      </w:r>
      <w:r w:rsidR="0049541E" w:rsidRPr="00F0736F">
        <w:rPr>
          <w:rFonts w:ascii="Times New Roman" w:hAnsi="Times New Roman" w:cs="Times New Roman"/>
          <w:color w:val="000000" w:themeColor="text1"/>
        </w:rPr>
        <w:t xml:space="preserve">          </w:t>
      </w:r>
      <w:r w:rsidR="00CC5774" w:rsidRPr="00F0736F">
        <w:rPr>
          <w:rFonts w:ascii="Times New Roman" w:hAnsi="Times New Roman" w:cs="Times New Roman"/>
          <w:color w:val="000000" w:themeColor="text1"/>
        </w:rPr>
        <w:t>6</w:t>
      </w:r>
      <w:r w:rsidR="0049541E" w:rsidRPr="00F0736F">
        <w:rPr>
          <w:rFonts w:ascii="Times New Roman" w:hAnsi="Times New Roman" w:cs="Times New Roman"/>
          <w:color w:val="000000" w:themeColor="text1"/>
        </w:rPr>
        <w:t xml:space="preserve"> </w:t>
      </w:r>
      <w:r w:rsidR="00CC5774" w:rsidRPr="00F0736F">
        <w:rPr>
          <w:rFonts w:ascii="Times New Roman" w:hAnsi="Times New Roman" w:cs="Times New Roman"/>
          <w:color w:val="000000" w:themeColor="text1"/>
        </w:rPr>
        <w:t>933,3 тыс. тенге.</w:t>
      </w:r>
    </w:p>
    <w:p w14:paraId="35E10F09" w14:textId="77777777" w:rsidR="00CC5774" w:rsidRPr="00F0736F" w:rsidRDefault="00CC5774" w:rsidP="00CC5774">
      <w:pPr>
        <w:ind w:firstLine="567"/>
        <w:jc w:val="both"/>
        <w:rPr>
          <w:color w:val="000000" w:themeColor="text1"/>
        </w:rPr>
      </w:pPr>
      <w:r w:rsidRPr="00F0736F">
        <w:rPr>
          <w:rFonts w:ascii="Times New Roman" w:hAnsi="Times New Roman" w:cs="Times New Roman"/>
          <w:b/>
          <w:bCs/>
          <w:color w:val="000000" w:themeColor="text1"/>
        </w:rPr>
        <w:t>Научные работы</w:t>
      </w:r>
      <w:r w:rsidRPr="00F0736F">
        <w:rPr>
          <w:rFonts w:ascii="Times New Roman" w:hAnsi="Times New Roman" w:cs="Times New Roman"/>
          <w:color w:val="000000" w:themeColor="text1"/>
        </w:rPr>
        <w:t xml:space="preserve"> в области лесоводства за счет бюджета в настоящее время осуществляются двумя научно-исследовательскими институтами:</w:t>
      </w:r>
    </w:p>
    <w:p w14:paraId="160AA955" w14:textId="77777777" w:rsidR="00CC5774" w:rsidRPr="00F0736F" w:rsidRDefault="00CC5774" w:rsidP="00CC5774">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1. ТОО «Казахский научно-исследовательский институт лесного хозяйства и агролесомелиорации» реализует научно-техническую программу «Создание новых и адаптация существующих способов сохранения лесных экосистем Казахстана с целью эффективного их использования» на 2018 - 2020 годы. Финансирование составляет 300 000 тыс. тенге на 2018 - 2020 г., с ежегодным финансированием 100 000 тыс. тенге. В ходе реализации программы разработаны 3 рекомендации производству, подана 1 заявка на патент по ускоренному выращиванию посадочного материала в лесных питомниках с применением инновационных технологий и 1 заявка на сорт-гибрид сосны обыкновенной; разработаны нормативы по определению экологической продуктивности и стоимостной оценки экологического потенциала для 7 объектов (основных типов лесорастительных условий); разработана компьютерная программа «Моделирование очагов и поведения возникшего пожара в лиственничных лесах Казахстанского Алтая»; проведен дендрохронологический анализ древостоев лиственницы в условиях Рудного Алтая, Южного Алтая и Саура.</w:t>
      </w:r>
    </w:p>
    <w:p w14:paraId="320EEC49" w14:textId="7CC260BA" w:rsidR="00CC5774" w:rsidRPr="00F0736F" w:rsidRDefault="00CC5774" w:rsidP="00CC5774">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2. АО «Казахский агротехнический университет им С. Сейфуллина» реализует научно-техническую программу «Микоризные макромицеты основных лесообразующих пород Центрального и Северо-Восточного Казахстана и использование их для искусственной микоризации сеянцев лесных древесных пород» (бюджетная программа 267 «Повышение доступности знаний и научных исследований», программно-целевое финансирование)</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на 2018-2020 годы. Финансирование составляет 45</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тыс. тенге на 2018 - 2020 г., с ежегодным финансированием 15</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тыс. тенге. В ходе реализации программы разработаны рекомендации по использованию в лесоразведении и лесовосстановительных работах различных штаммов микоризных макромицетов на основе оценки их эффективности, проведены маршрутные обследования лесных массивов Центрального и Северо-Восточного Казахстана и лесопосадок для изучения почвенно-климатических условий, проведена посадка саженцев на подготовительные субстраты, проведен биологический скрининг сеянцев хвойных деревьев, испытаны микоризообразующая активность штаммов в полевых питомниках на сеянцах и саженцах различных древесных и кустарниковых пород.</w:t>
      </w:r>
    </w:p>
    <w:p w14:paraId="018B6E29" w14:textId="77777777" w:rsidR="009D15F8" w:rsidRPr="00F0736F" w:rsidRDefault="009D15F8" w:rsidP="009D15F8">
      <w:pPr>
        <w:ind w:firstLine="709"/>
        <w:jc w:val="both"/>
        <w:rPr>
          <w:color w:val="000000" w:themeColor="text1"/>
        </w:rPr>
      </w:pPr>
    </w:p>
    <w:p w14:paraId="5D0DD2DD" w14:textId="77777777" w:rsidR="009D15F8" w:rsidRPr="00F0736F" w:rsidRDefault="009D15F8" w:rsidP="009D15F8">
      <w:pPr>
        <w:ind w:firstLine="709"/>
        <w:jc w:val="both"/>
        <w:rPr>
          <w:color w:val="000000" w:themeColor="text1"/>
        </w:rPr>
      </w:pPr>
      <w:r w:rsidRPr="00F0736F">
        <w:rPr>
          <w:rFonts w:ascii="Times New Roman" w:hAnsi="Times New Roman" w:cs="Times New Roman"/>
          <w:b/>
          <w:bCs/>
          <w:color w:val="000000" w:themeColor="text1"/>
          <w:lang w:eastAsia="ru-RU"/>
        </w:rPr>
        <w:t>Фауна</w:t>
      </w:r>
      <w:r w:rsidRPr="00F0736F">
        <w:rPr>
          <w:rFonts w:ascii="Times New Roman" w:hAnsi="Times New Roman" w:cs="Times New Roman"/>
          <w:color w:val="000000" w:themeColor="text1"/>
          <w:lang w:eastAsia="ru-RU"/>
        </w:rPr>
        <w:t xml:space="preserve"> позвоночных животных Казахстана по последним данным, состоит из 890 видов, в том числе млекопитающие - 178 видов, птицы - 489 (388 из них гнездятся в Казахстане, прочие прилетают только на зимовку или улетают весной и осенью), рептилии - 49, амфибии - 13, рыбы - 147 и круглоротые – 3, которые объединяются в 418 родов, 129 семейств, 50 отрядов, и 6 классов - от миноги до млекопитающих.</w:t>
      </w:r>
      <w:r w:rsidR="00B15D75" w:rsidRPr="00F0736F">
        <w:rPr>
          <w:rStyle w:val="a4"/>
          <w:rFonts w:ascii="Times New Roman" w:hAnsi="Times New Roman" w:cs="Times New Roman"/>
          <w:color w:val="000000" w:themeColor="text1"/>
          <w:lang w:eastAsia="ru-RU"/>
        </w:rPr>
        <w:footnoteReference w:id="106"/>
      </w:r>
      <w:r w:rsidRPr="00F0736F">
        <w:rPr>
          <w:rFonts w:ascii="Times New Roman" w:hAnsi="Times New Roman" w:cs="Times New Roman"/>
          <w:color w:val="000000" w:themeColor="text1"/>
          <w:lang w:eastAsia="ru-RU"/>
        </w:rPr>
        <w:t xml:space="preserve">. </w:t>
      </w:r>
      <w:r w:rsidRPr="00F0736F">
        <w:rPr>
          <w:rFonts w:ascii="Times New Roman" w:eastAsia="Calibri" w:hAnsi="Times New Roman" w:cs="Times New Roman"/>
          <w:bCs/>
          <w:color w:val="000000" w:themeColor="text1"/>
          <w:lang w:eastAsia="ru-RU"/>
        </w:rPr>
        <w:t>Объектами охоты являются 34 вида млекопитающих и 59 видов птиц.</w:t>
      </w:r>
    </w:p>
    <w:p w14:paraId="765F5C6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Также обитают порядка 100 тысяч видов беспозвоночных, в том числе не менее 50 тысяч видов насекомых, среди которых очень высок процент узколокальных эндемичных видов. Немало также среди них чужеродных видов-вселенцев. Изучение этих видов насекомых крайне актуально в данный момент.</w:t>
      </w:r>
    </w:p>
    <w:p w14:paraId="4369955E"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Красную книгу Казахстана занесены 128 видов и подвидов позвоночных животных и 96 видов беспозвоночных животных.</w:t>
      </w:r>
    </w:p>
    <w:p w14:paraId="449413F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 2013 – 2018 годах в Казахстане в результате осуществления эффективных мер достигнуты стабилизация численности редких и находящихся под угрозой исчезновения видов диких копытных животных в ареалах их обитания (тугайный благородный олень, кулан, джейран, архар) и положительная динамика численности популяции сайгаков и охотничьих видов животных. В результате реализации мер по сохранению редких копытных животных численность с 2012 по 2019 год увеличилась: </w:t>
      </w:r>
    </w:p>
    <w:p w14:paraId="7FCF8668"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 тугайный олень: с 451 до 878 особей; </w:t>
      </w:r>
    </w:p>
    <w:p w14:paraId="57643825"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 архар: с 13872 до 17954 особей; </w:t>
      </w:r>
    </w:p>
    <w:p w14:paraId="3ACAC0BA"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 джейран: с 12623 голов до 14391 особей; </w:t>
      </w:r>
    </w:p>
    <w:p w14:paraId="0F507EE2"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кулан с 2920 до 4197 особей (таблица 1.8.4.).</w:t>
      </w:r>
    </w:p>
    <w:p w14:paraId="1E205961" w14:textId="77777777" w:rsidR="009D15F8" w:rsidRPr="00F0736F" w:rsidRDefault="009D15F8" w:rsidP="009D15F8">
      <w:pPr>
        <w:ind w:firstLine="709"/>
        <w:jc w:val="both"/>
        <w:rPr>
          <w:rFonts w:ascii="Times New Roman" w:hAnsi="Times New Roman" w:cs="Times New Roman"/>
          <w:color w:val="000000" w:themeColor="text1"/>
        </w:rPr>
      </w:pPr>
    </w:p>
    <w:p w14:paraId="5A119755"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1.8.4. Динамика численности редких и находящихся под угрозой исчезновения видов диких копытных животных за 2016 - 2019 годы, особей</w:t>
      </w:r>
    </w:p>
    <w:p w14:paraId="6FE78173" w14:textId="77777777" w:rsidR="009D15F8" w:rsidRPr="00F0736F" w:rsidRDefault="009D15F8" w:rsidP="009D15F8">
      <w:pPr>
        <w:ind w:firstLine="709"/>
        <w:jc w:val="both"/>
        <w:rPr>
          <w:rFonts w:ascii="Times New Roman" w:hAnsi="Times New Roman" w:cs="Times New Roman"/>
          <w:color w:val="000000" w:themeColor="text1"/>
        </w:rPr>
      </w:pPr>
    </w:p>
    <w:tbl>
      <w:tblPr>
        <w:tblW w:w="9730" w:type="dxa"/>
        <w:tblInd w:w="137" w:type="dxa"/>
        <w:tblLayout w:type="fixed"/>
        <w:tblLook w:val="0000" w:firstRow="0" w:lastRow="0" w:firstColumn="0" w:lastColumn="0" w:noHBand="0" w:noVBand="0"/>
      </w:tblPr>
      <w:tblGrid>
        <w:gridCol w:w="3402"/>
        <w:gridCol w:w="2115"/>
        <w:gridCol w:w="2010"/>
        <w:gridCol w:w="2203"/>
      </w:tblGrid>
      <w:tr w:rsidR="00F0736F" w:rsidRPr="00F0736F" w14:paraId="551BFE71" w14:textId="77777777" w:rsidTr="0049541E">
        <w:tc>
          <w:tcPr>
            <w:tcW w:w="3402" w:type="dxa"/>
            <w:tcBorders>
              <w:top w:val="single" w:sz="4" w:space="0" w:color="000000"/>
              <w:left w:val="single" w:sz="4" w:space="0" w:color="000000"/>
              <w:bottom w:val="single" w:sz="4" w:space="0" w:color="000000"/>
            </w:tcBorders>
            <w:shd w:val="clear" w:color="auto" w:fill="auto"/>
          </w:tcPr>
          <w:p w14:paraId="1F5E165C"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Численность, особей</w:t>
            </w:r>
          </w:p>
        </w:tc>
        <w:tc>
          <w:tcPr>
            <w:tcW w:w="2115" w:type="dxa"/>
            <w:tcBorders>
              <w:top w:val="single" w:sz="4" w:space="0" w:color="000000"/>
              <w:left w:val="single" w:sz="4" w:space="0" w:color="000000"/>
              <w:bottom w:val="single" w:sz="4" w:space="0" w:color="000000"/>
            </w:tcBorders>
            <w:shd w:val="clear" w:color="auto" w:fill="auto"/>
          </w:tcPr>
          <w:p w14:paraId="778C8B61"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2017</w:t>
            </w:r>
          </w:p>
        </w:tc>
        <w:tc>
          <w:tcPr>
            <w:tcW w:w="2010" w:type="dxa"/>
            <w:tcBorders>
              <w:top w:val="single" w:sz="4" w:space="0" w:color="000000"/>
              <w:left w:val="single" w:sz="4" w:space="0" w:color="000000"/>
              <w:bottom w:val="single" w:sz="4" w:space="0" w:color="000000"/>
            </w:tcBorders>
            <w:shd w:val="clear" w:color="auto" w:fill="auto"/>
          </w:tcPr>
          <w:p w14:paraId="65CBFEC6"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2018</w:t>
            </w:r>
          </w:p>
        </w:tc>
        <w:tc>
          <w:tcPr>
            <w:tcW w:w="2203" w:type="dxa"/>
            <w:tcBorders>
              <w:top w:val="single" w:sz="4" w:space="0" w:color="000000"/>
              <w:left w:val="single" w:sz="4" w:space="0" w:color="000000"/>
              <w:bottom w:val="single" w:sz="4" w:space="0" w:color="000000"/>
              <w:right w:val="single" w:sz="4" w:space="0" w:color="000000"/>
            </w:tcBorders>
            <w:shd w:val="clear" w:color="auto" w:fill="auto"/>
          </w:tcPr>
          <w:p w14:paraId="5DF9D98E"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1F0B1B0E" w14:textId="77777777" w:rsidTr="0049541E">
        <w:tc>
          <w:tcPr>
            <w:tcW w:w="3402" w:type="dxa"/>
            <w:tcBorders>
              <w:top w:val="single" w:sz="4" w:space="0" w:color="000000"/>
              <w:left w:val="single" w:sz="4" w:space="0" w:color="000000"/>
              <w:bottom w:val="single" w:sz="4" w:space="0" w:color="000000"/>
            </w:tcBorders>
            <w:shd w:val="clear" w:color="auto" w:fill="auto"/>
          </w:tcPr>
          <w:p w14:paraId="2DFD176F" w14:textId="77777777" w:rsidR="009D15F8" w:rsidRPr="00F0736F" w:rsidRDefault="009D15F8" w:rsidP="00CC5774">
            <w:pPr>
              <w:jc w:val="both"/>
              <w:rPr>
                <w:color w:val="000000" w:themeColor="text1"/>
              </w:rPr>
            </w:pPr>
            <w:r w:rsidRPr="00F0736F">
              <w:rPr>
                <w:rFonts w:ascii="Times New Roman" w:hAnsi="Times New Roman" w:cs="Times New Roman"/>
                <w:color w:val="000000" w:themeColor="text1"/>
                <w:sz w:val="20"/>
                <w:szCs w:val="20"/>
              </w:rPr>
              <w:t xml:space="preserve">Тугайный олень </w:t>
            </w:r>
          </w:p>
        </w:tc>
        <w:tc>
          <w:tcPr>
            <w:tcW w:w="2115" w:type="dxa"/>
            <w:tcBorders>
              <w:top w:val="single" w:sz="4" w:space="0" w:color="000000"/>
              <w:left w:val="single" w:sz="4" w:space="0" w:color="000000"/>
              <w:bottom w:val="single" w:sz="4" w:space="0" w:color="000000"/>
            </w:tcBorders>
            <w:shd w:val="clear" w:color="auto" w:fill="auto"/>
          </w:tcPr>
          <w:p w14:paraId="6178C3C1"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825</w:t>
            </w:r>
          </w:p>
        </w:tc>
        <w:tc>
          <w:tcPr>
            <w:tcW w:w="2010" w:type="dxa"/>
            <w:tcBorders>
              <w:top w:val="single" w:sz="4" w:space="0" w:color="000000"/>
              <w:left w:val="single" w:sz="4" w:space="0" w:color="000000"/>
              <w:bottom w:val="single" w:sz="4" w:space="0" w:color="000000"/>
            </w:tcBorders>
            <w:shd w:val="clear" w:color="auto" w:fill="auto"/>
          </w:tcPr>
          <w:p w14:paraId="70FAB96C"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856</w:t>
            </w:r>
          </w:p>
        </w:tc>
        <w:tc>
          <w:tcPr>
            <w:tcW w:w="2203" w:type="dxa"/>
            <w:tcBorders>
              <w:top w:val="single" w:sz="4" w:space="0" w:color="000000"/>
              <w:left w:val="single" w:sz="4" w:space="0" w:color="000000"/>
              <w:bottom w:val="single" w:sz="4" w:space="0" w:color="000000"/>
              <w:right w:val="single" w:sz="4" w:space="0" w:color="000000"/>
            </w:tcBorders>
            <w:shd w:val="clear" w:color="auto" w:fill="auto"/>
          </w:tcPr>
          <w:p w14:paraId="5DA85D2B" w14:textId="77777777"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878</w:t>
            </w:r>
          </w:p>
        </w:tc>
      </w:tr>
      <w:tr w:rsidR="00F0736F" w:rsidRPr="00F0736F" w14:paraId="7EFF8E03" w14:textId="77777777" w:rsidTr="0049541E">
        <w:tc>
          <w:tcPr>
            <w:tcW w:w="3402" w:type="dxa"/>
            <w:tcBorders>
              <w:top w:val="single" w:sz="4" w:space="0" w:color="000000"/>
              <w:left w:val="single" w:sz="4" w:space="0" w:color="000000"/>
              <w:bottom w:val="single" w:sz="4" w:space="0" w:color="000000"/>
            </w:tcBorders>
            <w:shd w:val="clear" w:color="auto" w:fill="auto"/>
          </w:tcPr>
          <w:p w14:paraId="0819B929" w14:textId="77777777" w:rsidR="009D15F8" w:rsidRPr="00F0736F" w:rsidRDefault="009D15F8" w:rsidP="00CC5774">
            <w:pPr>
              <w:jc w:val="both"/>
              <w:rPr>
                <w:color w:val="000000" w:themeColor="text1"/>
              </w:rPr>
            </w:pPr>
            <w:r w:rsidRPr="00F0736F">
              <w:rPr>
                <w:rFonts w:ascii="Times New Roman" w:hAnsi="Times New Roman" w:cs="Times New Roman"/>
                <w:color w:val="000000" w:themeColor="text1"/>
                <w:sz w:val="20"/>
                <w:szCs w:val="20"/>
              </w:rPr>
              <w:t xml:space="preserve">Джейран </w:t>
            </w:r>
          </w:p>
        </w:tc>
        <w:tc>
          <w:tcPr>
            <w:tcW w:w="2115" w:type="dxa"/>
            <w:tcBorders>
              <w:top w:val="single" w:sz="4" w:space="0" w:color="000000"/>
              <w:left w:val="single" w:sz="4" w:space="0" w:color="000000"/>
              <w:bottom w:val="single" w:sz="4" w:space="0" w:color="000000"/>
            </w:tcBorders>
            <w:shd w:val="clear" w:color="auto" w:fill="auto"/>
          </w:tcPr>
          <w:p w14:paraId="5DE121E6" w14:textId="15190131"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13</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727</w:t>
            </w:r>
          </w:p>
        </w:tc>
        <w:tc>
          <w:tcPr>
            <w:tcW w:w="2010" w:type="dxa"/>
            <w:tcBorders>
              <w:top w:val="single" w:sz="4" w:space="0" w:color="000000"/>
              <w:left w:val="single" w:sz="4" w:space="0" w:color="000000"/>
              <w:bottom w:val="single" w:sz="4" w:space="0" w:color="000000"/>
            </w:tcBorders>
            <w:shd w:val="clear" w:color="auto" w:fill="auto"/>
          </w:tcPr>
          <w:p w14:paraId="20DE63C0" w14:textId="45476911"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14</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055</w:t>
            </w:r>
          </w:p>
        </w:tc>
        <w:tc>
          <w:tcPr>
            <w:tcW w:w="2203" w:type="dxa"/>
            <w:tcBorders>
              <w:top w:val="single" w:sz="4" w:space="0" w:color="000000"/>
              <w:left w:val="single" w:sz="4" w:space="0" w:color="000000"/>
              <w:bottom w:val="single" w:sz="4" w:space="0" w:color="000000"/>
              <w:right w:val="single" w:sz="4" w:space="0" w:color="000000"/>
            </w:tcBorders>
            <w:shd w:val="clear" w:color="auto" w:fill="auto"/>
          </w:tcPr>
          <w:p w14:paraId="0EA58582" w14:textId="7ED38098"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14</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391</w:t>
            </w:r>
          </w:p>
        </w:tc>
      </w:tr>
      <w:tr w:rsidR="00F0736F" w:rsidRPr="00F0736F" w14:paraId="199D99FB" w14:textId="77777777" w:rsidTr="0049541E">
        <w:tc>
          <w:tcPr>
            <w:tcW w:w="3402" w:type="dxa"/>
            <w:tcBorders>
              <w:top w:val="single" w:sz="4" w:space="0" w:color="000000"/>
              <w:left w:val="single" w:sz="4" w:space="0" w:color="000000"/>
              <w:bottom w:val="single" w:sz="4" w:space="0" w:color="000000"/>
            </w:tcBorders>
            <w:shd w:val="clear" w:color="auto" w:fill="auto"/>
          </w:tcPr>
          <w:p w14:paraId="2CF7F55D" w14:textId="77777777" w:rsidR="009D15F8" w:rsidRPr="00F0736F" w:rsidRDefault="009D15F8" w:rsidP="00CC5774">
            <w:pPr>
              <w:jc w:val="both"/>
              <w:rPr>
                <w:color w:val="000000" w:themeColor="text1"/>
              </w:rPr>
            </w:pPr>
            <w:r w:rsidRPr="00F0736F">
              <w:rPr>
                <w:rFonts w:ascii="Times New Roman" w:hAnsi="Times New Roman" w:cs="Times New Roman"/>
                <w:color w:val="000000" w:themeColor="text1"/>
                <w:sz w:val="20"/>
                <w:szCs w:val="20"/>
              </w:rPr>
              <w:t xml:space="preserve">Кулан </w:t>
            </w:r>
          </w:p>
        </w:tc>
        <w:tc>
          <w:tcPr>
            <w:tcW w:w="2115" w:type="dxa"/>
            <w:tcBorders>
              <w:top w:val="single" w:sz="4" w:space="0" w:color="000000"/>
              <w:left w:val="single" w:sz="4" w:space="0" w:color="000000"/>
              <w:bottom w:val="single" w:sz="4" w:space="0" w:color="000000"/>
            </w:tcBorders>
            <w:shd w:val="clear" w:color="auto" w:fill="auto"/>
          </w:tcPr>
          <w:p w14:paraId="3F8CB665" w14:textId="7B4F8160"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3</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984</w:t>
            </w:r>
          </w:p>
        </w:tc>
        <w:tc>
          <w:tcPr>
            <w:tcW w:w="2010" w:type="dxa"/>
            <w:tcBorders>
              <w:top w:val="single" w:sz="4" w:space="0" w:color="000000"/>
              <w:left w:val="single" w:sz="4" w:space="0" w:color="000000"/>
              <w:bottom w:val="single" w:sz="4" w:space="0" w:color="000000"/>
            </w:tcBorders>
            <w:shd w:val="clear" w:color="auto" w:fill="auto"/>
          </w:tcPr>
          <w:p w14:paraId="143E10B8" w14:textId="5F9690C8"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4</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103</w:t>
            </w:r>
          </w:p>
        </w:tc>
        <w:tc>
          <w:tcPr>
            <w:tcW w:w="2203" w:type="dxa"/>
            <w:tcBorders>
              <w:top w:val="single" w:sz="4" w:space="0" w:color="000000"/>
              <w:left w:val="single" w:sz="4" w:space="0" w:color="000000"/>
              <w:bottom w:val="single" w:sz="4" w:space="0" w:color="000000"/>
              <w:right w:val="single" w:sz="4" w:space="0" w:color="000000"/>
            </w:tcBorders>
            <w:shd w:val="clear" w:color="auto" w:fill="auto"/>
          </w:tcPr>
          <w:p w14:paraId="2C141605" w14:textId="12F9324B"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4</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197</w:t>
            </w:r>
          </w:p>
        </w:tc>
      </w:tr>
      <w:tr w:rsidR="009D15F8" w:rsidRPr="00F0736F" w14:paraId="5032D5A3" w14:textId="77777777" w:rsidTr="0049541E">
        <w:tc>
          <w:tcPr>
            <w:tcW w:w="3402" w:type="dxa"/>
            <w:tcBorders>
              <w:top w:val="single" w:sz="4" w:space="0" w:color="000000"/>
              <w:left w:val="single" w:sz="4" w:space="0" w:color="000000"/>
              <w:bottom w:val="single" w:sz="4" w:space="0" w:color="000000"/>
            </w:tcBorders>
            <w:shd w:val="clear" w:color="auto" w:fill="auto"/>
          </w:tcPr>
          <w:p w14:paraId="4E28F5B2" w14:textId="77777777" w:rsidR="009D15F8" w:rsidRPr="00F0736F" w:rsidRDefault="009D15F8" w:rsidP="00CC5774">
            <w:pPr>
              <w:jc w:val="both"/>
              <w:rPr>
                <w:color w:val="000000" w:themeColor="text1"/>
              </w:rPr>
            </w:pPr>
            <w:r w:rsidRPr="00F0736F">
              <w:rPr>
                <w:rFonts w:ascii="Times New Roman" w:hAnsi="Times New Roman" w:cs="Times New Roman"/>
                <w:color w:val="000000" w:themeColor="text1"/>
                <w:sz w:val="20"/>
                <w:szCs w:val="20"/>
              </w:rPr>
              <w:t xml:space="preserve">Архар </w:t>
            </w:r>
          </w:p>
        </w:tc>
        <w:tc>
          <w:tcPr>
            <w:tcW w:w="2115" w:type="dxa"/>
            <w:tcBorders>
              <w:top w:val="single" w:sz="4" w:space="0" w:color="000000"/>
              <w:left w:val="single" w:sz="4" w:space="0" w:color="000000"/>
              <w:bottom w:val="single" w:sz="4" w:space="0" w:color="000000"/>
            </w:tcBorders>
            <w:shd w:val="clear" w:color="auto" w:fill="auto"/>
          </w:tcPr>
          <w:p w14:paraId="14667A65" w14:textId="34233224"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16</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802</w:t>
            </w:r>
          </w:p>
        </w:tc>
        <w:tc>
          <w:tcPr>
            <w:tcW w:w="2010" w:type="dxa"/>
            <w:tcBorders>
              <w:top w:val="single" w:sz="4" w:space="0" w:color="000000"/>
              <w:left w:val="single" w:sz="4" w:space="0" w:color="000000"/>
              <w:bottom w:val="single" w:sz="4" w:space="0" w:color="000000"/>
            </w:tcBorders>
            <w:shd w:val="clear" w:color="auto" w:fill="auto"/>
          </w:tcPr>
          <w:p w14:paraId="3A72282B" w14:textId="2E3D402B"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17</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065</w:t>
            </w:r>
          </w:p>
        </w:tc>
        <w:tc>
          <w:tcPr>
            <w:tcW w:w="2203" w:type="dxa"/>
            <w:tcBorders>
              <w:top w:val="single" w:sz="4" w:space="0" w:color="000000"/>
              <w:left w:val="single" w:sz="4" w:space="0" w:color="000000"/>
              <w:bottom w:val="single" w:sz="4" w:space="0" w:color="000000"/>
              <w:right w:val="single" w:sz="4" w:space="0" w:color="000000"/>
            </w:tcBorders>
            <w:shd w:val="clear" w:color="auto" w:fill="auto"/>
          </w:tcPr>
          <w:p w14:paraId="487BCB4B" w14:textId="7D0B3073" w:rsidR="009D15F8" w:rsidRPr="00F0736F" w:rsidRDefault="009D15F8" w:rsidP="00CC5774">
            <w:pPr>
              <w:jc w:val="center"/>
              <w:rPr>
                <w:color w:val="000000" w:themeColor="text1"/>
              </w:rPr>
            </w:pPr>
            <w:r w:rsidRPr="00F0736F">
              <w:rPr>
                <w:rFonts w:ascii="Times New Roman" w:hAnsi="Times New Roman" w:cs="Times New Roman"/>
                <w:color w:val="000000" w:themeColor="text1"/>
                <w:sz w:val="20"/>
                <w:szCs w:val="20"/>
              </w:rPr>
              <w:t>17</w:t>
            </w:r>
            <w:r w:rsidR="0049541E"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954</w:t>
            </w:r>
          </w:p>
        </w:tc>
      </w:tr>
    </w:tbl>
    <w:p w14:paraId="493A9C71" w14:textId="77777777" w:rsidR="009D15F8" w:rsidRPr="00F0736F" w:rsidRDefault="009D15F8" w:rsidP="009D15F8">
      <w:pPr>
        <w:ind w:firstLine="709"/>
        <w:jc w:val="both"/>
        <w:rPr>
          <w:rFonts w:ascii="Times New Roman" w:hAnsi="Times New Roman" w:cs="Times New Roman"/>
          <w:color w:val="000000" w:themeColor="text1"/>
        </w:rPr>
      </w:pPr>
    </w:p>
    <w:p w14:paraId="689066CD" w14:textId="1BCBCF1D" w:rsidR="009D15F8" w:rsidRPr="00F0736F" w:rsidRDefault="009D15F8" w:rsidP="009D15F8">
      <w:pPr>
        <w:ind w:firstLine="709"/>
        <w:jc w:val="both"/>
        <w:rPr>
          <w:color w:val="000000" w:themeColor="text1"/>
        </w:rPr>
      </w:pPr>
      <w:r w:rsidRPr="00F0736F">
        <w:rPr>
          <w:rFonts w:ascii="Times New Roman" w:hAnsi="Times New Roman" w:cs="Times New Roman"/>
          <w:b/>
          <w:color w:val="000000" w:themeColor="text1"/>
        </w:rPr>
        <w:t>Общая численность сайгаков</w:t>
      </w:r>
      <w:r w:rsidRPr="00F0736F">
        <w:rPr>
          <w:rFonts w:ascii="Times New Roman" w:hAnsi="Times New Roman" w:cs="Times New Roman"/>
          <w:color w:val="000000" w:themeColor="text1"/>
        </w:rPr>
        <w:t xml:space="preserve"> в Казахстане в 2018 году составила 215,1 тыс. особей, в том числе Бетпакдалинской популяции – 76,4 тыс., Устюртской – 3,7 тыс., Уральской – 135,0 тыс. особей, но динамика предыдущих годов не всегда положительная. </w:t>
      </w:r>
    </w:p>
    <w:p w14:paraId="6CCE79AB" w14:textId="7D3D5F1D"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 xml:space="preserve">В 2019 году по результатам авиаучета общая численность сайгаков в Казахстане составила </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334</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400 особей, в т.ч. уральская популяция </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217</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000 особей, бетпакдалинская </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111</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500 особей и устюртская </w:t>
      </w:r>
      <w:r w:rsidR="0049541E" w:rsidRPr="00F0736F">
        <w:rPr>
          <w:rFonts w:ascii="Times New Roman" w:eastAsia="Calibri" w:hAnsi="Times New Roman" w:cs="Times New Roman"/>
          <w:color w:val="000000" w:themeColor="text1"/>
        </w:rPr>
        <w:t>–</w:t>
      </w:r>
      <w:r w:rsidR="00B15D75"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5</w:t>
      </w:r>
      <w:r w:rsidR="0049541E"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900 особей (таблица 1.8.5). </w:t>
      </w:r>
      <w:r w:rsidRPr="00F0736F">
        <w:rPr>
          <w:rFonts w:ascii="Times New Roman" w:hAnsi="Times New Roman" w:cs="Times New Roman"/>
          <w:color w:val="000000" w:themeColor="text1"/>
        </w:rPr>
        <w:t xml:space="preserve">В целях сохранения и увеличения численности сайгаков приказом Комитета лесного хозяйства и животного мира МЭГПР РК в феврале 2020 года продлен запрет на пользование сайгаками, их частями и дериватами на всей территории РК до 2023 года, кроме использования в научных целях. </w:t>
      </w:r>
    </w:p>
    <w:p w14:paraId="481E9579" w14:textId="77777777" w:rsidR="009D15F8" w:rsidRPr="00F0736F" w:rsidRDefault="009D15F8" w:rsidP="009D15F8">
      <w:pPr>
        <w:ind w:firstLine="709"/>
        <w:jc w:val="both"/>
        <w:rPr>
          <w:rFonts w:ascii="Times New Roman" w:hAnsi="Times New Roman" w:cs="Times New Roman"/>
          <w:color w:val="000000" w:themeColor="text1"/>
        </w:rPr>
      </w:pPr>
    </w:p>
    <w:p w14:paraId="585922A4"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1.8.5. Динамика численности сайгаков по популяциям за 2016 - 2019 годы, тыс. особей</w:t>
      </w:r>
    </w:p>
    <w:p w14:paraId="6E92C5B1" w14:textId="77777777" w:rsidR="009D15F8" w:rsidRPr="00F0736F" w:rsidRDefault="009D15F8" w:rsidP="009D15F8">
      <w:pPr>
        <w:ind w:firstLine="709"/>
        <w:jc w:val="both"/>
        <w:rPr>
          <w:rFonts w:ascii="Times New Roman" w:hAnsi="Times New Roman" w:cs="Times New Roman"/>
          <w:color w:val="000000" w:themeColor="text1"/>
        </w:rPr>
      </w:pPr>
    </w:p>
    <w:tbl>
      <w:tblPr>
        <w:tblW w:w="0" w:type="auto"/>
        <w:tblInd w:w="675" w:type="dxa"/>
        <w:tblLayout w:type="fixed"/>
        <w:tblLook w:val="0000" w:firstRow="0" w:lastRow="0" w:firstColumn="0" w:lastColumn="0" w:noHBand="0" w:noVBand="0"/>
      </w:tblPr>
      <w:tblGrid>
        <w:gridCol w:w="2715"/>
        <w:gridCol w:w="2250"/>
        <w:gridCol w:w="1845"/>
        <w:gridCol w:w="2005"/>
      </w:tblGrid>
      <w:tr w:rsidR="00F0736F" w:rsidRPr="00F0736F" w14:paraId="402F63E6" w14:textId="77777777" w:rsidTr="0017426D">
        <w:tc>
          <w:tcPr>
            <w:tcW w:w="2715" w:type="dxa"/>
            <w:vMerge w:val="restart"/>
            <w:tcBorders>
              <w:top w:val="single" w:sz="4" w:space="0" w:color="000000"/>
              <w:left w:val="single" w:sz="4" w:space="0" w:color="000000"/>
              <w:bottom w:val="single" w:sz="4" w:space="0" w:color="000000"/>
            </w:tcBorders>
            <w:shd w:val="clear" w:color="auto" w:fill="auto"/>
          </w:tcPr>
          <w:p w14:paraId="0FB70885" w14:textId="77777777" w:rsidR="009D15F8" w:rsidRPr="00F0736F" w:rsidRDefault="009D15F8" w:rsidP="00CC5774">
            <w:pPr>
              <w:ind w:firstLine="34"/>
              <w:jc w:val="center"/>
              <w:rPr>
                <w:color w:val="000000" w:themeColor="text1"/>
              </w:rPr>
            </w:pPr>
            <w:r w:rsidRPr="00F0736F">
              <w:rPr>
                <w:rFonts w:ascii="Times New Roman" w:hAnsi="Times New Roman" w:cs="Times New Roman"/>
                <w:color w:val="000000" w:themeColor="text1"/>
                <w:sz w:val="20"/>
                <w:szCs w:val="20"/>
              </w:rPr>
              <w:t>Популяция</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BCE9B79" w14:textId="77777777" w:rsidR="009D15F8" w:rsidRPr="00F0736F" w:rsidRDefault="009D15F8" w:rsidP="00CC5774">
            <w:pPr>
              <w:ind w:firstLine="34"/>
              <w:jc w:val="center"/>
              <w:rPr>
                <w:color w:val="000000" w:themeColor="text1"/>
              </w:rPr>
            </w:pPr>
            <w:r w:rsidRPr="00F0736F">
              <w:rPr>
                <w:rFonts w:ascii="Times New Roman" w:hAnsi="Times New Roman" w:cs="Times New Roman"/>
                <w:color w:val="000000" w:themeColor="text1"/>
                <w:sz w:val="20"/>
                <w:szCs w:val="20"/>
              </w:rPr>
              <w:t>Численность сайгаков, тыс.голов</w:t>
            </w:r>
          </w:p>
        </w:tc>
      </w:tr>
      <w:tr w:rsidR="00F0736F" w:rsidRPr="00F0736F" w14:paraId="4E5A1431" w14:textId="77777777" w:rsidTr="0017426D">
        <w:tc>
          <w:tcPr>
            <w:tcW w:w="2715" w:type="dxa"/>
            <w:vMerge/>
            <w:tcBorders>
              <w:top w:val="single" w:sz="4" w:space="0" w:color="000000"/>
              <w:left w:val="single" w:sz="4" w:space="0" w:color="000000"/>
              <w:bottom w:val="single" w:sz="4" w:space="0" w:color="000000"/>
            </w:tcBorders>
            <w:shd w:val="clear" w:color="auto" w:fill="auto"/>
          </w:tcPr>
          <w:p w14:paraId="75183A9B" w14:textId="77777777" w:rsidR="009D15F8" w:rsidRPr="00F0736F" w:rsidRDefault="009D15F8" w:rsidP="00CC5774">
            <w:pPr>
              <w:snapToGrid w:val="0"/>
              <w:ind w:firstLine="34"/>
              <w:jc w:val="center"/>
              <w:rPr>
                <w:rFonts w:ascii="Times New Roman" w:hAnsi="Times New Roman" w:cs="Times New Roman"/>
                <w:color w:val="000000" w:themeColor="text1"/>
                <w:sz w:val="20"/>
                <w:szCs w:val="20"/>
              </w:rPr>
            </w:pPr>
          </w:p>
        </w:tc>
        <w:tc>
          <w:tcPr>
            <w:tcW w:w="2250" w:type="dxa"/>
            <w:tcBorders>
              <w:top w:val="single" w:sz="4" w:space="0" w:color="000000"/>
              <w:left w:val="single" w:sz="4" w:space="0" w:color="000000"/>
              <w:bottom w:val="single" w:sz="4" w:space="0" w:color="000000"/>
            </w:tcBorders>
            <w:shd w:val="clear" w:color="auto" w:fill="auto"/>
          </w:tcPr>
          <w:p w14:paraId="3D8D3429" w14:textId="77777777" w:rsidR="009D15F8" w:rsidRPr="00F0736F" w:rsidRDefault="009D15F8" w:rsidP="00CC5774">
            <w:pPr>
              <w:ind w:firstLine="34"/>
              <w:jc w:val="center"/>
              <w:rPr>
                <w:color w:val="000000" w:themeColor="text1"/>
              </w:rPr>
            </w:pPr>
            <w:r w:rsidRPr="00F0736F">
              <w:rPr>
                <w:rFonts w:ascii="Times New Roman" w:hAnsi="Times New Roman" w:cs="Times New Roman"/>
                <w:color w:val="000000" w:themeColor="text1"/>
                <w:sz w:val="20"/>
                <w:szCs w:val="20"/>
              </w:rPr>
              <w:t>2017</w:t>
            </w:r>
          </w:p>
        </w:tc>
        <w:tc>
          <w:tcPr>
            <w:tcW w:w="1845" w:type="dxa"/>
            <w:tcBorders>
              <w:top w:val="single" w:sz="4" w:space="0" w:color="000000"/>
              <w:left w:val="single" w:sz="4" w:space="0" w:color="000000"/>
              <w:bottom w:val="single" w:sz="4" w:space="0" w:color="000000"/>
            </w:tcBorders>
            <w:shd w:val="clear" w:color="auto" w:fill="auto"/>
          </w:tcPr>
          <w:p w14:paraId="6D16D971" w14:textId="77777777" w:rsidR="009D15F8" w:rsidRPr="00F0736F" w:rsidRDefault="009D15F8" w:rsidP="00CC5774">
            <w:pPr>
              <w:ind w:firstLine="34"/>
              <w:jc w:val="center"/>
              <w:rPr>
                <w:color w:val="000000" w:themeColor="text1"/>
              </w:rPr>
            </w:pPr>
            <w:r w:rsidRPr="00F0736F">
              <w:rPr>
                <w:rFonts w:ascii="Times New Roman" w:hAnsi="Times New Roman" w:cs="Times New Roman"/>
                <w:color w:val="000000" w:themeColor="text1"/>
                <w:sz w:val="20"/>
                <w:szCs w:val="20"/>
              </w:rPr>
              <w:t>2018</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20A0A802" w14:textId="77777777" w:rsidR="009D15F8" w:rsidRPr="00F0736F" w:rsidRDefault="009D15F8" w:rsidP="00CC5774">
            <w:pPr>
              <w:ind w:firstLine="34"/>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7A43F810" w14:textId="77777777" w:rsidTr="0017426D">
        <w:tc>
          <w:tcPr>
            <w:tcW w:w="2715" w:type="dxa"/>
            <w:tcBorders>
              <w:top w:val="single" w:sz="4" w:space="0" w:color="000000"/>
              <w:left w:val="single" w:sz="4" w:space="0" w:color="000000"/>
              <w:bottom w:val="single" w:sz="4" w:space="0" w:color="000000"/>
            </w:tcBorders>
            <w:shd w:val="clear" w:color="auto" w:fill="auto"/>
          </w:tcPr>
          <w:p w14:paraId="70C56FDE" w14:textId="77777777" w:rsidR="009D15F8" w:rsidRPr="00F0736F" w:rsidRDefault="009D15F8" w:rsidP="00CC5774">
            <w:pPr>
              <w:ind w:firstLine="34"/>
              <w:jc w:val="both"/>
              <w:rPr>
                <w:color w:val="000000" w:themeColor="text1"/>
              </w:rPr>
            </w:pPr>
            <w:r w:rsidRPr="00F0736F">
              <w:rPr>
                <w:rFonts w:ascii="Times New Roman" w:hAnsi="Times New Roman" w:cs="Times New Roman"/>
                <w:color w:val="000000" w:themeColor="text1"/>
                <w:sz w:val="20"/>
                <w:szCs w:val="20"/>
              </w:rPr>
              <w:t xml:space="preserve">Бетпакдалинская </w:t>
            </w:r>
          </w:p>
        </w:tc>
        <w:tc>
          <w:tcPr>
            <w:tcW w:w="2250" w:type="dxa"/>
            <w:tcBorders>
              <w:top w:val="single" w:sz="4" w:space="0" w:color="000000"/>
              <w:left w:val="single" w:sz="4" w:space="0" w:color="000000"/>
              <w:bottom w:val="single" w:sz="4" w:space="0" w:color="000000"/>
            </w:tcBorders>
            <w:shd w:val="clear" w:color="auto" w:fill="auto"/>
          </w:tcPr>
          <w:p w14:paraId="61619035"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51,7</w:t>
            </w:r>
          </w:p>
        </w:tc>
        <w:tc>
          <w:tcPr>
            <w:tcW w:w="1845" w:type="dxa"/>
            <w:tcBorders>
              <w:top w:val="single" w:sz="4" w:space="0" w:color="000000"/>
              <w:left w:val="single" w:sz="4" w:space="0" w:color="000000"/>
              <w:bottom w:val="single" w:sz="4" w:space="0" w:color="000000"/>
            </w:tcBorders>
            <w:shd w:val="clear" w:color="auto" w:fill="auto"/>
          </w:tcPr>
          <w:p w14:paraId="76E62521"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76,4</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762B680F"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111,5</w:t>
            </w:r>
          </w:p>
        </w:tc>
      </w:tr>
      <w:tr w:rsidR="00F0736F" w:rsidRPr="00F0736F" w14:paraId="55543962" w14:textId="77777777" w:rsidTr="0017426D">
        <w:tc>
          <w:tcPr>
            <w:tcW w:w="2715" w:type="dxa"/>
            <w:tcBorders>
              <w:top w:val="single" w:sz="4" w:space="0" w:color="000000"/>
              <w:left w:val="single" w:sz="4" w:space="0" w:color="000000"/>
              <w:bottom w:val="single" w:sz="4" w:space="0" w:color="000000"/>
            </w:tcBorders>
            <w:shd w:val="clear" w:color="auto" w:fill="auto"/>
          </w:tcPr>
          <w:p w14:paraId="1C907E51" w14:textId="77777777" w:rsidR="009D15F8" w:rsidRPr="00F0736F" w:rsidRDefault="009D15F8" w:rsidP="00CC5774">
            <w:pPr>
              <w:ind w:firstLine="34"/>
              <w:jc w:val="both"/>
              <w:rPr>
                <w:color w:val="000000" w:themeColor="text1"/>
              </w:rPr>
            </w:pPr>
            <w:r w:rsidRPr="00F0736F">
              <w:rPr>
                <w:rFonts w:ascii="Times New Roman" w:hAnsi="Times New Roman" w:cs="Times New Roman"/>
                <w:color w:val="000000" w:themeColor="text1"/>
                <w:sz w:val="20"/>
                <w:szCs w:val="20"/>
              </w:rPr>
              <w:t xml:space="preserve">Устюртская </w:t>
            </w:r>
          </w:p>
        </w:tc>
        <w:tc>
          <w:tcPr>
            <w:tcW w:w="2250" w:type="dxa"/>
            <w:tcBorders>
              <w:top w:val="single" w:sz="4" w:space="0" w:color="000000"/>
              <w:left w:val="single" w:sz="4" w:space="0" w:color="000000"/>
              <w:bottom w:val="single" w:sz="4" w:space="0" w:color="000000"/>
            </w:tcBorders>
            <w:shd w:val="clear" w:color="auto" w:fill="auto"/>
          </w:tcPr>
          <w:p w14:paraId="6E4AB0AE"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2,7</w:t>
            </w:r>
          </w:p>
        </w:tc>
        <w:tc>
          <w:tcPr>
            <w:tcW w:w="1845" w:type="dxa"/>
            <w:tcBorders>
              <w:top w:val="single" w:sz="4" w:space="0" w:color="000000"/>
              <w:left w:val="single" w:sz="4" w:space="0" w:color="000000"/>
              <w:bottom w:val="single" w:sz="4" w:space="0" w:color="000000"/>
            </w:tcBorders>
            <w:shd w:val="clear" w:color="auto" w:fill="auto"/>
          </w:tcPr>
          <w:p w14:paraId="4268F973"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3,7</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50367C87"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5,9</w:t>
            </w:r>
          </w:p>
        </w:tc>
      </w:tr>
      <w:tr w:rsidR="00F0736F" w:rsidRPr="00F0736F" w14:paraId="5A9FD4A3" w14:textId="77777777" w:rsidTr="0017426D">
        <w:tc>
          <w:tcPr>
            <w:tcW w:w="2715" w:type="dxa"/>
            <w:tcBorders>
              <w:top w:val="single" w:sz="4" w:space="0" w:color="000000"/>
              <w:left w:val="single" w:sz="4" w:space="0" w:color="000000"/>
              <w:bottom w:val="single" w:sz="4" w:space="0" w:color="000000"/>
            </w:tcBorders>
            <w:shd w:val="clear" w:color="auto" w:fill="auto"/>
          </w:tcPr>
          <w:p w14:paraId="1B2A457D" w14:textId="77777777" w:rsidR="009D15F8" w:rsidRPr="00F0736F" w:rsidRDefault="009D15F8" w:rsidP="00CC5774">
            <w:pPr>
              <w:ind w:firstLine="34"/>
              <w:jc w:val="both"/>
              <w:rPr>
                <w:color w:val="000000" w:themeColor="text1"/>
              </w:rPr>
            </w:pPr>
            <w:r w:rsidRPr="00F0736F">
              <w:rPr>
                <w:rFonts w:ascii="Times New Roman" w:hAnsi="Times New Roman" w:cs="Times New Roman"/>
                <w:color w:val="000000" w:themeColor="text1"/>
                <w:sz w:val="20"/>
                <w:szCs w:val="20"/>
              </w:rPr>
              <w:t xml:space="preserve">Уральская </w:t>
            </w:r>
          </w:p>
        </w:tc>
        <w:tc>
          <w:tcPr>
            <w:tcW w:w="2250" w:type="dxa"/>
            <w:tcBorders>
              <w:top w:val="single" w:sz="4" w:space="0" w:color="000000"/>
              <w:left w:val="single" w:sz="4" w:space="0" w:color="000000"/>
              <w:bottom w:val="single" w:sz="4" w:space="0" w:color="000000"/>
            </w:tcBorders>
            <w:shd w:val="clear" w:color="auto" w:fill="auto"/>
          </w:tcPr>
          <w:p w14:paraId="3FB87A91"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98,2</w:t>
            </w:r>
          </w:p>
        </w:tc>
        <w:tc>
          <w:tcPr>
            <w:tcW w:w="1845" w:type="dxa"/>
            <w:tcBorders>
              <w:top w:val="single" w:sz="4" w:space="0" w:color="000000"/>
              <w:left w:val="single" w:sz="4" w:space="0" w:color="000000"/>
              <w:bottom w:val="single" w:sz="4" w:space="0" w:color="000000"/>
            </w:tcBorders>
            <w:shd w:val="clear" w:color="auto" w:fill="auto"/>
          </w:tcPr>
          <w:p w14:paraId="2342E252"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135</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57F12EDE"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217</w:t>
            </w:r>
          </w:p>
        </w:tc>
      </w:tr>
      <w:tr w:rsidR="009D15F8" w:rsidRPr="00F0736F" w14:paraId="5E21FE9D" w14:textId="77777777" w:rsidTr="0017426D">
        <w:tc>
          <w:tcPr>
            <w:tcW w:w="2715" w:type="dxa"/>
            <w:tcBorders>
              <w:top w:val="single" w:sz="4" w:space="0" w:color="000000"/>
              <w:left w:val="single" w:sz="4" w:space="0" w:color="000000"/>
              <w:bottom w:val="single" w:sz="4" w:space="0" w:color="000000"/>
            </w:tcBorders>
            <w:shd w:val="clear" w:color="auto" w:fill="auto"/>
          </w:tcPr>
          <w:p w14:paraId="40AD50D3" w14:textId="77777777" w:rsidR="009D15F8" w:rsidRPr="00F0736F" w:rsidRDefault="009D15F8" w:rsidP="00CC5774">
            <w:pPr>
              <w:ind w:firstLine="34"/>
              <w:jc w:val="both"/>
              <w:rPr>
                <w:color w:val="000000" w:themeColor="text1"/>
              </w:rPr>
            </w:pPr>
            <w:r w:rsidRPr="00F0736F">
              <w:rPr>
                <w:rFonts w:ascii="Times New Roman" w:hAnsi="Times New Roman" w:cs="Times New Roman"/>
                <w:color w:val="000000" w:themeColor="text1"/>
                <w:sz w:val="20"/>
                <w:szCs w:val="20"/>
              </w:rPr>
              <w:t xml:space="preserve">Всего </w:t>
            </w:r>
          </w:p>
        </w:tc>
        <w:tc>
          <w:tcPr>
            <w:tcW w:w="2250" w:type="dxa"/>
            <w:tcBorders>
              <w:top w:val="single" w:sz="4" w:space="0" w:color="000000"/>
              <w:left w:val="single" w:sz="4" w:space="0" w:color="000000"/>
              <w:bottom w:val="single" w:sz="4" w:space="0" w:color="000000"/>
            </w:tcBorders>
            <w:shd w:val="clear" w:color="auto" w:fill="auto"/>
          </w:tcPr>
          <w:p w14:paraId="54027FCC"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152,6</w:t>
            </w:r>
          </w:p>
        </w:tc>
        <w:tc>
          <w:tcPr>
            <w:tcW w:w="1845" w:type="dxa"/>
            <w:tcBorders>
              <w:top w:val="single" w:sz="4" w:space="0" w:color="000000"/>
              <w:left w:val="single" w:sz="4" w:space="0" w:color="000000"/>
              <w:bottom w:val="single" w:sz="4" w:space="0" w:color="000000"/>
            </w:tcBorders>
            <w:shd w:val="clear" w:color="auto" w:fill="auto"/>
          </w:tcPr>
          <w:p w14:paraId="7EEDAA72"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215,1</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7EB0C27C" w14:textId="77777777" w:rsidR="009D15F8" w:rsidRPr="00F0736F" w:rsidRDefault="009D15F8" w:rsidP="0049541E">
            <w:pPr>
              <w:ind w:firstLine="34"/>
              <w:jc w:val="center"/>
              <w:rPr>
                <w:color w:val="000000" w:themeColor="text1"/>
              </w:rPr>
            </w:pPr>
            <w:r w:rsidRPr="00F0736F">
              <w:rPr>
                <w:rFonts w:ascii="Times New Roman" w:hAnsi="Times New Roman" w:cs="Times New Roman"/>
                <w:color w:val="000000" w:themeColor="text1"/>
                <w:sz w:val="20"/>
                <w:szCs w:val="20"/>
              </w:rPr>
              <w:t>334,4</w:t>
            </w:r>
          </w:p>
        </w:tc>
      </w:tr>
    </w:tbl>
    <w:p w14:paraId="5931B8B5" w14:textId="77777777" w:rsidR="009D15F8" w:rsidRPr="00F0736F" w:rsidRDefault="009D15F8" w:rsidP="009D15F8">
      <w:pPr>
        <w:ind w:firstLine="709"/>
        <w:jc w:val="both"/>
        <w:rPr>
          <w:rFonts w:ascii="Times New Roman" w:hAnsi="Times New Roman" w:cs="Times New Roman"/>
          <w:color w:val="000000" w:themeColor="text1"/>
        </w:rPr>
      </w:pPr>
    </w:p>
    <w:p w14:paraId="6387D244"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Внедряется новая технология ведения мониторинга животного мира с использованием спутниковых маяков (радиоошейников) и установкой фотоловушек в особо охраняемых природных территориях. Основными объектами для установки радиоошейников были сайгаки, джейраны, куланы и волки.</w:t>
      </w:r>
    </w:p>
    <w:p w14:paraId="6C9A64B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Охрану сайгаков и редких и исчезающих видов копытных животных осуществляет РГКП «ПО «Охотзоопром» на территориях 13 административных областей общей площадью 123,0 млн. га, с использованием автотранспорта в очень трудных условиях бездорожья пустыни и степных районов. В целях ужесточения требований к браконьерам увеличены размеры возмещения вреда за незаконное изъятие сайгаков с 200 МРП до 500 МРП за самца, и с 150 до 350 МРП за самку и молодняк сайгака. </w:t>
      </w:r>
    </w:p>
    <w:p w14:paraId="7A170E3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целях сохранения животных и увеличения их численности введен запрет весенней охоты и ограничена суточная норма изъятия одного вида пернатой и пушной дичи на одного охотника до пяти особей, кроме промысловой охоты. Данные меры положительно сказались на снижении фактов браконьерства и увеличении воспроизводства водоплавающей дичи.</w:t>
      </w:r>
    </w:p>
    <w:p w14:paraId="6189E58B" w14:textId="3676E03C"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Несмотря на принимаемые меры по борьбе с браконьерством на сайгаков</w:t>
      </w:r>
      <w:r w:rsidR="0049541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случаи их отстрела не прекращаются. </w:t>
      </w:r>
    </w:p>
    <w:p w14:paraId="0237E5EF" w14:textId="68D2B4BB"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Так, за 2017 год выявлено 58 фактов браконьерства, изъято 470 туши и 1</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174 рогов соответственно. Эти факты свидетельствуют о возможности контрабандного провоза за пределы страны продукции сайгаков. Наличие рынка рогов сайгаков внутри республики и налаженного маршрута контрабандного вывоза их</w:t>
      </w:r>
      <w:r w:rsidR="0049541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за границу, уход задержанных лиц от ответственности, представляют собой фактор риска для сохранения сайгаков, снижая эффективность принимаемых государством меры по их сохранению. </w:t>
      </w:r>
      <w:r w:rsidRPr="00F0736F">
        <w:rPr>
          <w:rFonts w:ascii="Times New Roman" w:eastAsia="Times New Roman" w:hAnsi="Times New Roman" w:cs="Times New Roman"/>
          <w:color w:val="000000" w:themeColor="text1"/>
          <w:lang w:eastAsia="ru-RU"/>
        </w:rPr>
        <w:t>За 2018 год выявлено 77 фактов браконьерства, изъято 500 рогов сайги.</w:t>
      </w:r>
    </w:p>
    <w:p w14:paraId="357CAC89" w14:textId="0CDECB85"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Всего за 2018 год территориальными подразделениями Комитета лесного хозяйства и животного мира было выявлено 7</w:t>
      </w:r>
      <w:r w:rsidR="00BC2C6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330 нарушений, к административной ответственности привлечено 6</w:t>
      </w:r>
      <w:r w:rsidR="00BC2C6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292 человек</w:t>
      </w:r>
      <w:r w:rsidR="00BC2C62"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 уголовной - 39. Наложено штрафов на сумму 85,1 млн. тенге, взыскано 72,1 млн. тенге.</w:t>
      </w:r>
    </w:p>
    <w:p w14:paraId="0AF3CBC8" w14:textId="790F7772"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За 2019 год проведено 9</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124 комплексных рейда и 1</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045 проверок в области природопользования, при этом выявлено 8</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801 случая нарушений природоохранного законодательства, в том числе по охоте 998, по лесу – 1171, по рыбе </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632. К административной ответственности привлечено 7150 человек, в том числе по охоте -979, по лесу - 812, по рыбе – 5359, к уголовной ответственности привлечены 57 браконьеров. Наложено административных штрафов на сумму 95, 04 млн.</w:t>
      </w:r>
      <w:r w:rsidR="00437EA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тенге, из них взыскано 86,515 млн. тенге.</w:t>
      </w:r>
    </w:p>
    <w:p w14:paraId="45DD7120"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Эффективными мерами по охране животного мира были следующие:</w:t>
      </w:r>
    </w:p>
    <w:p w14:paraId="5B49BEAD"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проведены межхозяйственное охотустройство охотничьих угодий и биологоэкономические обследования, н</w:t>
      </w:r>
      <w:r w:rsidR="00B15D75" w:rsidRPr="00F0736F">
        <w:rPr>
          <w:rFonts w:ascii="Times New Roman" w:hAnsi="Times New Roman" w:cs="Times New Roman"/>
          <w:color w:val="000000" w:themeColor="text1"/>
        </w:rPr>
        <w:t>а основании которых осуществлено</w:t>
      </w:r>
      <w:r w:rsidRPr="00F0736F">
        <w:rPr>
          <w:rFonts w:ascii="Times New Roman" w:hAnsi="Times New Roman" w:cs="Times New Roman"/>
          <w:color w:val="000000" w:themeColor="text1"/>
        </w:rPr>
        <w:t xml:space="preserve"> закрепление резервного фонда охотничьих угодий;</w:t>
      </w:r>
    </w:p>
    <w:p w14:paraId="3724DBD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проведены учетные работы и по результатам биологического обоснования определены лимиты на изъятие охотничьих видов животных, которые способствуют их естественному воспроизводству и устойчивому использованию;</w:t>
      </w:r>
    </w:p>
    <w:p w14:paraId="1C11F37D"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осуществлены реинтродукция редких и исчезающих видов диких копытных животных и другие намеченные мероприятия, определенные для реализации национальных задач в области животного мира и охотничьего хозяйства.</w:t>
      </w:r>
    </w:p>
    <w:p w14:paraId="77B6C0F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Совместно с АСБК реализован Проект «Ирбис». Проект начат в 2015 году и выполнялся совместно с Жонгар-Алатауским ГНПП на территории, как самого национального парка, так и Токтинского заказника. </w:t>
      </w:r>
    </w:p>
    <w:p w14:paraId="391603FF"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РГП «Институт зоологии» КН МОН РК в 2017 - 2019 гг. проводились следующие проекты по изучению и разработке мер сохранения снежного барса:</w:t>
      </w:r>
    </w:p>
    <w:p w14:paraId="1CA42B13" w14:textId="2DF031F2"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1.</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«Закономерности пространственной структуры и биотопического распределения редких и хозяйственно-важных видов млекопитающих в заповедных и рекреационных зонах Северного Тянь-Шаня как основа для их сохранения и рационального использования» (грант МОН РК), где помимо снежного барса исследовалось туркестанская рысь, тяньшанский бурый медведь, тяньшанский архар, волк, благородный олень (марал), сибирская косуля, кабан, сибирский горный козел</w:t>
      </w:r>
      <w:r w:rsidR="00437EA6" w:rsidRPr="00F0736F">
        <w:rPr>
          <w:rFonts w:ascii="Times New Roman" w:hAnsi="Times New Roman" w:cs="Times New Roman"/>
          <w:color w:val="000000" w:themeColor="text1"/>
        </w:rPr>
        <w:t>;</w:t>
      </w:r>
    </w:p>
    <w:p w14:paraId="61153EC8"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2.</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«Пилотные исследования по экологическому мониторингу снежного барса на проектной территории Илейского Алатау»</w:t>
      </w:r>
    </w:p>
    <w:p w14:paraId="0716786B" w14:textId="3A0C4EB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3.</w:t>
      </w:r>
      <w:r w:rsidRPr="00F0736F">
        <w:rPr>
          <w:rFonts w:ascii="Times New Roman" w:hAnsi="Times New Roman" w:cs="Times New Roman"/>
          <w:color w:val="000000" w:themeColor="text1"/>
          <w:lang w:val="kk-KZ"/>
        </w:rPr>
        <w:t xml:space="preserve"> </w:t>
      </w:r>
      <w:r w:rsidR="00437EA6" w:rsidRPr="00F0736F">
        <w:rPr>
          <w:rFonts w:ascii="Times New Roman" w:hAnsi="Times New Roman" w:cs="Times New Roman"/>
          <w:color w:val="000000" w:themeColor="text1"/>
        </w:rPr>
        <w:t>у</w:t>
      </w:r>
      <w:r w:rsidRPr="00F0736F">
        <w:rPr>
          <w:rFonts w:ascii="Times New Roman" w:hAnsi="Times New Roman" w:cs="Times New Roman"/>
          <w:color w:val="000000" w:themeColor="text1"/>
        </w:rPr>
        <w:t>чет численности и разработка рекомендаций по сохранению снежного барса (Panthera uncia) в казахстанской части Алтае-Саянского экорегиона» (совместно с Общественным фондом «Wildlife Without Borders»)</w:t>
      </w:r>
      <w:r w:rsidR="00437EA6" w:rsidRPr="00F0736F">
        <w:rPr>
          <w:rFonts w:ascii="Times New Roman" w:hAnsi="Times New Roman" w:cs="Times New Roman"/>
          <w:color w:val="000000" w:themeColor="text1"/>
        </w:rPr>
        <w:t>;</w:t>
      </w:r>
    </w:p>
    <w:p w14:paraId="04165AB8" w14:textId="3AB5C9C6"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4.</w:t>
      </w:r>
      <w:r w:rsidRPr="00F0736F">
        <w:rPr>
          <w:rFonts w:ascii="Times New Roman" w:hAnsi="Times New Roman" w:cs="Times New Roman"/>
          <w:color w:val="000000" w:themeColor="text1"/>
          <w:lang w:val="kk-KZ"/>
        </w:rPr>
        <w:t xml:space="preserve"> </w:t>
      </w:r>
      <w:r w:rsidR="00437EA6"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 рамках проекта ПРООН/ГЭФ/Правительства РК «Сохранение и устойчивое управление ключевыми глобально значимыми экосистемами для получения различных выгод» ведется тема: «Комплекс услуг по изучению и управлению казахстанской популяцией снежного барса»</w:t>
      </w:r>
      <w:r w:rsidR="00437EA6" w:rsidRPr="00F0736F">
        <w:rPr>
          <w:rFonts w:ascii="Times New Roman" w:hAnsi="Times New Roman" w:cs="Times New Roman"/>
          <w:color w:val="000000" w:themeColor="text1"/>
        </w:rPr>
        <w:t>;</w:t>
      </w:r>
    </w:p>
    <w:p w14:paraId="68A30102" w14:textId="0DAE626C"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5.</w:t>
      </w:r>
      <w:r w:rsidRPr="00F0736F">
        <w:rPr>
          <w:rFonts w:ascii="Times New Roman" w:hAnsi="Times New Roman" w:cs="Times New Roman"/>
          <w:color w:val="000000" w:themeColor="text1"/>
          <w:lang w:val="kk-KZ"/>
        </w:rPr>
        <w:t xml:space="preserve"> </w:t>
      </w:r>
      <w:r w:rsidR="00437EA6" w:rsidRPr="00F0736F">
        <w:rPr>
          <w:rFonts w:ascii="Times New Roman" w:hAnsi="Times New Roman" w:cs="Times New Roman"/>
          <w:color w:val="000000" w:themeColor="text1"/>
        </w:rPr>
        <w:t>с</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2016 г</w:t>
      </w:r>
      <w:r w:rsidR="00B15D75"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в Казахстане начата региональная инициатива по сохранению снежного барса между Кыргызстаном, Казахстаном и Китаем - «Трансграничная инициатива по сохранению снежного барса» (SL-TBI). Инициаторами данного проекта является Marwell Wildlife (Великобритания) в партнерстве с Пекинским лесотехническим университетом (Китай), NABU (Германия) и Национальная академия наук Кыргызстана. С казахстанской стороны, на данном этапе, участниками проекта являются РГП «Институт зоологии» КН МОН РК и Общественный фонд «Wildlife Without Borders».</w:t>
      </w:r>
    </w:p>
    <w:p w14:paraId="506AA475" w14:textId="5C037AEC" w:rsidR="009D15F8" w:rsidRPr="00F0736F" w:rsidRDefault="009D15F8" w:rsidP="009D15F8">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6.</w:t>
      </w:r>
      <w:r w:rsidRPr="00F0736F">
        <w:rPr>
          <w:rFonts w:ascii="Times New Roman" w:hAnsi="Times New Roman" w:cs="Times New Roman"/>
          <w:color w:val="000000" w:themeColor="text1"/>
          <w:lang w:val="kk-KZ"/>
        </w:rPr>
        <w:t xml:space="preserve"> </w:t>
      </w:r>
      <w:r w:rsidR="00437EA6"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 начале 2018 г</w:t>
      </w:r>
      <w:r w:rsidR="00B15D75"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крупным казахстанским бизнесменом, общественным деятелем и меценатом Нурали Алиевым был создан Частный международный фонд «Snow Leopard Foundation», который в партнерстве с Институтом зоологии КН МОН РК приступили к реализации проекта «Kingdom of Snow Leopard». Цель проекта - восстановление исчезнувших и поддержание сокращающихся популяций снежного барса в Казахстане путем разведения в неволе, адаптации к природным условиям и последующей реинтродукции в естественные места обитания.</w:t>
      </w:r>
    </w:p>
    <w:p w14:paraId="26340A93" w14:textId="495AD0A3" w:rsidR="00084AF7" w:rsidRPr="00F0736F" w:rsidRDefault="00084AF7" w:rsidP="00084AF7">
      <w:pPr>
        <w:ind w:firstLine="709"/>
        <w:jc w:val="both"/>
        <w:rPr>
          <w:color w:val="000000" w:themeColor="text1"/>
        </w:rPr>
      </w:pPr>
      <w:r w:rsidRPr="00F0736F">
        <w:rPr>
          <w:rFonts w:ascii="Times New Roman" w:hAnsi="Times New Roman" w:cs="Times New Roman"/>
          <w:color w:val="000000" w:themeColor="text1"/>
        </w:rPr>
        <w:t>В 2017 г</w:t>
      </w:r>
      <w:r w:rsidR="00B15D75"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Институтом зоологии КН МОН РК проведены исследования по ряду других видов беспозвоночных и позвоночных животных, внесенных в Красную книгу, проведена оценка их современного состояния и предложены меры их сохранения:  «Оценка разнообразия фауны насекомых государственного национального природного парка «Жонгар-Алатау», ее мониторинг, сохранение и устойчивое использование», «Демографический анализ популяций серого варана (Reptilia: Sauria) в Казахстане», «Современные угрозы выживанию, тренды численности популяций и содействие сохранению позвоночных животных из Всемирного Красного списка в пустынях Южного Прибалхашья», «Влияние антропогенных и абиотических факторов на структуру фауны насекомых степной зоны Казахстана в современных условиях», «Трансконтинентальные миграции околоводных птиц Казахстана».</w:t>
      </w:r>
    </w:p>
    <w:p w14:paraId="35867CB9" w14:textId="505489CE" w:rsidR="00084AF7" w:rsidRPr="00F0736F" w:rsidRDefault="00084AF7" w:rsidP="00084AF7">
      <w:pPr>
        <w:ind w:firstLine="709"/>
        <w:jc w:val="both"/>
        <w:rPr>
          <w:color w:val="000000" w:themeColor="text1"/>
        </w:rPr>
      </w:pPr>
      <w:r w:rsidRPr="00F0736F">
        <w:rPr>
          <w:rFonts w:ascii="Times New Roman" w:hAnsi="Times New Roman" w:cs="Times New Roman"/>
          <w:color w:val="000000" w:themeColor="text1"/>
        </w:rPr>
        <w:t>В 2017 году в Институте зоологии завершено два проекта, направленных на решение эк</w:t>
      </w:r>
      <w:r w:rsidR="00B15D75" w:rsidRPr="00F0736F">
        <w:rPr>
          <w:rFonts w:ascii="Times New Roman" w:hAnsi="Times New Roman" w:cs="Times New Roman"/>
          <w:color w:val="000000" w:themeColor="text1"/>
        </w:rPr>
        <w:t>ологических вопросов и состояние</w:t>
      </w:r>
      <w:r w:rsidRPr="00F0736F">
        <w:rPr>
          <w:rFonts w:ascii="Times New Roman" w:hAnsi="Times New Roman" w:cs="Times New Roman"/>
          <w:color w:val="000000" w:themeColor="text1"/>
        </w:rPr>
        <w:t xml:space="preserve"> популяций животного мира: «Разработка методов контроля экологического состояния водоемов Казахстана» и «Оценка состояния зооценозов и разработка мероприятий по сохранению фауны прибрежной зоны Каспийского моря». На основе обобщения результатов многолетних исследований в области оценки экологического состояния водоемов на основе химических и биологических методов разработаны методические рекомендации: обоснована и предложена региональная шкала оценки уровня токсического загрязнения водоемов Южного и Юго-Восточного Казахстана. Описаны основные закономерности изменения зоопланк</w:t>
      </w:r>
      <w:r w:rsidR="00AC18E0" w:rsidRPr="00F0736F">
        <w:rPr>
          <w:rFonts w:ascii="Times New Roman" w:hAnsi="Times New Roman" w:cs="Times New Roman"/>
          <w:color w:val="000000" w:themeColor="text1"/>
        </w:rPr>
        <w:t>т</w:t>
      </w:r>
      <w:r w:rsidR="00F435B9" w:rsidRPr="00F0736F">
        <w:rPr>
          <w:rFonts w:ascii="Times New Roman" w:hAnsi="Times New Roman" w:cs="Times New Roman"/>
          <w:color w:val="000000" w:themeColor="text1"/>
        </w:rPr>
        <w:t>онн</w:t>
      </w:r>
      <w:r w:rsidRPr="00F0736F">
        <w:rPr>
          <w:rFonts w:ascii="Times New Roman" w:hAnsi="Times New Roman" w:cs="Times New Roman"/>
          <w:color w:val="000000" w:themeColor="text1"/>
        </w:rPr>
        <w:t>ых сообществ в градиенте абиотических факторов. Предложена шкала оценки уровня органического загрязнения водоемов на основе структурных показателей зоопланктона.</w:t>
      </w:r>
    </w:p>
    <w:p w14:paraId="036B9E73" w14:textId="77777777" w:rsidR="00084AF7" w:rsidRPr="00F0736F" w:rsidRDefault="00084AF7" w:rsidP="00084AF7">
      <w:pPr>
        <w:ind w:firstLine="709"/>
        <w:jc w:val="both"/>
        <w:rPr>
          <w:color w:val="000000" w:themeColor="text1"/>
        </w:rPr>
      </w:pPr>
      <w:r w:rsidRPr="00F0736F">
        <w:rPr>
          <w:rFonts w:ascii="Times New Roman" w:hAnsi="Times New Roman" w:cs="Times New Roman"/>
          <w:color w:val="000000" w:themeColor="text1"/>
        </w:rPr>
        <w:t>С 2019 года начата программа «Мониторинг мигрирующих видов птиц на территории Казахстана». Программа направлена на выполнение обязательств государства, по ряду Международных Конвенций (О сохранении биоразнообразия, Рамсарская конвенция о водно-болотных угодьях, О сохранении мигрирующих животных), Международных соглашений: (AEWA, О сохранении хищных птиц) и Меморандумов о взаимопонимании (о тонкоклювом кроншнепе и др.)</w:t>
      </w:r>
      <w:r w:rsidR="00B15D7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мониторингу, разработке мер сохранения биоразнообразия и птиц в частности. Результаты работ позволят определить географические связи популяций птиц, а также возможные пути распространения таких заболеваний</w:t>
      </w:r>
      <w:r w:rsidR="00B15D7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как «птичий грипп», лихорадка Западного Нила, менингит и другие.</w:t>
      </w:r>
    </w:p>
    <w:p w14:paraId="52AA6211" w14:textId="77777777" w:rsidR="00084AF7" w:rsidRPr="00F0736F" w:rsidRDefault="00084AF7" w:rsidP="00084AF7">
      <w:pPr>
        <w:ind w:firstLine="709"/>
        <w:jc w:val="both"/>
        <w:rPr>
          <w:color w:val="000000" w:themeColor="text1"/>
        </w:rPr>
      </w:pPr>
      <w:r w:rsidRPr="00F0736F">
        <w:rPr>
          <w:rFonts w:ascii="Times New Roman" w:hAnsi="Times New Roman" w:cs="Times New Roman"/>
          <w:color w:val="000000" w:themeColor="text1"/>
        </w:rPr>
        <w:t>Институт зоологии КН МОН РК совместно с ООПТ проводит мониторинг перелет</w:t>
      </w:r>
      <w:r w:rsidR="00B15D75" w:rsidRPr="00F0736F">
        <w:rPr>
          <w:rFonts w:ascii="Times New Roman" w:hAnsi="Times New Roman" w:cs="Times New Roman"/>
          <w:color w:val="000000" w:themeColor="text1"/>
        </w:rPr>
        <w:t>ных птиц и изучение их миграций</w:t>
      </w:r>
      <w:r w:rsidRPr="00F0736F">
        <w:rPr>
          <w:rFonts w:ascii="Times New Roman" w:hAnsi="Times New Roman" w:cs="Times New Roman"/>
          <w:color w:val="000000" w:themeColor="text1"/>
        </w:rPr>
        <w:t xml:space="preserve"> путем их кольцевания. К настоящему времени получены данные о встречах птиц, помеченных в Казахстане, в 63 государствах. Совместно с Институтом вирусологии и микробиологии и Институтом проблем биологической безопасности КН МОН РК, зарегистрирован перенос мигрирующими птицами вирусных и бактериальных инфекций: птичий грипп, свиной грипп, болезнь Нью Касла и др.</w:t>
      </w:r>
    </w:p>
    <w:p w14:paraId="6D80FA2B" w14:textId="77777777" w:rsidR="00084AF7" w:rsidRPr="00F0736F" w:rsidRDefault="00084AF7" w:rsidP="00084AF7">
      <w:pPr>
        <w:ind w:firstLine="567"/>
        <w:jc w:val="both"/>
        <w:rPr>
          <w:color w:val="000000" w:themeColor="text1"/>
        </w:rPr>
      </w:pPr>
      <w:r w:rsidRPr="00F0736F">
        <w:rPr>
          <w:rFonts w:ascii="Times New Roman" w:eastAsia="Calibri" w:hAnsi="Times New Roman" w:cs="Times New Roman"/>
          <w:color w:val="000000" w:themeColor="text1"/>
          <w:szCs w:val="28"/>
        </w:rPr>
        <w:t xml:space="preserve">В 2017 году АСБК совместно с КЛХЖМ в пилотном режиме проведено мероприятие с использованием вертолета по перевозке куланов с ГНПП «Алтын Эмель» в Жангельдинский район Костанайской области для отработки действий по их переселению и адаптации на месте. В ходе работ 6 куланов были помечены спутниковыми радиомаяками. </w:t>
      </w:r>
      <w:r w:rsidRPr="00F0736F">
        <w:rPr>
          <w:rFonts w:ascii="Times New Roman" w:eastAsia="Calibri" w:hAnsi="Times New Roman" w:cs="Times New Roman"/>
          <w:color w:val="000000" w:themeColor="text1"/>
        </w:rPr>
        <w:t>Торгайская степь в настоящее время представляет собой крупнейший степной регион с потенциалом восстановления вымерших диких непарнокопытных - кулана и лошади Пржевальского (Equus przewalskii) - в том месте, которое, вероятно, когда-то было их основным местом обитания.</w:t>
      </w:r>
    </w:p>
    <w:p w14:paraId="080A3537"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Также осуществляются работы по интродукции дрофы-красотки и соколов-балобанов, бухарского оленя и даже тигра.</w:t>
      </w:r>
    </w:p>
    <w:p w14:paraId="0AA8408C" w14:textId="2972D7C5"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Ежегодно Центром по разведению дроф-красоток выпускается более 2</w:t>
      </w:r>
      <w:r w:rsidR="00F435B9"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особей птиц. В работе по обеспечению функционирования Центра задействовано более 300 местных жителей. Всего в</w:t>
      </w:r>
      <w:r w:rsidRPr="00F0736F">
        <w:rPr>
          <w:rFonts w:ascii="Times New Roman" w:eastAsia="Times New Roman" w:hAnsi="Times New Roman" w:cs="Times New Roman"/>
          <w:color w:val="000000" w:themeColor="text1"/>
          <w:lang w:eastAsia="ru-RU"/>
        </w:rPr>
        <w:t xml:space="preserve"> период 2009 - 2019 годы в природу Казахстана выпущено 20 489 особей дроф-красоток и 625 соколов. </w:t>
      </w:r>
      <w:r w:rsidRPr="00F0736F">
        <w:rPr>
          <w:rFonts w:ascii="Times New Roman" w:eastAsia="Calibri" w:hAnsi="Times New Roman" w:cs="Times New Roman"/>
          <w:color w:val="000000" w:themeColor="text1"/>
        </w:rPr>
        <w:t>Согласно практическим наблюдениям</w:t>
      </w:r>
      <w:r w:rsidR="00F435B9"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 xml:space="preserve"> процент выжи</w:t>
      </w:r>
      <w:r w:rsidR="00B15D75" w:rsidRPr="00F0736F">
        <w:rPr>
          <w:rFonts w:ascii="Times New Roman" w:eastAsia="Calibri" w:hAnsi="Times New Roman" w:cs="Times New Roman"/>
          <w:color w:val="000000" w:themeColor="text1"/>
        </w:rPr>
        <w:t>ваемости составляет не менее 50</w:t>
      </w:r>
      <w:r w:rsidRPr="00F0736F">
        <w:rPr>
          <w:rFonts w:ascii="Times New Roman" w:eastAsia="Calibri" w:hAnsi="Times New Roman" w:cs="Times New Roman"/>
          <w:color w:val="000000" w:themeColor="text1"/>
        </w:rPr>
        <w:t>%, наблюдения проводятся до совершения миграции.</w:t>
      </w:r>
    </w:p>
    <w:p w14:paraId="73C0EBD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 рамках выполнения «Меморандума о взаимопонимании по вопросам сохранения и восстановления бухарского оленя (Cervus elaphus bactrianus)» в 2017 г. в урочище Баиркум в пойме р. Сырдарьи на средства Южно-Казахстанского областного акимата построен второй вольер для сохранения и воспроизводства бухарского оленя. На территории питомников Сырдарья-Туркестанского ГРПП Хангулы - </w:t>
      </w:r>
      <w:r w:rsidR="00B15D75" w:rsidRPr="00F0736F">
        <w:rPr>
          <w:rFonts w:ascii="Times New Roman" w:hAnsi="Times New Roman" w:cs="Times New Roman"/>
          <w:color w:val="000000" w:themeColor="text1"/>
        </w:rPr>
        <w:t xml:space="preserve">бухарские олени были выпущены </w:t>
      </w:r>
      <w:r w:rsidRPr="00F0736F">
        <w:rPr>
          <w:rFonts w:ascii="Times New Roman" w:hAnsi="Times New Roman" w:cs="Times New Roman"/>
          <w:color w:val="000000" w:themeColor="text1"/>
        </w:rPr>
        <w:t xml:space="preserve">в 2000 году в количестве 8 голов. Спустя 20 лет поголовье бухарских оленей, по словам инспекторов парка, достигло 130. </w:t>
      </w:r>
    </w:p>
    <w:p w14:paraId="4B254F2E" w14:textId="77777777" w:rsidR="009D15F8" w:rsidRPr="00F0736F" w:rsidRDefault="009D15F8" w:rsidP="009D15F8">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8 сентября 2017 года между Министерством сельского хозяйства РК и WWF (Всемирный фонд дикой природы) подписан Меморандум о сотрудничестве по реализации Программы по реинтродукции тигра в Казахстане с</w:t>
      </w:r>
      <w:r w:rsidR="00B15D75" w:rsidRPr="00F0736F">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 Всемирным фондом дикой природы, в рамках проведения Международной выставки «Астана ЭКСПО-2017». </w:t>
      </w:r>
      <w:r w:rsidRPr="00F0736F">
        <w:rPr>
          <w:rFonts w:ascii="Times New Roman" w:eastAsia="Calibri" w:hAnsi="Times New Roman" w:cs="Times New Roman"/>
          <w:color w:val="000000" w:themeColor="text1"/>
          <w:szCs w:val="28"/>
        </w:rPr>
        <w:t xml:space="preserve">Районом возможного </w:t>
      </w:r>
      <w:r w:rsidRPr="00F0736F">
        <w:rPr>
          <w:rFonts w:ascii="Times New Roman" w:hAnsi="Times New Roman" w:cs="Times New Roman"/>
          <w:color w:val="000000" w:themeColor="text1"/>
        </w:rPr>
        <w:t>восстановления тигра выбран южный берег озера Балхаш в районе дельты реки Или и к востоку от нее.</w:t>
      </w:r>
    </w:p>
    <w:p w14:paraId="715B8614"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Международный союз охраны природы (</w:t>
      </w:r>
      <w:hyperlink r:id="rId43" w:history="1">
        <w:r w:rsidRPr="00F0736F">
          <w:rPr>
            <w:color w:val="000000" w:themeColor="text1"/>
          </w:rPr>
          <w:t>IUCN</w:t>
        </w:r>
      </w:hyperlink>
      <w:r w:rsidRPr="00F0736F">
        <w:rPr>
          <w:rFonts w:ascii="Times New Roman" w:hAnsi="Times New Roman" w:cs="Times New Roman"/>
          <w:color w:val="000000" w:themeColor="text1"/>
        </w:rPr>
        <w:t>) поддержал проект АСБК по сохранению джейранов в Казахстане. За последние десятилетия численность джейранов в стране сократилась на более 90%, главные причин</w:t>
      </w:r>
      <w:r w:rsidR="00B15D75" w:rsidRPr="00F0736F">
        <w:rPr>
          <w:rFonts w:ascii="Times New Roman" w:hAnsi="Times New Roman" w:cs="Times New Roman"/>
          <w:color w:val="000000" w:themeColor="text1"/>
        </w:rPr>
        <w:t>ы - браконьерство и потеря места обитания</w:t>
      </w:r>
      <w:r w:rsidRPr="00F0736F">
        <w:rPr>
          <w:rFonts w:ascii="Times New Roman" w:hAnsi="Times New Roman" w:cs="Times New Roman"/>
          <w:color w:val="000000" w:themeColor="text1"/>
        </w:rPr>
        <w:t xml:space="preserve">. В рамках проекта планируются полевые исследования, мечение джейранов спутниковыми передатчиками, работа с местным населением и другие мероприятия, направленные на оценку состояния популяции вида для разработки дополнительных мер по его сохранению. Кроме того, планируется выяснить, как влияют пограничные заграждения на границе Казахстана и Туркменистана на миграцию животных. Продлятся работы до осени 2021 года. Реализация проекта стала возможной благодаря запуску в 2019 году программы </w:t>
      </w:r>
      <w:hyperlink r:id="rId44" w:history="1">
        <w:r w:rsidRPr="00F0736F">
          <w:rPr>
            <w:rStyle w:val="a6"/>
            <w:rFonts w:ascii="Times New Roman" w:hAnsi="Times New Roman" w:cs="Times New Roman"/>
            <w:color w:val="000000" w:themeColor="text1"/>
          </w:rPr>
          <w:t>IUCN</w:t>
        </w:r>
      </w:hyperlink>
      <w:r w:rsidRPr="00F0736F">
        <w:rPr>
          <w:rFonts w:ascii="Times New Roman" w:hAnsi="Times New Roman" w:cs="Times New Roman"/>
          <w:color w:val="000000" w:themeColor="text1"/>
        </w:rPr>
        <w:t xml:space="preserve"> Save Our Species по Центрально-Азиатскому региону, которая поддерживает Центрально-Азиатскую инициативу по млекопитающим (CAMI) Конвенции по сохранению мигрирующих видов диких животных, более известной как Боннская конвенция (CMS). </w:t>
      </w:r>
    </w:p>
    <w:p w14:paraId="5F339C75" w14:textId="77777777" w:rsidR="009D15F8" w:rsidRPr="00F0736F" w:rsidRDefault="009D15F8" w:rsidP="009D15F8">
      <w:pPr>
        <w:ind w:firstLine="709"/>
        <w:jc w:val="both"/>
        <w:rPr>
          <w:rFonts w:ascii="Times New Roman" w:hAnsi="Times New Roman" w:cs="Times New Roman"/>
          <w:color w:val="000000" w:themeColor="text1"/>
          <w:shd w:val="clear" w:color="auto" w:fill="FFFF00"/>
        </w:rPr>
      </w:pPr>
    </w:p>
    <w:p w14:paraId="5A06239F" w14:textId="77777777" w:rsidR="00084AF7" w:rsidRPr="00F0736F" w:rsidRDefault="00084AF7" w:rsidP="00084AF7">
      <w:pPr>
        <w:ind w:firstLine="567"/>
        <w:jc w:val="both"/>
        <w:rPr>
          <w:color w:val="000000" w:themeColor="text1"/>
        </w:rPr>
      </w:pPr>
      <w:r w:rsidRPr="00F0736F">
        <w:rPr>
          <w:rFonts w:ascii="Times New Roman" w:hAnsi="Times New Roman" w:cs="Times New Roman"/>
          <w:b/>
          <w:color w:val="000000" w:themeColor="text1"/>
          <w:szCs w:val="28"/>
        </w:rPr>
        <w:t>Охрана биоразнообразия</w:t>
      </w:r>
      <w:r w:rsidRPr="00F0736F">
        <w:rPr>
          <w:rFonts w:ascii="Times New Roman" w:hAnsi="Times New Roman" w:cs="Times New Roman"/>
          <w:color w:val="000000" w:themeColor="text1"/>
          <w:szCs w:val="28"/>
        </w:rPr>
        <w:t xml:space="preserve"> в Казахстане осуществляется посредством деятельности природоохранных учреждений и расширения площади ООПТ.</w:t>
      </w:r>
    </w:p>
    <w:p w14:paraId="389172EA" w14:textId="75E6EB5B" w:rsidR="00084AF7" w:rsidRPr="00F0736F" w:rsidRDefault="00084AF7" w:rsidP="00084AF7">
      <w:pPr>
        <w:ind w:firstLine="567"/>
        <w:jc w:val="both"/>
        <w:rPr>
          <w:color w:val="000000" w:themeColor="text1"/>
        </w:rPr>
      </w:pPr>
      <w:r w:rsidRPr="00F0736F">
        <w:rPr>
          <w:rFonts w:ascii="Times New Roman" w:eastAsia="Calibri" w:hAnsi="Times New Roman" w:cs="Times New Roman"/>
          <w:color w:val="000000" w:themeColor="text1"/>
        </w:rPr>
        <w:t xml:space="preserve">Общая площадь </w:t>
      </w:r>
      <w:r w:rsidRPr="00F0736F">
        <w:rPr>
          <w:rFonts w:ascii="Times New Roman" w:eastAsia="Calibri" w:hAnsi="Times New Roman" w:cs="Times New Roman"/>
          <w:b/>
          <w:color w:val="000000" w:themeColor="text1"/>
        </w:rPr>
        <w:t>особо охраняемых природных территорий</w:t>
      </w:r>
      <w:r w:rsidRPr="00F0736F">
        <w:rPr>
          <w:rFonts w:ascii="Times New Roman" w:eastAsia="Calibri" w:hAnsi="Times New Roman" w:cs="Times New Roman"/>
          <w:color w:val="000000" w:themeColor="text1"/>
        </w:rPr>
        <w:t xml:space="preserve"> в 2019 году составила </w:t>
      </w:r>
      <w:r w:rsidR="00F435B9" w:rsidRPr="00F0736F">
        <w:rPr>
          <w:rFonts w:ascii="Times New Roman" w:eastAsia="Calibri" w:hAnsi="Times New Roman" w:cs="Times New Roman"/>
          <w:color w:val="000000" w:themeColor="text1"/>
        </w:rPr>
        <w:t xml:space="preserve">         </w:t>
      </w:r>
      <w:r w:rsidR="00403CE3" w:rsidRPr="00F0736F">
        <w:rPr>
          <w:rFonts w:ascii="Times New Roman" w:hAnsi="Times New Roman" w:cs="Times New Roman"/>
          <w:color w:val="000000" w:themeColor="text1"/>
          <w:sz w:val="20"/>
          <w:szCs w:val="20"/>
        </w:rPr>
        <w:t>27 279,51</w:t>
      </w:r>
      <w:r w:rsidRPr="00F0736F">
        <w:rPr>
          <w:rFonts w:ascii="Times New Roman" w:eastAsia="Calibri" w:hAnsi="Times New Roman" w:cs="Times New Roman"/>
          <w:color w:val="000000" w:themeColor="text1"/>
        </w:rPr>
        <w:t>тыс. га (</w:t>
      </w:r>
      <w:r w:rsidR="00403CE3">
        <w:rPr>
          <w:rFonts w:ascii="Times New Roman" w:eastAsia="Calibri" w:hAnsi="Times New Roman" w:cs="Times New Roman"/>
          <w:color w:val="000000" w:themeColor="text1"/>
        </w:rPr>
        <w:t>10</w:t>
      </w:r>
      <w:r w:rsidRPr="00F0736F">
        <w:rPr>
          <w:rFonts w:ascii="Times New Roman" w:eastAsia="Calibri" w:hAnsi="Times New Roman" w:cs="Times New Roman"/>
          <w:color w:val="000000" w:themeColor="text1"/>
        </w:rPr>
        <w:t xml:space="preserve">% от площади страны). </w:t>
      </w:r>
      <w:r w:rsidRPr="00F0736F">
        <w:rPr>
          <w:rFonts w:ascii="Times New Roman" w:eastAsia="Times New Roman" w:hAnsi="Times New Roman" w:cs="Times New Roman"/>
          <w:color w:val="000000" w:themeColor="text1"/>
          <w:lang w:eastAsia="ru-RU"/>
        </w:rPr>
        <w:t>При этом ООПТ со статусом юридического лица занимают 7</w:t>
      </w:r>
      <w:r w:rsidR="00F435B9" w:rsidRPr="00F0736F">
        <w:rPr>
          <w:rFonts w:ascii="Times New Roman" w:eastAsia="Times New Roman" w:hAnsi="Times New Roman" w:cs="Times New Roman"/>
          <w:color w:val="000000" w:themeColor="text1"/>
          <w:lang w:eastAsia="ru-RU"/>
        </w:rPr>
        <w:t xml:space="preserve"> </w:t>
      </w:r>
      <w:r w:rsidRPr="00F0736F">
        <w:rPr>
          <w:rFonts w:ascii="Times New Roman" w:eastAsia="Times New Roman" w:hAnsi="Times New Roman" w:cs="Times New Roman"/>
          <w:color w:val="000000" w:themeColor="text1"/>
          <w:lang w:eastAsia="ru-RU"/>
        </w:rPr>
        <w:t>590,8 тыс. га</w:t>
      </w:r>
      <w:r w:rsidR="00AC18E0"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 xml:space="preserve"> или 2,78% площади республики (таблица 1.8.6).</w:t>
      </w:r>
    </w:p>
    <w:p w14:paraId="3EF240EB" w14:textId="77777777" w:rsidR="00084AF7" w:rsidRPr="00F0736F" w:rsidRDefault="00084AF7" w:rsidP="00084AF7">
      <w:pPr>
        <w:ind w:firstLine="567"/>
        <w:jc w:val="both"/>
        <w:rPr>
          <w:color w:val="000000" w:themeColor="text1"/>
        </w:rPr>
      </w:pPr>
      <w:r w:rsidRPr="00F0736F">
        <w:rPr>
          <w:rFonts w:ascii="Times New Roman" w:eastAsia="Calibri" w:hAnsi="Times New Roman" w:cs="Times New Roman"/>
          <w:color w:val="000000" w:themeColor="text1"/>
          <w:szCs w:val="28"/>
          <w:lang w:val="kk-KZ" w:eastAsia="en-US"/>
        </w:rPr>
        <w:t xml:space="preserve">В 2018 году создано 2 природоохранных учреждения: </w:t>
      </w:r>
      <w:r w:rsidRPr="00F0736F">
        <w:rPr>
          <w:rFonts w:ascii="Times New Roman" w:hAnsi="Times New Roman" w:cs="Times New Roman"/>
          <w:color w:val="000000" w:themeColor="text1"/>
          <w:szCs w:val="28"/>
          <w:lang w:val="kk-KZ"/>
        </w:rPr>
        <w:t>Государственный национальный природный парк «Тарбагатай» в Восточно-Казахстанской области на общей площади 143,5 тыс. га и государственный природный резерват «Иле-Балхаш» в Алматинской области на общей площади 415, 2 тыс. га.</w:t>
      </w:r>
    </w:p>
    <w:p w14:paraId="6EB13CE7" w14:textId="77777777" w:rsidR="00084AF7" w:rsidRPr="00F0736F" w:rsidRDefault="00084AF7" w:rsidP="00084AF7">
      <w:pPr>
        <w:ind w:firstLine="567"/>
        <w:jc w:val="both"/>
        <w:rPr>
          <w:color w:val="000000" w:themeColor="text1"/>
        </w:rPr>
      </w:pPr>
      <w:r w:rsidRPr="00F0736F">
        <w:rPr>
          <w:rFonts w:ascii="Times New Roman" w:hAnsi="Times New Roman" w:cs="Times New Roman"/>
          <w:color w:val="000000" w:themeColor="text1"/>
          <w:szCs w:val="28"/>
          <w:lang w:val="kk-KZ"/>
        </w:rPr>
        <w:t xml:space="preserve">В 2019 году начаты мероприятия по расширению территории нацпарка «Бурабай» и Барсакельмесского заповедника, </w:t>
      </w:r>
      <w:r w:rsidRPr="00F0736F">
        <w:rPr>
          <w:rFonts w:ascii="Times New Roman" w:hAnsi="Times New Roman" w:cs="Times New Roman"/>
          <w:color w:val="000000" w:themeColor="text1"/>
          <w:szCs w:val="28"/>
        </w:rPr>
        <w:t>но общая площадь ООПТ не изменилась</w:t>
      </w:r>
      <w:r w:rsidRPr="00F0736F">
        <w:rPr>
          <w:rFonts w:ascii="Times New Roman" w:hAnsi="Times New Roman" w:cs="Times New Roman"/>
          <w:color w:val="000000" w:themeColor="text1"/>
          <w:szCs w:val="28"/>
          <w:lang w:val="kk-KZ"/>
        </w:rPr>
        <w:t xml:space="preserve">. В 2020 году планируется создание нового нацпарка «Улытау», что позволит охватить охраной степные экосистемы Центрального Казахстана. </w:t>
      </w:r>
    </w:p>
    <w:p w14:paraId="207A5957" w14:textId="77777777" w:rsidR="00084AF7" w:rsidRPr="00F0736F" w:rsidRDefault="00084AF7" w:rsidP="00084AF7">
      <w:pPr>
        <w:ind w:firstLine="567"/>
        <w:jc w:val="both"/>
        <w:rPr>
          <w:rFonts w:ascii="Times New Roman" w:hAnsi="Times New Roman" w:cs="Times New Roman"/>
          <w:color w:val="000000" w:themeColor="text1"/>
        </w:rPr>
      </w:pPr>
    </w:p>
    <w:p w14:paraId="10C215FB" w14:textId="77777777" w:rsidR="00084AF7" w:rsidRPr="00F0736F" w:rsidRDefault="00084AF7" w:rsidP="00084AF7">
      <w:pPr>
        <w:ind w:firstLine="567"/>
        <w:rPr>
          <w:color w:val="000000" w:themeColor="text1"/>
        </w:rPr>
      </w:pPr>
      <w:r w:rsidRPr="00F0736F">
        <w:rPr>
          <w:rFonts w:ascii="Times New Roman" w:hAnsi="Times New Roman" w:cs="Times New Roman"/>
          <w:color w:val="000000" w:themeColor="text1"/>
        </w:rPr>
        <w:t>Таблица 1.8.6. Особо охраняемые природные территории</w:t>
      </w:r>
    </w:p>
    <w:p w14:paraId="00D1FA94" w14:textId="77777777" w:rsidR="00084AF7" w:rsidRPr="00F0736F" w:rsidRDefault="00084AF7" w:rsidP="00084AF7">
      <w:pPr>
        <w:ind w:firstLine="567"/>
        <w:rPr>
          <w:rFonts w:ascii="Times New Roman" w:hAnsi="Times New Roman" w:cs="Times New Roman"/>
          <w:color w:val="000000" w:themeColor="text1"/>
        </w:rPr>
      </w:pPr>
    </w:p>
    <w:tbl>
      <w:tblPr>
        <w:tblW w:w="9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7"/>
        <w:gridCol w:w="978"/>
        <w:gridCol w:w="1416"/>
        <w:gridCol w:w="1276"/>
        <w:gridCol w:w="1239"/>
      </w:tblGrid>
      <w:tr w:rsidR="00F0736F" w:rsidRPr="00F0736F" w14:paraId="3C12F1C4" w14:textId="77777777" w:rsidTr="00BB73C0">
        <w:trPr>
          <w:trHeight w:val="330"/>
        </w:trPr>
        <w:tc>
          <w:tcPr>
            <w:tcW w:w="4977" w:type="dxa"/>
            <w:vMerge w:val="restart"/>
            <w:shd w:val="clear" w:color="auto" w:fill="FFFFFF"/>
            <w:vAlign w:val="center"/>
          </w:tcPr>
          <w:p w14:paraId="1286C2AE" w14:textId="1E636C69" w:rsidR="00084AF7" w:rsidRPr="00F0736F" w:rsidRDefault="00084AF7" w:rsidP="00F435B9">
            <w:pPr>
              <w:jc w:val="center"/>
              <w:rPr>
                <w:color w:val="000000" w:themeColor="text1"/>
              </w:rPr>
            </w:pPr>
            <w:r w:rsidRPr="00F0736F">
              <w:rPr>
                <w:rFonts w:ascii="Times New Roman" w:eastAsia="MS Mincho" w:hAnsi="Times New Roman" w:cs="Times New Roman"/>
                <w:color w:val="000000" w:themeColor="text1"/>
                <w:sz w:val="20"/>
                <w:szCs w:val="20"/>
                <w:lang w:eastAsia="ru-RU"/>
              </w:rPr>
              <w:t>Наименование</w:t>
            </w:r>
          </w:p>
        </w:tc>
        <w:tc>
          <w:tcPr>
            <w:tcW w:w="978" w:type="dxa"/>
            <w:vMerge w:val="restart"/>
            <w:shd w:val="clear" w:color="auto" w:fill="FFFFFF"/>
            <w:vAlign w:val="center"/>
          </w:tcPr>
          <w:p w14:paraId="56E7488E" w14:textId="77777777" w:rsidR="00084AF7" w:rsidRPr="00F0736F" w:rsidRDefault="00084AF7" w:rsidP="00F435B9">
            <w:pPr>
              <w:jc w:val="center"/>
              <w:rPr>
                <w:color w:val="000000" w:themeColor="text1"/>
              </w:rPr>
            </w:pPr>
            <w:r w:rsidRPr="00F0736F">
              <w:rPr>
                <w:rFonts w:ascii="Times New Roman" w:hAnsi="Times New Roman" w:cs="Times New Roman"/>
                <w:color w:val="000000" w:themeColor="text1"/>
                <w:sz w:val="20"/>
                <w:szCs w:val="20"/>
              </w:rPr>
              <w:t>Единица</w:t>
            </w:r>
          </w:p>
        </w:tc>
        <w:tc>
          <w:tcPr>
            <w:tcW w:w="3931" w:type="dxa"/>
            <w:gridSpan w:val="3"/>
            <w:shd w:val="clear" w:color="auto" w:fill="FFFFFF"/>
            <w:vAlign w:val="center"/>
          </w:tcPr>
          <w:p w14:paraId="01D74F89" w14:textId="77777777" w:rsidR="00084AF7" w:rsidRPr="00F0736F" w:rsidRDefault="00084AF7" w:rsidP="00FC5967">
            <w:pPr>
              <w:jc w:val="center"/>
              <w:rPr>
                <w:color w:val="000000" w:themeColor="text1"/>
              </w:rPr>
            </w:pPr>
            <w:r w:rsidRPr="00F0736F">
              <w:rPr>
                <w:rFonts w:ascii="Times New Roman" w:hAnsi="Times New Roman" w:cs="Times New Roman"/>
                <w:color w:val="000000" w:themeColor="text1"/>
                <w:sz w:val="20"/>
                <w:szCs w:val="20"/>
              </w:rPr>
              <w:t xml:space="preserve">Годы </w:t>
            </w:r>
          </w:p>
        </w:tc>
      </w:tr>
      <w:tr w:rsidR="00F0736F" w:rsidRPr="00F0736F" w14:paraId="71AC09F0" w14:textId="77777777" w:rsidTr="00BB73C0">
        <w:trPr>
          <w:trHeight w:val="330"/>
        </w:trPr>
        <w:tc>
          <w:tcPr>
            <w:tcW w:w="4977" w:type="dxa"/>
            <w:vMerge/>
            <w:shd w:val="clear" w:color="auto" w:fill="FFFFFF"/>
            <w:vAlign w:val="center"/>
          </w:tcPr>
          <w:p w14:paraId="3DD1D27C" w14:textId="77777777" w:rsidR="00BB73C0" w:rsidRPr="00F0736F" w:rsidRDefault="00BB73C0" w:rsidP="00FC5967">
            <w:pPr>
              <w:snapToGrid w:val="0"/>
              <w:rPr>
                <w:rFonts w:ascii="Times New Roman" w:hAnsi="Times New Roman" w:cs="Times New Roman"/>
                <w:color w:val="000000" w:themeColor="text1"/>
                <w:sz w:val="20"/>
                <w:szCs w:val="20"/>
              </w:rPr>
            </w:pPr>
          </w:p>
        </w:tc>
        <w:tc>
          <w:tcPr>
            <w:tcW w:w="978" w:type="dxa"/>
            <w:vMerge/>
            <w:shd w:val="clear" w:color="auto" w:fill="FFFFFF"/>
            <w:vAlign w:val="center"/>
          </w:tcPr>
          <w:p w14:paraId="3584A734" w14:textId="77777777" w:rsidR="00BB73C0" w:rsidRPr="00F0736F" w:rsidRDefault="00BB73C0" w:rsidP="00FC5967">
            <w:pPr>
              <w:snapToGrid w:val="0"/>
              <w:jc w:val="center"/>
              <w:rPr>
                <w:rFonts w:ascii="Times New Roman" w:hAnsi="Times New Roman" w:cs="Times New Roman"/>
                <w:color w:val="000000" w:themeColor="text1"/>
                <w:sz w:val="20"/>
                <w:szCs w:val="20"/>
              </w:rPr>
            </w:pPr>
          </w:p>
        </w:tc>
        <w:tc>
          <w:tcPr>
            <w:tcW w:w="1416" w:type="dxa"/>
            <w:shd w:val="clear" w:color="auto" w:fill="FFFFFF"/>
            <w:vAlign w:val="center"/>
          </w:tcPr>
          <w:p w14:paraId="3D0F4CA8"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2017</w:t>
            </w:r>
          </w:p>
        </w:tc>
        <w:tc>
          <w:tcPr>
            <w:tcW w:w="1276" w:type="dxa"/>
            <w:shd w:val="clear" w:color="auto" w:fill="FFFFFF"/>
          </w:tcPr>
          <w:p w14:paraId="0EFCAFE9" w14:textId="77777777" w:rsidR="00BB73C0" w:rsidRPr="00F0736F" w:rsidRDefault="00BB73C0" w:rsidP="00BB73C0">
            <w:pPr>
              <w:jc w:val="center"/>
              <w:rPr>
                <w:color w:val="000000" w:themeColor="text1"/>
              </w:rPr>
            </w:pPr>
            <w:r w:rsidRPr="00F0736F">
              <w:rPr>
                <w:rFonts w:ascii="Times New Roman" w:hAnsi="Times New Roman" w:cs="Times New Roman"/>
                <w:color w:val="000000" w:themeColor="text1"/>
                <w:sz w:val="20"/>
                <w:szCs w:val="20"/>
              </w:rPr>
              <w:t>2018</w:t>
            </w:r>
          </w:p>
        </w:tc>
        <w:tc>
          <w:tcPr>
            <w:tcW w:w="1239" w:type="dxa"/>
            <w:shd w:val="clear" w:color="auto" w:fill="FFFFFF"/>
          </w:tcPr>
          <w:p w14:paraId="0EF5402F"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44928A6F" w14:textId="77777777" w:rsidTr="00BB73C0">
        <w:trPr>
          <w:trHeight w:val="322"/>
        </w:trPr>
        <w:tc>
          <w:tcPr>
            <w:tcW w:w="4977" w:type="dxa"/>
            <w:shd w:val="clear" w:color="auto" w:fill="FFFFFF"/>
            <w:vAlign w:val="center"/>
          </w:tcPr>
          <w:p w14:paraId="7006253C"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Площадь страны</w:t>
            </w:r>
          </w:p>
        </w:tc>
        <w:tc>
          <w:tcPr>
            <w:tcW w:w="978" w:type="dxa"/>
            <w:shd w:val="clear" w:color="auto" w:fill="FFFFFF"/>
            <w:vAlign w:val="center"/>
          </w:tcPr>
          <w:p w14:paraId="36CF621D"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4CF3BAFE"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2724900</w:t>
            </w:r>
          </w:p>
        </w:tc>
        <w:tc>
          <w:tcPr>
            <w:tcW w:w="1276" w:type="dxa"/>
            <w:shd w:val="clear" w:color="auto" w:fill="FFFFFF"/>
          </w:tcPr>
          <w:p w14:paraId="3D596E8D"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2724900</w:t>
            </w:r>
          </w:p>
        </w:tc>
        <w:tc>
          <w:tcPr>
            <w:tcW w:w="1239" w:type="dxa"/>
            <w:shd w:val="clear" w:color="auto" w:fill="FFFFFF"/>
          </w:tcPr>
          <w:p w14:paraId="2AF2ED9E"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2724900</w:t>
            </w:r>
          </w:p>
        </w:tc>
      </w:tr>
      <w:tr w:rsidR="00F0736F" w:rsidRPr="00F0736F" w14:paraId="68C1D9C9" w14:textId="77777777" w:rsidTr="00BB73C0">
        <w:trPr>
          <w:trHeight w:val="315"/>
        </w:trPr>
        <w:tc>
          <w:tcPr>
            <w:tcW w:w="8647" w:type="dxa"/>
            <w:gridSpan w:val="4"/>
            <w:shd w:val="clear" w:color="auto" w:fill="FFFFFF"/>
            <w:vAlign w:val="center"/>
          </w:tcPr>
          <w:p w14:paraId="44D59B77"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Национальные категории особо охраняемых природных территорий</w:t>
            </w:r>
          </w:p>
        </w:tc>
        <w:tc>
          <w:tcPr>
            <w:tcW w:w="1239" w:type="dxa"/>
            <w:shd w:val="clear" w:color="auto" w:fill="FFFFFF"/>
            <w:vAlign w:val="center"/>
          </w:tcPr>
          <w:p w14:paraId="51BA0796" w14:textId="77777777" w:rsidR="00BB73C0" w:rsidRPr="00F0736F" w:rsidRDefault="00BB73C0" w:rsidP="00BB73C0">
            <w:pPr>
              <w:jc w:val="center"/>
              <w:rPr>
                <w:color w:val="000000" w:themeColor="text1"/>
              </w:rPr>
            </w:pPr>
          </w:p>
        </w:tc>
      </w:tr>
      <w:tr w:rsidR="00F0736F" w:rsidRPr="00F0736F" w14:paraId="1EB26C10" w14:textId="77777777" w:rsidTr="00BB73C0">
        <w:trPr>
          <w:trHeight w:val="359"/>
        </w:trPr>
        <w:tc>
          <w:tcPr>
            <w:tcW w:w="4977" w:type="dxa"/>
            <w:shd w:val="clear" w:color="auto" w:fill="FFFFFF"/>
            <w:vAlign w:val="center"/>
          </w:tcPr>
          <w:p w14:paraId="6FCCDB1E"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Общая площадь особо охраняемых природных территорий</w:t>
            </w:r>
          </w:p>
        </w:tc>
        <w:tc>
          <w:tcPr>
            <w:tcW w:w="978" w:type="dxa"/>
            <w:shd w:val="clear" w:color="auto" w:fill="FFFFFF"/>
            <w:vAlign w:val="center"/>
          </w:tcPr>
          <w:p w14:paraId="20FF0BB5"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7370D154"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val="en-US" w:eastAsia="ru-RU"/>
              </w:rPr>
              <w:t>25 879</w:t>
            </w:r>
            <w:r w:rsidRPr="00F0736F">
              <w:rPr>
                <w:rFonts w:ascii="Times New Roman" w:eastAsia="MS Mincho" w:hAnsi="Times New Roman" w:cs="Times New Roman"/>
                <w:color w:val="000000" w:themeColor="text1"/>
                <w:sz w:val="20"/>
                <w:szCs w:val="20"/>
                <w:lang w:eastAsia="ru-RU"/>
              </w:rPr>
              <w:t>,</w:t>
            </w:r>
            <w:r w:rsidRPr="00F0736F">
              <w:rPr>
                <w:rFonts w:ascii="Times New Roman" w:eastAsia="MS Mincho" w:hAnsi="Times New Roman" w:cs="Times New Roman"/>
                <w:color w:val="000000" w:themeColor="text1"/>
                <w:sz w:val="20"/>
                <w:szCs w:val="20"/>
                <w:lang w:val="en-US" w:eastAsia="ru-RU"/>
              </w:rPr>
              <w:t xml:space="preserve"> 98</w:t>
            </w:r>
          </w:p>
        </w:tc>
        <w:tc>
          <w:tcPr>
            <w:tcW w:w="1276" w:type="dxa"/>
            <w:shd w:val="clear" w:color="auto" w:fill="FFFFFF"/>
          </w:tcPr>
          <w:p w14:paraId="4A1B74A8"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27 279,51</w:t>
            </w:r>
          </w:p>
        </w:tc>
        <w:tc>
          <w:tcPr>
            <w:tcW w:w="1239" w:type="dxa"/>
            <w:shd w:val="clear" w:color="auto" w:fill="FFFFFF"/>
          </w:tcPr>
          <w:p w14:paraId="1A5735AA"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27 279,51</w:t>
            </w:r>
          </w:p>
        </w:tc>
      </w:tr>
      <w:tr w:rsidR="00F0736F" w:rsidRPr="00F0736F" w14:paraId="48A2C7A0" w14:textId="77777777" w:rsidTr="00BB73C0">
        <w:trPr>
          <w:trHeight w:val="252"/>
        </w:trPr>
        <w:tc>
          <w:tcPr>
            <w:tcW w:w="4977" w:type="dxa"/>
            <w:shd w:val="clear" w:color="auto" w:fill="FFFFFF"/>
            <w:vAlign w:val="center"/>
          </w:tcPr>
          <w:p w14:paraId="3DE86938"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природные заповедники</w:t>
            </w:r>
          </w:p>
        </w:tc>
        <w:tc>
          <w:tcPr>
            <w:tcW w:w="978" w:type="dxa"/>
            <w:shd w:val="clear" w:color="auto" w:fill="FFFFFF"/>
            <w:vAlign w:val="center"/>
          </w:tcPr>
          <w:p w14:paraId="18196728"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21972CE5"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1 611,41</w:t>
            </w:r>
          </w:p>
        </w:tc>
        <w:tc>
          <w:tcPr>
            <w:tcW w:w="1276" w:type="dxa"/>
            <w:shd w:val="clear" w:color="auto" w:fill="FFFFFF"/>
            <w:vAlign w:val="center"/>
          </w:tcPr>
          <w:p w14:paraId="3FA20BFB"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1 611,41</w:t>
            </w:r>
          </w:p>
        </w:tc>
        <w:tc>
          <w:tcPr>
            <w:tcW w:w="1239" w:type="dxa"/>
            <w:shd w:val="clear" w:color="auto" w:fill="FFFFFF"/>
            <w:vAlign w:val="center"/>
          </w:tcPr>
          <w:p w14:paraId="46B27E44"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1 611,41</w:t>
            </w:r>
          </w:p>
        </w:tc>
      </w:tr>
      <w:tr w:rsidR="00F0736F" w:rsidRPr="00F0736F" w14:paraId="72BC0370" w14:textId="77777777" w:rsidTr="00BB73C0">
        <w:trPr>
          <w:trHeight w:val="330"/>
        </w:trPr>
        <w:tc>
          <w:tcPr>
            <w:tcW w:w="4977" w:type="dxa"/>
            <w:shd w:val="clear" w:color="auto" w:fill="FFFFFF"/>
            <w:vAlign w:val="center"/>
          </w:tcPr>
          <w:p w14:paraId="27D1258F"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природные резерваты</w:t>
            </w:r>
          </w:p>
        </w:tc>
        <w:tc>
          <w:tcPr>
            <w:tcW w:w="978" w:type="dxa"/>
            <w:shd w:val="clear" w:color="auto" w:fill="FFFFFF"/>
            <w:vAlign w:val="center"/>
          </w:tcPr>
          <w:p w14:paraId="1D9AB006" w14:textId="77777777" w:rsidR="00BB73C0" w:rsidRPr="00F0736F" w:rsidRDefault="00BB73C0" w:rsidP="00FC5967">
            <w:pPr>
              <w:jc w:val="center"/>
              <w:rPr>
                <w:color w:val="000000" w:themeColor="text1"/>
              </w:rPr>
            </w:pPr>
            <w:r w:rsidRPr="00F0736F">
              <w:rPr>
                <w:rFonts w:ascii="Times New Roman" w:eastAsia="MS Mincho" w:hAnsi="Times New Roman" w:cs="Times New Roman"/>
                <w:bCs/>
                <w:color w:val="000000" w:themeColor="text1"/>
                <w:sz w:val="20"/>
                <w:szCs w:val="20"/>
                <w:lang w:val="en-US" w:eastAsia="ru-RU"/>
              </w:rPr>
              <w:t>тыс.га</w:t>
            </w:r>
          </w:p>
        </w:tc>
        <w:tc>
          <w:tcPr>
            <w:tcW w:w="1416" w:type="dxa"/>
            <w:shd w:val="clear" w:color="auto" w:fill="FFFFFF"/>
            <w:vAlign w:val="center"/>
          </w:tcPr>
          <w:p w14:paraId="525F9E2F"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2 714,10</w:t>
            </w:r>
          </w:p>
        </w:tc>
        <w:tc>
          <w:tcPr>
            <w:tcW w:w="1276" w:type="dxa"/>
            <w:shd w:val="clear" w:color="auto" w:fill="FFFFFF"/>
          </w:tcPr>
          <w:p w14:paraId="39446045"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3 129,26</w:t>
            </w:r>
          </w:p>
        </w:tc>
        <w:tc>
          <w:tcPr>
            <w:tcW w:w="1239" w:type="dxa"/>
            <w:shd w:val="clear" w:color="auto" w:fill="FFFFFF"/>
          </w:tcPr>
          <w:p w14:paraId="0F2DFFD3"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3 129,26</w:t>
            </w:r>
          </w:p>
        </w:tc>
      </w:tr>
      <w:tr w:rsidR="00F0736F" w:rsidRPr="00F0736F" w14:paraId="103D49ED" w14:textId="77777777" w:rsidTr="00BB73C0">
        <w:trPr>
          <w:trHeight w:val="579"/>
        </w:trPr>
        <w:tc>
          <w:tcPr>
            <w:tcW w:w="4977" w:type="dxa"/>
            <w:shd w:val="clear" w:color="auto" w:fill="FFFFFF"/>
            <w:vAlign w:val="center"/>
          </w:tcPr>
          <w:p w14:paraId="31DCCBF6"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национальные природные парки</w:t>
            </w:r>
          </w:p>
        </w:tc>
        <w:tc>
          <w:tcPr>
            <w:tcW w:w="978" w:type="dxa"/>
            <w:shd w:val="clear" w:color="auto" w:fill="FFFFFF"/>
            <w:vAlign w:val="center"/>
          </w:tcPr>
          <w:p w14:paraId="7E8961F9"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778083D7"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2 523,81</w:t>
            </w:r>
          </w:p>
        </w:tc>
        <w:tc>
          <w:tcPr>
            <w:tcW w:w="1276" w:type="dxa"/>
            <w:shd w:val="clear" w:color="auto" w:fill="FFFFFF"/>
          </w:tcPr>
          <w:p w14:paraId="184ECF03" w14:textId="77777777" w:rsidR="00BB73C0" w:rsidRPr="00F0736F" w:rsidRDefault="00BB73C0" w:rsidP="00FC5967">
            <w:pPr>
              <w:snapToGrid w:val="0"/>
              <w:jc w:val="center"/>
              <w:rPr>
                <w:rFonts w:ascii="Times New Roman" w:hAnsi="Times New Roman" w:cs="Times New Roman"/>
                <w:color w:val="000000" w:themeColor="text1"/>
                <w:sz w:val="20"/>
                <w:szCs w:val="20"/>
              </w:rPr>
            </w:pPr>
          </w:p>
          <w:p w14:paraId="22685BF7"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2 667,36</w:t>
            </w:r>
          </w:p>
        </w:tc>
        <w:tc>
          <w:tcPr>
            <w:tcW w:w="1239" w:type="dxa"/>
            <w:shd w:val="clear" w:color="auto" w:fill="FFFFFF"/>
          </w:tcPr>
          <w:p w14:paraId="189CDD36" w14:textId="77777777" w:rsidR="00BB73C0" w:rsidRPr="00F0736F" w:rsidRDefault="00BB73C0" w:rsidP="000D3551">
            <w:pPr>
              <w:snapToGrid w:val="0"/>
              <w:jc w:val="center"/>
              <w:rPr>
                <w:rFonts w:ascii="Times New Roman" w:hAnsi="Times New Roman" w:cs="Times New Roman"/>
                <w:color w:val="000000" w:themeColor="text1"/>
                <w:sz w:val="20"/>
                <w:szCs w:val="20"/>
              </w:rPr>
            </w:pPr>
          </w:p>
          <w:p w14:paraId="54DF2939"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2 667,36</w:t>
            </w:r>
          </w:p>
        </w:tc>
      </w:tr>
      <w:tr w:rsidR="00F0736F" w:rsidRPr="00F0736F" w14:paraId="3AB4B7B1" w14:textId="77777777" w:rsidTr="00BB73C0">
        <w:trPr>
          <w:trHeight w:val="330"/>
        </w:trPr>
        <w:tc>
          <w:tcPr>
            <w:tcW w:w="4977" w:type="dxa"/>
            <w:shd w:val="clear" w:color="auto" w:fill="FFFFFF"/>
            <w:vAlign w:val="center"/>
          </w:tcPr>
          <w:p w14:paraId="1A49B0E3"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ботанические сады республиканского значения</w:t>
            </w:r>
          </w:p>
        </w:tc>
        <w:tc>
          <w:tcPr>
            <w:tcW w:w="978" w:type="dxa"/>
            <w:shd w:val="clear" w:color="auto" w:fill="FFFFFF"/>
            <w:vAlign w:val="center"/>
          </w:tcPr>
          <w:p w14:paraId="1813B940"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га</w:t>
            </w:r>
          </w:p>
        </w:tc>
        <w:tc>
          <w:tcPr>
            <w:tcW w:w="1416" w:type="dxa"/>
            <w:shd w:val="clear" w:color="auto" w:fill="FFFFFF"/>
            <w:vAlign w:val="center"/>
          </w:tcPr>
          <w:p w14:paraId="47B69C59"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470,3</w:t>
            </w:r>
          </w:p>
        </w:tc>
        <w:tc>
          <w:tcPr>
            <w:tcW w:w="1276" w:type="dxa"/>
            <w:shd w:val="clear" w:color="auto" w:fill="FFFFFF"/>
            <w:vAlign w:val="center"/>
          </w:tcPr>
          <w:p w14:paraId="4398E2D7"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470,3</w:t>
            </w:r>
          </w:p>
        </w:tc>
        <w:tc>
          <w:tcPr>
            <w:tcW w:w="1239" w:type="dxa"/>
            <w:shd w:val="clear" w:color="auto" w:fill="FFFFFF"/>
            <w:vAlign w:val="center"/>
          </w:tcPr>
          <w:p w14:paraId="5B432A25"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470,3</w:t>
            </w:r>
          </w:p>
        </w:tc>
      </w:tr>
      <w:tr w:rsidR="00F0736F" w:rsidRPr="00F0736F" w14:paraId="428A401A" w14:textId="77777777" w:rsidTr="00BB73C0">
        <w:trPr>
          <w:trHeight w:val="330"/>
        </w:trPr>
        <w:tc>
          <w:tcPr>
            <w:tcW w:w="4977" w:type="dxa"/>
            <w:shd w:val="clear" w:color="auto" w:fill="FFFFFF"/>
            <w:vAlign w:val="center"/>
          </w:tcPr>
          <w:p w14:paraId="41F7CA82"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памятники природы местного значения</w:t>
            </w:r>
          </w:p>
        </w:tc>
        <w:tc>
          <w:tcPr>
            <w:tcW w:w="978" w:type="dxa"/>
            <w:shd w:val="clear" w:color="auto" w:fill="FFFFFF"/>
            <w:vAlign w:val="center"/>
          </w:tcPr>
          <w:p w14:paraId="5A20A276" w14:textId="77777777" w:rsidR="00BB73C0" w:rsidRPr="00F0736F" w:rsidRDefault="00BB73C0" w:rsidP="00FC5967">
            <w:pPr>
              <w:jc w:val="center"/>
              <w:rPr>
                <w:color w:val="000000" w:themeColor="text1"/>
              </w:rPr>
            </w:pPr>
            <w:r w:rsidRPr="00F0736F">
              <w:rPr>
                <w:rFonts w:ascii="Times New Roman" w:eastAsia="MS Mincho" w:hAnsi="Times New Roman" w:cs="Times New Roman"/>
                <w:bCs/>
                <w:color w:val="000000" w:themeColor="text1"/>
                <w:sz w:val="20"/>
                <w:szCs w:val="20"/>
                <w:lang w:eastAsia="ru-RU"/>
              </w:rPr>
              <w:t>га</w:t>
            </w:r>
          </w:p>
        </w:tc>
        <w:tc>
          <w:tcPr>
            <w:tcW w:w="1416" w:type="dxa"/>
            <w:shd w:val="clear" w:color="auto" w:fill="FFFFFF"/>
            <w:vAlign w:val="center"/>
          </w:tcPr>
          <w:p w14:paraId="31055C6A"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1 643,8</w:t>
            </w:r>
          </w:p>
        </w:tc>
        <w:tc>
          <w:tcPr>
            <w:tcW w:w="1276" w:type="dxa"/>
            <w:shd w:val="clear" w:color="auto" w:fill="FFFFFF"/>
            <w:vAlign w:val="center"/>
          </w:tcPr>
          <w:p w14:paraId="35B7164A"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1 643,8</w:t>
            </w:r>
          </w:p>
        </w:tc>
        <w:tc>
          <w:tcPr>
            <w:tcW w:w="1239" w:type="dxa"/>
            <w:shd w:val="clear" w:color="auto" w:fill="FFFFFF"/>
            <w:vAlign w:val="center"/>
          </w:tcPr>
          <w:p w14:paraId="4BDEEF2C"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1 643,8</w:t>
            </w:r>
          </w:p>
        </w:tc>
      </w:tr>
      <w:tr w:rsidR="00F0736F" w:rsidRPr="00F0736F" w14:paraId="0D0C30E3" w14:textId="77777777" w:rsidTr="00BB73C0">
        <w:trPr>
          <w:trHeight w:val="330"/>
        </w:trPr>
        <w:tc>
          <w:tcPr>
            <w:tcW w:w="4977" w:type="dxa"/>
            <w:shd w:val="clear" w:color="auto" w:fill="FFFFFF"/>
            <w:vAlign w:val="center"/>
          </w:tcPr>
          <w:p w14:paraId="4CCA0C79"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памятники природы республиканского значения</w:t>
            </w:r>
          </w:p>
        </w:tc>
        <w:tc>
          <w:tcPr>
            <w:tcW w:w="978" w:type="dxa"/>
            <w:shd w:val="clear" w:color="auto" w:fill="FFFFFF"/>
            <w:vAlign w:val="center"/>
          </w:tcPr>
          <w:p w14:paraId="7E4D4E6D" w14:textId="77777777" w:rsidR="00BB73C0" w:rsidRPr="00F0736F" w:rsidRDefault="00BB73C0" w:rsidP="00FC5967">
            <w:pPr>
              <w:jc w:val="center"/>
              <w:rPr>
                <w:color w:val="000000" w:themeColor="text1"/>
              </w:rPr>
            </w:pPr>
            <w:r w:rsidRPr="00F0736F">
              <w:rPr>
                <w:rFonts w:ascii="Times New Roman" w:eastAsia="MS Mincho" w:hAnsi="Times New Roman" w:cs="Times New Roman"/>
                <w:bCs/>
                <w:color w:val="000000" w:themeColor="text1"/>
                <w:sz w:val="20"/>
                <w:szCs w:val="20"/>
                <w:lang w:eastAsia="ru-RU"/>
              </w:rPr>
              <w:t>га</w:t>
            </w:r>
          </w:p>
        </w:tc>
        <w:tc>
          <w:tcPr>
            <w:tcW w:w="1416" w:type="dxa"/>
            <w:shd w:val="clear" w:color="auto" w:fill="FFFFFF"/>
            <w:vAlign w:val="center"/>
          </w:tcPr>
          <w:p w14:paraId="76C6AEF2"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6 484,1</w:t>
            </w:r>
          </w:p>
        </w:tc>
        <w:tc>
          <w:tcPr>
            <w:tcW w:w="1276" w:type="dxa"/>
            <w:shd w:val="clear" w:color="auto" w:fill="FFFFFF"/>
            <w:vAlign w:val="center"/>
          </w:tcPr>
          <w:p w14:paraId="3F3263CA"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6 484,1</w:t>
            </w:r>
          </w:p>
        </w:tc>
        <w:tc>
          <w:tcPr>
            <w:tcW w:w="1239" w:type="dxa"/>
            <w:shd w:val="clear" w:color="auto" w:fill="FFFFFF"/>
            <w:vAlign w:val="center"/>
          </w:tcPr>
          <w:p w14:paraId="0B2B0930"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6 484,1</w:t>
            </w:r>
          </w:p>
        </w:tc>
      </w:tr>
      <w:tr w:rsidR="00F0736F" w:rsidRPr="00F0736F" w14:paraId="3773785A" w14:textId="77777777" w:rsidTr="00BB73C0">
        <w:trPr>
          <w:trHeight w:val="209"/>
        </w:trPr>
        <w:tc>
          <w:tcPr>
            <w:tcW w:w="4977" w:type="dxa"/>
            <w:shd w:val="clear" w:color="auto" w:fill="FFFFFF"/>
            <w:vAlign w:val="center"/>
          </w:tcPr>
          <w:p w14:paraId="27BC1BA7"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 природные заказники республиканского значения</w:t>
            </w:r>
          </w:p>
        </w:tc>
        <w:tc>
          <w:tcPr>
            <w:tcW w:w="978" w:type="dxa"/>
            <w:shd w:val="clear" w:color="auto" w:fill="FFFFFF"/>
            <w:vAlign w:val="center"/>
          </w:tcPr>
          <w:p w14:paraId="767DAF6E"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4EC00007"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5 945,93</w:t>
            </w:r>
          </w:p>
        </w:tc>
        <w:tc>
          <w:tcPr>
            <w:tcW w:w="1276" w:type="dxa"/>
            <w:shd w:val="clear" w:color="auto" w:fill="FFFFFF"/>
            <w:vAlign w:val="center"/>
          </w:tcPr>
          <w:p w14:paraId="36CDEA21"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5 945,93</w:t>
            </w:r>
          </w:p>
        </w:tc>
        <w:tc>
          <w:tcPr>
            <w:tcW w:w="1239" w:type="dxa"/>
            <w:shd w:val="clear" w:color="auto" w:fill="FFFFFF"/>
            <w:vAlign w:val="center"/>
          </w:tcPr>
          <w:p w14:paraId="149BC8CF"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5 945,93</w:t>
            </w:r>
          </w:p>
        </w:tc>
      </w:tr>
      <w:tr w:rsidR="00F0736F" w:rsidRPr="00F0736F" w14:paraId="582519D1" w14:textId="77777777" w:rsidTr="00BB73C0">
        <w:trPr>
          <w:trHeight w:val="387"/>
        </w:trPr>
        <w:tc>
          <w:tcPr>
            <w:tcW w:w="4977" w:type="dxa"/>
            <w:shd w:val="clear" w:color="auto" w:fill="FFFFFF"/>
            <w:vAlign w:val="center"/>
          </w:tcPr>
          <w:p w14:paraId="63DCF5A7"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Государственные</w:t>
            </w:r>
            <w:r w:rsidRPr="00F0736F">
              <w:rPr>
                <w:rFonts w:ascii="Times New Roman" w:eastAsia="MS Mincho" w:hAnsi="Times New Roman" w:cs="Times New Roman"/>
                <w:color w:val="000000" w:themeColor="text1"/>
                <w:sz w:val="20"/>
                <w:szCs w:val="20"/>
                <w:lang w:eastAsia="ru-RU"/>
              </w:rPr>
              <w:t xml:space="preserve"> з</w:t>
            </w:r>
            <w:r w:rsidRPr="00F0736F">
              <w:rPr>
                <w:rFonts w:ascii="Times New Roman" w:eastAsia="MS Mincho" w:hAnsi="Times New Roman" w:cs="Times New Roman"/>
                <w:color w:val="000000" w:themeColor="text1"/>
                <w:sz w:val="20"/>
                <w:szCs w:val="20"/>
                <w:lang w:val="en-US" w:eastAsia="ru-RU"/>
              </w:rPr>
              <w:t>аповедные зоны</w:t>
            </w:r>
          </w:p>
        </w:tc>
        <w:tc>
          <w:tcPr>
            <w:tcW w:w="978" w:type="dxa"/>
            <w:shd w:val="clear" w:color="auto" w:fill="FFFFFF"/>
            <w:vAlign w:val="center"/>
          </w:tcPr>
          <w:p w14:paraId="2EC8E328" w14:textId="77777777" w:rsidR="00BB73C0" w:rsidRPr="00F0736F" w:rsidRDefault="00BB73C0" w:rsidP="00FC5967">
            <w:pPr>
              <w:jc w:val="center"/>
              <w:rPr>
                <w:color w:val="000000" w:themeColor="text1"/>
              </w:rPr>
            </w:pPr>
            <w:r w:rsidRPr="00F0736F">
              <w:rPr>
                <w:rFonts w:ascii="Times New Roman" w:eastAsia="MS Mincho" w:hAnsi="Times New Roman" w:cs="Times New Roman"/>
                <w:color w:val="000000" w:themeColor="text1"/>
                <w:sz w:val="20"/>
                <w:szCs w:val="20"/>
                <w:lang w:eastAsia="ru-RU"/>
              </w:rPr>
              <w:t>тыс.га</w:t>
            </w:r>
          </w:p>
        </w:tc>
        <w:tc>
          <w:tcPr>
            <w:tcW w:w="1416" w:type="dxa"/>
            <w:shd w:val="clear" w:color="auto" w:fill="FFFFFF"/>
            <w:vAlign w:val="center"/>
          </w:tcPr>
          <w:p w14:paraId="6BBF470D"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11 311,92</w:t>
            </w:r>
          </w:p>
        </w:tc>
        <w:tc>
          <w:tcPr>
            <w:tcW w:w="1276" w:type="dxa"/>
            <w:shd w:val="clear" w:color="auto" w:fill="FFFFFF"/>
            <w:vAlign w:val="center"/>
          </w:tcPr>
          <w:p w14:paraId="2415AF8A"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11 311,92</w:t>
            </w:r>
          </w:p>
        </w:tc>
        <w:tc>
          <w:tcPr>
            <w:tcW w:w="1239" w:type="dxa"/>
            <w:shd w:val="clear" w:color="auto" w:fill="FFFFFF"/>
            <w:vAlign w:val="center"/>
          </w:tcPr>
          <w:p w14:paraId="6EFC17AC"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11 311,92</w:t>
            </w:r>
          </w:p>
        </w:tc>
      </w:tr>
      <w:tr w:rsidR="00F0736F" w:rsidRPr="00F0736F" w14:paraId="488C0807" w14:textId="77777777" w:rsidTr="00BB73C0">
        <w:trPr>
          <w:trHeight w:val="369"/>
        </w:trPr>
        <w:tc>
          <w:tcPr>
            <w:tcW w:w="4977" w:type="dxa"/>
            <w:shd w:val="clear" w:color="auto" w:fill="FFFFFF"/>
            <w:vAlign w:val="center"/>
          </w:tcPr>
          <w:p w14:paraId="225C5C57" w14:textId="77777777" w:rsidR="00BB73C0" w:rsidRPr="00F0736F" w:rsidRDefault="00BB73C0" w:rsidP="00FC5967">
            <w:pPr>
              <w:rPr>
                <w:color w:val="000000" w:themeColor="text1"/>
              </w:rPr>
            </w:pPr>
            <w:r w:rsidRPr="00F0736F">
              <w:rPr>
                <w:rFonts w:ascii="Times New Roman" w:hAnsi="Times New Roman" w:cs="Times New Roman"/>
                <w:color w:val="000000" w:themeColor="text1"/>
                <w:sz w:val="20"/>
                <w:szCs w:val="20"/>
              </w:rPr>
              <w:t>Доля площади особо охраняемых природных территорий в площади страны</w:t>
            </w:r>
          </w:p>
        </w:tc>
        <w:tc>
          <w:tcPr>
            <w:tcW w:w="978" w:type="dxa"/>
            <w:shd w:val="clear" w:color="auto" w:fill="FFFFFF"/>
            <w:vAlign w:val="center"/>
          </w:tcPr>
          <w:p w14:paraId="4C4F4148"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w:t>
            </w:r>
          </w:p>
        </w:tc>
        <w:tc>
          <w:tcPr>
            <w:tcW w:w="1416" w:type="dxa"/>
            <w:shd w:val="clear" w:color="auto" w:fill="FFFFFF"/>
            <w:vAlign w:val="center"/>
          </w:tcPr>
          <w:p w14:paraId="17885288"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9,5</w:t>
            </w:r>
          </w:p>
        </w:tc>
        <w:tc>
          <w:tcPr>
            <w:tcW w:w="1276" w:type="dxa"/>
            <w:shd w:val="clear" w:color="auto" w:fill="FFFFFF"/>
            <w:vAlign w:val="center"/>
          </w:tcPr>
          <w:p w14:paraId="63D2EA0B" w14:textId="77777777" w:rsidR="00BB73C0" w:rsidRPr="00F0736F" w:rsidRDefault="00BB73C0" w:rsidP="00FC5967">
            <w:pPr>
              <w:jc w:val="center"/>
              <w:rPr>
                <w:color w:val="000000" w:themeColor="text1"/>
              </w:rPr>
            </w:pPr>
            <w:r w:rsidRPr="00F0736F">
              <w:rPr>
                <w:rFonts w:ascii="Times New Roman" w:hAnsi="Times New Roman" w:cs="Times New Roman"/>
                <w:color w:val="000000" w:themeColor="text1"/>
                <w:sz w:val="20"/>
                <w:szCs w:val="20"/>
              </w:rPr>
              <w:t>10</w:t>
            </w:r>
          </w:p>
        </w:tc>
        <w:tc>
          <w:tcPr>
            <w:tcW w:w="1239" w:type="dxa"/>
            <w:shd w:val="clear" w:color="auto" w:fill="FFFFFF"/>
            <w:vAlign w:val="center"/>
          </w:tcPr>
          <w:p w14:paraId="2D69A281" w14:textId="77777777" w:rsidR="00BB73C0" w:rsidRPr="00F0736F" w:rsidRDefault="00BB73C0" w:rsidP="000D3551">
            <w:pPr>
              <w:jc w:val="center"/>
              <w:rPr>
                <w:color w:val="000000" w:themeColor="text1"/>
              </w:rPr>
            </w:pPr>
            <w:r w:rsidRPr="00F0736F">
              <w:rPr>
                <w:rFonts w:ascii="Times New Roman" w:hAnsi="Times New Roman" w:cs="Times New Roman"/>
                <w:color w:val="000000" w:themeColor="text1"/>
                <w:sz w:val="20"/>
                <w:szCs w:val="20"/>
              </w:rPr>
              <w:t>10</w:t>
            </w:r>
          </w:p>
        </w:tc>
      </w:tr>
    </w:tbl>
    <w:p w14:paraId="3F1CD43A" w14:textId="79E1DEA5" w:rsidR="00084AF7" w:rsidRPr="00F0736F" w:rsidRDefault="00084AF7" w:rsidP="00084AF7">
      <w:pPr>
        <w:ind w:firstLine="567"/>
        <w:rPr>
          <w:i/>
          <w:color w:val="000000" w:themeColor="text1"/>
        </w:rPr>
      </w:pPr>
      <w:r w:rsidRPr="00F0736F">
        <w:rPr>
          <w:rFonts w:ascii="Times New Roman" w:hAnsi="Times New Roman" w:cs="Times New Roman"/>
          <w:i/>
          <w:color w:val="000000" w:themeColor="text1"/>
          <w:sz w:val="20"/>
          <w:lang w:val="kk-KZ"/>
        </w:rPr>
        <w:t xml:space="preserve"> </w:t>
      </w:r>
      <w:r w:rsidR="00F435B9" w:rsidRPr="00F0736F">
        <w:rPr>
          <w:rFonts w:ascii="Times New Roman" w:hAnsi="Times New Roman" w:cs="Times New Roman"/>
          <w:i/>
          <w:color w:val="000000" w:themeColor="text1"/>
          <w:sz w:val="20"/>
          <w:lang w:val="kk-KZ"/>
        </w:rPr>
        <w:t>П</w:t>
      </w:r>
      <w:r w:rsidRPr="00F0736F">
        <w:rPr>
          <w:rFonts w:ascii="Times New Roman" w:hAnsi="Times New Roman" w:cs="Times New Roman"/>
          <w:i/>
          <w:color w:val="000000" w:themeColor="text1"/>
          <w:sz w:val="20"/>
          <w:lang w:val="kk-KZ"/>
        </w:rPr>
        <w:t xml:space="preserve">о данным Комитета лесного хозяйства и животного мира </w:t>
      </w:r>
      <w:r w:rsidRPr="00F0736F">
        <w:rPr>
          <w:rFonts w:ascii="Times New Roman" w:hAnsi="Times New Roman" w:cs="Times New Roman"/>
          <w:i/>
          <w:color w:val="000000" w:themeColor="text1"/>
          <w:sz w:val="20"/>
        </w:rPr>
        <w:t>МЭГПР РК</w:t>
      </w:r>
    </w:p>
    <w:p w14:paraId="50068D2F" w14:textId="77777777" w:rsidR="009D15F8" w:rsidRPr="00F0736F" w:rsidRDefault="009D15F8" w:rsidP="009D15F8">
      <w:pPr>
        <w:jc w:val="both"/>
        <w:rPr>
          <w:rFonts w:ascii="Times New Roman" w:hAnsi="Times New Roman" w:cs="Times New Roman"/>
          <w:color w:val="000000" w:themeColor="text1"/>
        </w:rPr>
      </w:pPr>
    </w:p>
    <w:p w14:paraId="2663354B" w14:textId="77777777" w:rsidR="009D15F8" w:rsidRPr="00F0736F" w:rsidRDefault="009D15F8" w:rsidP="009D15F8">
      <w:pPr>
        <w:ind w:firstLine="709"/>
        <w:jc w:val="both"/>
        <w:rPr>
          <w:color w:val="000000" w:themeColor="text1"/>
        </w:rPr>
      </w:pPr>
      <w:r w:rsidRPr="00F0736F">
        <w:rPr>
          <w:rStyle w:val="12"/>
          <w:rFonts w:ascii="Times New Roman" w:hAnsi="Times New Roman" w:cs="Times New Roman"/>
          <w:color w:val="000000" w:themeColor="text1"/>
          <w:szCs w:val="28"/>
        </w:rPr>
        <w:t xml:space="preserve">Экологический туризм </w:t>
      </w:r>
      <w:r w:rsidRPr="00F0736F">
        <w:rPr>
          <w:rStyle w:val="12"/>
          <w:rFonts w:ascii="Times New Roman" w:hAnsi="Times New Roman" w:cs="Times New Roman"/>
          <w:b w:val="0"/>
          <w:bCs w:val="0"/>
          <w:color w:val="000000" w:themeColor="text1"/>
          <w:szCs w:val="28"/>
        </w:rPr>
        <w:t xml:space="preserve">в настоящее время является приоритетной отраслью и способствует устойчивому развитию экономики, однако официальной статистической информации по экологическому туризму нет. </w:t>
      </w:r>
    </w:p>
    <w:p w14:paraId="47004354" w14:textId="77777777" w:rsidR="009D15F8" w:rsidRPr="00F0736F" w:rsidRDefault="009D15F8" w:rsidP="009D15F8">
      <w:pPr>
        <w:ind w:firstLine="709"/>
        <w:jc w:val="both"/>
        <w:rPr>
          <w:color w:val="000000" w:themeColor="text1"/>
        </w:rPr>
      </w:pPr>
      <w:r w:rsidRPr="00F0736F">
        <w:rPr>
          <w:rFonts w:ascii="Times New Roman" w:eastAsia="Times New Roman" w:hAnsi="Times New Roman" w:cs="Times New Roman"/>
          <w:color w:val="000000" w:themeColor="text1"/>
          <w:szCs w:val="28"/>
          <w:lang w:eastAsia="ru-RU"/>
        </w:rPr>
        <w:t xml:space="preserve">Наибольшим потенциалом для развития экологического туризма обладают </w:t>
      </w:r>
      <w:r w:rsidRPr="00F0736F">
        <w:rPr>
          <w:rFonts w:ascii="Times New Roman" w:eastAsia="Times New Roman" w:hAnsi="Times New Roman" w:cs="Times New Roman"/>
          <w:bCs/>
          <w:color w:val="000000" w:themeColor="text1"/>
          <w:szCs w:val="28"/>
          <w:lang w:eastAsia="ru-RU"/>
        </w:rPr>
        <w:t>государственные национальные природные парки,</w:t>
      </w:r>
      <w:r w:rsidRPr="00F0736F">
        <w:rPr>
          <w:rFonts w:ascii="Times New Roman" w:eastAsia="Times New Roman" w:hAnsi="Times New Roman" w:cs="Times New Roman"/>
          <w:color w:val="000000" w:themeColor="text1"/>
          <w:szCs w:val="28"/>
          <w:lang w:eastAsia="ru-RU"/>
        </w:rPr>
        <w:t xml:space="preserve"> основной задачей которых, наряду с охраной и восстановлением экосистем, является регулирование использования территории национального парка и его охранной зоны в эколого-просветительных, научных, туристских, рекреационных и ограниченных хозяйственных целях.</w:t>
      </w:r>
    </w:p>
    <w:p w14:paraId="7023D97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Туристская и рекреационная деятельность в национальных парках осуществляется непосредственно национальным парком при наличии у него лицензии на туроператорскую деятельность, а также физическими и юридическими лицами, оказывающими туристские услуги.</w:t>
      </w:r>
    </w:p>
    <w:p w14:paraId="2A5B606F" w14:textId="77777777" w:rsidR="009D15F8" w:rsidRPr="00F0736F" w:rsidRDefault="009D15F8" w:rsidP="009D15F8">
      <w:pPr>
        <w:pStyle w:val="af"/>
        <w:ind w:firstLine="709"/>
        <w:jc w:val="both"/>
        <w:rPr>
          <w:rFonts w:ascii="Times New Roman" w:eastAsia="Times New Roman" w:hAnsi="Times New Roman" w:cs="Times New Roman"/>
          <w:color w:val="000000" w:themeColor="text1"/>
          <w:sz w:val="24"/>
          <w:szCs w:val="24"/>
          <w:lang w:eastAsia="ru-RU"/>
        </w:rPr>
      </w:pPr>
      <w:r w:rsidRPr="00F0736F">
        <w:rPr>
          <w:rFonts w:ascii="Times New Roman" w:eastAsia="Times New Roman" w:hAnsi="Times New Roman" w:cs="Times New Roman"/>
          <w:color w:val="000000" w:themeColor="text1"/>
          <w:sz w:val="24"/>
          <w:szCs w:val="24"/>
          <w:lang w:eastAsia="ru-RU"/>
        </w:rPr>
        <w:t>В настоящее время действуют 4 Визит-центра: в Наурзумском, Аксу-Жабаглинском и Коргалжынском заповедниках и нацпарке «Бурабай».</w:t>
      </w:r>
    </w:p>
    <w:p w14:paraId="0E8F5BDE" w14:textId="77777777" w:rsidR="009D15F8" w:rsidRPr="00F0736F" w:rsidRDefault="009D15F8" w:rsidP="009D15F8">
      <w:pPr>
        <w:pStyle w:val="af"/>
        <w:ind w:firstLine="709"/>
        <w:jc w:val="both"/>
        <w:rPr>
          <w:rFonts w:ascii="Times New Roman" w:eastAsia="Times New Roman" w:hAnsi="Times New Roman" w:cs="Times New Roman"/>
          <w:color w:val="000000" w:themeColor="text1"/>
          <w:sz w:val="24"/>
          <w:szCs w:val="24"/>
          <w:lang w:eastAsia="ru-RU"/>
        </w:rPr>
      </w:pPr>
      <w:r w:rsidRPr="00F0736F">
        <w:rPr>
          <w:rFonts w:ascii="Times New Roman" w:eastAsia="Times New Roman" w:hAnsi="Times New Roman" w:cs="Times New Roman"/>
          <w:color w:val="000000" w:themeColor="text1"/>
          <w:sz w:val="24"/>
          <w:szCs w:val="24"/>
          <w:lang w:eastAsia="ru-RU"/>
        </w:rPr>
        <w:t xml:space="preserve">Наибольшей популярностью пользуются </w:t>
      </w:r>
      <w:r w:rsidRPr="00F0736F">
        <w:rPr>
          <w:rFonts w:ascii="Times New Roman" w:eastAsia="Times New Roman" w:hAnsi="Times New Roman" w:cs="Times New Roman"/>
          <w:bCs/>
          <w:color w:val="000000" w:themeColor="text1"/>
          <w:sz w:val="24"/>
          <w:szCs w:val="24"/>
          <w:lang w:eastAsia="ru-RU"/>
        </w:rPr>
        <w:t>государственные национальные природные парки</w:t>
      </w:r>
      <w:r w:rsidRPr="00F0736F">
        <w:rPr>
          <w:rFonts w:ascii="Times New Roman" w:eastAsia="Times New Roman" w:hAnsi="Times New Roman" w:cs="Times New Roman"/>
          <w:color w:val="000000" w:themeColor="text1"/>
          <w:sz w:val="24"/>
          <w:szCs w:val="24"/>
          <w:lang w:eastAsia="ru-RU"/>
        </w:rPr>
        <w:t xml:space="preserve"> Иле-Алатауский, Баянаульский, «Кокшетау» и «Бурабай». </w:t>
      </w:r>
    </w:p>
    <w:p w14:paraId="2CC40973" w14:textId="3166F525" w:rsidR="009D15F8" w:rsidRPr="00F0736F" w:rsidRDefault="009D15F8" w:rsidP="009D15F8">
      <w:pPr>
        <w:pStyle w:val="af"/>
        <w:ind w:firstLine="709"/>
        <w:jc w:val="both"/>
        <w:rPr>
          <w:rFonts w:ascii="Times New Roman" w:eastAsia="Times New Roman" w:hAnsi="Times New Roman" w:cs="Times New Roman"/>
          <w:color w:val="000000" w:themeColor="text1"/>
          <w:spacing w:val="2"/>
          <w:sz w:val="24"/>
          <w:szCs w:val="24"/>
          <w:lang w:eastAsia="ru-RU"/>
        </w:rPr>
      </w:pPr>
      <w:r w:rsidRPr="00F0736F">
        <w:rPr>
          <w:rFonts w:ascii="Times New Roman" w:eastAsia="Times New Roman" w:hAnsi="Times New Roman" w:cs="Times New Roman"/>
          <w:color w:val="000000" w:themeColor="text1"/>
          <w:spacing w:val="2"/>
          <w:sz w:val="24"/>
          <w:szCs w:val="24"/>
          <w:lang w:eastAsia="ru-RU"/>
        </w:rPr>
        <w:t>На ООПТ существуют 233 туристских маршрутов и троп (159 маршрутов и 74 троп), на которых на постоянной основе проводятся мероприятия по их обустройству.</w:t>
      </w:r>
    </w:p>
    <w:p w14:paraId="77AB4449" w14:textId="77777777" w:rsidR="009D15F8" w:rsidRPr="00F0736F" w:rsidRDefault="009D15F8" w:rsidP="009D15F8">
      <w:pPr>
        <w:pStyle w:val="af"/>
        <w:ind w:firstLine="709"/>
        <w:jc w:val="both"/>
        <w:rPr>
          <w:rFonts w:ascii="Times New Roman" w:hAnsi="Times New Roman" w:cs="Times New Roman"/>
          <w:color w:val="000000" w:themeColor="text1"/>
          <w:sz w:val="24"/>
          <w:szCs w:val="24"/>
        </w:rPr>
      </w:pPr>
      <w:r w:rsidRPr="00F0736F">
        <w:rPr>
          <w:rFonts w:ascii="Times New Roman" w:hAnsi="Times New Roman" w:cs="Times New Roman"/>
          <w:color w:val="000000" w:themeColor="text1"/>
          <w:sz w:val="24"/>
          <w:szCs w:val="24"/>
        </w:rPr>
        <w:t xml:space="preserve">Работа по обустройству и реконструкции включает мероприятия по установлению смотровых площадок, размещение бивачных полян, палаточных лагерей для отдыхающих туристов и размещение билбордов, информационных стендов, карт-схем туристских маршрутов и троп, указателей на трех (казахском, русском и английском) языках, а также включает мероприятия по обновлению и установлению беседок, скамеек, туалетов и урн для мусора. </w:t>
      </w:r>
    </w:p>
    <w:p w14:paraId="0067979D" w14:textId="77777777" w:rsidR="009D15F8" w:rsidRPr="00F0736F" w:rsidRDefault="009D15F8" w:rsidP="009D15F8">
      <w:pPr>
        <w:pStyle w:val="af"/>
        <w:ind w:firstLine="709"/>
        <w:jc w:val="both"/>
        <w:rPr>
          <w:rFonts w:ascii="Times New Roman" w:eastAsia="Times New Roman" w:hAnsi="Times New Roman" w:cs="Times New Roman"/>
          <w:color w:val="000000" w:themeColor="text1"/>
          <w:sz w:val="24"/>
          <w:szCs w:val="24"/>
          <w:lang w:val="kk-KZ" w:eastAsia="ru-RU"/>
        </w:rPr>
      </w:pPr>
      <w:r w:rsidRPr="00F0736F">
        <w:rPr>
          <w:rFonts w:ascii="Times New Roman" w:eastAsia="Times New Roman" w:hAnsi="Times New Roman" w:cs="Times New Roman"/>
          <w:color w:val="000000" w:themeColor="text1"/>
          <w:sz w:val="24"/>
          <w:szCs w:val="24"/>
          <w:lang w:val="kk-KZ" w:eastAsia="ru-RU"/>
        </w:rPr>
        <w:t>Развитие экологического туризма на ООПТ влечет за собой экологическое просвещение граждан страны к бережному отношению к природе, а также обеспечивает местное население новыми трудовыми местами в обслуживающей сфере.</w:t>
      </w:r>
    </w:p>
    <w:p w14:paraId="2130158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рамках реализации Государственной программы развития туристской отрасли РК на 2019 - 2025 годы, между Акционерным обществом «Национальная компания «Kazakh Tourism» и 3 государственными национальными природными парками ГНПП «Кокшетау», Иле-Алатауский и Чарынский ГНПП подписан договор о совместной деятельности по развитию экологического туризма в ГНПП.</w:t>
      </w:r>
    </w:p>
    <w:p w14:paraId="4CB61443" w14:textId="41B29E64"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Разработан мастер</w:t>
      </w:r>
      <w:r w:rsidR="00AC18E0"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rPr>
        <w:t>план по развитию экологического туризма в Иле-Алатауском государственном национальном природном парке, разработана дорожная карта по реализации мастер-плана. Проводится работа по корректировке генерального плана развития инфраструктуры Иле-Алатауского ГНПП. По аналогии разрабатываются мастер-планы развития экологического туризма в ГНПП Алматинского горного кластера (Чарынский, «Алтын-Эмель», «</w:t>
      </w:r>
      <w:r w:rsidRPr="00F0736F">
        <w:rPr>
          <w:rFonts w:ascii="Times New Roman" w:eastAsia="Calibri" w:hAnsi="Times New Roman" w:cs="Times New Roman"/>
          <w:color w:val="000000" w:themeColor="text1"/>
          <w:lang w:val="kk-KZ"/>
        </w:rPr>
        <w:t>Көлсай көлдері</w:t>
      </w:r>
      <w:r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lang w:val="kk-KZ"/>
        </w:rPr>
        <w:t>.</w:t>
      </w:r>
    </w:p>
    <w:p w14:paraId="0034361F" w14:textId="6E7003E2"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lang w:val="kk-KZ"/>
        </w:rPr>
        <w:t>В</w:t>
      </w:r>
      <w:r w:rsidRPr="00F0736F">
        <w:rPr>
          <w:rFonts w:ascii="Times New Roman" w:eastAsia="Calibri" w:hAnsi="Times New Roman" w:cs="Times New Roman"/>
          <w:color w:val="000000" w:themeColor="text1"/>
        </w:rPr>
        <w:t xml:space="preserve"> 201</w:t>
      </w:r>
      <w:r w:rsidRPr="00F0736F">
        <w:rPr>
          <w:rFonts w:ascii="Times New Roman" w:eastAsia="Calibri" w:hAnsi="Times New Roman" w:cs="Times New Roman"/>
          <w:color w:val="000000" w:themeColor="text1"/>
          <w:lang w:val="kk-KZ"/>
        </w:rPr>
        <w:t>7</w:t>
      </w:r>
      <w:r w:rsidRPr="00F0736F">
        <w:rPr>
          <w:rFonts w:ascii="Times New Roman" w:eastAsia="Calibri" w:hAnsi="Times New Roman" w:cs="Times New Roman"/>
          <w:color w:val="000000" w:themeColor="text1"/>
        </w:rPr>
        <w:t xml:space="preserve"> году общее число посетителей ООПТ (туристов) составило 1</w:t>
      </w:r>
      <w:r w:rsidR="00AC18E0"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kk-KZ"/>
        </w:rPr>
        <w:t>233</w:t>
      </w:r>
      <w:r w:rsidR="00AC18E0" w:rsidRPr="00F0736F">
        <w:rPr>
          <w:rFonts w:ascii="Times New Roman" w:eastAsia="Calibri" w:hAnsi="Times New Roman" w:cs="Times New Roman"/>
          <w:color w:val="000000" w:themeColor="text1"/>
          <w:lang w:val="kk-KZ"/>
        </w:rPr>
        <w:t xml:space="preserve"> </w:t>
      </w:r>
      <w:r w:rsidRPr="00F0736F">
        <w:rPr>
          <w:rFonts w:ascii="Times New Roman" w:eastAsia="Calibri" w:hAnsi="Times New Roman" w:cs="Times New Roman"/>
          <w:color w:val="000000" w:themeColor="text1"/>
          <w:lang w:val="kk-KZ"/>
        </w:rPr>
        <w:t>058</w:t>
      </w:r>
      <w:r w:rsidRPr="00F0736F">
        <w:rPr>
          <w:rFonts w:ascii="Times New Roman" w:eastAsia="Calibri" w:hAnsi="Times New Roman" w:cs="Times New Roman"/>
          <w:color w:val="000000" w:themeColor="text1"/>
        </w:rPr>
        <w:t xml:space="preserve"> человек, в 2018 году – 1</w:t>
      </w:r>
      <w:r w:rsidR="00AC18E0"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234</w:t>
      </w:r>
      <w:r w:rsidR="00AC18E0"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362 человек</w:t>
      </w:r>
      <w:r w:rsidR="00AC18E0" w:rsidRPr="00F0736F">
        <w:rPr>
          <w:rFonts w:ascii="Times New Roman" w:eastAsia="Calibri" w:hAnsi="Times New Roman" w:cs="Times New Roman"/>
          <w:color w:val="000000" w:themeColor="text1"/>
        </w:rPr>
        <w:t>а</w:t>
      </w:r>
      <w:r w:rsidRPr="00F0736F">
        <w:rPr>
          <w:rFonts w:ascii="Times New Roman" w:eastAsia="Calibri" w:hAnsi="Times New Roman" w:cs="Times New Roman"/>
          <w:color w:val="000000" w:themeColor="text1"/>
        </w:rPr>
        <w:t>.</w:t>
      </w:r>
      <w:r w:rsidRPr="00F0736F">
        <w:rPr>
          <w:rFonts w:ascii="Times New Roman" w:eastAsia="Times New Roman" w:hAnsi="Times New Roman" w:cs="Times New Roman"/>
          <w:color w:val="000000" w:themeColor="text1"/>
          <w:lang w:eastAsia="ru-RU"/>
        </w:rPr>
        <w:t xml:space="preserve"> </w:t>
      </w:r>
      <w:r w:rsidRPr="00F0736F">
        <w:rPr>
          <w:rFonts w:ascii="Times New Roman" w:hAnsi="Times New Roman" w:cs="Times New Roman"/>
          <w:color w:val="000000" w:themeColor="text1"/>
        </w:rPr>
        <w:t xml:space="preserve">В 2019 году ООПТ посетили 1,5 млн. человек. </w:t>
      </w:r>
    </w:p>
    <w:p w14:paraId="6E0CE65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Основными проблемами развития экотуризма в национальных парках являются низкое качество мест размещения, общепита и отсутствие соответствующей инфраструктуры: оборудованные тропы, информационные центры, пункты проката, сувенирные лавки, смотровые площадки. </w:t>
      </w:r>
    </w:p>
    <w:p w14:paraId="7FECFEA7" w14:textId="5A51D77B"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Казахстане принято решение использовать американскую модель развития национальных парков, по которой предпочтение будет отдаваться развитию туристских троп и маршрутов, без осуществления капитального строительства, с размещением вдоль троп глемпингов, кэмпингов, смотровых площадок, этно-ауылов, палаточных лагерей. Был разработан мастер-план развитию экологического туризма в Иле-Алатауском национальном парке. В ближайшие 4 года инвестором будет вложено не менее 12 млрд. тенге и созданы около 1</w:t>
      </w:r>
      <w:r w:rsidR="00C619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000 рабочих мест. </w:t>
      </w:r>
    </w:p>
    <w:p w14:paraId="4AB77223" w14:textId="77777777" w:rsidR="00C6192B" w:rsidRPr="00F0736F" w:rsidRDefault="004C022E" w:rsidP="004C022E">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В рамках текущей деятельности национальных комитетов, входящих в структуру Национальной комиссии Республики Казахстан по делам ЮНЕСКО и ИСЕСКО</w:t>
      </w:r>
      <w:r w:rsidR="00C619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Казахстаном на постоянной основе ведется работа по включению ООПТ Казахстана в  различные программы ЮНЕСКО: список объектов Всемирного природного</w:t>
      </w:r>
      <w:r w:rsidR="00C619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наследия, Программа «Человек и биосфера» (МАБ, Всемирная сеть биосферных резерватов ЮНЕСКО) и Программа по глобальной сети геопарков ЮНЕСКО. В настоящее время в списке Всемирного наследия ЮНЕСКО имеется только два казахстанских природных объекта: </w:t>
      </w:r>
    </w:p>
    <w:p w14:paraId="4A7C9078" w14:textId="6F90BEC7" w:rsidR="00C6192B" w:rsidRPr="00F0736F" w:rsidRDefault="004C022E" w:rsidP="004C022E">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1) «Сарыарка – степи и озера Северного Казахстана» (2008 г., Нурзумский и Коргалжынский государственные природные заповедники)</w:t>
      </w:r>
      <w:r w:rsidR="00C619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w:t>
      </w:r>
    </w:p>
    <w:p w14:paraId="06FCC8FB" w14:textId="77777777" w:rsidR="00C6192B" w:rsidRPr="00F0736F" w:rsidRDefault="004C022E" w:rsidP="004C022E">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2) «Западный Тянь-Шань», совместный с Узбекистаном</w:t>
      </w:r>
      <w:r w:rsidR="001A612F" w:rsidRPr="00F0736F">
        <w:rPr>
          <w:rFonts w:ascii="Times New Roman" w:hAnsi="Times New Roman" w:cs="Times New Roman"/>
          <w:color w:val="000000" w:themeColor="text1"/>
        </w:rPr>
        <w:t xml:space="preserve"> и Кыргызстаном (2016 г., Аксу-Ж</w:t>
      </w:r>
      <w:r w:rsidRPr="00F0736F">
        <w:rPr>
          <w:rFonts w:ascii="Times New Roman" w:hAnsi="Times New Roman" w:cs="Times New Roman"/>
          <w:color w:val="000000" w:themeColor="text1"/>
        </w:rPr>
        <w:t>абаглинский и Каратауский государственные природные заповедники и Сайрам-Угамский государственный национальный природный парк). По данным интернет</w:t>
      </w:r>
      <w:r w:rsidR="001A612F"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сайта ЮНЕСКО (</w:t>
      </w:r>
      <w:hyperlink r:id="rId45" w:history="1">
        <w:r w:rsidRPr="00F0736F">
          <w:rPr>
            <w:rStyle w:val="a6"/>
            <w:rFonts w:ascii="Times New Roman" w:hAnsi="Times New Roman" w:cs="Times New Roman"/>
            <w:color w:val="000000" w:themeColor="text1"/>
          </w:rPr>
          <w:t>http://whc.unesco.org/en/tentativelists/state=kz</w:t>
        </w:r>
      </w:hyperlink>
      <w:r w:rsidRPr="00F0736F">
        <w:rPr>
          <w:rFonts w:ascii="Times New Roman" w:hAnsi="Times New Roman" w:cs="Times New Roman"/>
          <w:color w:val="000000" w:themeColor="text1"/>
        </w:rPr>
        <w:t xml:space="preserve">) в предварительном списке Всемирного природного наследия ЮНЕСКО находятся следующие казахстанские природные объекты: Северный Тянь-Шань (Иле-Алатауский государственный национальный природный парк), Аксу-Жабаглинский государственный природный заповедник и Алтын-Эмельский государственный национальный природный парк. </w:t>
      </w:r>
    </w:p>
    <w:p w14:paraId="41F248AD" w14:textId="1EF3B894" w:rsidR="004C022E" w:rsidRPr="00F0736F" w:rsidRDefault="004C022E" w:rsidP="004C022E">
      <w:pPr>
        <w:ind w:firstLine="567"/>
        <w:jc w:val="both"/>
        <w:rPr>
          <w:color w:val="000000" w:themeColor="text1"/>
        </w:rPr>
      </w:pPr>
      <w:r w:rsidRPr="00F0736F">
        <w:rPr>
          <w:rFonts w:ascii="Times New Roman" w:hAnsi="Times New Roman" w:cs="Times New Roman"/>
          <w:color w:val="000000" w:themeColor="text1"/>
        </w:rPr>
        <w:t>В 2019-2020 гг. в Казахстанском национальном комитете по всемирному наследию проводятся работы по обновлению предварительного списка, результаты которых будут представлены на сайте ЮНЕСКО в конце 2020 г</w:t>
      </w:r>
      <w:r w:rsidR="001A612F"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w:t>
      </w:r>
    </w:p>
    <w:p w14:paraId="06DAE001" w14:textId="77777777" w:rsidR="004C022E" w:rsidRPr="00F0736F" w:rsidRDefault="004C022E" w:rsidP="004C022E">
      <w:pPr>
        <w:ind w:firstLine="567"/>
        <w:jc w:val="both"/>
        <w:rPr>
          <w:color w:val="000000" w:themeColor="text1"/>
        </w:rPr>
      </w:pPr>
      <w:r w:rsidRPr="00F0736F">
        <w:rPr>
          <w:rFonts w:ascii="Times New Roman" w:hAnsi="Times New Roman" w:cs="Times New Roman"/>
          <w:color w:val="000000" w:themeColor="text1"/>
        </w:rPr>
        <w:t>С 2011 г</w:t>
      </w:r>
      <w:r w:rsidR="001A612F"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Казахстанский национальный комитет программы ЮНЕСКО «Человек и биосфера» (МАБ) активно номинирует казахстанские ООПТ республиканского значения во Всемирную сеть биосферных резерватов ЮНЕСКО. На основе ООПТ трех категорий (государственный природный заповедник, государственный национальный природный парк и государственный природный резерват) создаются биосферные резерваты ЮНЕСКО. В настоящее время в Казахстане имеется уже 10 особо охраняемых природных территорий Казахстана, имеющих международный статус биосферного резервата ЮНЕСКО: Коргалжынский заповедник (2012), Алакольский заповедник (2013), государственный природный резерват «Акжайык» (2014), Катон-Карагайский государственный национальный природный парк (2014), Аксу-Жабаглинский заповедник (2015), Барсакельмесский заповедник (2016), Каратауский заповедник (2017), Алтын-Эмельский государственный национальный природный парк (2017), Чарынский и Жонгарский национальные природные парки (2018). В 2017 г</w:t>
      </w:r>
      <w:r w:rsidR="001A612F"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был создан первый в Азии трансграничный биосферный резерват Большой Алтай на основе двух национальных биосферных резерватов из Казахстана (Катон-Карагай БР) и России (Катунский БР).</w:t>
      </w:r>
    </w:p>
    <w:p w14:paraId="15D040F6" w14:textId="77777777" w:rsidR="004C022E" w:rsidRPr="00F0736F" w:rsidRDefault="004C022E" w:rsidP="004C022E">
      <w:pPr>
        <w:ind w:firstLine="567"/>
        <w:jc w:val="both"/>
        <w:rPr>
          <w:color w:val="000000" w:themeColor="text1"/>
        </w:rPr>
      </w:pPr>
      <w:r w:rsidRPr="00F0736F">
        <w:rPr>
          <w:rFonts w:ascii="Times New Roman" w:hAnsi="Times New Roman" w:cs="Times New Roman"/>
          <w:color w:val="000000" w:themeColor="text1"/>
        </w:rPr>
        <w:t>В 2019 г</w:t>
      </w:r>
      <w:r w:rsidR="001A612F"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от Казахстана в ЮНЕСКО поданы заявки по включению ещё двух ООПТ во Всемирную сеть биосферных резерватов ЮНЕСКО – Западно-Алтайский и Алматинский заповедники (http://www.kazmab.kz). В 2020 г</w:t>
      </w:r>
      <w:r w:rsidR="001A612F"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проводится работа по составлению национальной заявки Биосферный резерват «Кольсай кольдери».</w:t>
      </w:r>
    </w:p>
    <w:p w14:paraId="7158D27D" w14:textId="77777777" w:rsidR="004C022E" w:rsidRPr="00F0736F" w:rsidRDefault="004C022E" w:rsidP="004C022E">
      <w:pPr>
        <w:ind w:firstLine="567"/>
        <w:jc w:val="both"/>
        <w:rPr>
          <w:color w:val="000000" w:themeColor="text1"/>
        </w:rPr>
      </w:pPr>
      <w:r w:rsidRPr="00F0736F">
        <w:rPr>
          <w:rFonts w:ascii="Times New Roman" w:eastAsia="Calibri" w:hAnsi="Times New Roman" w:cs="Times New Roman"/>
          <w:color w:val="000000" w:themeColor="text1"/>
          <w:spacing w:val="2"/>
          <w:lang w:eastAsia="ru-RU"/>
        </w:rPr>
        <w:t>На основе предложений Казахстанского национального комитета МАБ и КЛХЖМ по совершенствованию законодательной базы</w:t>
      </w:r>
      <w:r w:rsidR="001A612F" w:rsidRPr="00F0736F">
        <w:rPr>
          <w:rFonts w:ascii="Times New Roman" w:eastAsia="Calibri" w:hAnsi="Times New Roman" w:cs="Times New Roman"/>
          <w:color w:val="000000" w:themeColor="text1"/>
          <w:spacing w:val="2"/>
          <w:lang w:eastAsia="ru-RU"/>
        </w:rPr>
        <w:t>,</w:t>
      </w:r>
      <w:r w:rsidRPr="00F0736F">
        <w:rPr>
          <w:rFonts w:ascii="Times New Roman" w:eastAsia="Calibri" w:hAnsi="Times New Roman" w:cs="Times New Roman"/>
          <w:color w:val="000000" w:themeColor="text1"/>
          <w:spacing w:val="2"/>
          <w:lang w:eastAsia="ru-RU"/>
        </w:rPr>
        <w:t xml:space="preserve"> в 2017 г</w:t>
      </w:r>
      <w:r w:rsidR="001A612F" w:rsidRPr="00F0736F">
        <w:rPr>
          <w:rFonts w:ascii="Times New Roman" w:eastAsia="Calibri" w:hAnsi="Times New Roman" w:cs="Times New Roman"/>
          <w:color w:val="000000" w:themeColor="text1"/>
          <w:spacing w:val="2"/>
          <w:lang w:eastAsia="ru-RU"/>
        </w:rPr>
        <w:t>оду</w:t>
      </w:r>
      <w:r w:rsidRPr="00F0736F">
        <w:rPr>
          <w:rFonts w:ascii="Times New Roman" w:eastAsia="Calibri" w:hAnsi="Times New Roman" w:cs="Times New Roman"/>
          <w:color w:val="000000" w:themeColor="text1"/>
          <w:spacing w:val="2"/>
          <w:lang w:eastAsia="ru-RU"/>
        </w:rPr>
        <w:t xml:space="preserve"> </w:t>
      </w:r>
      <w:r w:rsidR="00D17AD1" w:rsidRPr="00F0736F">
        <w:rPr>
          <w:rFonts w:ascii="Times New Roman" w:eastAsia="Calibri" w:hAnsi="Times New Roman" w:cs="Times New Roman"/>
          <w:color w:val="000000" w:themeColor="text1"/>
          <w:spacing w:val="2"/>
          <w:lang w:eastAsia="ru-RU"/>
        </w:rPr>
        <w:t>приняты</w:t>
      </w:r>
      <w:r w:rsidRPr="00F0736F">
        <w:rPr>
          <w:rFonts w:ascii="Times New Roman" w:eastAsia="Calibri" w:hAnsi="Times New Roman" w:cs="Times New Roman"/>
          <w:color w:val="000000" w:themeColor="text1"/>
          <w:spacing w:val="2"/>
          <w:lang w:eastAsia="ru-RU"/>
        </w:rPr>
        <w:t xml:space="preserve"> поправки в Закон об особо охраняемых природных территориях, который был дополнен новой главой 9-1 «Биосферные резерваты», которые не являются отдельной категорией особо </w:t>
      </w:r>
      <w:r w:rsidRPr="00F0736F">
        <w:rPr>
          <w:rFonts w:ascii="Times New Roman" w:eastAsia="Calibri" w:hAnsi="Times New Roman" w:cs="Times New Roman"/>
          <w:bCs/>
          <w:color w:val="000000" w:themeColor="text1"/>
          <w:spacing w:val="2"/>
          <w:lang w:eastAsia="ru-RU"/>
        </w:rPr>
        <w:t xml:space="preserve">охраняемых природных территорий </w:t>
      </w:r>
      <w:r w:rsidRPr="00F0736F">
        <w:rPr>
          <w:rFonts w:ascii="Times New Roman" w:eastAsia="Calibri" w:hAnsi="Times New Roman" w:cs="Times New Roman"/>
          <w:color w:val="000000" w:themeColor="text1"/>
          <w:spacing w:val="2"/>
          <w:lang w:eastAsia="ru-RU"/>
        </w:rPr>
        <w:t>и создаются на базе существующих особо охраняемых природных территорий (ГПЗ, ГНПП и ГПР и их буферных зон). Это согласуется с пониманием биосферного резервата в определении ЮНЕСКО, которое не предусматривает дополнительного охранного статуса относительно того, который уже предоставлен национальным законодательством.</w:t>
      </w:r>
    </w:p>
    <w:p w14:paraId="778FFD4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По состоянию на март 2018 г</w:t>
      </w:r>
      <w:r w:rsidR="001A612F"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насчитывается 10 территорий, отнесенных к водно-болотным угодьям, имеющим международное значение, общей площадью 3</w:t>
      </w:r>
      <w:r w:rsidR="001A612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281</w:t>
      </w:r>
      <w:r w:rsidR="001A612F"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398 га.</w:t>
      </w:r>
    </w:p>
    <w:p w14:paraId="69F5180F"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szCs w:val="28"/>
        </w:rPr>
        <w:t>В 2017 г</w:t>
      </w:r>
      <w:r w:rsidR="001A612F" w:rsidRPr="00F0736F">
        <w:rPr>
          <w:rFonts w:ascii="Times New Roman" w:eastAsia="Calibri" w:hAnsi="Times New Roman" w:cs="Times New Roman"/>
          <w:color w:val="000000" w:themeColor="text1"/>
          <w:szCs w:val="28"/>
        </w:rPr>
        <w:t>оду</w:t>
      </w:r>
      <w:r w:rsidRPr="00F0736F">
        <w:rPr>
          <w:rFonts w:ascii="Times New Roman" w:eastAsia="Calibri" w:hAnsi="Times New Roman" w:cs="Times New Roman"/>
          <w:color w:val="000000" w:themeColor="text1"/>
          <w:szCs w:val="28"/>
        </w:rPr>
        <w:t xml:space="preserve"> Правительством внесены поправки в Закон об особо охраняемых природных территориях, который был дополнен новой статьей о ключевых орнитологических территориях с целью охраны мест обитания значительной совокупности птиц, редких и находящихся под угрозой исчезновения видов птиц, характерных для определенных ландшафтов, значительных гнездовых или миграционных скоплений птиц (включая водоплавающих). На этих территориях устанавливается регулируемый режим хозяйственной деятельности. Все ключевые орнитологические территории Казахстана признаны в качестве КОТ (IBA) на международном уровне. По состоянию на март 2018 г</w:t>
      </w:r>
      <w:r w:rsidR="001A612F" w:rsidRPr="00F0736F">
        <w:rPr>
          <w:rFonts w:ascii="Times New Roman" w:eastAsia="Calibri" w:hAnsi="Times New Roman" w:cs="Times New Roman"/>
          <w:color w:val="000000" w:themeColor="text1"/>
          <w:szCs w:val="28"/>
        </w:rPr>
        <w:t>ода</w:t>
      </w:r>
      <w:r w:rsidRPr="00F0736F">
        <w:rPr>
          <w:rFonts w:ascii="Times New Roman" w:eastAsia="Calibri" w:hAnsi="Times New Roman" w:cs="Times New Roman"/>
          <w:color w:val="000000" w:themeColor="text1"/>
          <w:szCs w:val="28"/>
        </w:rPr>
        <w:t xml:space="preserve"> в Казахстане насчитывалось 127 КОТ общей площадью 15</w:t>
      </w:r>
      <w:r w:rsidR="001A612F" w:rsidRPr="00F0736F">
        <w:rPr>
          <w:rFonts w:ascii="Times New Roman" w:eastAsia="Calibri" w:hAnsi="Times New Roman" w:cs="Times New Roman"/>
          <w:color w:val="000000" w:themeColor="text1"/>
          <w:szCs w:val="28"/>
        </w:rPr>
        <w:t xml:space="preserve"> </w:t>
      </w:r>
      <w:r w:rsidRPr="00F0736F">
        <w:rPr>
          <w:rFonts w:ascii="Times New Roman" w:eastAsia="Calibri" w:hAnsi="Times New Roman" w:cs="Times New Roman"/>
          <w:color w:val="000000" w:themeColor="text1"/>
          <w:szCs w:val="28"/>
        </w:rPr>
        <w:t>414</w:t>
      </w:r>
      <w:r w:rsidR="001A612F" w:rsidRPr="00F0736F">
        <w:rPr>
          <w:rFonts w:ascii="Times New Roman" w:eastAsia="Calibri" w:hAnsi="Times New Roman" w:cs="Times New Roman"/>
          <w:color w:val="000000" w:themeColor="text1"/>
          <w:szCs w:val="28"/>
        </w:rPr>
        <w:t xml:space="preserve"> </w:t>
      </w:r>
      <w:r w:rsidRPr="00F0736F">
        <w:rPr>
          <w:rFonts w:ascii="Times New Roman" w:eastAsia="Calibri" w:hAnsi="Times New Roman" w:cs="Times New Roman"/>
          <w:color w:val="000000" w:themeColor="text1"/>
          <w:szCs w:val="28"/>
        </w:rPr>
        <w:t>627 га.</w:t>
      </w:r>
    </w:p>
    <w:p w14:paraId="7AA8F45A" w14:textId="676466D5" w:rsidR="009D15F8" w:rsidRPr="00F0736F" w:rsidRDefault="009D15F8" w:rsidP="009D15F8">
      <w:pPr>
        <w:ind w:firstLine="709"/>
        <w:jc w:val="both"/>
        <w:rPr>
          <w:color w:val="000000" w:themeColor="text1"/>
        </w:rPr>
      </w:pPr>
      <w:r w:rsidRPr="00F0736F">
        <w:rPr>
          <w:rStyle w:val="21"/>
          <w:rFonts w:ascii="Times New Roman" w:eastAsia="Calibri" w:hAnsi="Times New Roman" w:cs="Times New Roman"/>
          <w:color w:val="000000" w:themeColor="text1"/>
          <w:spacing w:val="2"/>
          <w:sz w:val="24"/>
          <w:lang w:eastAsia="ru-RU"/>
        </w:rPr>
        <w:t xml:space="preserve">В области </w:t>
      </w:r>
      <w:r w:rsidRPr="00F0736F">
        <w:rPr>
          <w:rStyle w:val="21"/>
          <w:rFonts w:ascii="Times New Roman" w:eastAsia="Calibri" w:hAnsi="Times New Roman" w:cs="Times New Roman"/>
          <w:b/>
          <w:bCs/>
          <w:color w:val="000000" w:themeColor="text1"/>
          <w:spacing w:val="2"/>
          <w:sz w:val="24"/>
          <w:lang w:eastAsia="ru-RU"/>
        </w:rPr>
        <w:t>сохранения рыбных ресурсов</w:t>
      </w:r>
      <w:r w:rsidRPr="00F0736F">
        <w:rPr>
          <w:rStyle w:val="21"/>
          <w:rFonts w:ascii="Times New Roman" w:eastAsia="Calibri" w:hAnsi="Times New Roman" w:cs="Times New Roman"/>
          <w:color w:val="000000" w:themeColor="text1"/>
          <w:spacing w:val="2"/>
          <w:sz w:val="24"/>
          <w:lang w:eastAsia="ru-RU"/>
        </w:rPr>
        <w:t xml:space="preserve"> Концепция намечает сохранение рыбных ресурсов и других водных животных, в том числе: ценных видов, являющихся объектами рыболовства - 52 вида рыб, а также редких и находящихся под угрозой исчезновения видов - 18 видов рыб</w:t>
      </w:r>
      <w:r w:rsidRPr="00F0736F">
        <w:rPr>
          <w:rStyle w:val="a4"/>
          <w:rFonts w:ascii="Times New Roman" w:eastAsia="Calibri" w:hAnsi="Times New Roman" w:cs="Times New Roman"/>
          <w:color w:val="000000" w:themeColor="text1"/>
          <w:spacing w:val="2"/>
          <w:lang w:eastAsia="ru-RU"/>
        </w:rPr>
        <w:footnoteReference w:id="107"/>
      </w:r>
      <w:r w:rsidRPr="00F0736F">
        <w:rPr>
          <w:rStyle w:val="21"/>
          <w:rFonts w:ascii="Times New Roman" w:eastAsia="Calibri" w:hAnsi="Times New Roman" w:cs="Times New Roman"/>
          <w:color w:val="000000" w:themeColor="text1"/>
          <w:spacing w:val="2"/>
          <w:sz w:val="24"/>
          <w:lang w:eastAsia="ru-RU"/>
        </w:rPr>
        <w:t>. Такая же задача поставлена в действующем в настоящее время Стратегическом плане Министерства сельского хозяйства Республики Казахстан на 2017 - 2021 годы</w:t>
      </w:r>
      <w:r w:rsidRPr="00F0736F">
        <w:rPr>
          <w:rStyle w:val="a4"/>
          <w:rFonts w:ascii="Times New Roman" w:eastAsia="Calibri" w:hAnsi="Times New Roman" w:cs="Times New Roman"/>
          <w:color w:val="000000" w:themeColor="text1"/>
          <w:spacing w:val="2"/>
          <w:lang w:eastAsia="ru-RU"/>
        </w:rPr>
        <w:footnoteReference w:id="108"/>
      </w:r>
      <w:r w:rsidRPr="00F0736F">
        <w:rPr>
          <w:rStyle w:val="21"/>
          <w:rFonts w:ascii="Times New Roman" w:eastAsia="Calibri" w:hAnsi="Times New Roman" w:cs="Times New Roman"/>
          <w:color w:val="000000" w:themeColor="text1"/>
          <w:spacing w:val="2"/>
          <w:sz w:val="24"/>
          <w:lang w:eastAsia="ru-RU"/>
        </w:rPr>
        <w:t>, в котором отмечается, что рыбное хозяйство имеет большое значение в качестве источника доходов, базы для экономического роста, обеспечения занятости населения, повышения экспорта рыбной продукции, других потенциальных возможностей и как возобновляемый источник биологического разнообразия. Приоритетными направлениями на 2017 - 2021 годы по рыбному хозяйству являются: сохранение рыбных ресурсов</w:t>
      </w:r>
      <w:r w:rsidR="001A612F" w:rsidRPr="00F0736F">
        <w:rPr>
          <w:rStyle w:val="21"/>
          <w:rFonts w:ascii="Times New Roman" w:eastAsia="Calibri" w:hAnsi="Times New Roman" w:cs="Times New Roman"/>
          <w:color w:val="000000" w:themeColor="text1"/>
          <w:spacing w:val="2"/>
          <w:sz w:val="24"/>
          <w:lang w:eastAsia="ru-RU"/>
        </w:rPr>
        <w:t>,</w:t>
      </w:r>
      <w:r w:rsidRPr="00F0736F">
        <w:rPr>
          <w:rStyle w:val="21"/>
          <w:rFonts w:ascii="Times New Roman" w:eastAsia="Calibri" w:hAnsi="Times New Roman" w:cs="Times New Roman"/>
          <w:color w:val="000000" w:themeColor="text1"/>
          <w:spacing w:val="2"/>
          <w:sz w:val="24"/>
          <w:lang w:eastAsia="ru-RU"/>
        </w:rPr>
        <w:t xml:space="preserve"> сосредоточен</w:t>
      </w:r>
      <w:r w:rsidR="001A612F" w:rsidRPr="00F0736F">
        <w:rPr>
          <w:rStyle w:val="21"/>
          <w:rFonts w:ascii="Times New Roman" w:eastAsia="Calibri" w:hAnsi="Times New Roman" w:cs="Times New Roman"/>
          <w:color w:val="000000" w:themeColor="text1"/>
          <w:spacing w:val="2"/>
          <w:sz w:val="24"/>
          <w:lang w:eastAsia="ru-RU"/>
        </w:rPr>
        <w:t>н</w:t>
      </w:r>
      <w:r w:rsidRPr="00F0736F">
        <w:rPr>
          <w:rStyle w:val="21"/>
          <w:rFonts w:ascii="Times New Roman" w:eastAsia="Calibri" w:hAnsi="Times New Roman" w:cs="Times New Roman"/>
          <w:color w:val="000000" w:themeColor="text1"/>
          <w:spacing w:val="2"/>
          <w:sz w:val="24"/>
          <w:lang w:eastAsia="ru-RU"/>
        </w:rPr>
        <w:t>о</w:t>
      </w:r>
      <w:r w:rsidR="00F01422" w:rsidRPr="00F0736F">
        <w:rPr>
          <w:rStyle w:val="21"/>
          <w:rFonts w:ascii="Times New Roman" w:eastAsia="Calibri" w:hAnsi="Times New Roman" w:cs="Times New Roman"/>
          <w:color w:val="000000" w:themeColor="text1"/>
          <w:spacing w:val="2"/>
          <w:sz w:val="24"/>
          <w:lang w:eastAsia="ru-RU"/>
        </w:rPr>
        <w:t>е</w:t>
      </w:r>
      <w:r w:rsidRPr="00F0736F">
        <w:rPr>
          <w:rStyle w:val="21"/>
          <w:rFonts w:ascii="Times New Roman" w:eastAsia="Calibri" w:hAnsi="Times New Roman" w:cs="Times New Roman"/>
          <w:color w:val="000000" w:themeColor="text1"/>
          <w:spacing w:val="2"/>
          <w:sz w:val="24"/>
          <w:lang w:eastAsia="ru-RU"/>
        </w:rPr>
        <w:t xml:space="preserve"> на осуществлении охраны и воспроизводства рыбных ресурсов, а также на регулировании устойчивого их использования, </w:t>
      </w:r>
      <w:r w:rsidR="001A612F" w:rsidRPr="00F0736F">
        <w:rPr>
          <w:rStyle w:val="21"/>
          <w:rFonts w:ascii="Times New Roman" w:eastAsia="Calibri" w:hAnsi="Times New Roman" w:cs="Times New Roman"/>
          <w:color w:val="000000" w:themeColor="text1"/>
          <w:spacing w:val="2"/>
          <w:sz w:val="24"/>
          <w:lang w:eastAsia="ru-RU"/>
        </w:rPr>
        <w:t>научно</w:t>
      </w:r>
      <w:r w:rsidRPr="00F0736F">
        <w:rPr>
          <w:rStyle w:val="21"/>
          <w:rFonts w:ascii="Times New Roman" w:eastAsia="Calibri" w:hAnsi="Times New Roman" w:cs="Times New Roman"/>
          <w:color w:val="000000" w:themeColor="text1"/>
          <w:spacing w:val="2"/>
          <w:sz w:val="24"/>
          <w:lang w:eastAsia="ru-RU"/>
        </w:rPr>
        <w:t xml:space="preserve">обоснованное, рациональное использование объектов рыбных ресурсов. </w:t>
      </w:r>
    </w:p>
    <w:p w14:paraId="3EB31908" w14:textId="77777777" w:rsidR="009D15F8" w:rsidRPr="00F0736F" w:rsidRDefault="009D15F8" w:rsidP="009D15F8">
      <w:pPr>
        <w:ind w:firstLine="709"/>
        <w:jc w:val="both"/>
        <w:rPr>
          <w:color w:val="000000" w:themeColor="text1"/>
        </w:rPr>
      </w:pPr>
      <w:r w:rsidRPr="00F0736F">
        <w:rPr>
          <w:rFonts w:ascii="Times New Roman" w:eastAsia="Times New Roman" w:hAnsi="Times New Roman" w:cs="Times New Roman"/>
          <w:bCs/>
          <w:color w:val="000000" w:themeColor="text1"/>
          <w:lang w:eastAsia="ru-RU" w:bidi="ar-SA"/>
        </w:rPr>
        <w:t xml:space="preserve">Основу </w:t>
      </w:r>
      <w:r w:rsidRPr="00F0736F">
        <w:rPr>
          <w:rFonts w:ascii="Times New Roman" w:eastAsia="Times New Roman" w:hAnsi="Times New Roman" w:cs="Times New Roman"/>
          <w:b/>
          <w:bCs/>
          <w:color w:val="000000" w:themeColor="text1"/>
          <w:lang w:eastAsia="ru-RU" w:bidi="ar-SA"/>
        </w:rPr>
        <w:t>рыбного хозяйства</w:t>
      </w:r>
      <w:r w:rsidRPr="00F0736F">
        <w:rPr>
          <w:rFonts w:ascii="Times New Roman" w:eastAsia="Times New Roman" w:hAnsi="Times New Roman" w:cs="Times New Roman"/>
          <w:bCs/>
          <w:color w:val="000000" w:themeColor="text1"/>
          <w:lang w:eastAsia="ru-RU" w:bidi="ar-SA"/>
        </w:rPr>
        <w:t xml:space="preserve"> страны составляет рыбохозяйственный фонд водоемов, в состав которого входят акватории Каспийского и Аральского морей, озера Балхаш, Зайсан, Бухтарминское, Капшагайское, Шардаринское водохранилища, Алакольская система озер и другие водоемы общей площадью свыше 3 млн. га и в которых обитают более 70 видов рыб, в том числе наиболее ценные в коммерческом отношении (осетровые, судак, сазан, белый амур, толстолобик и др.). Кроме того, в водоемах имеются интродуцированные виды рыб (пелядь, сиг и др.), также имеющие высокую коммерческую ценность.</w:t>
      </w:r>
    </w:p>
    <w:p w14:paraId="77D416F4" w14:textId="25C1F59F"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 2019 году общий объем рынка рыбы и рыбной продукции Казахстана составил порядка 66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из которых на рыболовство приходится 45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рыбоводство – 7,4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При этом экспортируется 30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импортируется 43,5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продукции.</w:t>
      </w:r>
      <w:r w:rsidR="008115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В среднесрочной перспективе имеется потенциал увеличения объема отечественного рынка до 120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что позволит снизить объемы импорта благодаря выращиванию форели и Атлантического лосося, одновременно увеличивая объемы экспорта на мировые рынки, в частности, в Китай, Россию и Европу. </w:t>
      </w:r>
    </w:p>
    <w:p w14:paraId="1E8180AF" w14:textId="1CF8A41D"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Промысловое рыболовство в РК осуществляют свыше 1 тыс. субъектов рыбного хозяйства, за которыми закреплено 1</w:t>
      </w:r>
      <w:r w:rsidR="008115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646 рыбохозяйственных водоемов и их участков. В отрасли занято 11 тыс. человек. Основными промысловыми регионами являются Атырауская – 13,1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(29,2%), Восточно-Казахстанская – 8,2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(18,3%), Кызылординская – 7,4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(16,4%), Алматинская – 6,6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(14,6%), Мангистауская – 2,3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(5,2%) и Туркестанская области – 2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(4,5%).</w:t>
      </w:r>
    </w:p>
    <w:p w14:paraId="69327EB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 Казахстане динамично развивается рыбоводство – за последние 7 лет объем выращенной рыбы увеличился в 9 раз с 800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до более 7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Выращиванием рыбы в стране занимаются 180 рыбоводных хозяйств, где занято более 1 тыс. человек.</w:t>
      </w:r>
    </w:p>
    <w:p w14:paraId="5134BEDF" w14:textId="45E508C4" w:rsidR="009D15F8" w:rsidRPr="00F0736F" w:rsidRDefault="009D15F8" w:rsidP="009D15F8">
      <w:pPr>
        <w:ind w:firstLine="709"/>
        <w:jc w:val="both"/>
        <w:rPr>
          <w:color w:val="000000" w:themeColor="text1"/>
        </w:rPr>
      </w:pPr>
      <w:r w:rsidRPr="00F0736F">
        <w:rPr>
          <w:rFonts w:ascii="Times New Roman" w:eastAsia="Times New Roman" w:hAnsi="Times New Roman" w:cs="Times New Roman"/>
          <w:bCs/>
          <w:color w:val="000000" w:themeColor="text1"/>
          <w:lang w:eastAsia="ru-RU" w:bidi="ar-SA"/>
        </w:rPr>
        <w:t>С 2006 года ведется работа по долгосрочному закреплению водоемов и их участков за пользователями, которая, гарантируя доступ к рыбным ресурсам на длительный срок, позволяет планомерно вести работу по вовлечению собственных средств пользователей в развитие рыбного хозяйства на закрепленных водоемах и участках, их охрану, воспроизводство и проведение научных исследований, а также привлечение инвестиций. Так</w:t>
      </w:r>
      <w:r w:rsidR="0081159E" w:rsidRPr="00F0736F">
        <w:rPr>
          <w:rFonts w:ascii="Times New Roman" w:eastAsia="Times New Roman" w:hAnsi="Times New Roman" w:cs="Times New Roman"/>
          <w:bCs/>
          <w:color w:val="000000" w:themeColor="text1"/>
          <w:lang w:eastAsia="ru-RU" w:bidi="ar-SA"/>
        </w:rPr>
        <w:t>,</w:t>
      </w:r>
      <w:r w:rsidRPr="00F0736F">
        <w:rPr>
          <w:rFonts w:ascii="Times New Roman" w:eastAsia="Times New Roman" w:hAnsi="Times New Roman" w:cs="Times New Roman"/>
          <w:bCs/>
          <w:color w:val="000000" w:themeColor="text1"/>
          <w:lang w:eastAsia="ru-RU" w:bidi="ar-SA"/>
        </w:rPr>
        <w:t xml:space="preserve"> в 2019 году</w:t>
      </w:r>
      <w:r w:rsidRPr="00F0736F">
        <w:rPr>
          <w:rFonts w:ascii="Times New Roman" w:hAnsi="Times New Roman" w:cs="Times New Roman"/>
          <w:color w:val="000000" w:themeColor="text1"/>
        </w:rPr>
        <w:t xml:space="preserve"> из 364 участков водоемов международного и республиканского значения закреплено 236 участков</w:t>
      </w:r>
      <w:r w:rsidR="0081159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64% за 129 пользователями. По водоемам местного значения из имеющихся 2</w:t>
      </w:r>
      <w:r w:rsidR="008115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907 водоемов (участков) местного значения за 943 рыбохозяйственными организациями закреплено 1</w:t>
      </w:r>
      <w:r w:rsidR="0081159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410 водоемов (участков)</w:t>
      </w:r>
      <w:r w:rsidR="004C6B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или 48,0%. С начала 2019 года субъектами рыбного хозяйства вложено 1,9 млрд. тенге) в 2018 году – 2,7 млрд. тенге), в основном на мероприятия по техническому перевооружению перерабатывающих мощностей.</w:t>
      </w:r>
    </w:p>
    <w:p w14:paraId="6F8B6346"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Важным направлением является преумножение рыбных ресурсов путем реализации мероприятий по созданию условий для естественного воспроизводства, а также осуществление искусственного воспроизводства заводским методом.</w:t>
      </w:r>
    </w:p>
    <w:p w14:paraId="516C74B5"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соответствии с Законом «Об охране, воспроизводстве и использовании животного мира»</w:t>
      </w:r>
      <w:r w:rsidR="004C6B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функции по искусственному выращиванию молоди ценных видов рыб с последующим выпуском в естественную среду обитания реализуются республиканскими государственными казенными предприятиями:</w:t>
      </w:r>
    </w:p>
    <w:p w14:paraId="48C61C65"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 Атырауский осетровый рыбоводный завод; </w:t>
      </w:r>
    </w:p>
    <w:p w14:paraId="733C23F5"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Урало-Атырауский осетровый рыбоводный завод;</w:t>
      </w:r>
    </w:p>
    <w:p w14:paraId="653C62F7"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Камышлыбашский рыбопитомник;</w:t>
      </w:r>
    </w:p>
    <w:p w14:paraId="58AD8C66"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Петропавловский рыбопитомник</w:t>
      </w:r>
      <w:r w:rsidR="004C6B4E" w:rsidRPr="00F0736F">
        <w:rPr>
          <w:rFonts w:ascii="Times New Roman" w:hAnsi="Times New Roman" w:cs="Times New Roman"/>
          <w:color w:val="000000" w:themeColor="text1"/>
        </w:rPr>
        <w:t>.</w:t>
      </w:r>
    </w:p>
    <w:p w14:paraId="14F009C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2018 году в рамках государственного заказа государственными рыбоводными предприятиями выращено и выпущено в естественные водоемы 51 млн. штук молоди ценных видов рыб – осетровые, сиговые, карповые и растительноядные.</w:t>
      </w:r>
    </w:p>
    <w:p w14:paraId="57B3361C"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Кроме того, в рамках выполнения договорных обязательств пользователями рыбных ресурсов в естественную среду обитания выпущены порядка 116 млн. штук молоди ценных видов рыб.</w:t>
      </w:r>
    </w:p>
    <w:p w14:paraId="112FB9D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2019 году государственный заказ по выпуску молоди осетровых выполнен на 100%.</w:t>
      </w:r>
    </w:p>
    <w:p w14:paraId="6EF88B7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Ежегодно на основе биообоснования рыбохозяйственной научной организации и положительного заключения государственной экологической экспертизы утверждается лимит вылова рыбы и других водных животных на рыбохозяйственных водоемах и (или) участках республики.</w:t>
      </w:r>
    </w:p>
    <w:p w14:paraId="500B872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Лимит вылова на</w:t>
      </w:r>
      <w:r w:rsidRPr="00F0736F">
        <w:rPr>
          <w:rFonts w:ascii="Times New Roman" w:hAnsi="Times New Roman" w:cs="Times New Roman"/>
          <w:bCs/>
          <w:color w:val="000000" w:themeColor="text1"/>
        </w:rPr>
        <w:t xml:space="preserve"> 2017 год </w:t>
      </w:r>
      <w:r w:rsidRPr="00F0736F">
        <w:rPr>
          <w:rFonts w:ascii="Times New Roman" w:hAnsi="Times New Roman" w:cs="Times New Roman"/>
          <w:bCs/>
          <w:color w:val="000000" w:themeColor="text1"/>
          <w:lang w:val="kk-KZ"/>
        </w:rPr>
        <w:t xml:space="preserve">был </w:t>
      </w:r>
      <w:r w:rsidRPr="00F0736F">
        <w:rPr>
          <w:rFonts w:ascii="Times New Roman" w:hAnsi="Times New Roman" w:cs="Times New Roman"/>
          <w:bCs/>
          <w:color w:val="000000" w:themeColor="text1"/>
        </w:rPr>
        <w:t xml:space="preserve">утвержден приказом уполномоченного органа </w:t>
      </w:r>
      <w:r w:rsidRPr="00F0736F">
        <w:rPr>
          <w:rFonts w:ascii="Times New Roman" w:hAnsi="Times New Roman" w:cs="Times New Roman"/>
          <w:bCs/>
          <w:color w:val="000000" w:themeColor="text1"/>
          <w:lang w:val="kk-KZ"/>
        </w:rPr>
        <w:t xml:space="preserve">в области охраны, воспроизводства и использования животного мира </w:t>
      </w:r>
      <w:r w:rsidRPr="00F0736F">
        <w:rPr>
          <w:rFonts w:ascii="Times New Roman" w:hAnsi="Times New Roman" w:cs="Times New Roman"/>
          <w:bCs/>
          <w:color w:val="000000" w:themeColor="text1"/>
        </w:rPr>
        <w:t xml:space="preserve">в объеме 45,0 тыс. </w:t>
      </w:r>
      <w:r w:rsidR="00AC18E0" w:rsidRPr="00F0736F">
        <w:rPr>
          <w:rFonts w:ascii="Times New Roman" w:hAnsi="Times New Roman" w:cs="Times New Roman"/>
          <w:bCs/>
          <w:color w:val="000000" w:themeColor="text1"/>
        </w:rPr>
        <w:t>т.</w:t>
      </w:r>
      <w:r w:rsidRPr="00F0736F">
        <w:rPr>
          <w:rFonts w:ascii="Times New Roman" w:hAnsi="Times New Roman" w:cs="Times New Roman"/>
          <w:bCs/>
          <w:color w:val="000000" w:themeColor="text1"/>
        </w:rPr>
        <w:t xml:space="preserve">. Лимит вылова на 2018 год утвержден приказом Министерства в объеме 40,4 тысяч </w:t>
      </w:r>
      <w:r w:rsidR="00AC18E0" w:rsidRPr="00F0736F">
        <w:rPr>
          <w:rFonts w:ascii="Times New Roman" w:hAnsi="Times New Roman" w:cs="Times New Roman"/>
          <w:bCs/>
          <w:color w:val="000000" w:themeColor="text1"/>
        </w:rPr>
        <w:t>т.</w:t>
      </w:r>
      <w:r w:rsidRPr="00F0736F">
        <w:rPr>
          <w:rFonts w:ascii="Times New Roman" w:hAnsi="Times New Roman" w:cs="Times New Roman"/>
          <w:bCs/>
          <w:color w:val="000000" w:themeColor="text1"/>
        </w:rPr>
        <w:t>.</w:t>
      </w:r>
    </w:p>
    <w:p w14:paraId="654D0071"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За 2018 год освоение лимита вылова составило 36,4 тысяч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(90%). В республиканский бюджет поступило 699 млн. тенге платежей за пользование рыбными ресурсами.</w:t>
      </w:r>
    </w:p>
    <w:p w14:paraId="5616D301" w14:textId="53F0B04D"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rPr>
        <w:t xml:space="preserve">Лимит вылова рыбы на 2019 год утвержден в объеме 51,8 тысяч </w:t>
      </w:r>
      <w:r w:rsidR="00AC18E0" w:rsidRPr="00F0736F">
        <w:rPr>
          <w:rFonts w:ascii="Times New Roman" w:eastAsia="Calibri" w:hAnsi="Times New Roman" w:cs="Times New Roman"/>
          <w:color w:val="000000" w:themeColor="text1"/>
        </w:rPr>
        <w:t>т.</w:t>
      </w:r>
      <w:r w:rsidRPr="00F0736F">
        <w:rPr>
          <w:rFonts w:ascii="Times New Roman" w:eastAsia="Calibri" w:hAnsi="Times New Roman" w:cs="Times New Roman"/>
          <w:color w:val="000000" w:themeColor="text1"/>
        </w:rPr>
        <w:t xml:space="preserve">. На конец 2019 года выловлено – 42,5 тысяч </w:t>
      </w:r>
      <w:r w:rsidR="00AC18E0" w:rsidRPr="00F0736F">
        <w:rPr>
          <w:rFonts w:ascii="Times New Roman" w:eastAsia="Calibri" w:hAnsi="Times New Roman" w:cs="Times New Roman"/>
          <w:color w:val="000000" w:themeColor="text1"/>
        </w:rPr>
        <w:t>т.</w:t>
      </w:r>
      <w:r w:rsidRPr="00F0736F">
        <w:rPr>
          <w:rFonts w:ascii="Times New Roman" w:eastAsia="Calibri" w:hAnsi="Times New Roman" w:cs="Times New Roman"/>
          <w:color w:val="000000" w:themeColor="text1"/>
        </w:rPr>
        <w:t xml:space="preserve"> рыб (82%). За пользование рыбными ресурсами в республиканский бюджет поступило 784,3 млн. тенге. При этом в промысловом рыболовстве задействованы более 2,0 тысяч бригад рыбаков, таким образом, обеспечивается занятость населения, преимущественно в сельской местности, а также загрузка производственных мощностей по переработке рыбы, ориентировочных на экспорт </w:t>
      </w:r>
      <w:r w:rsidRPr="00F0736F">
        <w:rPr>
          <w:rFonts w:ascii="Times New Roman" w:eastAsia="Calibri" w:hAnsi="Times New Roman" w:cs="Times New Roman"/>
          <w:bCs/>
          <w:color w:val="000000" w:themeColor="text1"/>
        </w:rPr>
        <w:t>(таблица 1.8.7.)</w:t>
      </w:r>
      <w:r w:rsidRPr="00F0736F">
        <w:rPr>
          <w:rFonts w:ascii="Times New Roman" w:eastAsia="Calibri" w:hAnsi="Times New Roman" w:cs="Times New Roman"/>
          <w:color w:val="000000" w:themeColor="text1"/>
        </w:rPr>
        <w:t xml:space="preserve">. </w:t>
      </w:r>
    </w:p>
    <w:p w14:paraId="44A9B30A"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Обязательным условием предоставления водоемов для ведения рыбного хозяйства является ежегодное вложение финансовых средств в развитие</w:t>
      </w:r>
      <w:r w:rsidR="004C6B4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2019 году субъектами рыбного хозяйства для развития рыбного хозяйства вложено финансовых средств в сумме 2,7 млрд. тенге.</w:t>
      </w:r>
    </w:p>
    <w:p w14:paraId="3D467321" w14:textId="77777777" w:rsidR="009D15F8" w:rsidRPr="00F0736F" w:rsidRDefault="009D15F8" w:rsidP="009D15F8">
      <w:pPr>
        <w:ind w:firstLine="709"/>
        <w:jc w:val="both"/>
        <w:rPr>
          <w:rFonts w:ascii="Times New Roman" w:hAnsi="Times New Roman" w:cs="Times New Roman"/>
          <w:color w:val="000000" w:themeColor="text1"/>
        </w:rPr>
      </w:pPr>
    </w:p>
    <w:p w14:paraId="52BB936D"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Таблица 1.8.7. Освоение лимита вылова рыбы и других водных животных по рыбохозяйственным водоемам республики</w:t>
      </w:r>
    </w:p>
    <w:p w14:paraId="01139FA8" w14:textId="77777777" w:rsidR="009D15F8" w:rsidRPr="00F0736F" w:rsidRDefault="009D15F8" w:rsidP="009D15F8">
      <w:pPr>
        <w:ind w:firstLine="709"/>
        <w:jc w:val="both"/>
        <w:rPr>
          <w:rFonts w:ascii="Times New Roman" w:hAnsi="Times New Roman" w:cs="Times New Roman"/>
          <w:color w:val="000000" w:themeColor="text1"/>
        </w:rPr>
      </w:pPr>
    </w:p>
    <w:tbl>
      <w:tblPr>
        <w:tblW w:w="0" w:type="auto"/>
        <w:tblInd w:w="60" w:type="dxa"/>
        <w:tblLayout w:type="fixed"/>
        <w:tblCellMar>
          <w:top w:w="55" w:type="dxa"/>
          <w:left w:w="60" w:type="dxa"/>
          <w:bottom w:w="55" w:type="dxa"/>
          <w:right w:w="55" w:type="dxa"/>
        </w:tblCellMar>
        <w:tblLook w:val="0000" w:firstRow="0" w:lastRow="0" w:firstColumn="0" w:lastColumn="0" w:noHBand="0" w:noVBand="0"/>
      </w:tblPr>
      <w:tblGrid>
        <w:gridCol w:w="1955"/>
        <w:gridCol w:w="2564"/>
        <w:gridCol w:w="2098"/>
        <w:gridCol w:w="3203"/>
      </w:tblGrid>
      <w:tr w:rsidR="00F0736F" w:rsidRPr="00F0736F" w14:paraId="18E74B7C" w14:textId="77777777" w:rsidTr="0017426D">
        <w:trPr>
          <w:trHeight w:val="38"/>
        </w:trPr>
        <w:tc>
          <w:tcPr>
            <w:tcW w:w="1955" w:type="dxa"/>
            <w:tcBorders>
              <w:top w:val="single" w:sz="4" w:space="0" w:color="000000"/>
              <w:left w:val="single" w:sz="4" w:space="0" w:color="000000"/>
              <w:bottom w:val="single" w:sz="4" w:space="0" w:color="000000"/>
            </w:tcBorders>
            <w:shd w:val="clear" w:color="auto" w:fill="auto"/>
          </w:tcPr>
          <w:p w14:paraId="68E0A873"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Годы</w:t>
            </w:r>
          </w:p>
        </w:tc>
        <w:tc>
          <w:tcPr>
            <w:tcW w:w="2564" w:type="dxa"/>
            <w:tcBorders>
              <w:top w:val="single" w:sz="4" w:space="0" w:color="000000"/>
              <w:left w:val="single" w:sz="4" w:space="0" w:color="000000"/>
              <w:bottom w:val="single" w:sz="4" w:space="0" w:color="000000"/>
            </w:tcBorders>
            <w:shd w:val="clear" w:color="auto" w:fill="auto"/>
          </w:tcPr>
          <w:p w14:paraId="0DAB3B5E"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Лимит</w:t>
            </w:r>
          </w:p>
          <w:p w14:paraId="7D114030"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r w:rsidRPr="00F0736F">
              <w:rPr>
                <w:rFonts w:ascii="Times New Roman" w:hAnsi="Times New Roman" w:cs="Times New Roman"/>
                <w:color w:val="000000" w:themeColor="text1"/>
                <w:sz w:val="20"/>
                <w:szCs w:val="20"/>
              </w:rPr>
              <w:t>)</w:t>
            </w:r>
          </w:p>
        </w:tc>
        <w:tc>
          <w:tcPr>
            <w:tcW w:w="2098" w:type="dxa"/>
            <w:tcBorders>
              <w:top w:val="single" w:sz="4" w:space="0" w:color="000000"/>
              <w:left w:val="single" w:sz="4" w:space="0" w:color="000000"/>
              <w:bottom w:val="single" w:sz="4" w:space="0" w:color="000000"/>
            </w:tcBorders>
            <w:shd w:val="clear" w:color="auto" w:fill="auto"/>
          </w:tcPr>
          <w:p w14:paraId="19D876BD"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Освоение</w:t>
            </w:r>
          </w:p>
          <w:p w14:paraId="204FE988"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 xml:space="preserve">(тыс., </w:t>
            </w:r>
            <w:r w:rsidR="00AC18E0" w:rsidRPr="00F0736F">
              <w:rPr>
                <w:rFonts w:ascii="Times New Roman" w:hAnsi="Times New Roman" w:cs="Times New Roman"/>
                <w:color w:val="000000" w:themeColor="text1"/>
                <w:sz w:val="20"/>
                <w:szCs w:val="20"/>
              </w:rPr>
              <w:t>т.</w:t>
            </w:r>
            <w:r w:rsidRPr="00F0736F">
              <w:rPr>
                <w:rFonts w:ascii="Times New Roman" w:hAnsi="Times New Roman" w:cs="Times New Roman"/>
                <w:color w:val="000000" w:themeColor="text1"/>
                <w:sz w:val="20"/>
                <w:szCs w:val="20"/>
              </w:rPr>
              <w:t>)</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14:paraId="34BEDB14"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Платежи за пользование рыбными ресурсами (млн. тенге)</w:t>
            </w:r>
          </w:p>
        </w:tc>
      </w:tr>
      <w:tr w:rsidR="00F0736F" w:rsidRPr="00F0736F" w14:paraId="5F13BDA1" w14:textId="77777777" w:rsidTr="0017426D">
        <w:trPr>
          <w:trHeight w:val="210"/>
        </w:trPr>
        <w:tc>
          <w:tcPr>
            <w:tcW w:w="1955" w:type="dxa"/>
            <w:tcBorders>
              <w:top w:val="single" w:sz="4" w:space="0" w:color="000000"/>
              <w:left w:val="single" w:sz="4" w:space="0" w:color="000000"/>
              <w:bottom w:val="single" w:sz="4" w:space="0" w:color="000000"/>
            </w:tcBorders>
            <w:shd w:val="clear" w:color="auto" w:fill="auto"/>
          </w:tcPr>
          <w:p w14:paraId="7C4796E1"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2017</w:t>
            </w:r>
          </w:p>
        </w:tc>
        <w:tc>
          <w:tcPr>
            <w:tcW w:w="2564" w:type="dxa"/>
            <w:tcBorders>
              <w:top w:val="single" w:sz="4" w:space="0" w:color="000000"/>
              <w:left w:val="single" w:sz="4" w:space="0" w:color="000000"/>
              <w:bottom w:val="single" w:sz="4" w:space="0" w:color="000000"/>
            </w:tcBorders>
            <w:shd w:val="clear" w:color="auto" w:fill="auto"/>
          </w:tcPr>
          <w:p w14:paraId="617436D7"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45,0</w:t>
            </w:r>
          </w:p>
        </w:tc>
        <w:tc>
          <w:tcPr>
            <w:tcW w:w="2098" w:type="dxa"/>
            <w:tcBorders>
              <w:top w:val="single" w:sz="4" w:space="0" w:color="000000"/>
              <w:left w:val="single" w:sz="4" w:space="0" w:color="000000"/>
              <w:bottom w:val="single" w:sz="4" w:space="0" w:color="000000"/>
            </w:tcBorders>
            <w:shd w:val="clear" w:color="auto" w:fill="auto"/>
          </w:tcPr>
          <w:p w14:paraId="4268AEBF"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40,4</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14:paraId="4504AAA8"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744,9</w:t>
            </w:r>
          </w:p>
        </w:tc>
      </w:tr>
      <w:tr w:rsidR="00F0736F" w:rsidRPr="00F0736F" w14:paraId="24D77B7D" w14:textId="77777777" w:rsidTr="0017426D">
        <w:trPr>
          <w:trHeight w:val="310"/>
        </w:trPr>
        <w:tc>
          <w:tcPr>
            <w:tcW w:w="1955" w:type="dxa"/>
            <w:tcBorders>
              <w:left w:val="single" w:sz="4" w:space="0" w:color="000000"/>
              <w:bottom w:val="single" w:sz="4" w:space="0" w:color="000000"/>
            </w:tcBorders>
            <w:shd w:val="clear" w:color="auto" w:fill="auto"/>
          </w:tcPr>
          <w:p w14:paraId="135EB816"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2018</w:t>
            </w:r>
          </w:p>
        </w:tc>
        <w:tc>
          <w:tcPr>
            <w:tcW w:w="2564" w:type="dxa"/>
            <w:tcBorders>
              <w:left w:val="single" w:sz="4" w:space="0" w:color="000000"/>
              <w:bottom w:val="single" w:sz="4" w:space="0" w:color="000000"/>
            </w:tcBorders>
            <w:shd w:val="clear" w:color="auto" w:fill="auto"/>
          </w:tcPr>
          <w:p w14:paraId="33C8DB5E"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40,4</w:t>
            </w:r>
          </w:p>
        </w:tc>
        <w:tc>
          <w:tcPr>
            <w:tcW w:w="2098" w:type="dxa"/>
            <w:tcBorders>
              <w:left w:val="single" w:sz="4" w:space="0" w:color="000000"/>
              <w:bottom w:val="single" w:sz="4" w:space="0" w:color="000000"/>
            </w:tcBorders>
            <w:shd w:val="clear" w:color="auto" w:fill="auto"/>
          </w:tcPr>
          <w:p w14:paraId="3B94618B"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36,4</w:t>
            </w:r>
          </w:p>
        </w:tc>
        <w:tc>
          <w:tcPr>
            <w:tcW w:w="3203" w:type="dxa"/>
            <w:tcBorders>
              <w:left w:val="single" w:sz="4" w:space="0" w:color="000000"/>
              <w:bottom w:val="single" w:sz="4" w:space="0" w:color="000000"/>
              <w:right w:val="single" w:sz="4" w:space="0" w:color="000000"/>
            </w:tcBorders>
            <w:shd w:val="clear" w:color="auto" w:fill="auto"/>
          </w:tcPr>
          <w:p w14:paraId="466ED468"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699</w:t>
            </w:r>
          </w:p>
        </w:tc>
      </w:tr>
      <w:tr w:rsidR="009D15F8" w:rsidRPr="00F0736F" w14:paraId="354DE81C" w14:textId="77777777" w:rsidTr="0017426D">
        <w:trPr>
          <w:trHeight w:val="310"/>
        </w:trPr>
        <w:tc>
          <w:tcPr>
            <w:tcW w:w="1955" w:type="dxa"/>
            <w:tcBorders>
              <w:left w:val="single" w:sz="4" w:space="0" w:color="000000"/>
              <w:bottom w:val="single" w:sz="4" w:space="0" w:color="000000"/>
            </w:tcBorders>
            <w:shd w:val="clear" w:color="auto" w:fill="auto"/>
          </w:tcPr>
          <w:p w14:paraId="79A93EDA"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2019</w:t>
            </w:r>
          </w:p>
        </w:tc>
        <w:tc>
          <w:tcPr>
            <w:tcW w:w="2564" w:type="dxa"/>
            <w:tcBorders>
              <w:left w:val="single" w:sz="4" w:space="0" w:color="000000"/>
              <w:bottom w:val="single" w:sz="4" w:space="0" w:color="000000"/>
            </w:tcBorders>
            <w:shd w:val="clear" w:color="auto" w:fill="auto"/>
          </w:tcPr>
          <w:p w14:paraId="6CDD263B"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51,8</w:t>
            </w:r>
          </w:p>
        </w:tc>
        <w:tc>
          <w:tcPr>
            <w:tcW w:w="2098" w:type="dxa"/>
            <w:tcBorders>
              <w:left w:val="single" w:sz="4" w:space="0" w:color="000000"/>
              <w:bottom w:val="single" w:sz="4" w:space="0" w:color="000000"/>
            </w:tcBorders>
            <w:shd w:val="clear" w:color="auto" w:fill="auto"/>
          </w:tcPr>
          <w:p w14:paraId="7B109B25"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42,5</w:t>
            </w:r>
          </w:p>
        </w:tc>
        <w:tc>
          <w:tcPr>
            <w:tcW w:w="3203" w:type="dxa"/>
            <w:tcBorders>
              <w:left w:val="single" w:sz="4" w:space="0" w:color="000000"/>
              <w:bottom w:val="single" w:sz="4" w:space="0" w:color="000000"/>
              <w:right w:val="single" w:sz="4" w:space="0" w:color="000000"/>
            </w:tcBorders>
            <w:shd w:val="clear" w:color="auto" w:fill="auto"/>
          </w:tcPr>
          <w:p w14:paraId="471CC211" w14:textId="77777777" w:rsidR="009D15F8" w:rsidRPr="00F0736F" w:rsidRDefault="009D15F8" w:rsidP="00037501">
            <w:pPr>
              <w:jc w:val="center"/>
              <w:rPr>
                <w:color w:val="000000" w:themeColor="text1"/>
              </w:rPr>
            </w:pPr>
            <w:r w:rsidRPr="00F0736F">
              <w:rPr>
                <w:rFonts w:ascii="Times New Roman" w:hAnsi="Times New Roman" w:cs="Times New Roman"/>
                <w:color w:val="000000" w:themeColor="text1"/>
                <w:sz w:val="20"/>
                <w:szCs w:val="20"/>
              </w:rPr>
              <w:t>784,3</w:t>
            </w:r>
          </w:p>
        </w:tc>
      </w:tr>
    </w:tbl>
    <w:p w14:paraId="08CE3D29" w14:textId="77777777" w:rsidR="009D15F8" w:rsidRPr="00F0736F" w:rsidRDefault="009D15F8" w:rsidP="009D15F8">
      <w:pPr>
        <w:ind w:firstLine="709"/>
        <w:jc w:val="both"/>
        <w:rPr>
          <w:rFonts w:ascii="Times New Roman" w:hAnsi="Times New Roman" w:cs="Times New Roman"/>
          <w:color w:val="000000" w:themeColor="text1"/>
        </w:rPr>
      </w:pPr>
    </w:p>
    <w:p w14:paraId="6B0D1034" w14:textId="53A858FB" w:rsidR="009D15F8" w:rsidRPr="00F0736F" w:rsidRDefault="009D15F8" w:rsidP="009D15F8">
      <w:pPr>
        <w:ind w:firstLine="709"/>
        <w:jc w:val="both"/>
        <w:rPr>
          <w:color w:val="000000" w:themeColor="text1"/>
        </w:rPr>
      </w:pPr>
      <w:r w:rsidRPr="00F0736F">
        <w:rPr>
          <w:rFonts w:ascii="Times New Roman" w:eastAsia="+mn-ea" w:hAnsi="Times New Roman" w:cs="Times New Roman"/>
          <w:bCs/>
          <w:color w:val="000000" w:themeColor="text1"/>
          <w:lang w:val="kk-KZ" w:eastAsia="ru-RU"/>
        </w:rPr>
        <w:t xml:space="preserve">По данным Комитета по статистике, официальный (учтенный) вылов рыбы в Казахстане в 2017 году составил 41 тыс. </w:t>
      </w:r>
      <w:r w:rsidR="00AC18E0" w:rsidRPr="00F0736F">
        <w:rPr>
          <w:rFonts w:ascii="Times New Roman" w:eastAsia="+mn-ea" w:hAnsi="Times New Roman" w:cs="Times New Roman"/>
          <w:bCs/>
          <w:color w:val="000000" w:themeColor="text1"/>
          <w:lang w:val="kk-KZ" w:eastAsia="ru-RU"/>
        </w:rPr>
        <w:t>т.</w:t>
      </w:r>
      <w:r w:rsidRPr="00F0736F">
        <w:rPr>
          <w:rFonts w:ascii="Times New Roman" w:eastAsia="+mn-ea" w:hAnsi="Times New Roman" w:cs="Times New Roman"/>
          <w:bCs/>
          <w:color w:val="000000" w:themeColor="text1"/>
          <w:lang w:val="kk-KZ" w:eastAsia="ru-RU"/>
        </w:rPr>
        <w:t xml:space="preserve">, в 2018 году – 37,3 тыс. </w:t>
      </w:r>
      <w:r w:rsidR="00AC18E0" w:rsidRPr="00F0736F">
        <w:rPr>
          <w:rFonts w:ascii="Times New Roman" w:eastAsia="+mn-ea" w:hAnsi="Times New Roman" w:cs="Times New Roman"/>
          <w:bCs/>
          <w:color w:val="000000" w:themeColor="text1"/>
          <w:lang w:val="kk-KZ" w:eastAsia="ru-RU"/>
        </w:rPr>
        <w:t>т.</w:t>
      </w:r>
      <w:r w:rsidRPr="00F0736F">
        <w:rPr>
          <w:rFonts w:ascii="Times New Roman" w:eastAsia="+mn-ea" w:hAnsi="Times New Roman" w:cs="Times New Roman"/>
          <w:bCs/>
          <w:color w:val="000000" w:themeColor="text1"/>
          <w:lang w:val="kk-KZ" w:eastAsia="ru-RU"/>
        </w:rPr>
        <w:t>. По экспертной оценке</w:t>
      </w:r>
      <w:r w:rsidRPr="00F0736F">
        <w:rPr>
          <w:rFonts w:ascii="Times New Roman" w:eastAsia="Times New Roman" w:hAnsi="Times New Roman" w:cs="Times New Roman"/>
          <w:bCs/>
          <w:color w:val="000000" w:themeColor="text1"/>
          <w:lang w:val="kk-KZ"/>
        </w:rPr>
        <w:t xml:space="preserve">, с учетом неучтенного вылова общий улов может достигать 60 тысяч </w:t>
      </w:r>
      <w:r w:rsidR="00AC18E0" w:rsidRPr="00F0736F">
        <w:rPr>
          <w:rFonts w:ascii="Times New Roman" w:eastAsia="Times New Roman" w:hAnsi="Times New Roman" w:cs="Times New Roman"/>
          <w:bCs/>
          <w:color w:val="000000" w:themeColor="text1"/>
          <w:lang w:val="kk-KZ"/>
        </w:rPr>
        <w:t>т.</w:t>
      </w:r>
      <w:r w:rsidRPr="00F0736F">
        <w:rPr>
          <w:rFonts w:ascii="Times New Roman" w:eastAsia="Times New Roman" w:hAnsi="Times New Roman" w:cs="Times New Roman"/>
          <w:bCs/>
          <w:color w:val="000000" w:themeColor="text1"/>
          <w:lang w:val="kk-KZ"/>
        </w:rPr>
        <w:t xml:space="preserve">. Если же в полной мере использовать рыбопродуктивность водоемов, то потенциальный улов составляет 100 тысяч </w:t>
      </w:r>
      <w:r w:rsidR="00AC18E0" w:rsidRPr="00F0736F">
        <w:rPr>
          <w:rFonts w:ascii="Times New Roman" w:eastAsia="Times New Roman" w:hAnsi="Times New Roman" w:cs="Times New Roman"/>
          <w:bCs/>
          <w:color w:val="000000" w:themeColor="text1"/>
          <w:lang w:val="kk-KZ"/>
        </w:rPr>
        <w:t>т.</w:t>
      </w:r>
      <w:r w:rsidRPr="00F0736F">
        <w:rPr>
          <w:rFonts w:ascii="Times New Roman" w:eastAsia="Times New Roman" w:hAnsi="Times New Roman" w:cs="Times New Roman"/>
          <w:bCs/>
          <w:color w:val="000000" w:themeColor="text1"/>
          <w:lang w:val="kk-KZ"/>
        </w:rPr>
        <w:t>, как это было в 1960-х годах.</w:t>
      </w:r>
    </w:p>
    <w:p w14:paraId="6F339193" w14:textId="76D1E898"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lang w:eastAsia="ru-RU"/>
        </w:rPr>
        <w:t>Казахстан располагает богатым рыбохозяйственным водным фондом и благоприятными условиями для интенсивного развития товарного рыбоводства (аквакультуры). По оценке ФАО, аквакультура – это самое динамичноразвивающееся в мире направление в сфере производства продуктов белкового питания. В этой связи, Госпрограммой развития АПК прогнозируется рост объемов товарного рыбоводства (аквакультуры) с 1,6 до 5 тыс</w:t>
      </w:r>
      <w:r w:rsidR="00CE2419" w:rsidRPr="00F0736F">
        <w:rPr>
          <w:rFonts w:ascii="Times New Roman" w:eastAsia="Calibri" w:hAnsi="Times New Roman" w:cs="Times New Roman"/>
          <w:color w:val="000000" w:themeColor="text1"/>
          <w:lang w:eastAsia="ru-RU"/>
        </w:rPr>
        <w:t>.</w:t>
      </w:r>
      <w:r w:rsidRPr="00F0736F">
        <w:rPr>
          <w:rFonts w:ascii="Times New Roman" w:eastAsia="Calibri" w:hAnsi="Times New Roman" w:cs="Times New Roman"/>
          <w:color w:val="000000" w:themeColor="text1"/>
          <w:lang w:eastAsia="ru-RU"/>
        </w:rPr>
        <w:t xml:space="preserve"> </w:t>
      </w:r>
      <w:r w:rsidR="00AC18E0" w:rsidRPr="00F0736F">
        <w:rPr>
          <w:rFonts w:ascii="Times New Roman" w:eastAsia="Calibri" w:hAnsi="Times New Roman" w:cs="Times New Roman"/>
          <w:color w:val="000000" w:themeColor="text1"/>
          <w:lang w:eastAsia="ru-RU"/>
        </w:rPr>
        <w:t>т.</w:t>
      </w:r>
      <w:r w:rsidRPr="00F0736F">
        <w:rPr>
          <w:rFonts w:ascii="Times New Roman" w:eastAsia="Calibri" w:hAnsi="Times New Roman" w:cs="Times New Roman"/>
          <w:color w:val="000000" w:themeColor="text1"/>
          <w:lang w:eastAsia="ru-RU"/>
        </w:rPr>
        <w:t xml:space="preserve"> к 2021 году. </w:t>
      </w:r>
      <w:r w:rsidRPr="00F0736F">
        <w:rPr>
          <w:rFonts w:ascii="Times New Roman" w:eastAsia="TimesNewRomanPSMT" w:hAnsi="Times New Roman" w:cs="Times New Roman"/>
          <w:bCs/>
          <w:color w:val="000000" w:themeColor="text1"/>
          <w:lang w:val="kk-KZ"/>
        </w:rPr>
        <w:t>Использование специализированных кормов для выращивания ценных видов рыб к 2021 году предполагается довести до 12</w:t>
      </w:r>
      <w:r w:rsidR="004C6B4E" w:rsidRPr="00F0736F">
        <w:rPr>
          <w:rFonts w:ascii="Times New Roman" w:eastAsia="TimesNewRomanPSMT" w:hAnsi="Times New Roman" w:cs="Times New Roman"/>
          <w:bCs/>
          <w:color w:val="000000" w:themeColor="text1"/>
          <w:lang w:val="kk-KZ"/>
        </w:rPr>
        <w:t xml:space="preserve"> </w:t>
      </w:r>
      <w:r w:rsidRPr="00F0736F">
        <w:rPr>
          <w:rFonts w:ascii="Times New Roman" w:eastAsia="TimesNewRomanPSMT" w:hAnsi="Times New Roman" w:cs="Times New Roman"/>
          <w:bCs/>
          <w:color w:val="000000" w:themeColor="text1"/>
          <w:lang w:val="kk-KZ"/>
        </w:rPr>
        <w:t xml:space="preserve">230 </w:t>
      </w:r>
      <w:r w:rsidR="00AC18E0" w:rsidRPr="00F0736F">
        <w:rPr>
          <w:rFonts w:ascii="Times New Roman" w:eastAsia="TimesNewRomanPSMT" w:hAnsi="Times New Roman" w:cs="Times New Roman"/>
          <w:bCs/>
          <w:color w:val="000000" w:themeColor="text1"/>
          <w:lang w:val="kk-KZ"/>
        </w:rPr>
        <w:t>т.</w:t>
      </w:r>
      <w:r w:rsidRPr="00F0736F">
        <w:rPr>
          <w:rFonts w:ascii="Times New Roman" w:eastAsia="TimesNewRomanPSMT" w:hAnsi="Times New Roman" w:cs="Times New Roman"/>
          <w:bCs/>
          <w:color w:val="000000" w:themeColor="text1"/>
          <w:lang w:val="kk-KZ"/>
        </w:rPr>
        <w:t xml:space="preserve">. </w:t>
      </w:r>
    </w:p>
    <w:p w14:paraId="2864A9D1" w14:textId="29C83C52"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2018 году выращиванием товарной рыбы занималось 180 рыбоводн</w:t>
      </w:r>
      <w:r w:rsidR="004C6B4E" w:rsidRPr="00F0736F">
        <w:rPr>
          <w:rFonts w:ascii="Times New Roman" w:hAnsi="Times New Roman" w:cs="Times New Roman"/>
          <w:color w:val="000000" w:themeColor="text1"/>
        </w:rPr>
        <w:t>ых</w:t>
      </w:r>
      <w:r w:rsidRPr="00F0736F">
        <w:rPr>
          <w:rFonts w:ascii="Times New Roman" w:hAnsi="Times New Roman" w:cs="Times New Roman"/>
          <w:color w:val="000000" w:themeColor="text1"/>
        </w:rPr>
        <w:t xml:space="preserve"> хозяйств, из них: 10 садковых, 98 ОТРХ, 52 прудовых и 20 УЗВ и бассейновых хозяйств. В 2018 году при плане </w:t>
      </w:r>
      <w:r w:rsidR="00CE2419"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w:t>
      </w:r>
      <w:r w:rsidR="00CE2419"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252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выращено</w:t>
      </w:r>
      <w:r w:rsidR="004C6B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данным Комитета по статистике</w:t>
      </w:r>
      <w:r w:rsidR="00CE241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5</w:t>
      </w:r>
      <w:r w:rsidR="00DF4C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653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товарной рыбы, из них реализовано 3</w:t>
      </w:r>
      <w:r w:rsidR="00DF4C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972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рыб (2017 г. выращено 2</w:t>
      </w:r>
      <w:r w:rsidR="00DF4C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776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2016 г. </w:t>
      </w:r>
      <w:r w:rsidR="00DF4C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1</w:t>
      </w:r>
      <w:r w:rsidR="00DF4C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878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Объектами рыбоводства являются осетровые, лососевые (лосось, форель), карповые</w:t>
      </w:r>
      <w:r w:rsidR="00DF4C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сиговые и растительноядные виды рыб.</w:t>
      </w:r>
    </w:p>
    <w:p w14:paraId="38D382AE" w14:textId="1543A1EE"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2019 году объем продукции (услуг) в рыболовстве и аквакультуре увеличился</w:t>
      </w:r>
      <w:r w:rsidR="00DF4C2B"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по сравнению с предыдущим годом</w:t>
      </w:r>
      <w:r w:rsidR="004C6B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на 7,2% и составил 10</w:t>
      </w:r>
      <w:r w:rsidR="00DF4C2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574,8 млн. тенге. Было выловлено 45,6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рыбы, из них 15,3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леща пресноводного, 6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судака, 3,2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карася и 1,8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сазана. В 2019 году было выращено 6 933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товарной рыбы и 204,3 млн. штук рыбопосадочного материала. Общая площадь водного зеркала водоемов по выращиванию товарной рыбы и рыбопосадочного материала составила 113,1 тыс. га. Основная доля в общем объеме произведенной продукции (услуг) приходилась на Туркестанскую (21%), Атыраускую (16%), Кызылординскую (14%), Восточно-Казахстанскую (14%) и Алматинскую (12%) области. </w:t>
      </w:r>
    </w:p>
    <w:p w14:paraId="25491931"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Для поддержки предпринимателей, занимающихся товарным рыбоводством, Министерством сельского хозяйства предусмотрены следующие направления господдержки:</w:t>
      </w:r>
    </w:p>
    <w:p w14:paraId="0058275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возмещение части расходов при инвестиционных вложениях на приобретение техники и оборудования для рыбоводных хозяйств;</w:t>
      </w:r>
    </w:p>
    <w:p w14:paraId="50E9494F"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возмещение 30% стоимости затрат на корма для рыб при выращивании осетровых, лососевых и карповых видов рыб.</w:t>
      </w:r>
    </w:p>
    <w:p w14:paraId="20AE3159"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Кроме того, по линии «КазАгро» предусмотрено кредитование инвестиционных проектов, направленных на развитие сельского хозяйства, в том числе финансирование проектов рыбоводства, имеющих экспортный потенциал.</w:t>
      </w:r>
    </w:p>
    <w:p w14:paraId="55A7D66F"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Вместе с тем, ежегодно за счет бюджетных средств осуществляются мероприятия по искусственному воспроизводству рыбных ресурсов и зарыблению рыбохозяйственных водоемов. </w:t>
      </w:r>
    </w:p>
    <w:p w14:paraId="22DA3585"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color w:val="000000" w:themeColor="text1"/>
          <w:lang w:eastAsia="ru-RU"/>
        </w:rPr>
        <w:t>В 2018 году в рамках государственного заказа государственными рыбоводными предприятиями выращено и выпущено в естественные водоемы 51 млн. штук молоди ценных видов рыб – осетровые, сиговые, карповые и растительноядные.</w:t>
      </w:r>
      <w:r w:rsidRPr="00F0736F">
        <w:rPr>
          <w:rFonts w:ascii="Times New Roman" w:eastAsia="Calibri" w:hAnsi="Times New Roman" w:cs="Times New Roman"/>
          <w:bCs/>
          <w:color w:val="000000" w:themeColor="text1"/>
          <w:lang w:val="kk-KZ" w:eastAsia="ru-RU"/>
        </w:rPr>
        <w:t xml:space="preserve"> Кроме того в рамках выполнения договорных обязательств пользователями рыбных ресурсов в естественную среду оби</w:t>
      </w:r>
      <w:r w:rsidR="004C6B4E" w:rsidRPr="00F0736F">
        <w:rPr>
          <w:rFonts w:ascii="Times New Roman" w:eastAsia="Calibri" w:hAnsi="Times New Roman" w:cs="Times New Roman"/>
          <w:bCs/>
          <w:color w:val="000000" w:themeColor="text1"/>
          <w:lang w:val="kk-KZ" w:eastAsia="ru-RU"/>
        </w:rPr>
        <w:t>тания выпущено</w:t>
      </w:r>
      <w:r w:rsidRPr="00F0736F">
        <w:rPr>
          <w:rFonts w:ascii="Times New Roman" w:eastAsia="Calibri" w:hAnsi="Times New Roman" w:cs="Times New Roman"/>
          <w:bCs/>
          <w:color w:val="000000" w:themeColor="text1"/>
          <w:lang w:val="kk-KZ" w:eastAsia="ru-RU"/>
        </w:rPr>
        <w:t xml:space="preserve"> порядка 116 млн. штук молоди ценных видов рыб. </w:t>
      </w:r>
    </w:p>
    <w:p w14:paraId="2843F6F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В 2019 году в рамках государственного заказа рыбоводными предприятиями выращено и выпущено в рыбохозяйственные водоемы 73,8 млн. штук молоди ценных видов рыб (молодь осетровых, личинки сиговых, сеголетки и двухлетки карпа и растительноядных видов рыб (белый амур, толстолобик).</w:t>
      </w:r>
    </w:p>
    <w:p w14:paraId="526594A1" w14:textId="77777777" w:rsidR="009D15F8" w:rsidRPr="00F0736F" w:rsidRDefault="009D15F8" w:rsidP="009D15F8">
      <w:pPr>
        <w:ind w:firstLine="709"/>
        <w:jc w:val="both"/>
        <w:rPr>
          <w:color w:val="000000" w:themeColor="text1"/>
        </w:rPr>
      </w:pPr>
      <w:r w:rsidRPr="00F0736F">
        <w:rPr>
          <w:rFonts w:ascii="Times New Roman" w:eastAsia="Calibri" w:hAnsi="Times New Roman" w:cs="Times New Roman"/>
          <w:bCs/>
          <w:color w:val="000000" w:themeColor="text1"/>
          <w:szCs w:val="28"/>
          <w:lang w:eastAsia="ru-RU" w:bidi="ar-SA"/>
        </w:rPr>
        <w:t>Для с</w:t>
      </w:r>
      <w:r w:rsidRPr="00F0736F">
        <w:rPr>
          <w:rFonts w:ascii="Times New Roman" w:eastAsia="TimesNewRomanPS-BoldMT" w:hAnsi="Times New Roman" w:cs="Times New Roman"/>
          <w:bCs/>
          <w:color w:val="000000" w:themeColor="text1"/>
        </w:rPr>
        <w:t>охранения экосистемы Каспийского моря</w:t>
      </w:r>
      <w:r w:rsidRPr="00F0736F">
        <w:rPr>
          <w:rFonts w:ascii="Times New Roman" w:eastAsia="TimesNewRomanPS-BoldMT" w:hAnsi="Times New Roman" w:cs="Times New Roman"/>
          <w:color w:val="000000" w:themeColor="text1"/>
        </w:rPr>
        <w:t xml:space="preserve"> р</w:t>
      </w:r>
      <w:r w:rsidRPr="00F0736F">
        <w:rPr>
          <w:rFonts w:ascii="Times New Roman" w:hAnsi="Times New Roman" w:cs="Times New Roman"/>
          <w:color w:val="000000" w:themeColor="text1"/>
        </w:rPr>
        <w:t>еализуются следующие мероприятия:</w:t>
      </w:r>
    </w:p>
    <w:p w14:paraId="1E03C1DA" w14:textId="0413FC14"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1. </w:t>
      </w:r>
      <w:r w:rsidR="008D5E8B" w:rsidRPr="00F0736F">
        <w:rPr>
          <w:rFonts w:ascii="Times New Roman" w:hAnsi="Times New Roman" w:cs="Times New Roman"/>
          <w:color w:val="000000" w:themeColor="text1"/>
        </w:rPr>
        <w:t>р</w:t>
      </w:r>
      <w:r w:rsidRPr="00F0736F">
        <w:rPr>
          <w:rFonts w:ascii="Times New Roman" w:hAnsi="Times New Roman" w:cs="Times New Roman"/>
          <w:color w:val="000000" w:themeColor="text1"/>
        </w:rPr>
        <w:t>азработана и апробирована методика повременного учета запасов полупроходных видов рыб в реке Жайык, дающая более обоснованные результаты, чем применявшийся ранее биостатистический метод оценки запаса</w:t>
      </w:r>
      <w:r w:rsidR="008D5E8B" w:rsidRPr="00F0736F">
        <w:rPr>
          <w:rFonts w:ascii="Times New Roman" w:hAnsi="Times New Roman" w:cs="Times New Roman"/>
          <w:color w:val="000000" w:themeColor="text1"/>
        </w:rPr>
        <w:t>;</w:t>
      </w:r>
    </w:p>
    <w:p w14:paraId="1130881D" w14:textId="33F7414B"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2. </w:t>
      </w:r>
      <w:r w:rsidR="008D5E8B" w:rsidRPr="00F0736F">
        <w:rPr>
          <w:rFonts w:ascii="Times New Roman" w:hAnsi="Times New Roman" w:cs="Times New Roman"/>
          <w:color w:val="000000" w:themeColor="text1"/>
        </w:rPr>
        <w:t>в</w:t>
      </w:r>
      <w:r w:rsidRPr="00F0736F">
        <w:rPr>
          <w:rFonts w:ascii="Times New Roman" w:hAnsi="Times New Roman" w:cs="Times New Roman"/>
          <w:color w:val="000000" w:themeColor="text1"/>
        </w:rPr>
        <w:t xml:space="preserve"> 2015 - 2017 гг. проведены исследования состояния и численности тюленя в казахстанском секторе Каспийского моря, выявлены факторы, угрожающие популяции, определены участки для создания ООПТ для охраны тюленя</w:t>
      </w:r>
      <w:r w:rsidR="008D5E8B" w:rsidRPr="00F0736F">
        <w:rPr>
          <w:rFonts w:ascii="Times New Roman" w:hAnsi="Times New Roman" w:cs="Times New Roman"/>
          <w:color w:val="000000" w:themeColor="text1"/>
        </w:rPr>
        <w:t>;</w:t>
      </w:r>
    </w:p>
    <w:p w14:paraId="0DE271B1" w14:textId="030FC423" w:rsidR="009D15F8" w:rsidRPr="00F0736F" w:rsidRDefault="009D15F8" w:rsidP="009D15F8">
      <w:pPr>
        <w:ind w:firstLine="709"/>
        <w:jc w:val="both"/>
        <w:rPr>
          <w:color w:val="000000" w:themeColor="text1"/>
        </w:rPr>
      </w:pPr>
      <w:r w:rsidRPr="00F0736F">
        <w:rPr>
          <w:rFonts w:ascii="Times New Roman" w:eastAsia="TimesNewRomanPSMT" w:hAnsi="Times New Roman" w:cs="Times New Roman"/>
          <w:color w:val="000000" w:themeColor="text1"/>
        </w:rPr>
        <w:t xml:space="preserve">3. </w:t>
      </w:r>
      <w:r w:rsidR="008D5E8B" w:rsidRPr="00F0736F">
        <w:rPr>
          <w:rFonts w:ascii="Times New Roman" w:eastAsia="TimesNewRomanPSMT" w:hAnsi="Times New Roman" w:cs="Times New Roman"/>
          <w:color w:val="000000" w:themeColor="text1"/>
        </w:rPr>
        <w:t>е</w:t>
      </w:r>
      <w:r w:rsidRPr="00F0736F">
        <w:rPr>
          <w:rFonts w:ascii="Times New Roman" w:hAnsi="Times New Roman" w:cs="Times New Roman"/>
          <w:color w:val="000000" w:themeColor="text1"/>
        </w:rPr>
        <w:t xml:space="preserve">жегодно в Жайык-Каспийском бассейне проводится широкомасштабная рыбоохранная акция «Бекіре», направленная на выявление и пресечение фактов незаконного вылова рыбы во время весеннего нереста. Данная акция проходит ежегодно с участием инспекции по охране рыбных ресурсов, природоохранных и правоохранительных органов Республики Казахстан. Ее результаты показаны в таблице 1.8.8. В 2018 году </w:t>
      </w:r>
      <w:r w:rsidRPr="00F0736F">
        <w:rPr>
          <w:rFonts w:ascii="Times New Roman" w:eastAsia="SimSun" w:hAnsi="Times New Roman" w:cs="Times New Roman"/>
          <w:color w:val="000000" w:themeColor="text1"/>
        </w:rPr>
        <w:t xml:space="preserve">в ходе акции у нарушителей изъято около 20 </w:t>
      </w:r>
      <w:r w:rsidR="00AC18E0" w:rsidRPr="00F0736F">
        <w:rPr>
          <w:rFonts w:ascii="Times New Roman" w:eastAsia="SimSun" w:hAnsi="Times New Roman" w:cs="Times New Roman"/>
          <w:color w:val="000000" w:themeColor="text1"/>
        </w:rPr>
        <w:t>т.</w:t>
      </w:r>
      <w:r w:rsidRPr="00F0736F">
        <w:rPr>
          <w:rFonts w:ascii="Times New Roman" w:eastAsia="SimSun" w:hAnsi="Times New Roman" w:cs="Times New Roman"/>
          <w:color w:val="000000" w:themeColor="text1"/>
        </w:rPr>
        <w:t xml:space="preserve"> рыбы, из них 3,7 </w:t>
      </w:r>
      <w:r w:rsidR="00AC18E0" w:rsidRPr="00F0736F">
        <w:rPr>
          <w:rFonts w:ascii="Times New Roman" w:eastAsia="SimSun" w:hAnsi="Times New Roman" w:cs="Times New Roman"/>
          <w:color w:val="000000" w:themeColor="text1"/>
        </w:rPr>
        <w:t>т.</w:t>
      </w:r>
      <w:r w:rsidRPr="00F0736F">
        <w:rPr>
          <w:rFonts w:ascii="Times New Roman" w:eastAsia="SimSun" w:hAnsi="Times New Roman" w:cs="Times New Roman"/>
          <w:color w:val="000000" w:themeColor="text1"/>
        </w:rPr>
        <w:t>ы осетровых видов, 11,4 кг икры рыб осетровых пород, 460 единиц орудий лова и 53 единицы плавательных и транспортных средств</w:t>
      </w:r>
      <w:r w:rsidR="008D5E8B" w:rsidRPr="00F0736F">
        <w:rPr>
          <w:rFonts w:ascii="Times New Roman" w:eastAsia="SimSun" w:hAnsi="Times New Roman" w:cs="Times New Roman"/>
          <w:color w:val="000000" w:themeColor="text1"/>
        </w:rPr>
        <w:t>;</w:t>
      </w:r>
    </w:p>
    <w:p w14:paraId="43304CC5" w14:textId="6004A9B5"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4. </w:t>
      </w:r>
      <w:r w:rsidR="008D5E8B"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жегодно в целях сохранения и воспроизводства осетровых видов рыб в Каспийском море, двумя осетровыми рыбоводными заводами (Атырауский и Урало-Атырауский осетровые рыбоводные заводы) в рамках выполнения государственного заказа выращивается и выпускается в естественную среду молодь осетровых видов рыб. В 2015 г</w:t>
      </w:r>
      <w:r w:rsidR="004C6B4E"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xml:space="preserve"> выпущено 7,5 млн. шт. молоди, в 2016 г. – 7,86 млн. шт., в 2017 г. – 6,8 млн. шт.</w:t>
      </w:r>
    </w:p>
    <w:p w14:paraId="2EFE079F" w14:textId="77777777" w:rsidR="009D15F8" w:rsidRPr="00F0736F" w:rsidRDefault="009D15F8" w:rsidP="009D15F8">
      <w:pPr>
        <w:ind w:firstLine="709"/>
        <w:jc w:val="both"/>
        <w:rPr>
          <w:rFonts w:ascii="Times New Roman" w:hAnsi="Times New Roman" w:cs="Times New Roman"/>
          <w:color w:val="000000" w:themeColor="text1"/>
        </w:rPr>
      </w:pPr>
    </w:p>
    <w:p w14:paraId="6277215F" w14:textId="77777777" w:rsidR="009D15F8" w:rsidRPr="00F0736F" w:rsidRDefault="009D15F8" w:rsidP="009D15F8">
      <w:pPr>
        <w:ind w:firstLine="709"/>
        <w:jc w:val="both"/>
        <w:rPr>
          <w:color w:val="000000" w:themeColor="text1"/>
        </w:rPr>
      </w:pPr>
      <w:r w:rsidRPr="00F0736F">
        <w:rPr>
          <w:rFonts w:ascii="Times New Roman" w:hAnsi="Times New Roman" w:cs="Times New Roman"/>
          <w:bCs/>
          <w:color w:val="000000" w:themeColor="text1"/>
        </w:rPr>
        <w:t xml:space="preserve">Таблица 1.8.8. </w:t>
      </w:r>
      <w:r w:rsidRPr="00F0736F">
        <w:rPr>
          <w:rFonts w:ascii="Times New Roman" w:hAnsi="Times New Roman" w:cs="Times New Roman"/>
          <w:bCs/>
          <w:color w:val="000000" w:themeColor="text1"/>
          <w:lang w:val="kk-KZ"/>
        </w:rPr>
        <w:t>Результаты рыбоохранной акции</w:t>
      </w:r>
    </w:p>
    <w:p w14:paraId="0F4825B6" w14:textId="77777777" w:rsidR="009D15F8" w:rsidRPr="00F0736F" w:rsidRDefault="009D15F8" w:rsidP="009D15F8">
      <w:pPr>
        <w:ind w:firstLine="709"/>
        <w:jc w:val="both"/>
        <w:rPr>
          <w:color w:val="000000" w:themeColor="text1"/>
        </w:rPr>
      </w:pPr>
    </w:p>
    <w:tbl>
      <w:tblPr>
        <w:tblW w:w="0" w:type="auto"/>
        <w:tblInd w:w="144" w:type="dxa"/>
        <w:tblLayout w:type="fixed"/>
        <w:tblCellMar>
          <w:top w:w="72" w:type="dxa"/>
          <w:left w:w="144" w:type="dxa"/>
          <w:bottom w:w="72" w:type="dxa"/>
          <w:right w:w="144" w:type="dxa"/>
        </w:tblCellMar>
        <w:tblLook w:val="0000" w:firstRow="0" w:lastRow="0" w:firstColumn="0" w:lastColumn="0" w:noHBand="0" w:noVBand="0"/>
      </w:tblPr>
      <w:tblGrid>
        <w:gridCol w:w="4800"/>
        <w:gridCol w:w="1680"/>
        <w:gridCol w:w="1305"/>
        <w:gridCol w:w="1985"/>
      </w:tblGrid>
      <w:tr w:rsidR="00F0736F" w:rsidRPr="00F0736F" w14:paraId="3C55FF67" w14:textId="77777777" w:rsidTr="0017426D">
        <w:trPr>
          <w:trHeight w:hRule="exact" w:val="453"/>
        </w:trPr>
        <w:tc>
          <w:tcPr>
            <w:tcW w:w="4800" w:type="dxa"/>
            <w:tcBorders>
              <w:top w:val="single" w:sz="8" w:space="0" w:color="000000"/>
              <w:left w:val="single" w:sz="8" w:space="0" w:color="000000"/>
              <w:bottom w:val="single" w:sz="8" w:space="0" w:color="000000"/>
            </w:tcBorders>
            <w:shd w:val="clear" w:color="auto" w:fill="auto"/>
          </w:tcPr>
          <w:p w14:paraId="5DDB75AE"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Показатели</w:t>
            </w:r>
          </w:p>
        </w:tc>
        <w:tc>
          <w:tcPr>
            <w:tcW w:w="1680" w:type="dxa"/>
            <w:tcBorders>
              <w:top w:val="single" w:sz="8" w:space="0" w:color="000000"/>
              <w:left w:val="single" w:sz="8" w:space="0" w:color="000000"/>
              <w:bottom w:val="single" w:sz="8" w:space="0" w:color="000000"/>
            </w:tcBorders>
            <w:shd w:val="clear" w:color="auto" w:fill="auto"/>
          </w:tcPr>
          <w:p w14:paraId="473E87C0"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2017</w:t>
            </w:r>
          </w:p>
        </w:tc>
        <w:tc>
          <w:tcPr>
            <w:tcW w:w="1305" w:type="dxa"/>
            <w:tcBorders>
              <w:top w:val="single" w:sz="8" w:space="0" w:color="000000"/>
              <w:left w:val="single" w:sz="8" w:space="0" w:color="000000"/>
              <w:bottom w:val="single" w:sz="8" w:space="0" w:color="000000"/>
            </w:tcBorders>
            <w:shd w:val="clear" w:color="auto" w:fill="auto"/>
          </w:tcPr>
          <w:p w14:paraId="44EAAE09"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2018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7A236E93"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2019</w:t>
            </w:r>
          </w:p>
        </w:tc>
      </w:tr>
      <w:tr w:rsidR="00F0736F" w:rsidRPr="00F0736F" w14:paraId="69C6AE9F" w14:textId="77777777" w:rsidTr="0017426D">
        <w:trPr>
          <w:trHeight w:hRule="exact" w:val="504"/>
        </w:trPr>
        <w:tc>
          <w:tcPr>
            <w:tcW w:w="4800" w:type="dxa"/>
            <w:tcBorders>
              <w:top w:val="single" w:sz="8" w:space="0" w:color="000000"/>
              <w:left w:val="single" w:sz="8" w:space="0" w:color="000000"/>
              <w:bottom w:val="single" w:sz="8" w:space="0" w:color="000000"/>
            </w:tcBorders>
            <w:shd w:val="clear" w:color="auto" w:fill="auto"/>
          </w:tcPr>
          <w:p w14:paraId="4A33F1F4" w14:textId="77777777" w:rsidR="009D15F8" w:rsidRPr="00F0736F" w:rsidRDefault="009D15F8" w:rsidP="008D5E8B">
            <w:pPr>
              <w:jc w:val="both"/>
              <w:rPr>
                <w:color w:val="000000" w:themeColor="text1"/>
              </w:rPr>
            </w:pPr>
            <w:r w:rsidRPr="00F0736F">
              <w:rPr>
                <w:rFonts w:ascii="Times New Roman" w:hAnsi="Times New Roman" w:cs="Times New Roman"/>
                <w:color w:val="000000" w:themeColor="text1"/>
                <w:sz w:val="20"/>
                <w:szCs w:val="20"/>
              </w:rPr>
              <w:t>Количество выявленных нарушений</w:t>
            </w:r>
          </w:p>
        </w:tc>
        <w:tc>
          <w:tcPr>
            <w:tcW w:w="1680" w:type="dxa"/>
            <w:tcBorders>
              <w:top w:val="single" w:sz="8" w:space="0" w:color="000000"/>
              <w:left w:val="single" w:sz="8" w:space="0" w:color="000000"/>
              <w:bottom w:val="single" w:sz="8" w:space="0" w:color="000000"/>
            </w:tcBorders>
            <w:shd w:val="clear" w:color="auto" w:fill="auto"/>
          </w:tcPr>
          <w:p w14:paraId="45D5E7D2"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1024</w:t>
            </w:r>
          </w:p>
        </w:tc>
        <w:tc>
          <w:tcPr>
            <w:tcW w:w="1305" w:type="dxa"/>
            <w:tcBorders>
              <w:top w:val="single" w:sz="8" w:space="0" w:color="000000"/>
              <w:left w:val="single" w:sz="8" w:space="0" w:color="000000"/>
              <w:bottom w:val="single" w:sz="8" w:space="0" w:color="000000"/>
            </w:tcBorders>
            <w:shd w:val="clear" w:color="auto" w:fill="auto"/>
          </w:tcPr>
          <w:p w14:paraId="3A2B3663"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1136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26D2384D"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1242</w:t>
            </w:r>
          </w:p>
        </w:tc>
      </w:tr>
      <w:tr w:rsidR="00F0736F" w:rsidRPr="00F0736F" w14:paraId="6D56951B" w14:textId="77777777" w:rsidTr="0017426D">
        <w:trPr>
          <w:trHeight w:hRule="exact" w:val="567"/>
        </w:trPr>
        <w:tc>
          <w:tcPr>
            <w:tcW w:w="4800" w:type="dxa"/>
            <w:tcBorders>
              <w:top w:val="single" w:sz="8" w:space="0" w:color="000000"/>
              <w:left w:val="single" w:sz="8" w:space="0" w:color="000000"/>
              <w:bottom w:val="single" w:sz="8" w:space="0" w:color="000000"/>
            </w:tcBorders>
            <w:shd w:val="clear" w:color="auto" w:fill="auto"/>
          </w:tcPr>
          <w:p w14:paraId="06260300" w14:textId="77777777" w:rsidR="009D15F8" w:rsidRPr="00F0736F" w:rsidRDefault="009D15F8" w:rsidP="008D5E8B">
            <w:pPr>
              <w:jc w:val="both"/>
              <w:rPr>
                <w:color w:val="000000" w:themeColor="text1"/>
              </w:rPr>
            </w:pPr>
            <w:r w:rsidRPr="00F0736F">
              <w:rPr>
                <w:rFonts w:ascii="Times New Roman" w:hAnsi="Times New Roman" w:cs="Times New Roman"/>
                <w:bCs/>
                <w:color w:val="000000" w:themeColor="text1"/>
                <w:sz w:val="20"/>
                <w:szCs w:val="20"/>
                <w:lang w:val="kk-KZ"/>
              </w:rPr>
              <w:t>Количество лиц привлеченных к</w:t>
            </w:r>
            <w:r w:rsidRPr="00F0736F">
              <w:rPr>
                <w:rFonts w:ascii="Times New Roman" w:hAnsi="Times New Roman" w:cs="Times New Roman"/>
                <w:bCs/>
                <w:color w:val="000000" w:themeColor="text1"/>
                <w:sz w:val="20"/>
                <w:szCs w:val="20"/>
              </w:rPr>
              <w:t xml:space="preserve"> </w:t>
            </w:r>
            <w:r w:rsidRPr="00F0736F">
              <w:rPr>
                <w:rFonts w:ascii="Times New Roman" w:hAnsi="Times New Roman" w:cs="Times New Roman"/>
                <w:bCs/>
                <w:color w:val="000000" w:themeColor="text1"/>
                <w:sz w:val="20"/>
                <w:szCs w:val="20"/>
                <w:lang w:val="kk-KZ"/>
              </w:rPr>
              <w:t>административной ответственности</w:t>
            </w:r>
          </w:p>
        </w:tc>
        <w:tc>
          <w:tcPr>
            <w:tcW w:w="1680" w:type="dxa"/>
            <w:tcBorders>
              <w:top w:val="single" w:sz="8" w:space="0" w:color="000000"/>
              <w:left w:val="single" w:sz="8" w:space="0" w:color="000000"/>
              <w:bottom w:val="single" w:sz="8" w:space="0" w:color="000000"/>
            </w:tcBorders>
            <w:shd w:val="clear" w:color="auto" w:fill="auto"/>
          </w:tcPr>
          <w:p w14:paraId="7B4DC66D"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826</w:t>
            </w:r>
          </w:p>
        </w:tc>
        <w:tc>
          <w:tcPr>
            <w:tcW w:w="1305" w:type="dxa"/>
            <w:tcBorders>
              <w:top w:val="single" w:sz="8" w:space="0" w:color="000000"/>
              <w:left w:val="single" w:sz="8" w:space="0" w:color="000000"/>
              <w:bottom w:val="single" w:sz="8" w:space="0" w:color="000000"/>
            </w:tcBorders>
            <w:shd w:val="clear" w:color="auto" w:fill="auto"/>
          </w:tcPr>
          <w:p w14:paraId="71C242F9"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864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44904291"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913</w:t>
            </w:r>
          </w:p>
        </w:tc>
      </w:tr>
      <w:tr w:rsidR="00F0736F" w:rsidRPr="00F0736F" w14:paraId="729E7561" w14:textId="77777777" w:rsidTr="0017426D">
        <w:trPr>
          <w:trHeight w:hRule="exact" w:val="429"/>
        </w:trPr>
        <w:tc>
          <w:tcPr>
            <w:tcW w:w="4800" w:type="dxa"/>
            <w:tcBorders>
              <w:top w:val="single" w:sz="8" w:space="0" w:color="000000"/>
              <w:left w:val="single" w:sz="8" w:space="0" w:color="000000"/>
              <w:bottom w:val="single" w:sz="8" w:space="0" w:color="000000"/>
            </w:tcBorders>
            <w:shd w:val="clear" w:color="auto" w:fill="auto"/>
          </w:tcPr>
          <w:p w14:paraId="2DA3243F" w14:textId="77777777" w:rsidR="009D15F8" w:rsidRPr="00F0736F" w:rsidRDefault="009D15F8" w:rsidP="008D5E8B">
            <w:pPr>
              <w:jc w:val="both"/>
              <w:rPr>
                <w:color w:val="000000" w:themeColor="text1"/>
              </w:rPr>
            </w:pPr>
            <w:r w:rsidRPr="00F0736F">
              <w:rPr>
                <w:rFonts w:ascii="Times New Roman" w:hAnsi="Times New Roman" w:cs="Times New Roman"/>
                <w:color w:val="000000" w:themeColor="text1"/>
                <w:sz w:val="20"/>
                <w:szCs w:val="20"/>
              </w:rPr>
              <w:t>Количество возбужденных уголовных дел</w:t>
            </w:r>
          </w:p>
        </w:tc>
        <w:tc>
          <w:tcPr>
            <w:tcW w:w="1680" w:type="dxa"/>
            <w:tcBorders>
              <w:top w:val="single" w:sz="8" w:space="0" w:color="000000"/>
              <w:left w:val="single" w:sz="8" w:space="0" w:color="000000"/>
              <w:bottom w:val="single" w:sz="8" w:space="0" w:color="000000"/>
            </w:tcBorders>
            <w:shd w:val="clear" w:color="auto" w:fill="auto"/>
          </w:tcPr>
          <w:p w14:paraId="66B24D0A"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129</w:t>
            </w:r>
          </w:p>
        </w:tc>
        <w:tc>
          <w:tcPr>
            <w:tcW w:w="1305" w:type="dxa"/>
            <w:tcBorders>
              <w:top w:val="single" w:sz="8" w:space="0" w:color="000000"/>
              <w:left w:val="single" w:sz="8" w:space="0" w:color="000000"/>
              <w:bottom w:val="single" w:sz="8" w:space="0" w:color="000000"/>
            </w:tcBorders>
            <w:shd w:val="clear" w:color="auto" w:fill="auto"/>
          </w:tcPr>
          <w:p w14:paraId="614275C3"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57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4DACA0B7"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62</w:t>
            </w:r>
          </w:p>
        </w:tc>
      </w:tr>
      <w:tr w:rsidR="00F0736F" w:rsidRPr="00F0736F" w14:paraId="0677BF52" w14:textId="77777777" w:rsidTr="0017426D">
        <w:trPr>
          <w:trHeight w:hRule="exact" w:val="443"/>
        </w:trPr>
        <w:tc>
          <w:tcPr>
            <w:tcW w:w="4800" w:type="dxa"/>
            <w:tcBorders>
              <w:top w:val="single" w:sz="8" w:space="0" w:color="000000"/>
              <w:left w:val="single" w:sz="8" w:space="0" w:color="000000"/>
              <w:bottom w:val="single" w:sz="8" w:space="0" w:color="000000"/>
            </w:tcBorders>
            <w:shd w:val="clear" w:color="auto" w:fill="auto"/>
          </w:tcPr>
          <w:p w14:paraId="4409EF77" w14:textId="77777777" w:rsidR="009D15F8" w:rsidRPr="00F0736F" w:rsidRDefault="009D15F8" w:rsidP="008D5E8B">
            <w:pPr>
              <w:jc w:val="both"/>
              <w:rPr>
                <w:color w:val="000000" w:themeColor="text1"/>
              </w:rPr>
            </w:pPr>
            <w:r w:rsidRPr="00F0736F">
              <w:rPr>
                <w:rFonts w:ascii="Times New Roman" w:hAnsi="Times New Roman" w:cs="Times New Roman"/>
                <w:color w:val="000000" w:themeColor="text1"/>
                <w:sz w:val="20"/>
                <w:szCs w:val="20"/>
              </w:rPr>
              <w:t>Наложено штрафа (млн. тенге)</w:t>
            </w:r>
          </w:p>
        </w:tc>
        <w:tc>
          <w:tcPr>
            <w:tcW w:w="1680" w:type="dxa"/>
            <w:tcBorders>
              <w:top w:val="single" w:sz="8" w:space="0" w:color="000000"/>
              <w:left w:val="single" w:sz="8" w:space="0" w:color="000000"/>
              <w:bottom w:val="single" w:sz="8" w:space="0" w:color="000000"/>
            </w:tcBorders>
            <w:shd w:val="clear" w:color="auto" w:fill="auto"/>
          </w:tcPr>
          <w:p w14:paraId="4C34915B"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13,4</w:t>
            </w:r>
          </w:p>
        </w:tc>
        <w:tc>
          <w:tcPr>
            <w:tcW w:w="1305" w:type="dxa"/>
            <w:tcBorders>
              <w:top w:val="single" w:sz="8" w:space="0" w:color="000000"/>
              <w:left w:val="single" w:sz="8" w:space="0" w:color="000000"/>
              <w:bottom w:val="single" w:sz="8" w:space="0" w:color="000000"/>
            </w:tcBorders>
            <w:shd w:val="clear" w:color="auto" w:fill="auto"/>
          </w:tcPr>
          <w:p w14:paraId="17B923D5"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13,3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34A058B4"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16,1</w:t>
            </w:r>
          </w:p>
        </w:tc>
      </w:tr>
      <w:tr w:rsidR="009D15F8" w:rsidRPr="00F0736F" w14:paraId="7918E080" w14:textId="77777777" w:rsidTr="0017426D">
        <w:trPr>
          <w:trHeight w:hRule="exact" w:val="369"/>
        </w:trPr>
        <w:tc>
          <w:tcPr>
            <w:tcW w:w="4800" w:type="dxa"/>
            <w:tcBorders>
              <w:top w:val="single" w:sz="8" w:space="0" w:color="000000"/>
              <w:left w:val="single" w:sz="8" w:space="0" w:color="000000"/>
              <w:bottom w:val="single" w:sz="8" w:space="0" w:color="000000"/>
            </w:tcBorders>
            <w:shd w:val="clear" w:color="auto" w:fill="auto"/>
          </w:tcPr>
          <w:p w14:paraId="3AF35CAB" w14:textId="77777777" w:rsidR="009D15F8" w:rsidRPr="00F0736F" w:rsidRDefault="009D15F8" w:rsidP="008D5E8B">
            <w:pPr>
              <w:jc w:val="both"/>
              <w:rPr>
                <w:color w:val="000000" w:themeColor="text1"/>
              </w:rPr>
            </w:pPr>
            <w:r w:rsidRPr="00F0736F">
              <w:rPr>
                <w:rFonts w:ascii="Times New Roman" w:hAnsi="Times New Roman" w:cs="Times New Roman"/>
                <w:color w:val="000000" w:themeColor="text1"/>
                <w:sz w:val="20"/>
                <w:szCs w:val="20"/>
              </w:rPr>
              <w:t>Взыскано штрафа (млн. тенге)</w:t>
            </w:r>
          </w:p>
        </w:tc>
        <w:tc>
          <w:tcPr>
            <w:tcW w:w="1680" w:type="dxa"/>
            <w:tcBorders>
              <w:top w:val="single" w:sz="8" w:space="0" w:color="000000"/>
              <w:left w:val="single" w:sz="8" w:space="0" w:color="000000"/>
              <w:bottom w:val="single" w:sz="8" w:space="0" w:color="000000"/>
            </w:tcBorders>
            <w:shd w:val="clear" w:color="auto" w:fill="auto"/>
          </w:tcPr>
          <w:p w14:paraId="2536E896"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8,6</w:t>
            </w:r>
          </w:p>
        </w:tc>
        <w:tc>
          <w:tcPr>
            <w:tcW w:w="1305" w:type="dxa"/>
            <w:tcBorders>
              <w:top w:val="single" w:sz="8" w:space="0" w:color="000000"/>
              <w:left w:val="single" w:sz="8" w:space="0" w:color="000000"/>
              <w:bottom w:val="single" w:sz="8" w:space="0" w:color="000000"/>
            </w:tcBorders>
            <w:shd w:val="clear" w:color="auto" w:fill="auto"/>
          </w:tcPr>
          <w:p w14:paraId="46857B83"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9,1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09E03333" w14:textId="77777777" w:rsidR="009D15F8" w:rsidRPr="00F0736F" w:rsidRDefault="009D15F8" w:rsidP="008D5E8B">
            <w:pPr>
              <w:jc w:val="center"/>
              <w:rPr>
                <w:color w:val="000000" w:themeColor="text1"/>
              </w:rPr>
            </w:pPr>
            <w:r w:rsidRPr="00F0736F">
              <w:rPr>
                <w:rFonts w:ascii="Times New Roman" w:hAnsi="Times New Roman" w:cs="Times New Roman"/>
                <w:color w:val="000000" w:themeColor="text1"/>
                <w:sz w:val="20"/>
                <w:szCs w:val="20"/>
              </w:rPr>
              <w:t>9,3</w:t>
            </w:r>
          </w:p>
        </w:tc>
      </w:tr>
    </w:tbl>
    <w:p w14:paraId="4A697873" w14:textId="77777777" w:rsidR="009D15F8" w:rsidRPr="00F0736F" w:rsidRDefault="009D15F8" w:rsidP="009D15F8">
      <w:pPr>
        <w:ind w:firstLine="709"/>
        <w:jc w:val="both"/>
        <w:rPr>
          <w:rFonts w:ascii="Times New Roman" w:hAnsi="Times New Roman" w:cs="Times New Roman"/>
          <w:color w:val="000000" w:themeColor="text1"/>
        </w:rPr>
      </w:pPr>
    </w:p>
    <w:p w14:paraId="3DB1626B" w14:textId="226F911C" w:rsidR="009D15F8" w:rsidRPr="00F0736F" w:rsidRDefault="009D15F8" w:rsidP="009D15F8">
      <w:pPr>
        <w:ind w:firstLine="709"/>
        <w:jc w:val="both"/>
        <w:rPr>
          <w:color w:val="000000" w:themeColor="text1"/>
        </w:rPr>
      </w:pPr>
      <w:r w:rsidRPr="00F0736F">
        <w:rPr>
          <w:rFonts w:ascii="Times New Roman" w:hAnsi="Times New Roman" w:cs="Times New Roman"/>
          <w:bCs/>
          <w:color w:val="000000" w:themeColor="text1"/>
        </w:rPr>
        <w:t>В рамках подписанного «Соглашения о сохранении и рациональном использовании водных биологических ресурсов Каспийского моря» (г. Астрахань, 29 сентября 2014 года, вступило в силу 24 мая 2016 года)</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21 - 23 ноября 2017 года в г. Баку (Азербайджан) состоялось первое заседание Комиссии по водным биологическим ресурсам, в ходе которого приняты Правила процедуры Комиссии, созданы необходимые группы и обсужден проект Протокола о сотрудничестве Сторон в организации борьбы с незаконной добычей водных биологических ресурсов Каспийского моря и т.д. Второе заседание Комиссии прошло в период 27 - 29 ноября 2018 года в г. Баку (Азербайджан).</w:t>
      </w:r>
    </w:p>
    <w:p w14:paraId="59196CAD"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lang w:val="kk-KZ"/>
        </w:rPr>
        <w:t>Несмотря на искусственное воспроизводство, численность осетровых продолжает сокращаться. Практически прекратилось естественное воспроизводство осетровых в р. Жайык, в реке Кигаш в течение ряда лет осетровые не отмечены. В то же время, принятыми мерами удалось стабилизировать чис</w:t>
      </w:r>
      <w:r w:rsidR="004C6B4E" w:rsidRPr="00F0736F">
        <w:rPr>
          <w:rFonts w:ascii="Times New Roman" w:hAnsi="Times New Roman" w:cs="Times New Roman"/>
          <w:color w:val="000000" w:themeColor="text1"/>
          <w:lang w:val="kk-KZ"/>
        </w:rPr>
        <w:t>ленность к</w:t>
      </w:r>
      <w:r w:rsidRPr="00F0736F">
        <w:rPr>
          <w:rFonts w:ascii="Times New Roman" w:hAnsi="Times New Roman" w:cs="Times New Roman"/>
          <w:color w:val="000000" w:themeColor="text1"/>
          <w:lang w:val="kk-KZ"/>
        </w:rPr>
        <w:t xml:space="preserve">аспийского тюленя, внесенного в Красный список МСОП. </w:t>
      </w:r>
      <w:r w:rsidRPr="00F0736F">
        <w:rPr>
          <w:rFonts w:ascii="Times New Roman" w:eastAsia="TimesNewRomanPSMT" w:hAnsi="Times New Roman" w:cs="Times New Roman"/>
          <w:color w:val="000000" w:themeColor="text1"/>
          <w:lang w:val="kk-KZ"/>
        </w:rPr>
        <w:t>Подготовлено и принято предложение о выводе из Красной Книги Казахстана кутума, как вида, восстановившего свою численность.</w:t>
      </w:r>
    </w:p>
    <w:p w14:paraId="3F6AFF77"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Ежегодно в период с 1 по 31 мая в целях очистки рыбохозяйственных водоемов от брошенных рыболовных сетей и уборки прибрежных территорий, а также формирования положительного общественного мнения по отн</w:t>
      </w:r>
      <w:r w:rsidR="004C6B4E" w:rsidRPr="00F0736F">
        <w:rPr>
          <w:rFonts w:ascii="Times New Roman" w:hAnsi="Times New Roman" w:cs="Times New Roman"/>
          <w:color w:val="000000" w:themeColor="text1"/>
        </w:rPr>
        <w:t>ошению к органам, осуществляющим</w:t>
      </w:r>
      <w:r w:rsidRPr="00F0736F">
        <w:rPr>
          <w:rFonts w:ascii="Times New Roman" w:hAnsi="Times New Roman" w:cs="Times New Roman"/>
          <w:color w:val="000000" w:themeColor="text1"/>
        </w:rPr>
        <w:t xml:space="preserve"> охрану рыбных ресурсов, по инициативе Комитета лесного хозяйства и животного мира МСХ РК в республике проводится природоохранная акция «Чистые водоемы».</w:t>
      </w:r>
    </w:p>
    <w:p w14:paraId="06D7512D" w14:textId="77777777" w:rsidR="009D15F8" w:rsidRPr="00F0736F" w:rsidRDefault="009D15F8" w:rsidP="009D15F8">
      <w:pPr>
        <w:ind w:firstLine="709"/>
        <w:jc w:val="both"/>
        <w:rPr>
          <w:color w:val="000000" w:themeColor="text1"/>
        </w:rPr>
      </w:pPr>
      <w:r w:rsidRPr="00F0736F">
        <w:rPr>
          <w:rStyle w:val="21"/>
          <w:rFonts w:ascii="Times New Roman" w:eastAsia="Calibri" w:hAnsi="Times New Roman" w:cs="Times New Roman"/>
          <w:color w:val="000000" w:themeColor="text1"/>
          <w:spacing w:val="2"/>
          <w:sz w:val="24"/>
          <w:lang w:eastAsia="ru-RU"/>
        </w:rPr>
        <w:t>В 2017 г</w:t>
      </w:r>
      <w:r w:rsidR="004C6B4E" w:rsidRPr="00F0736F">
        <w:rPr>
          <w:rStyle w:val="21"/>
          <w:rFonts w:ascii="Times New Roman" w:eastAsia="Calibri" w:hAnsi="Times New Roman" w:cs="Times New Roman"/>
          <w:color w:val="000000" w:themeColor="text1"/>
          <w:spacing w:val="2"/>
          <w:sz w:val="24"/>
          <w:lang w:eastAsia="ru-RU"/>
        </w:rPr>
        <w:t>оду</w:t>
      </w:r>
      <w:r w:rsidRPr="00F0736F">
        <w:rPr>
          <w:rStyle w:val="21"/>
          <w:rFonts w:ascii="Times New Roman" w:eastAsia="Calibri" w:hAnsi="Times New Roman" w:cs="Times New Roman"/>
          <w:color w:val="000000" w:themeColor="text1"/>
          <w:spacing w:val="2"/>
          <w:sz w:val="24"/>
          <w:lang w:eastAsia="ru-RU"/>
        </w:rPr>
        <w:t xml:space="preserve"> в ряд нормативных правовых актов были внесены поправки, касающиеся растительного и животного мира. В Закон «О регулировании торговой деятельности» были внесены поправки, запрещающие продажу продукции из древесины саксаула и запрещенного рыболовного снаряжения. Была запрещена продажа рыболовных сетей, изготовленных из мононитей (из-за дешевой стоимости таких сетей рыбаки нередко забывали про них, оставляя в воде). Внесенные в 2017 г</w:t>
      </w:r>
      <w:r w:rsidR="004C6B4E" w:rsidRPr="00F0736F">
        <w:rPr>
          <w:rStyle w:val="21"/>
          <w:rFonts w:ascii="Times New Roman" w:eastAsia="Calibri" w:hAnsi="Times New Roman" w:cs="Times New Roman"/>
          <w:color w:val="000000" w:themeColor="text1"/>
          <w:spacing w:val="2"/>
          <w:sz w:val="24"/>
          <w:lang w:eastAsia="ru-RU"/>
        </w:rPr>
        <w:t>оду</w:t>
      </w:r>
      <w:r w:rsidRPr="00F0736F">
        <w:rPr>
          <w:rStyle w:val="21"/>
          <w:rFonts w:ascii="Times New Roman" w:eastAsia="Calibri" w:hAnsi="Times New Roman" w:cs="Times New Roman"/>
          <w:color w:val="000000" w:themeColor="text1"/>
          <w:spacing w:val="2"/>
          <w:sz w:val="24"/>
          <w:lang w:eastAsia="ru-RU"/>
        </w:rPr>
        <w:t xml:space="preserve"> поправки также регулируют вылов осетровых видов рыб в целях пресечения реализации незаконно выловленных осетровых. В 2017 г</w:t>
      </w:r>
      <w:r w:rsidR="004C6B4E" w:rsidRPr="00F0736F">
        <w:rPr>
          <w:rStyle w:val="21"/>
          <w:rFonts w:ascii="Times New Roman" w:eastAsia="Calibri" w:hAnsi="Times New Roman" w:cs="Times New Roman"/>
          <w:color w:val="000000" w:themeColor="text1"/>
          <w:spacing w:val="2"/>
          <w:sz w:val="24"/>
          <w:lang w:eastAsia="ru-RU"/>
        </w:rPr>
        <w:t>оду</w:t>
      </w:r>
      <w:r w:rsidRPr="00F0736F">
        <w:rPr>
          <w:rStyle w:val="21"/>
          <w:rFonts w:ascii="Times New Roman" w:eastAsia="Calibri" w:hAnsi="Times New Roman" w:cs="Times New Roman"/>
          <w:color w:val="000000" w:themeColor="text1"/>
          <w:spacing w:val="2"/>
          <w:sz w:val="24"/>
          <w:lang w:eastAsia="ru-RU"/>
        </w:rPr>
        <w:t xml:space="preserve"> в Закон «Об особо охраняемых природных территориях» 2006 г</w:t>
      </w:r>
      <w:r w:rsidR="004C6B4E" w:rsidRPr="00F0736F">
        <w:rPr>
          <w:rStyle w:val="21"/>
          <w:rFonts w:ascii="Times New Roman" w:eastAsia="Calibri" w:hAnsi="Times New Roman" w:cs="Times New Roman"/>
          <w:color w:val="000000" w:themeColor="text1"/>
          <w:spacing w:val="2"/>
          <w:sz w:val="24"/>
          <w:lang w:eastAsia="ru-RU"/>
        </w:rPr>
        <w:t>оду</w:t>
      </w:r>
      <w:r w:rsidRPr="00F0736F">
        <w:rPr>
          <w:rStyle w:val="21"/>
          <w:rFonts w:ascii="Times New Roman" w:eastAsia="Calibri" w:hAnsi="Times New Roman" w:cs="Times New Roman"/>
          <w:color w:val="000000" w:themeColor="text1"/>
          <w:spacing w:val="2"/>
          <w:sz w:val="24"/>
          <w:lang w:eastAsia="ru-RU"/>
        </w:rPr>
        <w:t xml:space="preserve"> было введено понятие биосферных резерватов. Кроме того, в этот Закон было добавлено требование об образовании координационных советов при природоохранных учреждениях. С начала 2018 г</w:t>
      </w:r>
      <w:r w:rsidR="004C6B4E" w:rsidRPr="00F0736F">
        <w:rPr>
          <w:rStyle w:val="21"/>
          <w:rFonts w:ascii="Times New Roman" w:eastAsia="Calibri" w:hAnsi="Times New Roman" w:cs="Times New Roman"/>
          <w:color w:val="000000" w:themeColor="text1"/>
          <w:spacing w:val="2"/>
          <w:sz w:val="24"/>
          <w:lang w:eastAsia="ru-RU"/>
        </w:rPr>
        <w:t>ода</w:t>
      </w:r>
      <w:r w:rsidRPr="00F0736F">
        <w:rPr>
          <w:rStyle w:val="21"/>
          <w:rFonts w:ascii="Times New Roman" w:eastAsia="Calibri" w:hAnsi="Times New Roman" w:cs="Times New Roman"/>
          <w:color w:val="000000" w:themeColor="text1"/>
          <w:spacing w:val="2"/>
          <w:sz w:val="24"/>
          <w:lang w:eastAsia="ru-RU"/>
        </w:rPr>
        <w:t xml:space="preserve"> ведется работа по созданию таких советов; ожидается, что они станут механизмом, обеспечивающим учет интересов различных сторон и, в частности, позволят решить проблему возрастающего давления на ООПТ со стороны туристического сектора.</w:t>
      </w:r>
    </w:p>
    <w:p w14:paraId="0D51CFC4" w14:textId="77777777" w:rsidR="009D15F8" w:rsidRPr="00F0736F" w:rsidRDefault="009D15F8" w:rsidP="009D15F8">
      <w:pPr>
        <w:ind w:firstLine="709"/>
        <w:jc w:val="both"/>
        <w:rPr>
          <w:color w:val="000000" w:themeColor="text1"/>
        </w:rPr>
      </w:pPr>
      <w:r w:rsidRPr="00F0736F">
        <w:rPr>
          <w:rStyle w:val="21"/>
          <w:rFonts w:ascii="Times New Roman" w:eastAsia="Times New Roman" w:hAnsi="Times New Roman" w:cs="Times New Roman"/>
          <w:color w:val="000000" w:themeColor="text1"/>
          <w:spacing w:val="2"/>
          <w:sz w:val="24"/>
          <w:lang w:eastAsia="ru-RU"/>
        </w:rPr>
        <w:t>Принятые в 2017 г</w:t>
      </w:r>
      <w:r w:rsidR="004C6B4E" w:rsidRPr="00F0736F">
        <w:rPr>
          <w:rStyle w:val="21"/>
          <w:rFonts w:ascii="Times New Roman" w:eastAsia="Times New Roman" w:hAnsi="Times New Roman" w:cs="Times New Roman"/>
          <w:color w:val="000000" w:themeColor="text1"/>
          <w:spacing w:val="2"/>
          <w:sz w:val="24"/>
          <w:lang w:eastAsia="ru-RU"/>
        </w:rPr>
        <w:t>оду</w:t>
      </w:r>
      <w:r w:rsidRPr="00F0736F">
        <w:rPr>
          <w:rStyle w:val="21"/>
          <w:rFonts w:ascii="Times New Roman" w:eastAsia="Times New Roman" w:hAnsi="Times New Roman" w:cs="Times New Roman"/>
          <w:color w:val="000000" w:themeColor="text1"/>
          <w:spacing w:val="2"/>
          <w:sz w:val="24"/>
          <w:lang w:eastAsia="ru-RU"/>
        </w:rPr>
        <w:t xml:space="preserve"> поправки к Лесному кодексу позволяют переводить земли других категорий в лесной фонд. Это должно позволить обогатить лесной фонд за счет включения в него лесопокрытых площадей, которые в настоящее время не входят в состав его земель. Также </w:t>
      </w:r>
      <w:r w:rsidRPr="00F0736F">
        <w:rPr>
          <w:rStyle w:val="21"/>
          <w:rFonts w:ascii="Times New Roman" w:eastAsia="Times New Roman" w:hAnsi="Times New Roman" w:cs="Times New Roman"/>
          <w:color w:val="000000" w:themeColor="text1"/>
          <w:spacing w:val="2"/>
          <w:sz w:val="24"/>
        </w:rPr>
        <w:t>были внесены изменения и дополнения в лесное законодательство</w:t>
      </w:r>
      <w:r w:rsidR="004C6B4E" w:rsidRPr="00F0736F">
        <w:rPr>
          <w:rStyle w:val="21"/>
          <w:rFonts w:ascii="Times New Roman" w:eastAsia="Times New Roman" w:hAnsi="Times New Roman" w:cs="Times New Roman"/>
          <w:color w:val="000000" w:themeColor="text1"/>
          <w:spacing w:val="2"/>
          <w:sz w:val="24"/>
        </w:rPr>
        <w:t>,</w:t>
      </w:r>
      <w:r w:rsidRPr="00F0736F">
        <w:rPr>
          <w:rStyle w:val="21"/>
          <w:rFonts w:ascii="Times New Roman" w:eastAsia="Times New Roman" w:hAnsi="Times New Roman" w:cs="Times New Roman"/>
          <w:color w:val="000000" w:themeColor="text1"/>
          <w:spacing w:val="2"/>
          <w:sz w:val="24"/>
        </w:rPr>
        <w:t xml:space="preserve"> устанавливающие нормы по социальной защите должностных лиц государственной лесной охраны и природоохранных учреждений, которыми предусмотрено повышение должностных окладов специалистов, работающих в сельской местности, на 25%</w:t>
      </w:r>
      <w:r w:rsidR="004C6B4E" w:rsidRPr="00F0736F">
        <w:rPr>
          <w:rStyle w:val="21"/>
          <w:rFonts w:ascii="Times New Roman" w:eastAsia="Times New Roman" w:hAnsi="Times New Roman" w:cs="Times New Roman"/>
          <w:color w:val="000000" w:themeColor="text1"/>
          <w:spacing w:val="2"/>
          <w:sz w:val="24"/>
        </w:rPr>
        <w:t>, выплата единовременных пособий</w:t>
      </w:r>
      <w:r w:rsidRPr="00F0736F">
        <w:rPr>
          <w:rStyle w:val="21"/>
          <w:rFonts w:ascii="Times New Roman" w:eastAsia="Times New Roman" w:hAnsi="Times New Roman" w:cs="Times New Roman"/>
          <w:color w:val="000000" w:themeColor="text1"/>
          <w:spacing w:val="2"/>
          <w:sz w:val="24"/>
        </w:rPr>
        <w:t xml:space="preserve"> для молодых специалистов и обеспечение их служебным жильем. </w:t>
      </w:r>
    </w:p>
    <w:p w14:paraId="169C5052" w14:textId="77777777" w:rsidR="009D15F8" w:rsidRPr="00F0736F" w:rsidRDefault="009D15F8" w:rsidP="009D15F8">
      <w:pPr>
        <w:ind w:firstLine="709"/>
        <w:jc w:val="both"/>
        <w:rPr>
          <w:color w:val="000000" w:themeColor="text1"/>
        </w:rPr>
      </w:pPr>
      <w:r w:rsidRPr="00F0736F">
        <w:rPr>
          <w:rStyle w:val="21"/>
          <w:rFonts w:ascii="Times New Roman" w:hAnsi="Times New Roman" w:cs="Times New Roman"/>
          <w:color w:val="000000" w:themeColor="text1"/>
          <w:sz w:val="24"/>
        </w:rPr>
        <w:t>В конце 2017 г</w:t>
      </w:r>
      <w:r w:rsidR="004C6B4E" w:rsidRPr="00F0736F">
        <w:rPr>
          <w:rStyle w:val="21"/>
          <w:rFonts w:ascii="Times New Roman" w:hAnsi="Times New Roman" w:cs="Times New Roman"/>
          <w:color w:val="000000" w:themeColor="text1"/>
          <w:sz w:val="24"/>
        </w:rPr>
        <w:t>ода</w:t>
      </w:r>
      <w:r w:rsidRPr="00F0736F">
        <w:rPr>
          <w:rStyle w:val="21"/>
          <w:rFonts w:ascii="Times New Roman" w:hAnsi="Times New Roman" w:cs="Times New Roman"/>
          <w:color w:val="000000" w:themeColor="text1"/>
          <w:sz w:val="24"/>
        </w:rPr>
        <w:t xml:space="preserve"> были внесены поправки в некоторые статьи Кодекса об административных правонарушениях, связанные с недропользованием, водными ресурсами и охраной лесов и животного мира. Анализ судебной практики, подготовленный по Алматинской области, показал, что большинство судебных дел об административных правонарушениях в сфере охраны окружающей среды за 2016 год были возбуждены по статьям о незаконном приобретении/сбыте/импорте видов диких животных и растений (62 случая), нарушении правил рыболовства (48 случаев), нарушении правил охоты (23 случая) и незаконном строительстве в водоохранных зонах и полосах (17 случаев); другие статьи Кодекса об административных правонарушениях, относящиеся к охране окружающей среды, в обозначенном году не применялись. </w:t>
      </w:r>
    </w:p>
    <w:p w14:paraId="05C22386" w14:textId="4059C1D3" w:rsidR="009D15F8" w:rsidRPr="00F0736F" w:rsidRDefault="009D15F8" w:rsidP="009D15F8">
      <w:pPr>
        <w:ind w:firstLine="709"/>
        <w:jc w:val="both"/>
        <w:rPr>
          <w:color w:val="000000" w:themeColor="text1"/>
        </w:rPr>
      </w:pPr>
      <w:r w:rsidRPr="00F0736F">
        <w:rPr>
          <w:rStyle w:val="21"/>
          <w:rFonts w:ascii="Times New Roman" w:hAnsi="Times New Roman" w:cs="Times New Roman"/>
          <w:color w:val="000000" w:themeColor="text1"/>
          <w:sz w:val="24"/>
        </w:rPr>
        <w:t>Приказом Председателя Комитета лесного хозяйства и животного мира Министерства сельского хозяйства Республики Казахстан от 14 мая 2018 года №</w:t>
      </w:r>
      <w:r w:rsidR="008874FE" w:rsidRPr="00F0736F">
        <w:rPr>
          <w:rStyle w:val="21"/>
          <w:rFonts w:ascii="Times New Roman" w:hAnsi="Times New Roman" w:cs="Times New Roman"/>
          <w:color w:val="000000" w:themeColor="text1"/>
          <w:sz w:val="24"/>
        </w:rPr>
        <w:t xml:space="preserve"> </w:t>
      </w:r>
      <w:r w:rsidRPr="00F0736F">
        <w:rPr>
          <w:rStyle w:val="21"/>
          <w:rFonts w:ascii="Times New Roman" w:hAnsi="Times New Roman" w:cs="Times New Roman"/>
          <w:color w:val="000000" w:themeColor="text1"/>
          <w:sz w:val="24"/>
        </w:rPr>
        <w:t>17-5-6/135 внесены изменения в «Ограничения и запреты на пользование объектами животного мира» в Жайык-Каспийском бассейне. Границы запретной для рыболовства зоны в предустьевом пространстве реки Жайык (Урал), где происходит преднерестовая концентрация производителей осетровых и полупроходных видов рыб, а также нагул их молоди, значительно расширены.</w:t>
      </w:r>
    </w:p>
    <w:p w14:paraId="03D974F8" w14:textId="77777777" w:rsidR="009D15F8" w:rsidRPr="00F0736F" w:rsidRDefault="009D15F8" w:rsidP="009D15F8">
      <w:pPr>
        <w:ind w:firstLine="709"/>
        <w:jc w:val="both"/>
        <w:rPr>
          <w:color w:val="000000" w:themeColor="text1"/>
        </w:rPr>
      </w:pPr>
      <w:r w:rsidRPr="00F0736F">
        <w:rPr>
          <w:rStyle w:val="21"/>
          <w:rFonts w:ascii="Times New Roman" w:eastAsia="TimesNewRomanPSMT" w:hAnsi="Times New Roman" w:cs="Times New Roman"/>
          <w:color w:val="000000" w:themeColor="text1"/>
          <w:spacing w:val="2"/>
          <w:sz w:val="24"/>
        </w:rPr>
        <w:t>П</w:t>
      </w:r>
      <w:r w:rsidRPr="00F0736F">
        <w:rPr>
          <w:rStyle w:val="21"/>
          <w:rFonts w:ascii="Times New Roman" w:eastAsia="TimesNewRomanPSMT" w:hAnsi="Times New Roman" w:cs="Times New Roman"/>
          <w:color w:val="000000" w:themeColor="text1"/>
          <w:spacing w:val="2"/>
          <w:sz w:val="24"/>
          <w:lang w:val="kk-KZ"/>
        </w:rPr>
        <w:t>риказом уполномоченного органа по рыбному хозяйству утверждены «</w:t>
      </w:r>
      <w:r w:rsidRPr="00F0736F">
        <w:rPr>
          <w:rStyle w:val="21"/>
          <w:rFonts w:ascii="Times New Roman" w:eastAsia="Times New Roman" w:hAnsi="Times New Roman" w:cs="Times New Roman"/>
          <w:color w:val="000000" w:themeColor="text1"/>
          <w:spacing w:val="2"/>
          <w:sz w:val="24"/>
          <w:lang w:val="kk-KZ" w:eastAsia="ru-RU"/>
        </w:rPr>
        <w:t>Ограничения и запреты на пользование рыбными ресурсами и другими водными животными», где, в частности, ограничено рыболовство в дельте р. Иле, на Шардаринском водохранилище, увеличен срок весеннего запрета на рыболовство в р. Жайык, принят ряд других мер по охране миграционных путей и мест размножения водных животных.</w:t>
      </w:r>
    </w:p>
    <w:p w14:paraId="486904CB" w14:textId="77777777" w:rsidR="009D15F8" w:rsidRPr="00F0736F" w:rsidRDefault="009D15F8" w:rsidP="009D15F8">
      <w:pPr>
        <w:ind w:firstLine="709"/>
        <w:jc w:val="both"/>
        <w:rPr>
          <w:color w:val="000000" w:themeColor="text1"/>
        </w:rPr>
      </w:pPr>
      <w:r w:rsidRPr="00F0736F">
        <w:rPr>
          <w:rStyle w:val="21"/>
          <w:rFonts w:ascii="Times New Roman" w:hAnsi="Times New Roman" w:cs="Times New Roman"/>
          <w:color w:val="000000" w:themeColor="text1"/>
          <w:sz w:val="24"/>
        </w:rPr>
        <w:t>В части сокращения воздействия на ООПТ промышленных предприятий в Законе РК «Об особо охраняемых природных территориях» в 2017 году в статье 34 источники финансирования ООПТ добавлены пожертвованиями, добровольными взносами физических и юридических лиц, в том числе за наносимый и (или) неизбежный вред объектам государственного природно-заповедного фонда при ведении ими хозяйственной и иной деятельности.</w:t>
      </w:r>
    </w:p>
    <w:p w14:paraId="7FE9AA25" w14:textId="4E6D8442"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15 июня 2017 года за №</w:t>
      </w:r>
      <w:r w:rsidR="008874FE"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73-VI принят Закон Республики Казахстан «О внесении изменений и дополнений в некоторые законодательные акты Республики Казахстан по вопросам растительного и животного мира», в рамках которого в целях развития охотничьего хозяйства:</w:t>
      </w:r>
    </w:p>
    <w:p w14:paraId="42315BCE"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введены новые понятия «дичеразведение» и «фермерское охотничье хозяйство»;</w:t>
      </w:r>
    </w:p>
    <w:p w14:paraId="7A9BCC2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запрещено проведение охоты в зоне ограниченной хозяйственной деятельности государственных национальных природных парков и буферной зоне государственных природных резерватов;</w:t>
      </w:r>
    </w:p>
    <w:p w14:paraId="45F481C3"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разрешено пользование разведенными и содержащимися в неволе и (или) полувольных условиях животными в фермерских охотничьих хозяйствах;</w:t>
      </w:r>
    </w:p>
    <w:p w14:paraId="5022DE4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предоставлено право охотничьим хозяйствам определять сроки начала и окончания охоты в закреплённых угодьях в пределах сроков, установленных Правилами охоты;</w:t>
      </w:r>
    </w:p>
    <w:p w14:paraId="64B6D5E2"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предоставлено право территориальным подразделениям ведомства уполномоченного органа принимать решение о переносе сроков охоты на более ранний либо поздний срок (до пятнадцати календарных дней) в пределах срока проведения охоты, в зависимости от природно-климатических условий региона;</w:t>
      </w:r>
    </w:p>
    <w:p w14:paraId="55383BDB"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xml:space="preserve">- запрещено применение авиа-, авто-, мототранспортных средств и снегоходной техники при производстве охоты на волков на закрепленных охотхозяйствах в любительских (спортивных) целях; </w:t>
      </w:r>
    </w:p>
    <w:p w14:paraId="695D2AF4" w14:textId="77777777" w:rsidR="009D15F8" w:rsidRPr="00F0736F" w:rsidRDefault="009D15F8" w:rsidP="009D15F8">
      <w:pPr>
        <w:ind w:firstLine="709"/>
        <w:jc w:val="both"/>
        <w:rPr>
          <w:color w:val="000000" w:themeColor="text1"/>
        </w:rPr>
      </w:pPr>
      <w:r w:rsidRPr="00F0736F">
        <w:rPr>
          <w:rFonts w:ascii="Times New Roman" w:hAnsi="Times New Roman" w:cs="Times New Roman"/>
          <w:color w:val="000000" w:themeColor="text1"/>
        </w:rPr>
        <w:t>- для обеспечения охраны, воспроизводства и устойчивого использования животного мира местные исполнительные органы должны иметь специализированные организации.</w:t>
      </w:r>
    </w:p>
    <w:p w14:paraId="3645D025"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2019 году по вопросам совершенствования уголовного, уголовно-процессуального законодательства и усиления защиты прав личности» внесены следующие поправки:</w:t>
      </w:r>
    </w:p>
    <w:p w14:paraId="2F4EFECC"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в статьях 335 и 337 уголовные проступки меняются на преступление, а также в статье 337 внесена новая - 6 часть с санкцией лишения свободы до 10 лет;</w:t>
      </w:r>
    </w:p>
    <w:p w14:paraId="0491AC68"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в статье 339 внесена новая часть 1-1, предусматривающая незаконное добывание, приобретение, хранение, сбыт, ввоз, вывоз, пересылку, перевозку или уничтожение сайгака, его частей или дериватов, в том числе рогов сайгака, за которое санкция, предусматривает ограничение либо лишение свободы от 3 до 5 лет, с конфискацией имущества;</w:t>
      </w:r>
    </w:p>
    <w:p w14:paraId="638FD284"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в статье 380-1 предусмотрена уголовная ответственность за посягательство на жизнь государственных инспекторов по охране животного мира и специализированной организации по охране животного мира и егеря, (в старой редакции только в отношении сотрудников правоохранительного, специального государственного органа и военнослужащего);</w:t>
      </w:r>
    </w:p>
    <w:p w14:paraId="1F8C0FC3"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внесена новая статья 380-2, предусматривающая уголовную ответственность за применение насилия в отношении государственного инспектора по охране животного мира и специализированной организации по охране животного мира и егеря с лишением свободы до 12 лет.</w:t>
      </w:r>
    </w:p>
    <w:p w14:paraId="5B455E57" w14:textId="7770887C"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Казахстан является стороной Конвенции о сохранении биоразнообразия (КБР) с 1994 г</w:t>
      </w:r>
      <w:r w:rsidR="004C6B4E" w:rsidRPr="00F0736F">
        <w:rPr>
          <w:rFonts w:ascii="Times New Roman" w:hAnsi="Times New Roman" w:cs="Times New Roman"/>
          <w:color w:val="000000" w:themeColor="text1"/>
        </w:rPr>
        <w:t>ода и в 2018 году подготовил 6-й Национальный д</w:t>
      </w:r>
      <w:r w:rsidRPr="00F0736F">
        <w:rPr>
          <w:rFonts w:ascii="Times New Roman" w:hAnsi="Times New Roman" w:cs="Times New Roman"/>
          <w:color w:val="000000" w:themeColor="text1"/>
        </w:rPr>
        <w:t>оклад (6НД) по сохранению биоразнообразия в Казахстане. Данный доклад подготовлен в соответствии с Руководящими принципами составления отчетности, разработанного Секретариатом Конвенции о биологическом разнообразии. 6НД содержит заключительный обзор результатов осуществления Стратегического плана в области сохранения и устойчивого использования биоразнообразия на 2011-2020 годы и выполнения целевых задач по сохранению и устойчивому использованию биоразнообразия, принятых в 2010 году, включая соответствующие национальные целевые задачи. 6НД содержит пять требуемых разделов, построенных в соответствии с конкретными целевыми задачами и раздел о национальном вкладе в выполнение целевых задач Глобальной стратегии сохранения растений.</w:t>
      </w:r>
      <w:r w:rsidRPr="00F0736F">
        <w:rPr>
          <w:rFonts w:ascii="Times New Roman" w:hAnsi="Times New Roman" w:cs="Times New Roman"/>
          <w:b/>
          <w:color w:val="000000" w:themeColor="text1"/>
        </w:rPr>
        <w:t xml:space="preserve"> </w:t>
      </w:r>
    </w:p>
    <w:p w14:paraId="0F4119C8" w14:textId="6336EC8F"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eastAsia="Calibri" w:hAnsi="Times New Roman" w:cs="Times New Roman"/>
          <w:color w:val="000000" w:themeColor="text1"/>
        </w:rPr>
        <w:t>В 2015 г</w:t>
      </w:r>
      <w:r w:rsidR="004C6B4E" w:rsidRPr="00F0736F">
        <w:rPr>
          <w:rFonts w:ascii="Times New Roman" w:eastAsia="Calibri" w:hAnsi="Times New Roman" w:cs="Times New Roman"/>
          <w:color w:val="000000" w:themeColor="text1"/>
        </w:rPr>
        <w:t>оду</w:t>
      </w:r>
      <w:r w:rsidRPr="00F0736F">
        <w:rPr>
          <w:rFonts w:ascii="Times New Roman" w:eastAsia="Calibri" w:hAnsi="Times New Roman" w:cs="Times New Roman"/>
          <w:color w:val="000000" w:themeColor="text1"/>
        </w:rPr>
        <w:t xml:space="preserve"> Казахстан присоединился к Нагойскому протоколу регулирования доступа к генетическим ресурсам и совместного использования на справедливой и равной основе выгод от их применения к КБР и в январе 2018 г</w:t>
      </w:r>
      <w:r w:rsidR="004C6B4E" w:rsidRPr="00F0736F">
        <w:rPr>
          <w:rFonts w:ascii="Times New Roman" w:eastAsia="Calibri" w:hAnsi="Times New Roman" w:cs="Times New Roman"/>
          <w:color w:val="000000" w:themeColor="text1"/>
        </w:rPr>
        <w:t>ода</w:t>
      </w:r>
      <w:r w:rsidRPr="00F0736F">
        <w:rPr>
          <w:rFonts w:ascii="Times New Roman" w:eastAsia="Calibri" w:hAnsi="Times New Roman" w:cs="Times New Roman"/>
          <w:color w:val="000000" w:themeColor="text1"/>
        </w:rPr>
        <w:t xml:space="preserve"> представлен Промежуточный национальный доклад о ходе осуществления Протокола, согласно которому Казахстаном пока что не предприняты какие-либо законодательные, административные или директивные меры по обеспечению совместного использования выгод на справедливой и равной основе. По данному направлению в 2019 году </w:t>
      </w:r>
      <w:r w:rsidRPr="00F0736F">
        <w:rPr>
          <w:rFonts w:ascii="Times New Roman" w:eastAsia="Times New Roman" w:hAnsi="Times New Roman" w:cs="Times New Roman"/>
          <w:color w:val="000000" w:themeColor="text1"/>
          <w:lang w:eastAsia="ru-RU"/>
        </w:rPr>
        <w:t>Проектом ПРООН-ГЭФ начата разработк</w:t>
      </w:r>
      <w:r w:rsidR="004C6B4E" w:rsidRPr="00F0736F">
        <w:rPr>
          <w:rFonts w:ascii="Times New Roman" w:eastAsia="Times New Roman" w:hAnsi="Times New Roman" w:cs="Times New Roman"/>
          <w:color w:val="000000" w:themeColor="text1"/>
          <w:lang w:eastAsia="ru-RU"/>
        </w:rPr>
        <w:t>а</w:t>
      </w:r>
      <w:r w:rsidRPr="00F0736F">
        <w:rPr>
          <w:rFonts w:ascii="Times New Roman" w:eastAsia="Times New Roman" w:hAnsi="Times New Roman" w:cs="Times New Roman"/>
          <w:color w:val="000000" w:themeColor="text1"/>
          <w:lang w:eastAsia="ru-RU"/>
        </w:rPr>
        <w:t xml:space="preserve"> Концепции создания генетического банка лесных семян, которая предусматривает комплексный подход в сохранении и устойчивом использовании генетического фонда лесных древесных и кустарниковых видов растений Казахстана методом </w:t>
      </w:r>
      <w:r w:rsidR="002C168C"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ex situ</w:t>
      </w:r>
      <w:r w:rsidR="002C168C"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eastAsia="ru-RU"/>
        </w:rPr>
        <w:t>.</w:t>
      </w:r>
    </w:p>
    <w:p w14:paraId="4F86CFE4" w14:textId="77777777" w:rsidR="009D15F8"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Кроме того, Казахстан пока что не присоединился к Нагойско-Куала-Лумпурскому дополнительному протоколу об ответственности и возмещении к Картахенскому протоколу по биобезопасности, который вступил в силу в марте 2018 г</w:t>
      </w:r>
      <w:r w:rsidR="004C6B4E"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w:t>
      </w:r>
    </w:p>
    <w:p w14:paraId="01E24D8D" w14:textId="77777777" w:rsidR="00B5230F" w:rsidRPr="00F0736F" w:rsidRDefault="009D15F8" w:rsidP="003C6DA5">
      <w:pPr>
        <w:pBdr>
          <w:top w:val="none" w:sz="0" w:space="0" w:color="000000"/>
          <w:left w:val="none" w:sz="0" w:space="0" w:color="000000"/>
          <w:bottom w:val="single" w:sz="4" w:space="9" w:color="FFFFFF"/>
          <w:right w:val="none" w:sz="0" w:space="0" w:color="000000"/>
        </w:pBdr>
        <w:ind w:firstLine="709"/>
        <w:contextualSpacing/>
        <w:jc w:val="both"/>
        <w:rPr>
          <w:rFonts w:ascii="Times New Roman" w:hAnsi="Times New Roman" w:cs="Times New Roman"/>
          <w:color w:val="000000" w:themeColor="text1"/>
        </w:rPr>
      </w:pPr>
      <w:r w:rsidRPr="00F0736F">
        <w:rPr>
          <w:rStyle w:val="21"/>
          <w:rFonts w:ascii="Times New Roman" w:hAnsi="Times New Roman" w:cs="Times New Roman"/>
          <w:color w:val="000000" w:themeColor="text1"/>
          <w:sz w:val="24"/>
        </w:rPr>
        <w:t>Протокол по сохранению биоразнообразия (Ашхабад, 2014 г.) еще не вступил в силу, поскольку ожидается его ратификация со стороны Азербайджана и Казахстана. Положения данного Протокола содержат меры по сохранению видов (включая реализацию национальных и региональных планов действий по сохранению видов), разработку Каспийской Красной книги и создание морских и прибрежных охраняемых районов. При представлении Национального доклада о ходе осуществления Конвенции Казахстан также включил обширную информацию о деятельности по достижению целей этого МПС, которые формально еще не стали обязательными.</w:t>
      </w:r>
    </w:p>
    <w:p w14:paraId="61C5C707" w14:textId="77777777" w:rsidR="00F674A4" w:rsidRPr="00F0736F" w:rsidRDefault="00280865" w:rsidP="008727D9">
      <w:pPr>
        <w:ind w:firstLine="709"/>
        <w:jc w:val="both"/>
        <w:rPr>
          <w:color w:val="000000" w:themeColor="text1"/>
        </w:rPr>
      </w:pPr>
      <w:r w:rsidRPr="00F0736F">
        <w:rPr>
          <w:rStyle w:val="21"/>
          <w:rFonts w:ascii="Times New Roman" w:hAnsi="Times New Roman" w:cs="Times New Roman"/>
          <w:b/>
          <w:bCs/>
          <w:i/>
          <w:iCs/>
          <w:color w:val="000000" w:themeColor="text1"/>
          <w:sz w:val="24"/>
        </w:rPr>
        <w:t>Международный опыт</w:t>
      </w:r>
    </w:p>
    <w:p w14:paraId="7B714935"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март</w:t>
      </w:r>
      <w:r w:rsidR="00F24A8E" w:rsidRPr="00F0736F">
        <w:rPr>
          <w:rFonts w:ascii="Times New Roman" w:eastAsia="Times New Roman" w:hAnsi="Times New Roman" w:cs="Times New Roman"/>
          <w:color w:val="000000" w:themeColor="text1"/>
          <w:spacing w:val="2"/>
          <w:lang w:eastAsia="ru-RU"/>
        </w:rPr>
        <w:t>е 2019 года ООН объявила 2020-</w:t>
      </w:r>
      <w:r w:rsidRPr="00F0736F">
        <w:rPr>
          <w:rFonts w:ascii="Times New Roman" w:eastAsia="Times New Roman" w:hAnsi="Times New Roman" w:cs="Times New Roman"/>
          <w:color w:val="000000" w:themeColor="text1"/>
          <w:spacing w:val="2"/>
          <w:lang w:eastAsia="ru-RU"/>
        </w:rPr>
        <w:t>2030 годы десятилетием восстановления экосистем. На Конгрессе ЕЭК ООН/ФАО по вопросам лесного хозяйства, который прошел с 28 по 31 мая в Иссык-Кульской области Кыргызстана, страны Центральной Азии и Кавказа продемонстрировали свою деятельность и достижения в области мониторинга лесного хозяйства и восстановления ландшафтов</w:t>
      </w:r>
      <w:r w:rsidR="00442D9D" w:rsidRPr="00F0736F">
        <w:rPr>
          <w:rStyle w:val="a4"/>
          <w:rFonts w:ascii="Times New Roman" w:eastAsia="Times New Roman" w:hAnsi="Times New Roman" w:cs="Times New Roman"/>
          <w:color w:val="000000" w:themeColor="text1"/>
          <w:spacing w:val="2"/>
          <w:lang w:eastAsia="ru-RU"/>
        </w:rPr>
        <w:footnoteReference w:id="109"/>
      </w:r>
      <w:r w:rsidRPr="00F0736F">
        <w:rPr>
          <w:rFonts w:ascii="Times New Roman" w:eastAsia="Times New Roman" w:hAnsi="Times New Roman" w:cs="Times New Roman"/>
          <w:color w:val="000000" w:themeColor="text1"/>
          <w:spacing w:val="2"/>
          <w:lang w:eastAsia="ru-RU"/>
        </w:rPr>
        <w:t>.</w:t>
      </w:r>
    </w:p>
    <w:p w14:paraId="44127C27" w14:textId="77777777" w:rsidR="00F674A4" w:rsidRPr="00F0736F" w:rsidRDefault="00314538" w:rsidP="008727D9">
      <w:pPr>
        <w:ind w:firstLine="709"/>
        <w:jc w:val="both"/>
        <w:rPr>
          <w:color w:val="000000" w:themeColor="text1"/>
        </w:rPr>
      </w:pPr>
      <w:hyperlink r:id="rId46" w:history="1">
        <w:r w:rsidR="00F674A4" w:rsidRPr="00F0736F">
          <w:rPr>
            <w:rStyle w:val="a6"/>
            <w:rFonts w:ascii="Times New Roman" w:hAnsi="Times New Roman" w:cs="Times New Roman"/>
            <w:color w:val="000000" w:themeColor="text1"/>
            <w:u w:val="none"/>
          </w:rPr>
          <w:t>Справочный доклад ООН по окружающей среде</w:t>
        </w:r>
      </w:hyperlink>
      <w:r w:rsidR="00F674A4" w:rsidRPr="00F0736F">
        <w:rPr>
          <w:rStyle w:val="a6"/>
          <w:rFonts w:ascii="Times New Roman" w:hAnsi="Times New Roman" w:cs="Times New Roman"/>
          <w:color w:val="000000" w:themeColor="text1"/>
          <w:u w:val="none"/>
        </w:rPr>
        <w:t xml:space="preserve"> </w:t>
      </w:r>
      <w:r w:rsidR="00F674A4" w:rsidRPr="00F0736F">
        <w:rPr>
          <w:rFonts w:ascii="Times New Roman" w:hAnsi="Times New Roman" w:cs="Times New Roman"/>
          <w:color w:val="000000" w:themeColor="text1"/>
        </w:rPr>
        <w:t>для Ассамблеи, выступающий основой для установления проблем и определения новых областей действий, дает веские основания для срочных действий. Этот доклад называется «Инновационные решения экологических проблем и устойчивое потребление и производство», и в нем рассматриваются инновации как культура, поощряющая изобретательность для решения экологических проблем.</w:t>
      </w:r>
    </w:p>
    <w:p w14:paraId="1431AE6D"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докладе рассматриваются пять основных намечающихся проблем: новейшие разработки в синтетической биологии; критические преимущества взаимосвязанных ландшафтов; сложное взаимодействие и уязвимость торфяников в вечной мерзлоте; вызовы широко распространенного загрязнения азотом; опасности ненадлежащей адаптации мира к изменению климата. Также в докладе приведены оценки стоимости: утраченных экосистемных услуг в период с 1995 по 2011 гг. (4 - 20 трлн. долл</w:t>
      </w:r>
      <w:r w:rsidR="00442D9D"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США), нарастающего давления на окружающую среду от ведения сельского хозяйства (3 трлн. долл. США ежегодно), а также затрат, связанных с загрязнением (4,6 трлн. долл. США ежегодно)</w:t>
      </w:r>
      <w:r w:rsidRPr="00F0736F">
        <w:rPr>
          <w:rStyle w:val="a4"/>
          <w:rFonts w:ascii="Times New Roman" w:eastAsia="Times New Roman" w:hAnsi="Times New Roman" w:cs="Times New Roman"/>
          <w:color w:val="000000" w:themeColor="text1"/>
          <w:spacing w:val="2"/>
          <w:lang w:eastAsia="ru-RU"/>
        </w:rPr>
        <w:footnoteReference w:id="110"/>
      </w:r>
      <w:r w:rsidRPr="00F0736F">
        <w:rPr>
          <w:rFonts w:ascii="Times New Roman" w:eastAsia="Times New Roman" w:hAnsi="Times New Roman" w:cs="Times New Roman"/>
          <w:color w:val="000000" w:themeColor="text1"/>
          <w:spacing w:val="2"/>
          <w:lang w:eastAsia="ru-RU"/>
        </w:rPr>
        <w:t xml:space="preserve">. </w:t>
      </w:r>
    </w:p>
    <w:p w14:paraId="50FD3F4C"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ЕЭК ООН и ФАО выпустили очень важную публикацию о состоянии лесов на Кавказе и в </w:t>
      </w:r>
      <w:hyperlink r:id="rId47" w:history="1">
        <w:r w:rsidRPr="00F0736F">
          <w:rPr>
            <w:rStyle w:val="14"/>
            <w:rFonts w:ascii="Times New Roman" w:eastAsia="Times New Roman" w:hAnsi="Times New Roman" w:cs="Times New Roman"/>
            <w:color w:val="000000" w:themeColor="text1"/>
            <w:spacing w:val="2"/>
            <w:u w:val="none"/>
            <w:lang w:eastAsia="ru-RU"/>
          </w:rPr>
          <w:t>Центральной Азии</w:t>
        </w:r>
      </w:hyperlink>
      <w:r w:rsidRPr="00F0736F">
        <w:rPr>
          <w:rFonts w:ascii="Times New Roman" w:eastAsia="Times New Roman" w:hAnsi="Times New Roman" w:cs="Times New Roman"/>
          <w:color w:val="000000" w:themeColor="text1"/>
          <w:spacing w:val="2"/>
          <w:lang w:eastAsia="ru-RU"/>
        </w:rPr>
        <w:t>, где впервые доступна информация начиная с 1990 года! В данном докладе описываются лесные ресурсы, лесной сектор региона и основные угрозы, с которыми сталкиваются леса. В нем также рассматриваются политика, учреждения и меры реагирования лесного сектора, которые запланированы или уже приняты, и перечисляются основные проблемы и задачи, стоящие перед лесным сектором в регионе.</w:t>
      </w:r>
    </w:p>
    <w:p w14:paraId="1E722D30"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Леса на Кавказе занимают менее 15% территории, а в Центральной Азии - менее 10%. Исключением является Грузия, более 40% которой покрыто лесами. Однако вместе леса и другие лесные угодья восьми стран Кавказа и Центральной Азии занимают более 30 млн. га, что соответствует размеру Италии.</w:t>
      </w:r>
    </w:p>
    <w:p w14:paraId="1D3C5777"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Леса региона являются особыми в силу их решающей роли в защите от эрозии и потери почвы в особо уязвимых экосистемах. Почти 90% лесов и других лесных угодий предназначено для выполнения защитных функций. Во многих районах недревесные лесные продукты-орехи (фисташки, грецкие орехи, миндаль, фундук), фрукты и ягоды, сено, лекарственные травы, грибы, мед, луковицы цветов, семена деревьев и другие – играют важную роль в обеспечении средств к существованию в сельских районах. Плантации саксаула, например, являются одним из немногих средств оказания помощи селам вокруг Аральского моря, где сокращение акватории создало соленую пустыню, где ветром сдувается токсичная пыль, наносящая вред здоровью и окружающей среде.</w:t>
      </w:r>
    </w:p>
    <w:p w14:paraId="2EF43F95"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Все леса в регионе находятся в государственной собственности и управляются государственными лесохозяйственными организациями, финансируемыми из бюджетов центрального правительства. Во всех странах действуют законы о лесах и политические заявления. Вместе с тем на самом высоком политическом уровне вопросы лесного сектора практически не освещаются.</w:t>
      </w:r>
    </w:p>
    <w:p w14:paraId="6B37F850" w14:textId="77777777"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color w:val="000000" w:themeColor="text1"/>
          <w:spacing w:val="2"/>
          <w:sz w:val="24"/>
          <w:lang w:eastAsia="ru-RU"/>
        </w:rPr>
        <w:t>«Существует значительный потенциал для увеличения вклада лесов Кавказа и Центральной Азии в общество и окружающую среду», - сказала исполнительный секретарь ЕЭК ООН Ольга Алгаерова. Вместе с тем для реализации этого потенциала необходимо, чтобы на политическом уровне были приняты долгосрочные обязательства по достижению амбициозных, но реалистичных целей и предоставлению достаточных ресурсов лесному сектору, что позволит обеспечить подлинно устойчивое лесопользование в регионе.</w:t>
      </w:r>
      <w:r w:rsidRPr="00F0736F">
        <w:rPr>
          <w:rStyle w:val="a4"/>
          <w:rFonts w:ascii="Times New Roman" w:eastAsia="Times New Roman" w:hAnsi="Times New Roman" w:cs="Times New Roman"/>
          <w:color w:val="000000" w:themeColor="text1"/>
          <w:spacing w:val="2"/>
          <w:lang w:eastAsia="ru-RU"/>
        </w:rPr>
        <w:footnoteReference w:id="111"/>
      </w:r>
      <w:r w:rsidRPr="00F0736F">
        <w:rPr>
          <w:rStyle w:val="21"/>
          <w:rFonts w:ascii="Times New Roman" w:eastAsia="Times New Roman" w:hAnsi="Times New Roman" w:cs="Times New Roman"/>
          <w:color w:val="000000" w:themeColor="text1"/>
          <w:spacing w:val="2"/>
          <w:sz w:val="24"/>
          <w:lang w:eastAsia="ru-RU"/>
        </w:rPr>
        <w:t>».</w:t>
      </w:r>
    </w:p>
    <w:p w14:paraId="5D3E1650" w14:textId="3EFE3029" w:rsidR="004C022E" w:rsidRPr="00F0736F" w:rsidRDefault="004C022E" w:rsidP="004C022E">
      <w:pPr>
        <w:ind w:firstLine="567"/>
        <w:jc w:val="both"/>
        <w:rPr>
          <w:color w:val="000000" w:themeColor="text1"/>
        </w:rPr>
      </w:pPr>
      <w:r w:rsidRPr="00F0736F">
        <w:rPr>
          <w:rStyle w:val="21"/>
          <w:rFonts w:ascii="Times New Roman" w:eastAsia="Times New Roman" w:hAnsi="Times New Roman" w:cs="Times New Roman"/>
          <w:b/>
          <w:bCs/>
          <w:color w:val="000000" w:themeColor="text1"/>
          <w:spacing w:val="2"/>
          <w:sz w:val="24"/>
          <w:lang w:eastAsia="ru-RU"/>
        </w:rPr>
        <w:t xml:space="preserve">Программа ЮНЕСКО </w:t>
      </w:r>
      <w:r w:rsidR="006B37E2" w:rsidRPr="00F0736F">
        <w:rPr>
          <w:rStyle w:val="21"/>
          <w:rFonts w:ascii="Times New Roman" w:eastAsia="Times New Roman" w:hAnsi="Times New Roman" w:cs="Times New Roman"/>
          <w:b/>
          <w:bCs/>
          <w:color w:val="000000" w:themeColor="text1"/>
          <w:spacing w:val="2"/>
          <w:sz w:val="24"/>
          <w:lang w:eastAsia="ru-RU"/>
        </w:rPr>
        <w:t>«</w:t>
      </w:r>
      <w:r w:rsidRPr="00F0736F">
        <w:rPr>
          <w:rStyle w:val="21"/>
          <w:rFonts w:ascii="Times New Roman" w:eastAsia="Times New Roman" w:hAnsi="Times New Roman" w:cs="Times New Roman"/>
          <w:b/>
          <w:bCs/>
          <w:color w:val="000000" w:themeColor="text1"/>
          <w:spacing w:val="2"/>
          <w:sz w:val="24"/>
          <w:lang w:eastAsia="ru-RU"/>
        </w:rPr>
        <w:t>Человек и биосфера</w:t>
      </w:r>
      <w:r w:rsidR="006B37E2" w:rsidRPr="00F0736F">
        <w:rPr>
          <w:rStyle w:val="21"/>
          <w:rFonts w:ascii="Times New Roman" w:eastAsia="Times New Roman" w:hAnsi="Times New Roman" w:cs="Times New Roman"/>
          <w:b/>
          <w:bCs/>
          <w:color w:val="000000" w:themeColor="text1"/>
          <w:spacing w:val="2"/>
          <w:sz w:val="24"/>
          <w:lang w:eastAsia="ru-RU"/>
        </w:rPr>
        <w:t>»</w:t>
      </w:r>
      <w:r w:rsidRPr="00F0736F">
        <w:rPr>
          <w:rStyle w:val="21"/>
          <w:rFonts w:ascii="Times New Roman" w:eastAsia="Times New Roman" w:hAnsi="Times New Roman" w:cs="Times New Roman"/>
          <w:b/>
          <w:bCs/>
          <w:color w:val="000000" w:themeColor="text1"/>
          <w:spacing w:val="2"/>
          <w:sz w:val="24"/>
          <w:lang w:eastAsia="ru-RU"/>
        </w:rPr>
        <w:t xml:space="preserve"> (МАБ)</w:t>
      </w:r>
      <w:r w:rsidRPr="00F0736F">
        <w:rPr>
          <w:rStyle w:val="21"/>
          <w:rFonts w:ascii="Times New Roman" w:eastAsia="Times New Roman" w:hAnsi="Times New Roman" w:cs="Times New Roman"/>
          <w:color w:val="000000" w:themeColor="text1"/>
          <w:spacing w:val="2"/>
          <w:sz w:val="24"/>
          <w:lang w:eastAsia="ru-RU"/>
        </w:rPr>
        <w:t xml:space="preserve"> является межправительственной научной программой ЮНЕСКО, направленной на установлени</w:t>
      </w:r>
      <w:r w:rsidR="00442D9D" w:rsidRPr="00F0736F">
        <w:rPr>
          <w:rStyle w:val="21"/>
          <w:rFonts w:ascii="Times New Roman" w:eastAsia="Times New Roman" w:hAnsi="Times New Roman" w:cs="Times New Roman"/>
          <w:color w:val="000000" w:themeColor="text1"/>
          <w:spacing w:val="2"/>
          <w:sz w:val="24"/>
          <w:lang w:eastAsia="ru-RU"/>
        </w:rPr>
        <w:t>е</w:t>
      </w:r>
      <w:r w:rsidRPr="00F0736F">
        <w:rPr>
          <w:rStyle w:val="21"/>
          <w:rFonts w:ascii="Times New Roman" w:eastAsia="Times New Roman" w:hAnsi="Times New Roman" w:cs="Times New Roman"/>
          <w:color w:val="000000" w:themeColor="text1"/>
          <w:spacing w:val="2"/>
          <w:sz w:val="24"/>
          <w:lang w:eastAsia="ru-RU"/>
        </w:rPr>
        <w:t xml:space="preserve"> научной основы для улучшения отношений между людьми и окружающей средой на местном и глобальном уровне. Она представляет собой систему междисциплинарных исследований, нацеленную на изучение вопросов сохранения биологического и экосистемного разнообразия, а также взаимоотношений человека и окружающей среды. Одним из основных направлений деятельности программы является развитие Всемирной сети биосферных резерватов. Название «МАБ» представляет собой русскую фонетическую аббревиатуру английского названия программы «Человек и биосфера» (</w:t>
      </w:r>
      <w:r w:rsidR="006B37E2" w:rsidRPr="00F0736F">
        <w:rPr>
          <w:rStyle w:val="21"/>
          <w:rFonts w:ascii="Times New Roman" w:eastAsia="Times New Roman" w:hAnsi="Times New Roman" w:cs="Times New Roman"/>
          <w:color w:val="000000" w:themeColor="text1"/>
          <w:spacing w:val="2"/>
          <w:sz w:val="24"/>
          <w:lang w:eastAsia="ru-RU"/>
        </w:rPr>
        <w:t>«</w:t>
      </w:r>
      <w:r w:rsidRPr="00F0736F">
        <w:rPr>
          <w:rStyle w:val="21"/>
          <w:rFonts w:ascii="Times New Roman" w:eastAsia="Times New Roman" w:hAnsi="Times New Roman" w:cs="Times New Roman"/>
          <w:color w:val="000000" w:themeColor="text1"/>
          <w:spacing w:val="2"/>
          <w:sz w:val="24"/>
          <w:lang w:eastAsia="ru-RU"/>
        </w:rPr>
        <w:t>Man and Biosphere</w:t>
      </w:r>
      <w:r w:rsidR="006B37E2" w:rsidRPr="00F0736F">
        <w:rPr>
          <w:rStyle w:val="21"/>
          <w:rFonts w:ascii="Times New Roman" w:eastAsia="Times New Roman" w:hAnsi="Times New Roman" w:cs="Times New Roman"/>
          <w:color w:val="000000" w:themeColor="text1"/>
          <w:spacing w:val="2"/>
          <w:sz w:val="24"/>
          <w:lang w:eastAsia="ru-RU"/>
        </w:rPr>
        <w:t>»</w:t>
      </w:r>
      <w:r w:rsidRPr="00F0736F">
        <w:rPr>
          <w:rStyle w:val="21"/>
          <w:rFonts w:ascii="Times New Roman" w:eastAsia="Times New Roman" w:hAnsi="Times New Roman" w:cs="Times New Roman"/>
          <w:color w:val="000000" w:themeColor="text1"/>
          <w:spacing w:val="2"/>
          <w:sz w:val="24"/>
          <w:lang w:eastAsia="ru-RU"/>
        </w:rPr>
        <w:t>, MAB), эта англоязычная аббревиатура прижилась и в русском языке. Официально Программа МАБ была принята в 1970 году на XVI сессии Генеральной конференции ЮНЕСКО. Руководящим органом программы является Международный координационный совет (МКС, анг. - International Coordination Council, ICC), в состав которого входят 34 государства, которые регулярно переизбираются на сессиях Генеральной конференции ЮНЕСКО. В период между сессиями МКС, оперативное руководство программы МАБ осуществляет Бюро и Секретариат МКС, который координирует деятельность Национальных комитетов МАБ в каждой стране. В настоящее время Республика Казахстана является членом Международного координационного совета в течение четырёх лет с 2020 по 2024 г</w:t>
      </w:r>
      <w:r w:rsidR="00442D9D" w:rsidRPr="00F0736F">
        <w:rPr>
          <w:rStyle w:val="21"/>
          <w:rFonts w:ascii="Times New Roman" w:eastAsia="Times New Roman" w:hAnsi="Times New Roman" w:cs="Times New Roman"/>
          <w:color w:val="000000" w:themeColor="text1"/>
          <w:spacing w:val="2"/>
          <w:sz w:val="24"/>
          <w:lang w:eastAsia="ru-RU"/>
        </w:rPr>
        <w:t>оды</w:t>
      </w:r>
      <w:r w:rsidRPr="00F0736F">
        <w:rPr>
          <w:rStyle w:val="21"/>
          <w:rFonts w:ascii="Times New Roman" w:eastAsia="Times New Roman" w:hAnsi="Times New Roman" w:cs="Times New Roman"/>
          <w:color w:val="000000" w:themeColor="text1"/>
          <w:spacing w:val="2"/>
          <w:sz w:val="24"/>
          <w:lang w:eastAsia="ru-RU"/>
        </w:rPr>
        <w:t>.</w:t>
      </w:r>
    </w:p>
    <w:p w14:paraId="31EAE1A4" w14:textId="7AF55961" w:rsidR="004C022E" w:rsidRPr="00F0736F" w:rsidRDefault="00F674A4" w:rsidP="004C022E">
      <w:pPr>
        <w:ind w:firstLine="567"/>
        <w:jc w:val="both"/>
        <w:rPr>
          <w:color w:val="000000" w:themeColor="text1"/>
        </w:rPr>
      </w:pPr>
      <w:r w:rsidRPr="00F0736F">
        <w:rPr>
          <w:rStyle w:val="21"/>
          <w:rFonts w:ascii="Times New Roman" w:eastAsia="Times New Roman" w:hAnsi="Times New Roman" w:cs="Times New Roman"/>
          <w:b/>
          <w:bCs/>
          <w:color w:val="000000" w:themeColor="text1"/>
          <w:spacing w:val="2"/>
          <w:sz w:val="24"/>
          <w:lang w:eastAsia="ru-RU"/>
        </w:rPr>
        <w:t>Лимский план действий (ЛПД)</w:t>
      </w:r>
      <w:r w:rsidRPr="00F0736F">
        <w:rPr>
          <w:rStyle w:val="21"/>
          <w:rFonts w:ascii="Times New Roman" w:eastAsia="Times New Roman" w:hAnsi="Times New Roman" w:cs="Times New Roman"/>
          <w:color w:val="000000" w:themeColor="text1"/>
          <w:spacing w:val="2"/>
          <w:sz w:val="24"/>
          <w:lang w:eastAsia="ru-RU"/>
        </w:rPr>
        <w:t xml:space="preserve"> по биосферным резерватам на 2016 - 2025 годы был принят на 4-м Всемирном конгрессе биосферных резерватов, состоявшемся в городе Лима, Перу. Этот документ дополняет Стратегию МАБ на 2015 - 2025 годы и подробно описывает как МАБ через всемирную сеть биосферных резерватов (ВСБР) будет вносить вклад в достижение повестки дня в области развития на период до 2030 года и целей устойчивого развития (ЦУР).  </w:t>
      </w:r>
      <w:r w:rsidR="004C022E" w:rsidRPr="00F0736F">
        <w:rPr>
          <w:rStyle w:val="21"/>
          <w:rFonts w:ascii="Times New Roman" w:eastAsia="Times New Roman" w:hAnsi="Times New Roman" w:cs="Times New Roman"/>
          <w:color w:val="000000" w:themeColor="text1"/>
          <w:spacing w:val="2"/>
          <w:sz w:val="24"/>
          <w:lang w:eastAsia="ru-RU"/>
        </w:rPr>
        <w:t xml:space="preserve">Одним из 12 экспертов </w:t>
      </w:r>
      <w:r w:rsidR="00442D9D" w:rsidRPr="00F0736F">
        <w:rPr>
          <w:rStyle w:val="21"/>
          <w:rFonts w:ascii="Times New Roman" w:eastAsia="Times New Roman" w:hAnsi="Times New Roman" w:cs="Times New Roman"/>
          <w:color w:val="000000" w:themeColor="text1"/>
          <w:spacing w:val="2"/>
          <w:sz w:val="24"/>
          <w:lang w:eastAsia="ru-RU"/>
        </w:rPr>
        <w:t xml:space="preserve">- </w:t>
      </w:r>
      <w:r w:rsidR="004C022E" w:rsidRPr="00F0736F">
        <w:rPr>
          <w:rStyle w:val="21"/>
          <w:rFonts w:ascii="Times New Roman" w:eastAsia="Times New Roman" w:hAnsi="Times New Roman" w:cs="Times New Roman"/>
          <w:color w:val="000000" w:themeColor="text1"/>
          <w:spacing w:val="2"/>
          <w:sz w:val="24"/>
          <w:lang w:eastAsia="ru-RU"/>
        </w:rPr>
        <w:t xml:space="preserve">разработчиков текста текущей Стратегии МАБ и Лимского плана действий был казахстанский представитель, являвшийся в 2014-2016 гг. вице-президентом МАБ ЮНЕСКО по Азии и Тихому океану (Ященко Р.В., с 2020 г. – советник ЮНЕСКО по биосферным резерватам, генеральный директор Института зоологии КН МОН РК с декабря 2018 г.). Также в июне 2017 года на 29-й сессии Совет МАБ принял документ </w:t>
      </w:r>
      <w:r w:rsidR="006B37E2" w:rsidRPr="00F0736F">
        <w:rPr>
          <w:rStyle w:val="21"/>
          <w:rFonts w:ascii="Times New Roman" w:eastAsia="Times New Roman" w:hAnsi="Times New Roman" w:cs="Times New Roman"/>
          <w:color w:val="000000" w:themeColor="text1"/>
          <w:spacing w:val="2"/>
          <w:sz w:val="24"/>
          <w:lang w:eastAsia="ru-RU"/>
        </w:rPr>
        <w:t>«</w:t>
      </w:r>
      <w:r w:rsidR="004C022E" w:rsidRPr="00F0736F">
        <w:rPr>
          <w:rStyle w:val="21"/>
          <w:rFonts w:ascii="Times New Roman" w:eastAsia="Times New Roman" w:hAnsi="Times New Roman" w:cs="Times New Roman"/>
          <w:color w:val="000000" w:themeColor="text1"/>
          <w:spacing w:val="2"/>
          <w:sz w:val="24"/>
          <w:lang w:eastAsia="ru-RU"/>
        </w:rPr>
        <w:t>Процесс совершенствования и повышения качества ВСБР, а также улучшение качества всех членов Всемирной сети</w:t>
      </w:r>
      <w:r w:rsidR="006B37E2" w:rsidRPr="00F0736F">
        <w:rPr>
          <w:rStyle w:val="21"/>
          <w:rFonts w:ascii="Times New Roman" w:eastAsia="Times New Roman" w:hAnsi="Times New Roman" w:cs="Times New Roman"/>
          <w:color w:val="000000" w:themeColor="text1"/>
          <w:spacing w:val="2"/>
          <w:sz w:val="24"/>
          <w:lang w:eastAsia="ru-RU"/>
        </w:rPr>
        <w:t>»</w:t>
      </w:r>
      <w:r w:rsidR="004C022E" w:rsidRPr="00F0736F">
        <w:rPr>
          <w:rStyle w:val="21"/>
          <w:rFonts w:ascii="Times New Roman" w:eastAsia="Times New Roman" w:hAnsi="Times New Roman" w:cs="Times New Roman"/>
          <w:color w:val="000000" w:themeColor="text1"/>
          <w:spacing w:val="2"/>
          <w:sz w:val="24"/>
          <w:lang w:eastAsia="ru-RU"/>
        </w:rPr>
        <w:t>. Цель этого нового процесса заключается в обеспечении того, чтобы все биосферные резерваты соответствовали современным критериям ЮНЕСКО и стали полностью функциональными к 2020 году, а также представили Совету МАБ доклады о предстоящем периодическом обзоре не позднее 2019 года, если они пожелают остаться в составе ВСБР. Все казахстанские биосферные резерваты полностью соответствуют современным требованиям и процесс исключения из Всемирной сети их не коснулся. Это показывает высокий уровень национальной системы ООПТ и высокое качество работы Казахстанского национального комитета МАБ.  Позднее, в июле 2018 года на 30-й сессии Совета МАБ была представлена Глобальная коммуникационная стратегия и План действий по МАБ, который был разработан в качестве руководства для поддержки всех биосферных резерватов для целенаправленного взаимодействия с заинтересованными сторонами и продвижения к общим коммуникационным целям.</w:t>
      </w:r>
    </w:p>
    <w:p w14:paraId="1ADF1D9B" w14:textId="77777777" w:rsidR="004C022E" w:rsidRPr="00F0736F" w:rsidRDefault="004C022E" w:rsidP="004C022E">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29 мая – 2 июня 2018 г</w:t>
      </w:r>
      <w:r w:rsidR="00442D9D"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в Алматы прошла 15-я встреча Восточноазиатской сети биосферных резерватов, в рамках которой участники получили возможность обмена опытом в сфере создания и управления биосферными резерватами. Также была организована полевая оценка биосферного резервата «Алтын-Эмель», во время которой иностранные эксперты посетили резерват и дали свои рекомендации. Представители стран-участниц сделали обзор последних достижений и установили новые приоритеты развития восточноазиатской сети биосферных резерватов (EABRN) ЮНЕСКО. Организаторами встречи выступили Казахстанский национальный комитет МАБ ЮНЕСКО и Секретариат восточноазиатской сети биосферных резерватов (EABRN) ЮНЕСКО при поддержке Национальной комиссии Республики Корея по делам ЮНЕСКО, Министерства окружающей среды Республики Корея, а также Национальной комиссии Республики Казхстан по делам ЮНЕСКО и ИСЕСКО и кафедры ЮНЕСКО по устойчивому развитию КазНУ им. аль-Фараби.</w:t>
      </w:r>
    </w:p>
    <w:p w14:paraId="7C7F92A7" w14:textId="77777777" w:rsidR="004C022E" w:rsidRPr="00F0736F" w:rsidRDefault="004C022E" w:rsidP="004C022E">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съезде приняли участие представители семи государств-членов EABRN - Китай, Корейская Народно-Демократическая республика, Республика Корея, Япония, Республика Казахстан, Монголия и Российская Федерация, представители биосферных резерватов EABRN, а также других региональных сетей (южно- и центральноазиатская, южно- и восточноазиатская, тихоокеанская). Кроме того, среди участников присутствовали представители международных организаций, таких как ЮНЕСКО, ПРООН, IUCN, WWF и правительственных органов Республики Казахстан. Всего в совещании приняли участие около 70 представителей из разных стран.</w:t>
      </w:r>
    </w:p>
    <w:p w14:paraId="452A1E95" w14:textId="763368D0" w:rsidR="00F674A4" w:rsidRPr="00F0736F" w:rsidRDefault="00F674A4" w:rsidP="004C022E">
      <w:pPr>
        <w:ind w:firstLine="709"/>
        <w:jc w:val="both"/>
        <w:rPr>
          <w:color w:val="000000" w:themeColor="text1"/>
        </w:rPr>
      </w:pPr>
      <w:r w:rsidRPr="00F0736F">
        <w:rPr>
          <w:rStyle w:val="21"/>
          <w:rFonts w:ascii="Times New Roman" w:eastAsia="Times New Roman" w:hAnsi="Times New Roman" w:cs="Times New Roman"/>
          <w:color w:val="000000" w:themeColor="text1"/>
          <w:spacing w:val="2"/>
          <w:sz w:val="24"/>
          <w:lang w:eastAsia="ru-RU"/>
        </w:rPr>
        <w:t xml:space="preserve">Субрегиональный семинар для стран Центральной Азии по вопросам биосферных резерватов прошел 28 - 31 мая 2019 </w:t>
      </w:r>
      <w:r w:rsidR="006B37E2" w:rsidRPr="00F0736F">
        <w:rPr>
          <w:rStyle w:val="21"/>
          <w:rFonts w:ascii="Times New Roman" w:eastAsia="Times New Roman" w:hAnsi="Times New Roman" w:cs="Times New Roman"/>
          <w:color w:val="000000" w:themeColor="text1"/>
          <w:spacing w:val="2"/>
          <w:sz w:val="24"/>
          <w:lang w:eastAsia="ru-RU"/>
        </w:rPr>
        <w:t xml:space="preserve">года </w:t>
      </w:r>
      <w:r w:rsidRPr="00F0736F">
        <w:rPr>
          <w:rStyle w:val="21"/>
          <w:rFonts w:ascii="Times New Roman" w:eastAsia="Times New Roman" w:hAnsi="Times New Roman" w:cs="Times New Roman"/>
          <w:color w:val="000000" w:themeColor="text1"/>
          <w:spacing w:val="2"/>
          <w:sz w:val="24"/>
          <w:lang w:eastAsia="ru-RU"/>
        </w:rPr>
        <w:t>в Алматы. Работа семинара направлена на реализацию Лимского плана действий и внесение вклада в достижение Целей устойчивого развития, активизацию процессов развития программы МАБ и биосферных резерватов, а также наращивание потенциала трех стран Центральной Азии (Кыргызстана, Таджикистана и Узбекистана). Главными задачами мероприятия являются обмен передовым опытом, а также обсуждение имеющихся пробелов в национальной сети биосферных резерватов в Казахстане, улучшение коммуникации по вопросам, касающимся биосферных резерватов, а также выполнение рекомендаций совещания Сети биосферных резерватов Южной и Центральной Азии (SACAM) 2019 года</w:t>
      </w:r>
      <w:r w:rsidRPr="00F0736F">
        <w:rPr>
          <w:rStyle w:val="a4"/>
          <w:rFonts w:ascii="Times New Roman" w:eastAsia="Times New Roman" w:hAnsi="Times New Roman" w:cs="Times New Roman"/>
          <w:color w:val="000000" w:themeColor="text1"/>
          <w:spacing w:val="2"/>
          <w:lang w:eastAsia="ru-RU"/>
        </w:rPr>
        <w:footnoteReference w:id="112"/>
      </w:r>
      <w:r w:rsidRPr="00F0736F">
        <w:rPr>
          <w:rStyle w:val="21"/>
          <w:rFonts w:ascii="Times New Roman" w:eastAsia="Times New Roman" w:hAnsi="Times New Roman" w:cs="Times New Roman"/>
          <w:color w:val="000000" w:themeColor="text1"/>
          <w:spacing w:val="2"/>
          <w:sz w:val="24"/>
          <w:lang w:eastAsia="ru-RU"/>
        </w:rPr>
        <w:t>.</w:t>
      </w:r>
    </w:p>
    <w:p w14:paraId="7BE4152A"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Во исполнение Указа Президента Республики Узбекистан от 17 января 2019 года № УП-5635 «</w:t>
      </w:r>
      <w:r w:rsidRPr="00F0736F">
        <w:rPr>
          <w:rFonts w:ascii="Times New Roman" w:eastAsia="Times New Roman" w:hAnsi="Times New Roman" w:cs="Times New Roman"/>
          <w:bCs/>
          <w:iCs/>
          <w:color w:val="000000" w:themeColor="text1"/>
          <w:kern w:val="0"/>
          <w:lang w:eastAsia="ru-RU" w:bidi="ar-SA"/>
        </w:rPr>
        <w:t xml:space="preserve">О Государственной программе по реализации Стратегии действий по пяти приоритетным направлениям развития </w:t>
      </w:r>
      <w:r w:rsidRPr="00F0736F">
        <w:rPr>
          <w:rFonts w:ascii="Times New Roman" w:eastAsia="Times New Roman" w:hAnsi="Times New Roman" w:cs="Times New Roman"/>
          <w:b/>
          <w:bCs/>
          <w:iCs/>
          <w:color w:val="000000" w:themeColor="text1"/>
          <w:kern w:val="0"/>
          <w:lang w:eastAsia="ru-RU" w:bidi="ar-SA"/>
        </w:rPr>
        <w:t>Республики Узбекистан</w:t>
      </w:r>
      <w:r w:rsidRPr="00F0736F">
        <w:rPr>
          <w:rFonts w:ascii="Times New Roman" w:eastAsia="Times New Roman" w:hAnsi="Times New Roman" w:cs="Times New Roman"/>
          <w:bCs/>
          <w:iCs/>
          <w:color w:val="000000" w:themeColor="text1"/>
          <w:kern w:val="0"/>
          <w:lang w:eastAsia="ru-RU" w:bidi="ar-SA"/>
        </w:rPr>
        <w:t xml:space="preserve"> в 2017 - 2021 годах в «Год активных инвестиций и социального развития</w:t>
      </w:r>
      <w:r w:rsidRPr="00F0736F">
        <w:rPr>
          <w:rFonts w:ascii="Times New Roman" w:eastAsia="Times New Roman" w:hAnsi="Times New Roman" w:cs="Times New Roman"/>
          <w:color w:val="000000" w:themeColor="text1"/>
          <w:kern w:val="0"/>
          <w:lang w:eastAsia="ru-RU" w:bidi="ar-SA"/>
        </w:rPr>
        <w:t>» и постановления Олий Мажлиса Республики Узбекистан от 6 мая 1995 года № 82-1 «</w:t>
      </w:r>
      <w:r w:rsidRPr="00F0736F">
        <w:rPr>
          <w:rFonts w:ascii="Times New Roman" w:eastAsia="Times New Roman" w:hAnsi="Times New Roman" w:cs="Times New Roman"/>
          <w:bCs/>
          <w:iCs/>
          <w:color w:val="000000" w:themeColor="text1"/>
          <w:kern w:val="0"/>
          <w:lang w:eastAsia="ru-RU" w:bidi="ar-SA"/>
        </w:rPr>
        <w:t>О присоединении Республики Узбекистан к Конвенции о биологическом разнообразии, подписанной в Рио-де-Жанейро в 1992 году</w:t>
      </w:r>
      <w:r w:rsidRPr="00F0736F">
        <w:rPr>
          <w:rFonts w:ascii="Times New Roman" w:eastAsia="Times New Roman" w:hAnsi="Times New Roman" w:cs="Times New Roman"/>
          <w:color w:val="000000" w:themeColor="text1"/>
          <w:kern w:val="0"/>
          <w:lang w:eastAsia="ru-RU" w:bidi="ar-SA"/>
        </w:rPr>
        <w:t>», а также в целях обеспечения сохранения и устойчивого использования биологического разнообразия, развития и расширения охраняемых природных территорий, осуществления комплекса мер по снижению темпов деградации естественных экологических систем, восстановления редких и исчезающих видов животных и растений, развития международных отношений в области сохранения биоразнообразия Кабинетом Министров Республики Узбекистан утверждена «</w:t>
      </w:r>
      <w:r w:rsidRPr="00F0736F">
        <w:rPr>
          <w:rFonts w:ascii="Times New Roman" w:eastAsia="Times New Roman" w:hAnsi="Times New Roman" w:cs="Times New Roman"/>
          <w:bCs/>
          <w:iCs/>
          <w:color w:val="000000" w:themeColor="text1"/>
          <w:kern w:val="0"/>
          <w:lang w:eastAsia="ru-RU" w:bidi="ar-SA"/>
        </w:rPr>
        <w:t>Стратегия по сохранению биологического разнообразия в Республике Узбекистан на период 2019 - 2028 годы»</w:t>
      </w:r>
      <w:r w:rsidR="00442D9D" w:rsidRPr="00F0736F">
        <w:rPr>
          <w:rFonts w:ascii="Times New Roman" w:eastAsia="Times New Roman" w:hAnsi="Times New Roman" w:cs="Times New Roman"/>
          <w:color w:val="000000" w:themeColor="text1"/>
          <w:kern w:val="0"/>
          <w:lang w:eastAsia="ru-RU" w:bidi="ar-SA"/>
        </w:rPr>
        <w:t>, предусматривающая</w:t>
      </w:r>
      <w:r w:rsidRPr="00F0736F">
        <w:rPr>
          <w:rFonts w:ascii="Times New Roman" w:eastAsia="Times New Roman" w:hAnsi="Times New Roman" w:cs="Times New Roman"/>
          <w:color w:val="000000" w:themeColor="text1"/>
          <w:kern w:val="0"/>
          <w:lang w:eastAsia="ru-RU" w:bidi="ar-SA"/>
        </w:rPr>
        <w:t xml:space="preserve"> реализацию следующих приоритетных задач:</w:t>
      </w:r>
    </w:p>
    <w:p w14:paraId="780CE0B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расширение площади охраняемых природных территорий до 12 процентов от территории страны;</w:t>
      </w:r>
    </w:p>
    <w:p w14:paraId="2114F0FF" w14:textId="2D48D7E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облесение осушенного дна Аральского моря с доведением площади лесов до 1,2 млн, г</w:t>
      </w:r>
      <w:r w:rsidR="00442D9D"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w:t>
      </w:r>
    </w:p>
    <w:p w14:paraId="3B6E228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разведение джейранов в Бухарском специализированном питомнике «Джейран» с доведением их количества до 1 000 особей;</w:t>
      </w:r>
    </w:p>
    <w:p w14:paraId="0B2E8DB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создание единой системы мониторинга компонентов биоразнообразия с центральным звеном - эталонными экосистемами государственных заповедников;</w:t>
      </w:r>
    </w:p>
    <w:p w14:paraId="13FFCA6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создание единой информационной базы данных государственного мониторинга и государственного кадастра биоразнообразия на основе современных геоинформационных технологий (ГИС-технологии);</w:t>
      </w:r>
    </w:p>
    <w:p w14:paraId="57047CE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проведение ежегодного геоботанического обследования растительности природных пастбищ и сенокосов в объёме 2 млн. га;</w:t>
      </w:r>
    </w:p>
    <w:p w14:paraId="623784B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интегрирование вопросов сохранения биоразнообразия во все секторы экономики.</w:t>
      </w:r>
    </w:p>
    <w:p w14:paraId="06EAB361" w14:textId="77777777" w:rsidR="00F674A4" w:rsidRPr="00F0736F" w:rsidRDefault="007B51FC" w:rsidP="008727D9">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Также утвержден </w:t>
      </w:r>
      <w:r w:rsidR="00F674A4" w:rsidRPr="00F0736F">
        <w:rPr>
          <w:rFonts w:ascii="Times New Roman" w:eastAsia="Times New Roman" w:hAnsi="Times New Roman" w:cs="Times New Roman"/>
          <w:bCs/>
          <w:iCs/>
          <w:color w:val="000000" w:themeColor="text1"/>
          <w:kern w:val="0"/>
          <w:lang w:eastAsia="ru-RU" w:bidi="ar-SA"/>
        </w:rPr>
        <w:t>План действий по реализации Стратегии по сохранению биологического разнообразия на период 2019 - 2028 годы</w:t>
      </w:r>
      <w:r w:rsidR="00F674A4" w:rsidRPr="00F0736F">
        <w:rPr>
          <w:rFonts w:ascii="Times New Roman" w:eastAsia="Times New Roman" w:hAnsi="Times New Roman" w:cs="Times New Roman"/>
          <w:color w:val="000000" w:themeColor="text1"/>
          <w:kern w:val="0"/>
          <w:lang w:eastAsia="ru-RU" w:bidi="ar-SA"/>
        </w:rPr>
        <w:t>.</w:t>
      </w:r>
    </w:p>
    <w:p w14:paraId="74F03660" w14:textId="77777777" w:rsidR="00F674A4" w:rsidRPr="00F0736F" w:rsidRDefault="007B51FC" w:rsidP="00B5230F">
      <w:pPr>
        <w:ind w:firstLine="709"/>
        <w:jc w:val="both"/>
        <w:rPr>
          <w:color w:val="000000" w:themeColor="text1"/>
        </w:rPr>
      </w:pPr>
      <w:r w:rsidRPr="00F0736F">
        <w:rPr>
          <w:rFonts w:ascii="Times New Roman" w:hAnsi="Times New Roman" w:cs="Times New Roman"/>
          <w:color w:val="000000" w:themeColor="text1"/>
        </w:rPr>
        <w:t>В</w:t>
      </w:r>
      <w:r w:rsidR="00F674A4" w:rsidRPr="00F0736F">
        <w:rPr>
          <w:rFonts w:ascii="Times New Roman" w:hAnsi="Times New Roman" w:cs="Times New Roman"/>
          <w:color w:val="000000" w:themeColor="text1"/>
        </w:rPr>
        <w:t xml:space="preserve"> Казахстане нет утвержденной в установленном порядке стратегии в области сохранения и устойчивого использования биологического разнообразия. </w:t>
      </w:r>
    </w:p>
    <w:p w14:paraId="3E62EC2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 саммите Всемирного экономического форума в Давосе 22 февраля 2020 года состоялся официальный брифинг новой крупной инициативы «Платформа чемпионов за триллион деревьев», возглавляемой ЮНЕП и ФАО. В целом инициатива направлена на то, чтобы к 2030 году во всем мире удалось посадить 1 триллион деревьев. Это позволит сдержать рост температуры на уровне 1,5</w:t>
      </w:r>
      <w:r w:rsidRPr="00F0736F">
        <w:rPr>
          <w:rFonts w:ascii="Times New Roman" w:hAnsi="Times New Roman" w:cs="Times New Roman"/>
          <w:color w:val="000000" w:themeColor="text1"/>
          <w:vertAlign w:val="superscript"/>
        </w:rPr>
        <w:t>о</w:t>
      </w:r>
      <w:r w:rsidRPr="00F0736F">
        <w:rPr>
          <w:rFonts w:ascii="Times New Roman" w:hAnsi="Times New Roman" w:cs="Times New Roman"/>
          <w:color w:val="000000" w:themeColor="text1"/>
        </w:rPr>
        <w:t>С с наименьшими затратами.</w:t>
      </w:r>
    </w:p>
    <w:p w14:paraId="740B3204" w14:textId="255BF0E4"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
          <w:color w:val="000000" w:themeColor="text1"/>
          <w:kern w:val="0"/>
          <w:lang w:eastAsia="ru-RU" w:bidi="ar-SA"/>
        </w:rPr>
        <w:t>Норвежское правительство</w:t>
      </w:r>
      <w:r w:rsidRPr="00F0736F">
        <w:rPr>
          <w:rFonts w:ascii="Times New Roman" w:eastAsia="Times New Roman" w:hAnsi="Times New Roman" w:cs="Times New Roman"/>
          <w:color w:val="000000" w:themeColor="text1"/>
          <w:kern w:val="0"/>
          <w:lang w:eastAsia="ru-RU" w:bidi="ar-SA"/>
        </w:rPr>
        <w:t xml:space="preserve"> станет первой страной в мире с обязательствами против обезлесения. Правительство налагает требования</w:t>
      </w:r>
      <w:r w:rsidR="00361A21" w:rsidRPr="00F0736F">
        <w:rPr>
          <w:rFonts w:ascii="Times New Roman" w:eastAsia="Times New Roman" w:hAnsi="Times New Roman" w:cs="Times New Roman"/>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чтобы государственные закупки не поддерживали обезлесение тропических лесов</w:t>
      </w:r>
      <w:r w:rsidRPr="00F0736F">
        <w:rPr>
          <w:rStyle w:val="a4"/>
          <w:rFonts w:ascii="Times New Roman" w:eastAsia="Times New Roman" w:hAnsi="Times New Roman" w:cs="Times New Roman"/>
          <w:color w:val="000000" w:themeColor="text1"/>
          <w:kern w:val="0"/>
          <w:lang w:eastAsia="ru-RU" w:bidi="ar-SA"/>
        </w:rPr>
        <w:footnoteReference w:id="113"/>
      </w:r>
      <w:r w:rsidRPr="00F0736F">
        <w:rPr>
          <w:rFonts w:ascii="Times New Roman" w:eastAsia="Times New Roman" w:hAnsi="Times New Roman" w:cs="Times New Roman"/>
          <w:color w:val="000000" w:themeColor="text1"/>
          <w:kern w:val="0"/>
          <w:lang w:eastAsia="ru-RU" w:bidi="ar-SA"/>
        </w:rPr>
        <w:t xml:space="preserve">. Парламент и правительство больше не будут разрешать контракты какой-либо компании, которая вырубает и уничтожает леса. Многие продукты, которые широко используются во всем мире, связаны с вырубкой лесов: от тропической древесины и сои до пальмового масла. </w:t>
      </w:r>
    </w:p>
    <w:p w14:paraId="6C8AC214" w14:textId="77777777" w:rsidR="00F674A4" w:rsidRPr="00F0736F" w:rsidRDefault="00F674A4" w:rsidP="00B5230F">
      <w:pPr>
        <w:ind w:firstLine="709"/>
        <w:jc w:val="both"/>
        <w:rPr>
          <w:color w:val="000000" w:themeColor="text1"/>
        </w:rPr>
      </w:pPr>
      <w:r w:rsidRPr="00F0736F">
        <w:rPr>
          <w:rFonts w:ascii="Times New Roman" w:hAnsi="Times New Roman" w:cs="Times New Roman"/>
          <w:color w:val="000000" w:themeColor="text1"/>
        </w:rPr>
        <w:t>Норвежский фонд Rainforesне призвал и другие страны сделать то же самое, в частности Великобританию и Германию, с которыми норвежское правительство сделало совместное заявление на Саммите ООН по климату в Нью-Йорке в 2014 году. Эти три страны заявили, что они хотят «продвигать национальные обязательства, которые поощряют цепочки поставок без обезлесения, в том числе посредством госзакупок для обеспечения устойчивого снабжения такими товарами, как пальмовое масло, соя, говядина и древесина».</w:t>
      </w:r>
    </w:p>
    <w:p w14:paraId="22447892" w14:textId="3BF2C0EA"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i/>
          <w:iCs/>
          <w:color w:val="000000" w:themeColor="text1"/>
          <w:spacing w:val="2"/>
          <w:sz w:val="24"/>
          <w:lang w:eastAsia="ru-RU"/>
        </w:rPr>
        <w:t>Синтетическая биология: модификация окружающей среды</w:t>
      </w:r>
      <w:r w:rsidRPr="00F0736F">
        <w:rPr>
          <w:rStyle w:val="a4"/>
          <w:rFonts w:ascii="Times New Roman" w:eastAsia="Times New Roman" w:hAnsi="Times New Roman" w:cs="Times New Roman"/>
          <w:i/>
          <w:iCs/>
          <w:color w:val="000000" w:themeColor="text1"/>
          <w:spacing w:val="2"/>
          <w:lang w:eastAsia="ru-RU"/>
        </w:rPr>
        <w:footnoteReference w:id="114"/>
      </w:r>
    </w:p>
    <w:p w14:paraId="37D243E5" w14:textId="4E3EBE48" w:rsidR="00F674A4" w:rsidRPr="00F0736F" w:rsidRDefault="00F674A4" w:rsidP="00B5230F">
      <w:pPr>
        <w:ind w:firstLine="709"/>
        <w:jc w:val="both"/>
        <w:rPr>
          <w:color w:val="000000" w:themeColor="text1"/>
        </w:rPr>
      </w:pPr>
      <w:r w:rsidRPr="00F0736F">
        <w:rPr>
          <w:rStyle w:val="21"/>
          <w:rFonts w:ascii="Times New Roman" w:eastAsia="Times New Roman" w:hAnsi="Times New Roman" w:cs="Times New Roman"/>
          <w:color w:val="000000" w:themeColor="text1"/>
          <w:spacing w:val="2"/>
          <w:sz w:val="24"/>
          <w:lang w:eastAsia="ru-RU"/>
        </w:rPr>
        <w:t xml:space="preserve">Способность успешно вносить изменения в организмы на генетическом уровне взволновала, как ученых, так и население в целом. Технологии редактирования генома стремительно развиваются, принося многообещающие биологические и экологические выгоды, – от искоренения болезней человека до предотвращения вымирания видов. CRISPR-Cas9 – это новейший, самый быстрый инструмент в арсенале генетического редактирования, позволяющий необычайно точно манипулировать геномами. Однако способность создавать искусственную жизнь и изменять существующее ДНК влечет за собой </w:t>
      </w:r>
      <w:r w:rsidRPr="00F0736F">
        <w:rPr>
          <w:rStyle w:val="21"/>
          <w:rFonts w:ascii="Times New Roman" w:eastAsia="Times New Roman" w:hAnsi="Times New Roman" w:cs="Times New Roman"/>
          <w:b/>
          <w:bCs/>
          <w:color w:val="000000" w:themeColor="text1"/>
          <w:spacing w:val="2"/>
          <w:sz w:val="24"/>
          <w:lang w:eastAsia="ru-RU"/>
        </w:rPr>
        <w:t>риски перекрестного загрязнения и нежелательных последствий</w:t>
      </w:r>
      <w:r w:rsidRPr="00F0736F">
        <w:rPr>
          <w:rStyle w:val="21"/>
          <w:rFonts w:ascii="Times New Roman" w:eastAsia="Times New Roman" w:hAnsi="Times New Roman" w:cs="Times New Roman"/>
          <w:color w:val="000000" w:themeColor="text1"/>
          <w:spacing w:val="2"/>
          <w:sz w:val="24"/>
          <w:lang w:eastAsia="ru-RU"/>
        </w:rPr>
        <w:t xml:space="preserve">. Взлом исходного кода жизни может привести к столь масштабным последствиям, что руководящим органам необходимо сотрудничать и взаимодействовать для обеспечения безопасности исследований и разработок в этой области. Серьезным поводом для беспокойства о недостаточном регулировании сферы служит учащение случаев </w:t>
      </w:r>
      <w:r w:rsidR="00361A21" w:rsidRPr="00F0736F">
        <w:rPr>
          <w:rStyle w:val="21"/>
          <w:rFonts w:ascii="Times New Roman" w:eastAsia="Times New Roman" w:hAnsi="Times New Roman" w:cs="Times New Roman"/>
          <w:color w:val="000000" w:themeColor="text1"/>
          <w:spacing w:val="2"/>
          <w:sz w:val="24"/>
          <w:lang w:eastAsia="ru-RU"/>
        </w:rPr>
        <w:t>«</w:t>
      </w:r>
      <w:r w:rsidRPr="00F0736F">
        <w:rPr>
          <w:rStyle w:val="21"/>
          <w:rFonts w:ascii="Times New Roman" w:eastAsia="Times New Roman" w:hAnsi="Times New Roman" w:cs="Times New Roman"/>
          <w:color w:val="000000" w:themeColor="text1"/>
          <w:spacing w:val="2"/>
          <w:sz w:val="24"/>
          <w:lang w:eastAsia="ru-RU"/>
        </w:rPr>
        <w:t>самодельного</w:t>
      </w:r>
      <w:r w:rsidR="00361A21" w:rsidRPr="00F0736F">
        <w:rPr>
          <w:rStyle w:val="21"/>
          <w:rFonts w:ascii="Times New Roman" w:eastAsia="Times New Roman" w:hAnsi="Times New Roman" w:cs="Times New Roman"/>
          <w:color w:val="000000" w:themeColor="text1"/>
          <w:spacing w:val="2"/>
          <w:sz w:val="24"/>
          <w:lang w:eastAsia="ru-RU"/>
        </w:rPr>
        <w:t>»</w:t>
      </w:r>
      <w:r w:rsidRPr="00F0736F">
        <w:rPr>
          <w:rStyle w:val="21"/>
          <w:rFonts w:ascii="Times New Roman" w:eastAsia="Times New Roman" w:hAnsi="Times New Roman" w:cs="Times New Roman"/>
          <w:color w:val="000000" w:themeColor="text1"/>
          <w:spacing w:val="2"/>
          <w:sz w:val="24"/>
          <w:lang w:eastAsia="ru-RU"/>
        </w:rPr>
        <w:t xml:space="preserve"> биохакинга, а также повышение рисков ненамеренного выпуска генетически модифицированных организмов в окружающую среду. В этой захватывающей главе рассматривается множество вызовов и преимуществ синтетической биологии.</w:t>
      </w:r>
    </w:p>
    <w:p w14:paraId="18836D47" w14:textId="5816BE26" w:rsidR="00F674A4" w:rsidRPr="00F0736F" w:rsidRDefault="00F674A4" w:rsidP="008727D9">
      <w:pPr>
        <w:ind w:firstLine="709"/>
        <w:jc w:val="both"/>
        <w:rPr>
          <w:color w:val="000000" w:themeColor="text1"/>
        </w:rPr>
      </w:pPr>
      <w:r w:rsidRPr="00F0736F">
        <w:rPr>
          <w:rFonts w:ascii="Times New Roman" w:hAnsi="Times New Roman" w:cs="Times New Roman"/>
          <w:i/>
          <w:iCs/>
          <w:color w:val="000000" w:themeColor="text1"/>
        </w:rPr>
        <w:t>Компенсационный механизм (</w:t>
      </w:r>
      <w:r w:rsidRPr="00F0736F">
        <w:rPr>
          <w:rFonts w:ascii="Times New Roman" w:hAnsi="Times New Roman" w:cs="Times New Roman"/>
          <w:i/>
          <w:iCs/>
          <w:color w:val="000000" w:themeColor="text1"/>
          <w:lang w:val="en-US"/>
        </w:rPr>
        <w:t>biodiversity</w:t>
      </w:r>
      <w:r w:rsidRPr="00F0736F">
        <w:rPr>
          <w:rFonts w:ascii="Times New Roman" w:hAnsi="Times New Roman" w:cs="Times New Roman"/>
          <w:i/>
          <w:iCs/>
          <w:color w:val="000000" w:themeColor="text1"/>
        </w:rPr>
        <w:t xml:space="preserve"> </w:t>
      </w:r>
      <w:r w:rsidRPr="00F0736F">
        <w:rPr>
          <w:rFonts w:ascii="Times New Roman" w:hAnsi="Times New Roman" w:cs="Times New Roman"/>
          <w:i/>
          <w:iCs/>
          <w:color w:val="000000" w:themeColor="text1"/>
          <w:lang w:val="en-US"/>
        </w:rPr>
        <w:t>offsets</w:t>
      </w:r>
      <w:r w:rsidRPr="00F0736F">
        <w:rPr>
          <w:rFonts w:ascii="Times New Roman" w:hAnsi="Times New Roman" w:cs="Times New Roman"/>
          <w:i/>
          <w:iCs/>
          <w:color w:val="000000" w:themeColor="text1"/>
        </w:rPr>
        <w:t>) сохранения биоразнообразия</w:t>
      </w:r>
    </w:p>
    <w:p w14:paraId="0504026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Не единым, но признанным в мировом сообществе и рекомендуемым ОЭСР решением для сохранения природной среды, является компенсации за биоразнообразие (biodiversity offsets), основанные на Международных стандартах к проектам по обеспечению экологической и социальной устойчивости (Стандарт деятельности 6: Сохранение биоразнообразия и устойчивое управление живыми природными ресурсами»).</w:t>
      </w:r>
    </w:p>
    <w:p w14:paraId="05DCF97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Планирование данного механизма необходимо на начальном этапе разработки проектов по добыче нефти и газа. При этом подготовка компенсационных мер должна закрепляться научными обоснованиями, наблюдениями, подготовленными учеными (ботаники, почвоведы, узкие специалисты по видам животных и птиц).</w:t>
      </w:r>
    </w:p>
    <w:p w14:paraId="095A3D9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Целью механизма компенсации является обеспечение адекватного возмещения потери биологического разнообразия и экосистем и принятие мер по предотвращению и восстановлению их потерь. Одним из основных принципов компенсационного механизма является соблюдение иерархического принципа, как указано ниже:</w:t>
      </w:r>
    </w:p>
    <w:p w14:paraId="65F9A604" w14:textId="77777777" w:rsidR="00F674A4" w:rsidRPr="00F0736F" w:rsidRDefault="00F674A4" w:rsidP="00361A21">
      <w:pPr>
        <w:numPr>
          <w:ilvl w:val="0"/>
          <w:numId w:val="6"/>
        </w:numPr>
        <w:tabs>
          <w:tab w:val="left" w:pos="993"/>
        </w:tabs>
        <w:ind w:left="0" w:firstLine="709"/>
        <w:jc w:val="both"/>
        <w:rPr>
          <w:color w:val="000000" w:themeColor="text1"/>
        </w:rPr>
      </w:pPr>
      <w:r w:rsidRPr="00F0736F">
        <w:rPr>
          <w:rFonts w:ascii="Times New Roman" w:hAnsi="Times New Roman" w:cs="Times New Roman"/>
          <w:color w:val="000000" w:themeColor="text1"/>
        </w:rPr>
        <w:t>предотвращение потери: принятие мер, направленных на то, чтобы с самых первых этапов реализации проектного цикла избежать любые воздействия на компоненты биоразнообразия;</w:t>
      </w:r>
    </w:p>
    <w:p w14:paraId="3562D154" w14:textId="77777777" w:rsidR="00F674A4" w:rsidRPr="00F0736F" w:rsidRDefault="00F674A4" w:rsidP="00361A21">
      <w:pPr>
        <w:numPr>
          <w:ilvl w:val="0"/>
          <w:numId w:val="6"/>
        </w:numPr>
        <w:tabs>
          <w:tab w:val="left" w:pos="993"/>
        </w:tabs>
        <w:ind w:left="0" w:firstLine="709"/>
        <w:jc w:val="both"/>
        <w:rPr>
          <w:color w:val="000000" w:themeColor="text1"/>
        </w:rPr>
      </w:pPr>
      <w:r w:rsidRPr="00F0736F">
        <w:rPr>
          <w:rFonts w:ascii="Times New Roman" w:hAnsi="Times New Roman" w:cs="Times New Roman"/>
          <w:color w:val="000000" w:themeColor="text1"/>
        </w:rPr>
        <w:t>минимизация потери: принятие мер по сокращению продолжительности, интенсивности и/или степени воздействий (и прямых, и косвенных), которые не удается избежать;</w:t>
      </w:r>
    </w:p>
    <w:p w14:paraId="2B05503E" w14:textId="77777777" w:rsidR="00F674A4" w:rsidRPr="00F0736F" w:rsidRDefault="00F674A4" w:rsidP="00361A21">
      <w:pPr>
        <w:numPr>
          <w:ilvl w:val="0"/>
          <w:numId w:val="6"/>
        </w:numPr>
        <w:tabs>
          <w:tab w:val="left" w:pos="993"/>
        </w:tabs>
        <w:ind w:left="0" w:firstLine="709"/>
        <w:jc w:val="both"/>
        <w:rPr>
          <w:color w:val="000000" w:themeColor="text1"/>
        </w:rPr>
      </w:pPr>
      <w:r w:rsidRPr="00F0736F">
        <w:rPr>
          <w:rFonts w:ascii="Times New Roman" w:hAnsi="Times New Roman" w:cs="Times New Roman"/>
          <w:color w:val="000000" w:themeColor="text1"/>
        </w:rPr>
        <w:t>смягчение потери (восстановление): принятие мер по восстановлению деградированных или уничтоженных экосистем после принятия мер по смягчению воздействий, которых невозможно полностью избежать или свести к минимуму;</w:t>
      </w:r>
    </w:p>
    <w:p w14:paraId="05E4345E" w14:textId="77777777" w:rsidR="00F674A4" w:rsidRPr="00F0736F" w:rsidRDefault="00F674A4" w:rsidP="00361A21">
      <w:pPr>
        <w:numPr>
          <w:ilvl w:val="0"/>
          <w:numId w:val="6"/>
        </w:numPr>
        <w:tabs>
          <w:tab w:val="left" w:pos="993"/>
        </w:tabs>
        <w:ind w:left="0" w:firstLine="709"/>
        <w:jc w:val="both"/>
        <w:rPr>
          <w:color w:val="000000" w:themeColor="text1"/>
        </w:rPr>
      </w:pPr>
      <w:r w:rsidRPr="00F0736F">
        <w:rPr>
          <w:rFonts w:ascii="Times New Roman" w:hAnsi="Times New Roman" w:cs="Times New Roman"/>
          <w:color w:val="000000" w:themeColor="text1"/>
        </w:rPr>
        <w:t>компенсация потери: меры по компенсации любых остаточных неблагоприятных воздействий, последствия которых нельзя избежать, свести к минимуму и/или реабилитировать в целях достижения «общих нулевых потерь» или «общего положительного воздействия» на биоразнообразие. Компенсирующие мероприятия могут быть реализованы в районах, где происходит или прогнозируется потеря биоразнообразия, в виде восстановления деградированных местообитаний, прекращения процессов деградации или снижения иных рисков, а также создания особо охраняемых природных территорий.</w:t>
      </w:r>
    </w:p>
    <w:p w14:paraId="1EB9A57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международном природоохранном сообществе идея и практика создания объектов, компенсирующих утрату биоразнообразия (biodiversity offsets), до сих пор вызывают множество споров. Основные опасения связаны с тем, что контролирующие природоохранные органы могут принять за правило выдачу разрешений на реализацию проектов, оказывающих необратимое воздействие на состояние биоразнообразия, коль скоро при обосновании таких проектов предлагается создать компенсирующие утрату разнообразия объекты, «благословляя» тем самым оказание производственными компаниями любых воздействий в районах проектной деятельности, если эти компании гарантируют создание компенсирующих объектов в других районах.</w:t>
      </w:r>
    </w:p>
    <w:p w14:paraId="530D52E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Примеры:</w:t>
      </w:r>
    </w:p>
    <w:p w14:paraId="4131E96B"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Россия.</w:t>
      </w:r>
      <w:r w:rsidRPr="00F0736F">
        <w:rPr>
          <w:rFonts w:ascii="Times New Roman" w:hAnsi="Times New Roman" w:cs="Times New Roman"/>
          <w:color w:val="000000" w:themeColor="text1"/>
        </w:rPr>
        <w:t xml:space="preserve"> Одним из примеров компенсации является создание ООПТ «Бурейский» площадью 132 000 га на базе двух действующих заказников и территории вокруг будущего водохранилища в Амурской области Российской Федерации, в качестве компенсации за биоразнообразие при строительстве Нижне-Бурейской ГЭС. Для строительства ГЭС необходимо было затопить территорию около 15 000 га, которая являлась местом обитания животных, птиц и растений. Для сохранения биоразнообразия данной территории были проведены мероприятия по строительству подкормочных комплексов, опор для гнездований и пересадка растений на территории созданного природного парка «Бурейский». Таким образом, совокупность мероприятий позволила сохранить биоразнообразие данной территории и в то же время построить ГЭС. </w:t>
      </w:r>
    </w:p>
    <w:p w14:paraId="32D479A0" w14:textId="77777777" w:rsidR="00F674A4" w:rsidRPr="00F0736F" w:rsidRDefault="00F674A4" w:rsidP="008727D9">
      <w:pPr>
        <w:ind w:firstLine="709"/>
        <w:jc w:val="both"/>
        <w:rPr>
          <w:color w:val="000000" w:themeColor="text1"/>
        </w:rPr>
      </w:pPr>
      <w:r w:rsidRPr="00F0736F">
        <w:rPr>
          <w:rFonts w:ascii="Times New Roman" w:hAnsi="Times New Roman" w:cs="Times New Roman"/>
          <w:b/>
          <w:color w:val="000000" w:themeColor="text1"/>
        </w:rPr>
        <w:t>Мадагаскар.</w:t>
      </w:r>
      <w:r w:rsidRPr="00F0736F">
        <w:rPr>
          <w:rFonts w:ascii="Times New Roman" w:hAnsi="Times New Roman" w:cs="Times New Roman"/>
          <w:color w:val="000000" w:themeColor="text1"/>
        </w:rPr>
        <w:t xml:space="preserve"> Одним из примеров является разработка месторождения ильменита (ilmenite) в Мадагаскаре на руднике Rio Tinto. Негативным воздействием на биоразнообразие являлась потеря около 1,665 га литорального леса (3,5% от общей среды обитания литоральных лесов Мадагаскара). Для компенсации потерь лесного биоразнообразия Rio Tinto было высажено около 6 000 га литоральных и нелиторальных лесов.</w:t>
      </w:r>
    </w:p>
    <w:p w14:paraId="1C4ABB1B" w14:textId="5ED6174C" w:rsidR="00F674A4" w:rsidRPr="00F0736F" w:rsidRDefault="00F674A4" w:rsidP="00361A21">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Канада.</w:t>
      </w:r>
      <w:r w:rsidRPr="00F0736F">
        <w:rPr>
          <w:rFonts w:ascii="Times New Roman" w:hAnsi="Times New Roman" w:cs="Times New Roman"/>
          <w:color w:val="000000" w:themeColor="text1"/>
        </w:rPr>
        <w:t xml:space="preserve"> Механизм компенсации – создание экологического фонда и переселение ключевых видов. Компания Terasen должна была осуществить расширение газопровода Trans Mountain в целях роста экспорта на международные рынки, а также в Восточную Канаду и Северную Америку. Но данный газопровод проходил через территории двух ООПТ - Национальный парк Jasper и Парка штата Mount Robsen, которые входят в список объектов всемирного наследия ЮНЕСКО. Была поставлена цель - достижение нулевых потерь и прироста биоразнообразия. В ходе расширения газопровода были предприняты меры по защите чувствительных мест обитания редких растений и сообществ, диких животных, лесных массивов, а также меры по снижению уровня шума. Компания взяла на себя обязательства в</w:t>
      </w:r>
      <w:r w:rsidR="00361A21"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течении пяти лет по завершению проекта проводить мониторинг за состоянием экосистем и биоразнообразия территорий, затронутых при расширении газопровода. Компанией также была проведена комплексная экологическая оценка влияния проекта по расширению газопровода</w:t>
      </w:r>
      <w:r w:rsidR="00361A21" w:rsidRPr="00F0736F">
        <w:rPr>
          <w:rFonts w:ascii="Times New Roman" w:hAnsi="Times New Roman" w:cs="Times New Roman"/>
          <w:color w:val="000000" w:themeColor="text1"/>
        </w:rPr>
        <w:t>.</w:t>
      </w:r>
    </w:p>
    <w:p w14:paraId="79F8B553" w14:textId="2A57C21A" w:rsidR="00F674A4" w:rsidRPr="00F0736F" w:rsidRDefault="00F674A4" w:rsidP="007963DC">
      <w:pPr>
        <w:ind w:firstLine="709"/>
        <w:jc w:val="both"/>
        <w:rPr>
          <w:color w:val="000000" w:themeColor="text1"/>
        </w:rPr>
      </w:pPr>
      <w:r w:rsidRPr="00F0736F">
        <w:rPr>
          <w:rFonts w:ascii="Times New Roman" w:hAnsi="Times New Roman" w:cs="Times New Roman"/>
          <w:color w:val="000000" w:themeColor="text1"/>
        </w:rPr>
        <w:t>Сумма компенсации составила 3 млн. долл</w:t>
      </w:r>
      <w:r w:rsidR="00361A21" w:rsidRPr="00F0736F">
        <w:rPr>
          <w:rFonts w:ascii="Times New Roman" w:hAnsi="Times New Roman" w:cs="Times New Roman"/>
          <w:color w:val="000000" w:themeColor="text1"/>
        </w:rPr>
        <w:t>. США</w:t>
      </w:r>
      <w:r w:rsidRPr="00F0736F">
        <w:rPr>
          <w:rFonts w:ascii="Times New Roman" w:hAnsi="Times New Roman" w:cs="Times New Roman"/>
          <w:color w:val="000000" w:themeColor="text1"/>
        </w:rPr>
        <w:t xml:space="preserve">, из которых 2,3 млн. </w:t>
      </w:r>
      <w:r w:rsidR="00361A21" w:rsidRPr="00F0736F">
        <w:rPr>
          <w:rFonts w:ascii="Times New Roman" w:hAnsi="Times New Roman" w:cs="Times New Roman"/>
          <w:color w:val="000000" w:themeColor="text1"/>
        </w:rPr>
        <w:t>долл. США</w:t>
      </w:r>
      <w:r w:rsidRPr="00F0736F">
        <w:rPr>
          <w:rFonts w:ascii="Times New Roman" w:hAnsi="Times New Roman" w:cs="Times New Roman"/>
          <w:color w:val="000000" w:themeColor="text1"/>
        </w:rPr>
        <w:t xml:space="preserve"> были затрачены на создание экологического фонда, который назвали Фонд наследия Trans Mountain. Фонд наследия Trans Mountain ежегодно успешно проводит природоохранные мероприятия и исследования на территориях двух парков.</w:t>
      </w:r>
    </w:p>
    <w:p w14:paraId="55512C09" w14:textId="4B8EABA1" w:rsidR="007963DC" w:rsidRPr="00F0736F" w:rsidRDefault="00313758" w:rsidP="007963DC">
      <w:pPr>
        <w:ind w:firstLine="709"/>
        <w:jc w:val="both"/>
        <w:rPr>
          <w:rFonts w:ascii="Times New Roman" w:eastAsia="Calibri" w:hAnsi="Times New Roman" w:cs="Times New Roman"/>
          <w:color w:val="000000" w:themeColor="text1"/>
          <w:u w:val="single"/>
        </w:rPr>
      </w:pPr>
      <w:r w:rsidRPr="00F0736F">
        <w:rPr>
          <w:rFonts w:ascii="Times New Roman" w:eastAsia="Calibri" w:hAnsi="Times New Roman" w:cs="Times New Roman"/>
          <w:color w:val="000000" w:themeColor="text1"/>
        </w:rPr>
        <w:t>В</w:t>
      </w:r>
      <w:r w:rsidR="007963DC" w:rsidRPr="00F0736F">
        <w:rPr>
          <w:rFonts w:ascii="Times New Roman" w:eastAsia="Calibri" w:hAnsi="Times New Roman" w:cs="Times New Roman"/>
          <w:color w:val="000000" w:themeColor="text1"/>
        </w:rPr>
        <w:t xml:space="preserve"> связи с отсутствуем утвержденно</w:t>
      </w:r>
      <w:r w:rsidR="00442D9D" w:rsidRPr="00F0736F">
        <w:rPr>
          <w:rFonts w:ascii="Times New Roman" w:eastAsia="Calibri" w:hAnsi="Times New Roman" w:cs="Times New Roman"/>
          <w:color w:val="000000" w:themeColor="text1"/>
        </w:rPr>
        <w:t xml:space="preserve">ой </w:t>
      </w:r>
      <w:r w:rsidR="007963DC" w:rsidRPr="00F0736F">
        <w:rPr>
          <w:rFonts w:ascii="Times New Roman" w:eastAsia="Calibri" w:hAnsi="Times New Roman" w:cs="Times New Roman"/>
          <w:color w:val="000000" w:themeColor="text1"/>
          <w:u w:val="single"/>
        </w:rPr>
        <w:t>Национальн</w:t>
      </w:r>
      <w:r w:rsidR="00442D9D" w:rsidRPr="00F0736F">
        <w:rPr>
          <w:rFonts w:ascii="Times New Roman" w:eastAsia="Calibri" w:hAnsi="Times New Roman" w:cs="Times New Roman"/>
          <w:color w:val="000000" w:themeColor="text1"/>
          <w:u w:val="single"/>
        </w:rPr>
        <w:t>ой</w:t>
      </w:r>
      <w:r w:rsidR="007963DC" w:rsidRPr="00F0736F">
        <w:rPr>
          <w:rFonts w:ascii="Times New Roman" w:eastAsia="Calibri" w:hAnsi="Times New Roman" w:cs="Times New Roman"/>
          <w:color w:val="000000" w:themeColor="text1"/>
          <w:u w:val="single"/>
        </w:rPr>
        <w:t xml:space="preserve"> стратеги</w:t>
      </w:r>
      <w:r w:rsidR="00361A21" w:rsidRPr="00F0736F">
        <w:rPr>
          <w:rFonts w:ascii="Times New Roman" w:eastAsia="Calibri" w:hAnsi="Times New Roman" w:cs="Times New Roman"/>
          <w:color w:val="000000" w:themeColor="text1"/>
          <w:u w:val="single"/>
        </w:rPr>
        <w:t>и</w:t>
      </w:r>
      <w:r w:rsidR="007963DC" w:rsidRPr="00F0736F">
        <w:rPr>
          <w:rFonts w:ascii="Times New Roman" w:eastAsia="Calibri" w:hAnsi="Times New Roman" w:cs="Times New Roman"/>
          <w:color w:val="000000" w:themeColor="text1"/>
          <w:u w:val="single"/>
        </w:rPr>
        <w:t xml:space="preserve"> и плана действий по сохранению биоразнообразия (</w:t>
      </w:r>
      <w:r w:rsidR="007963DC" w:rsidRPr="00F0736F">
        <w:rPr>
          <w:rFonts w:ascii="Times New Roman" w:eastAsia="Calibri" w:hAnsi="Times New Roman" w:cs="Times New Roman"/>
          <w:color w:val="000000" w:themeColor="text1"/>
        </w:rPr>
        <w:t>НСПДСБ) Казахстан не обладает действующими стратегическими инструментами, в которых основное внимание уделялось бы вопросам сохранения биоразнообразия или развития сети особо охраняемых природных территорий. Согласно статье 6 КБР</w:t>
      </w:r>
      <w:r w:rsidR="00442D9D" w:rsidRPr="00F0736F">
        <w:rPr>
          <w:rFonts w:ascii="Times New Roman" w:eastAsia="Calibri" w:hAnsi="Times New Roman" w:cs="Times New Roman"/>
          <w:color w:val="000000" w:themeColor="text1"/>
        </w:rPr>
        <w:t>,</w:t>
      </w:r>
      <w:r w:rsidR="007963DC" w:rsidRPr="00F0736F">
        <w:rPr>
          <w:rFonts w:ascii="Times New Roman" w:eastAsia="Calibri" w:hAnsi="Times New Roman" w:cs="Times New Roman"/>
          <w:color w:val="000000" w:themeColor="text1"/>
        </w:rPr>
        <w:t xml:space="preserve"> требуется, чтобы каждая сторона разработала национальные стратегии, планы или программы по сохранению и сбалансированному использованию биоразнообразия. Принятая в Айти целевая задача №</w:t>
      </w:r>
      <w:r w:rsidR="00325153" w:rsidRPr="00F0736F">
        <w:rPr>
          <w:rFonts w:ascii="Times New Roman" w:eastAsia="Calibri" w:hAnsi="Times New Roman" w:cs="Times New Roman"/>
          <w:color w:val="000000" w:themeColor="text1"/>
        </w:rPr>
        <w:t xml:space="preserve"> </w:t>
      </w:r>
      <w:r w:rsidR="007963DC" w:rsidRPr="00F0736F">
        <w:rPr>
          <w:rFonts w:ascii="Times New Roman" w:eastAsia="Calibri" w:hAnsi="Times New Roman" w:cs="Times New Roman"/>
          <w:color w:val="000000" w:themeColor="text1"/>
        </w:rPr>
        <w:t>17 Стратегического плана КБР на 2011–2020 г</w:t>
      </w:r>
      <w:r w:rsidR="00325153" w:rsidRPr="00F0736F">
        <w:rPr>
          <w:rFonts w:ascii="Times New Roman" w:eastAsia="Calibri" w:hAnsi="Times New Roman" w:cs="Times New Roman"/>
          <w:color w:val="000000" w:themeColor="text1"/>
        </w:rPr>
        <w:t>оды</w:t>
      </w:r>
      <w:r w:rsidR="00442D9D" w:rsidRPr="00F0736F">
        <w:rPr>
          <w:rFonts w:ascii="Times New Roman" w:eastAsia="Calibri" w:hAnsi="Times New Roman" w:cs="Times New Roman"/>
          <w:color w:val="000000" w:themeColor="text1"/>
        </w:rPr>
        <w:t xml:space="preserve"> </w:t>
      </w:r>
      <w:r w:rsidR="007963DC" w:rsidRPr="00F0736F">
        <w:rPr>
          <w:rFonts w:ascii="Times New Roman" w:eastAsia="Calibri" w:hAnsi="Times New Roman" w:cs="Times New Roman"/>
          <w:color w:val="000000" w:themeColor="text1"/>
        </w:rPr>
        <w:t>гласит: «К 2015 г</w:t>
      </w:r>
      <w:r w:rsidR="00325153" w:rsidRPr="00F0736F">
        <w:rPr>
          <w:rFonts w:ascii="Times New Roman" w:eastAsia="Calibri" w:hAnsi="Times New Roman" w:cs="Times New Roman"/>
          <w:color w:val="000000" w:themeColor="text1"/>
        </w:rPr>
        <w:t>оду</w:t>
      </w:r>
      <w:r w:rsidR="007963DC" w:rsidRPr="00F0736F">
        <w:rPr>
          <w:rFonts w:ascii="Times New Roman" w:eastAsia="Calibri" w:hAnsi="Times New Roman" w:cs="Times New Roman"/>
          <w:color w:val="000000" w:themeColor="text1"/>
        </w:rPr>
        <w:t xml:space="preserve"> каждая Сторона разработала и приняла в качестве политического инструмента эффективную, совместную и обновленную национальную стратегию и план действий и приступила к их реализации». Соблюдение указанных выше базовых требований КБР будет в целом способствовать выполнению Казахстаном международных обязательств, в т.ч. Задач</w:t>
      </w:r>
      <w:r w:rsidR="00442D9D" w:rsidRPr="00F0736F">
        <w:rPr>
          <w:rFonts w:ascii="Times New Roman" w:eastAsia="Calibri" w:hAnsi="Times New Roman" w:cs="Times New Roman"/>
          <w:color w:val="000000" w:themeColor="text1"/>
        </w:rPr>
        <w:t xml:space="preserve"> </w:t>
      </w:r>
      <w:r w:rsidR="007963DC" w:rsidRPr="00F0736F">
        <w:rPr>
          <w:rFonts w:ascii="Times New Roman" w:eastAsia="Calibri" w:hAnsi="Times New Roman" w:cs="Times New Roman"/>
          <w:color w:val="000000" w:themeColor="text1"/>
        </w:rPr>
        <w:t>11.4 и 15.5 Повестки дня в области устойчивого развития на период до 2030 г</w:t>
      </w:r>
      <w:r w:rsidR="002E7E22" w:rsidRPr="00F0736F">
        <w:rPr>
          <w:rFonts w:ascii="Times New Roman" w:eastAsia="Calibri" w:hAnsi="Times New Roman" w:cs="Times New Roman"/>
          <w:color w:val="000000" w:themeColor="text1"/>
        </w:rPr>
        <w:t>ода</w:t>
      </w:r>
      <w:r w:rsidR="007963DC" w:rsidRPr="00F0736F">
        <w:rPr>
          <w:rFonts w:ascii="Times New Roman" w:eastAsia="Calibri" w:hAnsi="Times New Roman" w:cs="Times New Roman"/>
          <w:color w:val="000000" w:themeColor="text1"/>
        </w:rPr>
        <w:t>. В связи с чем</w:t>
      </w:r>
      <w:r w:rsidR="007963DC" w:rsidRPr="00F0736F">
        <w:rPr>
          <w:rFonts w:ascii="Times New Roman" w:eastAsia="Calibri" w:hAnsi="Times New Roman" w:cs="Times New Roman"/>
          <w:i/>
          <w:iCs/>
          <w:color w:val="000000" w:themeColor="text1"/>
        </w:rPr>
        <w:t xml:space="preserve"> следует: </w:t>
      </w:r>
    </w:p>
    <w:p w14:paraId="26132AEA" w14:textId="72B72A7A" w:rsidR="007963DC" w:rsidRPr="00F0736F" w:rsidRDefault="002E7E22" w:rsidP="007963DC">
      <w:pPr>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р</w:t>
      </w:r>
      <w:r w:rsidR="007963DC" w:rsidRPr="00F0736F">
        <w:rPr>
          <w:rFonts w:ascii="Times New Roman" w:hAnsi="Times New Roman" w:cs="Times New Roman"/>
          <w:i/>
          <w:color w:val="000000" w:themeColor="text1"/>
        </w:rPr>
        <w:t xml:space="preserve">азработать, принять и приступить к осуществлению эффективной, совместной и обновленной национальной стратегии и плана действий </w:t>
      </w:r>
      <w:r w:rsidR="007963DC" w:rsidRPr="00F0736F">
        <w:rPr>
          <w:rFonts w:ascii="Times New Roman" w:eastAsia="Calibri" w:hAnsi="Times New Roman" w:cs="Times New Roman"/>
          <w:i/>
          <w:color w:val="000000" w:themeColor="text1"/>
        </w:rPr>
        <w:t>по сохранению биоразнообразия</w:t>
      </w:r>
      <w:r w:rsidR="007963DC" w:rsidRPr="00F0736F">
        <w:rPr>
          <w:rFonts w:ascii="Times New Roman" w:hAnsi="Times New Roman" w:cs="Times New Roman"/>
          <w:i/>
          <w:color w:val="000000" w:themeColor="text1"/>
        </w:rPr>
        <w:t>, в должной мере учитывая действующие стратегические планы КБР и соответствующие программы работы;</w:t>
      </w:r>
    </w:p>
    <w:p w14:paraId="48621E16" w14:textId="57EAF774" w:rsidR="007963DC" w:rsidRPr="00F0736F" w:rsidRDefault="002E7E22" w:rsidP="007963DC">
      <w:pPr>
        <w:ind w:firstLine="709"/>
        <w:jc w:val="both"/>
        <w:rPr>
          <w:rFonts w:ascii="Times New Roman" w:eastAsia="Calibri" w:hAnsi="Times New Roman" w:cs="Times New Roman"/>
          <w:i/>
          <w:iCs/>
          <w:color w:val="000000" w:themeColor="text1"/>
        </w:rPr>
      </w:pPr>
      <w:r w:rsidRPr="00F0736F">
        <w:rPr>
          <w:rFonts w:ascii="Times New Roman" w:eastAsia="Calibri" w:hAnsi="Times New Roman" w:cs="Times New Roman"/>
          <w:i/>
          <w:iCs/>
          <w:color w:val="000000" w:themeColor="text1"/>
        </w:rPr>
        <w:t>р</w:t>
      </w:r>
      <w:r w:rsidR="007963DC" w:rsidRPr="00F0736F">
        <w:rPr>
          <w:rFonts w:ascii="Times New Roman" w:hAnsi="Times New Roman" w:cs="Times New Roman"/>
          <w:i/>
          <w:color w:val="000000" w:themeColor="text1"/>
        </w:rPr>
        <w:t xml:space="preserve">азработать, принять и приступить к осуществлению </w:t>
      </w:r>
      <w:r w:rsidR="007963DC" w:rsidRPr="00F0736F">
        <w:rPr>
          <w:rFonts w:ascii="Times New Roman" w:eastAsia="Calibri" w:hAnsi="Times New Roman" w:cs="Times New Roman"/>
          <w:i/>
          <w:iCs/>
          <w:color w:val="000000" w:themeColor="text1"/>
        </w:rPr>
        <w:t>планов действий и (или) программ по сохранению экосистем и биологических видов;</w:t>
      </w:r>
    </w:p>
    <w:p w14:paraId="77290BFA" w14:textId="02B06CF3" w:rsidR="007963DC" w:rsidRPr="00F0736F" w:rsidRDefault="002E7E22" w:rsidP="007963DC">
      <w:pPr>
        <w:ind w:firstLine="709"/>
        <w:jc w:val="both"/>
        <w:rPr>
          <w:rFonts w:ascii="Times New Roman" w:eastAsia="Calibri" w:hAnsi="Times New Roman" w:cs="Times New Roman"/>
          <w:i/>
          <w:iCs/>
          <w:color w:val="000000" w:themeColor="text1"/>
        </w:rPr>
      </w:pPr>
      <w:r w:rsidRPr="00F0736F">
        <w:rPr>
          <w:rFonts w:ascii="Times New Roman" w:eastAsia="Calibri" w:hAnsi="Times New Roman" w:cs="Times New Roman"/>
          <w:i/>
          <w:iCs/>
          <w:color w:val="000000" w:themeColor="text1"/>
        </w:rPr>
        <w:t>п</w:t>
      </w:r>
      <w:r w:rsidR="007963DC" w:rsidRPr="00F0736F">
        <w:rPr>
          <w:rFonts w:ascii="Times New Roman" w:eastAsia="Calibri" w:hAnsi="Times New Roman" w:cs="Times New Roman"/>
          <w:i/>
          <w:iCs/>
          <w:color w:val="000000" w:themeColor="text1"/>
        </w:rPr>
        <w:t>ривлечь достаточные ресурсы, чтобы обеспечить реализацию таких планов действий в долгосрочной перспективе.</w:t>
      </w:r>
      <w:r w:rsidR="007963DC" w:rsidRPr="00F0736F">
        <w:rPr>
          <w:rStyle w:val="a4"/>
          <w:rFonts w:ascii="Times New Roman" w:eastAsia="Calibri" w:hAnsi="Times New Roman" w:cs="Times New Roman"/>
          <w:i/>
          <w:iCs/>
          <w:color w:val="000000" w:themeColor="text1"/>
        </w:rPr>
        <w:footnoteReference w:id="115"/>
      </w:r>
    </w:p>
    <w:p w14:paraId="7CBD7BCA" w14:textId="77777777" w:rsidR="00F674A4" w:rsidRPr="00F0736F" w:rsidRDefault="00F674A4" w:rsidP="008727D9">
      <w:pPr>
        <w:ind w:firstLine="709"/>
        <w:jc w:val="both"/>
        <w:rPr>
          <w:rFonts w:ascii="Times New Roman" w:hAnsi="Times New Roman" w:cs="Times New Roman"/>
          <w:color w:val="000000" w:themeColor="text1"/>
        </w:rPr>
      </w:pPr>
    </w:p>
    <w:p w14:paraId="0C42EBE6" w14:textId="577F5284" w:rsidR="00F674A4" w:rsidRPr="00F0736F" w:rsidRDefault="00F674A4" w:rsidP="008727D9">
      <w:pPr>
        <w:ind w:firstLine="709"/>
        <w:jc w:val="both"/>
        <w:rPr>
          <w:color w:val="000000" w:themeColor="text1"/>
        </w:rPr>
      </w:pPr>
      <w:r w:rsidRPr="00F0736F">
        <w:rPr>
          <w:rStyle w:val="21"/>
          <w:rFonts w:ascii="Times New Roman" w:hAnsi="Times New Roman" w:cs="Times New Roman"/>
          <w:b/>
          <w:bCs/>
          <w:color w:val="000000" w:themeColor="text1"/>
          <w:sz w:val="24"/>
        </w:rPr>
        <w:t>Проблемы достижения ЦУР</w:t>
      </w:r>
    </w:p>
    <w:p w14:paraId="7E607F3D" w14:textId="2A8AB6F1"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Сохранения биоразнообразия непосредственно касаются цели 14 и 15 Повестки дня в области устойчивого развития на период до 2030 г</w:t>
      </w:r>
      <w:r w:rsidR="002E7E22" w:rsidRPr="00F0736F">
        <w:rPr>
          <w:rStyle w:val="21"/>
          <w:rFonts w:ascii="Times New Roman" w:hAnsi="Times New Roman" w:cs="Times New Roman"/>
          <w:color w:val="000000" w:themeColor="text1"/>
          <w:sz w:val="24"/>
        </w:rPr>
        <w:t>ода</w:t>
      </w:r>
      <w:r w:rsidRPr="00F0736F">
        <w:rPr>
          <w:rStyle w:val="21"/>
          <w:rFonts w:ascii="Times New Roman" w:hAnsi="Times New Roman" w:cs="Times New Roman"/>
          <w:color w:val="000000" w:themeColor="text1"/>
          <w:sz w:val="24"/>
        </w:rPr>
        <w:t xml:space="preserve"> (</w:t>
      </w:r>
      <w:r w:rsidR="006050D6" w:rsidRPr="00F0736F">
        <w:rPr>
          <w:rStyle w:val="21"/>
          <w:rFonts w:ascii="Times New Roman" w:hAnsi="Times New Roman" w:cs="Times New Roman"/>
          <w:color w:val="000000" w:themeColor="text1"/>
          <w:sz w:val="24"/>
        </w:rPr>
        <w:t>таблица 1.8.9</w:t>
      </w:r>
      <w:r w:rsidRPr="00F0736F">
        <w:rPr>
          <w:rStyle w:val="21"/>
          <w:rFonts w:ascii="Times New Roman" w:hAnsi="Times New Roman" w:cs="Times New Roman"/>
          <w:color w:val="000000" w:themeColor="text1"/>
          <w:sz w:val="24"/>
        </w:rPr>
        <w:t>.).</w:t>
      </w:r>
    </w:p>
    <w:p w14:paraId="56FE3933" w14:textId="2699061B"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xml:space="preserve">Казахстан не имеет выхода к океану и в Казахстане нет морских районов в международном юридическом статусе. Каспийское море является внутриконтинентальным водоемом и не имеет связи с мировым океаном. Его статус определен Конвенцией пяти прикаспийских государств о правовом статусе Каспийского моря. Тем не менее, по многим географическим характеристикам Каспийское море, как крупнейший внутриконтинентальный водоем, имеет морские признаки. Поэтому в Казахстане может оцениваться задача 14.5 Цели 14. </w:t>
      </w:r>
    </w:p>
    <w:p w14:paraId="71E5450C"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В Казахстане создана Государственная заповедная зона в северной части Каспийского моря, площадь которой (662</w:t>
      </w:r>
      <w:r w:rsidR="00442D9D" w:rsidRPr="00F0736F">
        <w:rPr>
          <w:rStyle w:val="21"/>
          <w:rFonts w:ascii="Times New Roman" w:hAnsi="Times New Roman" w:cs="Times New Roman"/>
          <w:color w:val="000000" w:themeColor="text1"/>
          <w:sz w:val="24"/>
        </w:rPr>
        <w:t xml:space="preserve"> </w:t>
      </w:r>
      <w:r w:rsidRPr="00F0736F">
        <w:rPr>
          <w:rStyle w:val="21"/>
          <w:rFonts w:ascii="Times New Roman" w:hAnsi="Times New Roman" w:cs="Times New Roman"/>
          <w:color w:val="000000" w:themeColor="text1"/>
          <w:sz w:val="24"/>
        </w:rPr>
        <w:t>630 га) намного превышает 10% общей площади морских районов (Показатель 14.5.1). Однако данная ООПТ не имеет статуса юридического лица и по режиму охраны слабо соответствует критериям МСОП для ООПТ. В пределах данной заповедной зоны идет добыча нефти и газа, рыбный п</w:t>
      </w:r>
      <w:r w:rsidR="00442D9D" w:rsidRPr="00F0736F">
        <w:rPr>
          <w:rStyle w:val="21"/>
          <w:rFonts w:ascii="Times New Roman" w:hAnsi="Times New Roman" w:cs="Times New Roman"/>
          <w:color w:val="000000" w:themeColor="text1"/>
          <w:sz w:val="24"/>
        </w:rPr>
        <w:t>ромысел, морские перевозки и т.</w:t>
      </w:r>
      <w:r w:rsidRPr="00F0736F">
        <w:rPr>
          <w:rStyle w:val="21"/>
          <w:rFonts w:ascii="Times New Roman" w:hAnsi="Times New Roman" w:cs="Times New Roman"/>
          <w:color w:val="000000" w:themeColor="text1"/>
          <w:sz w:val="24"/>
        </w:rPr>
        <w:t xml:space="preserve">п. хозяйственная деятельность. </w:t>
      </w:r>
    </w:p>
    <w:p w14:paraId="0396D04E" w14:textId="77777777" w:rsidR="00F674A4" w:rsidRPr="00F0736F" w:rsidRDefault="00F674A4" w:rsidP="008727D9">
      <w:pPr>
        <w:ind w:firstLine="709"/>
        <w:jc w:val="both"/>
        <w:rPr>
          <w:color w:val="000000" w:themeColor="text1"/>
        </w:rPr>
      </w:pPr>
      <w:r w:rsidRPr="00F0736F">
        <w:rPr>
          <w:rStyle w:val="21"/>
          <w:rFonts w:ascii="Times New Roman" w:eastAsia="Times New Roman" w:hAnsi="Times New Roman" w:cs="Times New Roman"/>
          <w:color w:val="000000" w:themeColor="text1"/>
          <w:spacing w:val="2"/>
          <w:sz w:val="24"/>
          <w:lang w:eastAsia="ru-RU"/>
        </w:rPr>
        <w:t>Наряду с другими параметрами качества воды Каспийского моря в Казгид</w:t>
      </w:r>
      <w:r w:rsidR="00442D9D" w:rsidRPr="00F0736F">
        <w:rPr>
          <w:rStyle w:val="21"/>
          <w:rFonts w:ascii="Times New Roman" w:eastAsia="Times New Roman" w:hAnsi="Times New Roman" w:cs="Times New Roman"/>
          <w:color w:val="000000" w:themeColor="text1"/>
          <w:spacing w:val="2"/>
          <w:sz w:val="24"/>
          <w:lang w:eastAsia="ru-RU"/>
        </w:rPr>
        <w:t>рометом оценивается показатель с</w:t>
      </w:r>
      <w:r w:rsidRPr="00F0736F">
        <w:rPr>
          <w:rStyle w:val="21"/>
          <w:rFonts w:ascii="Times New Roman" w:eastAsia="Calibri" w:hAnsi="Times New Roman" w:cs="Times New Roman"/>
          <w:bCs/>
          <w:color w:val="000000" w:themeColor="text1"/>
          <w:spacing w:val="2"/>
          <w:sz w:val="24"/>
          <w:lang w:eastAsia="en-GB"/>
        </w:rPr>
        <w:t>редней кислотности «значение водородного показателя (pH) морской воды, измеряемая в согласованной группе репрезентативных станций отбора проб (Каспийское море)», что соответствует задаче 14.3. Значения данного показателя пока не внушают опасений по закислению воды в Каспийском море.</w:t>
      </w:r>
    </w:p>
    <w:p w14:paraId="4BC1E606"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Вместе с тем в Казахстане не отслеживаются:</w:t>
      </w:r>
    </w:p>
    <w:p w14:paraId="68A25C07"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14.2.1 задачи 14.2;</w:t>
      </w:r>
    </w:p>
    <w:p w14:paraId="37B16F4E"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14.4.1 задачи 14.4;</w:t>
      </w:r>
    </w:p>
    <w:p w14:paraId="2D07D95B"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14.6.1 задачи;</w:t>
      </w:r>
    </w:p>
    <w:p w14:paraId="212A3F9E"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14.7.1 задачи 14.7;</w:t>
      </w:r>
    </w:p>
    <w:p w14:paraId="6CD755C8"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14.a.1 задачи 14.a;</w:t>
      </w:r>
    </w:p>
    <w:p w14:paraId="1C02BB24"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 14.b.1 задачи 14.b;</w:t>
      </w:r>
    </w:p>
    <w:p w14:paraId="2FD213B2"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показатель14.c.1 задачи 14.c.</w:t>
      </w:r>
    </w:p>
    <w:p w14:paraId="294A4F4F" w14:textId="77777777" w:rsidR="00F674A4" w:rsidRPr="00F0736F" w:rsidRDefault="00F674A4" w:rsidP="008727D9">
      <w:pPr>
        <w:ind w:firstLine="709"/>
        <w:jc w:val="both"/>
        <w:rPr>
          <w:color w:val="000000" w:themeColor="text1"/>
        </w:rPr>
      </w:pPr>
      <w:r w:rsidRPr="00F0736F">
        <w:rPr>
          <w:rStyle w:val="21"/>
          <w:rFonts w:ascii="Times New Roman" w:hAnsi="Times New Roman" w:cs="Times New Roman"/>
          <w:color w:val="000000" w:themeColor="text1"/>
          <w:sz w:val="24"/>
        </w:rPr>
        <w:t xml:space="preserve">Хотя последний показатель может не иметь отношения к Казахстану.  </w:t>
      </w:r>
    </w:p>
    <w:p w14:paraId="22D153A8" w14:textId="77777777" w:rsidR="00F674A4" w:rsidRPr="00F0736F" w:rsidRDefault="00F674A4" w:rsidP="008727D9">
      <w:pPr>
        <w:ind w:firstLine="709"/>
        <w:jc w:val="both"/>
        <w:rPr>
          <w:color w:val="000000" w:themeColor="text1"/>
        </w:rPr>
      </w:pPr>
      <w:r w:rsidRPr="00F0736F">
        <w:rPr>
          <w:rStyle w:val="21"/>
          <w:rFonts w:ascii="Times New Roman" w:eastAsia="Calibri" w:hAnsi="Times New Roman" w:cs="Times New Roman"/>
          <w:color w:val="000000" w:themeColor="text1"/>
          <w:spacing w:val="2"/>
          <w:sz w:val="24"/>
          <w:lang w:eastAsia="en-GB"/>
        </w:rPr>
        <w:t xml:space="preserve">Для решения Задачи 15.1 </w:t>
      </w:r>
      <w:r w:rsidRPr="00F0736F">
        <w:rPr>
          <w:rFonts w:ascii="Times New Roman" w:eastAsia="Calibri" w:hAnsi="Times New Roman" w:cs="Times New Roman"/>
          <w:color w:val="000000" w:themeColor="text1"/>
          <w:lang w:eastAsia="en-GB"/>
        </w:rPr>
        <w:t>Цели 15 в Казахстане отслеживаются показатель «</w:t>
      </w:r>
      <w:r w:rsidRPr="00F0736F">
        <w:rPr>
          <w:rFonts w:ascii="Times New Roman" w:hAnsi="Times New Roman" w:cs="Times New Roman"/>
          <w:color w:val="000000" w:themeColor="text1"/>
        </w:rPr>
        <w:t xml:space="preserve">Площадь лесов в процентном отношении к общей площади суши» и показатель «Доля ООПТ от общей территории». Данные показатели имеют положительную, но недостаточную динамику для достижения среднемирового уровня. </w:t>
      </w:r>
    </w:p>
    <w:p w14:paraId="53831239" w14:textId="0FEF2F65"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Затруднения для Казахстана в процентном увеличении доли охраняемых лесов. Водно-болотных угодий и ООПТ в масштабности территории Казахстана. Даже при принимаемых значительных усилиях Казахстану тяжело достичь </w:t>
      </w:r>
      <w:r w:rsidRPr="00F0736F">
        <w:rPr>
          <w:rFonts w:ascii="Times New Roman" w:eastAsia="Calibri" w:hAnsi="Times New Roman" w:cs="Times New Roman"/>
          <w:bCs/>
          <w:color w:val="000000" w:themeColor="text1"/>
          <w:lang w:eastAsia="en-GB"/>
        </w:rPr>
        <w:t>принятой в Айти целевой задачи №</w:t>
      </w:r>
      <w:r w:rsidR="00961E42" w:rsidRPr="00F0736F">
        <w:rPr>
          <w:rFonts w:ascii="Times New Roman" w:eastAsia="Calibri" w:hAnsi="Times New Roman" w:cs="Times New Roman"/>
          <w:bCs/>
          <w:color w:val="000000" w:themeColor="text1"/>
          <w:lang w:eastAsia="en-GB"/>
        </w:rPr>
        <w:t xml:space="preserve"> </w:t>
      </w:r>
      <w:r w:rsidRPr="00F0736F">
        <w:rPr>
          <w:rFonts w:ascii="Times New Roman" w:eastAsia="Calibri" w:hAnsi="Times New Roman" w:cs="Times New Roman"/>
          <w:bCs/>
          <w:color w:val="000000" w:themeColor="text1"/>
          <w:lang w:eastAsia="en-GB"/>
        </w:rPr>
        <w:t xml:space="preserve">11 (не менее 17% наземных и внутренних водных районов). Доля важных с точки зрения биологического разнообразия районов суши и пресноводных районов, находящихся под охраной, в разбивке по видам экосистем (Показатель 15.1.2), не может быть должным образом оценена из-за отсутствия данных (например, данных их инвентаризации с определением таких важных районов для каждого вида экосистем и их площади). Охват различных видов естественных экосистем особо охраняемыми природными территориями неравномерен, а несколько ключевых экосистем весьма слабо представлены в системе особо охраняемых природных территорий. Более того, несколько видов экосистем не охвачены наиболее действенно охраняемыми природными территориями со статусом юридического лица. Следовательно, для решения Задачи 15.1 потребуется расширение государственной сети особо охраняемых природных территорий, чтобы в достаточной степени охватить все естественные экосистемы, представленные в Казахстане, в частности, горные, лесные, пустынные и водно-болотные экосистемы. </w:t>
      </w:r>
    </w:p>
    <w:p w14:paraId="665EE56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 задачи 15.2 отслеживается показатель «объем ежегодных посадок», который для полного отражения решения задачи должен идти в сравнении с ежегодной утратой лесного покрова.</w:t>
      </w:r>
    </w:p>
    <w:p w14:paraId="6193924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 задачи 15.4 отслеживается показатель «площадь горных лесов», но нет показателей горных ООПТ и индекса горной растительности. О</w:t>
      </w:r>
      <w:r w:rsidRPr="00F0736F">
        <w:rPr>
          <w:rFonts w:ascii="Times New Roman" w:eastAsia="Calibri" w:hAnsi="Times New Roman" w:cs="Times New Roman"/>
          <w:bCs/>
          <w:color w:val="000000" w:themeColor="text1"/>
          <w:lang w:eastAsia="en-GB"/>
        </w:rPr>
        <w:t>хват особо охраняемыми природными территориями важных для горного биоразнообразия участков (Показатель 15.4.1) невозможно должным образом рассчитать в связи с отсутствием оценки общей площади участков, которые считаются важными для горного биоразнообразия. Аналогичным образом, индекс растительного покрова гор (Показатель 15.4.2) не может быть рассчитан, пока не будет определена общая площадь лесного покрова во всех горных районах Казахстана (для чего потребуется принятие четкого определения горных районов и установление их границ). Тем не менее, задача 15.4 все еще может быть реализована в установленный срок.</w:t>
      </w:r>
    </w:p>
    <w:p w14:paraId="7560BE2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Для решения задачи 15.5 имеются перечни видов животных и растений, занесенных в Красную книгу Казахстана, однако нет показателей изменения данного перечня по годам. Кроме того, Красная книга Казахстана не оценена по критериям для редких и исчезающих видов МСОП.  Д</w:t>
      </w:r>
      <w:r w:rsidRPr="00F0736F">
        <w:rPr>
          <w:rFonts w:ascii="Times New Roman" w:eastAsia="Calibri" w:hAnsi="Times New Roman" w:cs="Times New Roman"/>
          <w:bCs/>
          <w:color w:val="000000" w:themeColor="text1"/>
          <w:lang w:eastAsia="en-GB"/>
        </w:rPr>
        <w:t>ля расчета Индекса Красного списка все виды в группе должны были быть оценены для Красного списка МСОП как минимум дважды, следовательно, для расчета требуется подготовить как минимум два издания национальных Красных списков с использованием критериев МСОП. Согласно международным оценкам МСОП, под угрозой полного исчезновения в мире в результате уничтожения находится 16 видов растений и 66 видов животных, обитающих в Казахстане, что наглядно указывает на первоочередную приоритетность ведения научных исследований по этим направлениям и мониторинга биоразнообразия при особом акценте на указанные выше виды, а также актуализации или принятия специальных национальных программ сохранения этих видов. То же самое касается эндемичных видов, встречающихся только в Казахстане, предварительно отнесенных МСОП к категории «недостаточно данных». В противном случае Задача 15.5 никогда не будет реализована</w:t>
      </w:r>
      <w:r w:rsidRPr="00F0736F">
        <w:rPr>
          <w:rStyle w:val="a4"/>
          <w:rFonts w:ascii="Times New Roman" w:eastAsia="Calibri" w:hAnsi="Times New Roman" w:cs="Times New Roman"/>
          <w:bCs/>
          <w:color w:val="000000" w:themeColor="text1"/>
          <w:lang w:eastAsia="en-GB"/>
        </w:rPr>
        <w:footnoteReference w:id="116"/>
      </w:r>
      <w:r w:rsidRPr="00F0736F">
        <w:rPr>
          <w:rFonts w:ascii="Times New Roman" w:eastAsia="Calibri" w:hAnsi="Times New Roman" w:cs="Times New Roman"/>
          <w:bCs/>
          <w:color w:val="000000" w:themeColor="text1"/>
          <w:lang w:eastAsia="en-GB"/>
        </w:rPr>
        <w:t>.</w:t>
      </w:r>
    </w:p>
    <w:p w14:paraId="1B6B0B9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Казахстане отсутствуют следующие показатели:</w:t>
      </w:r>
    </w:p>
    <w:p w14:paraId="74A8C02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показатель 15.3.1 задачи 15.3. </w:t>
      </w:r>
      <w:r w:rsidRPr="00F0736F">
        <w:rPr>
          <w:rFonts w:ascii="Times New Roman" w:eastAsia="Calibri" w:hAnsi="Times New Roman" w:cs="Times New Roman"/>
          <w:bCs/>
          <w:color w:val="000000" w:themeColor="text1"/>
          <w:lang w:eastAsia="en-GB"/>
        </w:rPr>
        <w:t>Данных для надлежащей оценки площади деградировавших земель в процентном отношении к общей площади суши в каждой биогеографической зоне, недостаточно. В частности, деградировавшие пастбища составляют около 15% от общей площади пастбищ</w:t>
      </w:r>
      <w:r w:rsidRPr="00F0736F">
        <w:rPr>
          <w:rFonts w:ascii="Times New Roman" w:hAnsi="Times New Roman" w:cs="Times New Roman"/>
          <w:color w:val="000000" w:themeColor="text1"/>
        </w:rPr>
        <w:t>;</w:t>
      </w:r>
    </w:p>
    <w:p w14:paraId="08DF79C6" w14:textId="27B6F258"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показатель 15.6.1 задачи 15.6. </w:t>
      </w:r>
      <w:r w:rsidRPr="00F0736F">
        <w:rPr>
          <w:rFonts w:ascii="Times New Roman" w:eastAsia="Calibri" w:hAnsi="Times New Roman" w:cs="Times New Roman"/>
          <w:bCs/>
          <w:color w:val="000000" w:themeColor="text1"/>
          <w:lang w:eastAsia="en-GB"/>
        </w:rPr>
        <w:t>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КБР вступил в силу для Казахстана 15 сентября 2015 г</w:t>
      </w:r>
      <w:r w:rsidR="001F735C" w:rsidRPr="00F0736F">
        <w:rPr>
          <w:rFonts w:ascii="Times New Roman" w:eastAsia="Calibri" w:hAnsi="Times New Roman" w:cs="Times New Roman"/>
          <w:bCs/>
          <w:color w:val="000000" w:themeColor="text1"/>
          <w:lang w:eastAsia="en-GB"/>
        </w:rPr>
        <w:t>ода</w:t>
      </w:r>
      <w:r w:rsidRPr="00F0736F">
        <w:rPr>
          <w:rFonts w:ascii="Times New Roman" w:eastAsia="Calibri" w:hAnsi="Times New Roman" w:cs="Times New Roman"/>
          <w:bCs/>
          <w:color w:val="000000" w:themeColor="text1"/>
          <w:lang w:eastAsia="en-GB"/>
        </w:rPr>
        <w:t>, согласно Промежуточному национальному докладу от 15 января 2018 г</w:t>
      </w:r>
      <w:r w:rsidR="006A5A92" w:rsidRPr="00F0736F">
        <w:rPr>
          <w:rFonts w:ascii="Times New Roman" w:eastAsia="Calibri" w:hAnsi="Times New Roman" w:cs="Times New Roman"/>
          <w:bCs/>
          <w:color w:val="000000" w:themeColor="text1"/>
          <w:lang w:eastAsia="en-GB"/>
        </w:rPr>
        <w:t>ода</w:t>
      </w:r>
      <w:r w:rsidRPr="00F0736F">
        <w:rPr>
          <w:rFonts w:ascii="Times New Roman" w:eastAsia="Calibri" w:hAnsi="Times New Roman" w:cs="Times New Roman"/>
          <w:bCs/>
          <w:color w:val="000000" w:themeColor="text1"/>
          <w:lang w:eastAsia="en-GB"/>
        </w:rPr>
        <w:t xml:space="preserve"> Казахстаном пока что не предприняты какие-либо законодательные, административные или директивные меры (Показатель 15.6.1), касающиеся доступа к генетическим ресурсам и совместного использования выгод (меры ДСИ), что необходимо для решения Задачи 15.6</w:t>
      </w:r>
      <w:r w:rsidRPr="00F0736F">
        <w:rPr>
          <w:rFonts w:ascii="Times New Roman" w:hAnsi="Times New Roman" w:cs="Times New Roman"/>
          <w:color w:val="000000" w:themeColor="text1"/>
        </w:rPr>
        <w:t>;</w:t>
      </w:r>
    </w:p>
    <w:p w14:paraId="004F5502" w14:textId="307BE47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показатель 15.7.1 задачи 15. О</w:t>
      </w:r>
      <w:r w:rsidRPr="00F0736F">
        <w:rPr>
          <w:rFonts w:ascii="Times New Roman" w:hAnsi="Times New Roman" w:cs="Times New Roman"/>
          <w:color w:val="000000" w:themeColor="text1"/>
          <w:lang w:eastAsia="en-GB"/>
        </w:rPr>
        <w:t>фициальная статистика, отражающая достоверные данные о количестве особей особоохраняемых видов флоры и фауны, незаконно собранных или добытых браконьерским путем, отсутствует. Тем не менее, количество случаев нарушения законодательства (в частности, браконьерства) постоянно снижается;</w:t>
      </w:r>
    </w:p>
    <w:p w14:paraId="7E7CEA6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показатель 15.8.1 задачи 15.8. В</w:t>
      </w:r>
      <w:r w:rsidRPr="00F0736F">
        <w:rPr>
          <w:rFonts w:ascii="Times New Roman" w:eastAsia="Times New Roman" w:hAnsi="Times New Roman" w:cs="Times New Roman"/>
          <w:color w:val="000000" w:themeColor="text1"/>
          <w:spacing w:val="2"/>
          <w:lang w:eastAsia="en-GB"/>
        </w:rPr>
        <w:t xml:space="preserve"> настоящее время отсутствуют соответствующие государственные программы мониторинга чужеродных инвазивных видов, что является жизненно необходимым следующим шагом на пути к решению Задачи </w:t>
      </w:r>
      <w:r w:rsidRPr="00F0736F">
        <w:rPr>
          <w:rFonts w:ascii="Times New Roman" w:eastAsia="Calibri" w:hAnsi="Times New Roman" w:cs="Times New Roman"/>
          <w:color w:val="000000" w:themeColor="text1"/>
          <w:spacing w:val="2"/>
          <w:lang w:eastAsia="en-GB"/>
        </w:rPr>
        <w:t>15.8</w:t>
      </w:r>
      <w:r w:rsidRPr="00F0736F">
        <w:rPr>
          <w:rFonts w:ascii="Times New Roman" w:hAnsi="Times New Roman" w:cs="Times New Roman"/>
          <w:color w:val="000000" w:themeColor="text1"/>
        </w:rPr>
        <w:t>;</w:t>
      </w:r>
    </w:p>
    <w:p w14:paraId="1939E9A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показатель 15.9.1 задачи 15.9; </w:t>
      </w:r>
    </w:p>
    <w:p w14:paraId="5DC5B1B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показатель 15.a.1 задачи 15.a;</w:t>
      </w:r>
    </w:p>
    <w:p w14:paraId="043F919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показатель 15.b.1 задачи 15.b;</w:t>
      </w:r>
    </w:p>
    <w:p w14:paraId="15C1657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 показатель 15.c.1 задачи 15.c. </w:t>
      </w:r>
    </w:p>
    <w:p w14:paraId="375D3EC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Прогресс в достижении ЦУР невозможно должным образом оценить без проведения научных исследований, направленных не только на решение перечисленных задач, но и на мониторинг отслеживаемых и иных показателей и индикаторов состояния живой природы.</w:t>
      </w:r>
    </w:p>
    <w:p w14:paraId="0F3DF78B" w14:textId="77777777" w:rsidR="00F674A4" w:rsidRPr="00F0736F" w:rsidRDefault="00F674A4" w:rsidP="008727D9">
      <w:pPr>
        <w:ind w:firstLine="709"/>
        <w:jc w:val="both"/>
        <w:rPr>
          <w:rFonts w:ascii="Times New Roman" w:hAnsi="Times New Roman" w:cs="Times New Roman"/>
          <w:color w:val="000000" w:themeColor="text1"/>
        </w:rPr>
      </w:pPr>
    </w:p>
    <w:p w14:paraId="574E392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1.8.</w:t>
      </w:r>
      <w:r w:rsidR="006050D6" w:rsidRPr="00F0736F">
        <w:rPr>
          <w:rFonts w:ascii="Times New Roman" w:hAnsi="Times New Roman" w:cs="Times New Roman"/>
          <w:color w:val="000000" w:themeColor="text1"/>
        </w:rPr>
        <w:t>9</w:t>
      </w:r>
      <w:r w:rsidRPr="00F0736F">
        <w:rPr>
          <w:rFonts w:ascii="Times New Roman" w:hAnsi="Times New Roman" w:cs="Times New Roman"/>
          <w:color w:val="000000" w:themeColor="text1"/>
        </w:rPr>
        <w:t>. Проблемы достижения ЦУР, связанных с вопросами изменения климата</w:t>
      </w:r>
    </w:p>
    <w:p w14:paraId="6EF38D11"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3060"/>
        <w:gridCol w:w="2205"/>
        <w:gridCol w:w="1545"/>
        <w:gridCol w:w="1470"/>
        <w:gridCol w:w="1705"/>
      </w:tblGrid>
      <w:tr w:rsidR="00F0736F" w:rsidRPr="00F0736F" w14:paraId="2BC2B4A5" w14:textId="77777777">
        <w:tc>
          <w:tcPr>
            <w:tcW w:w="3060" w:type="dxa"/>
            <w:tcBorders>
              <w:top w:val="single" w:sz="4" w:space="0" w:color="000000"/>
              <w:left w:val="single" w:sz="4" w:space="0" w:color="000000"/>
              <w:bottom w:val="single" w:sz="4" w:space="0" w:color="000000"/>
            </w:tcBorders>
            <w:shd w:val="clear" w:color="auto" w:fill="auto"/>
          </w:tcPr>
          <w:p w14:paraId="1077C7B4"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05" w:type="dxa"/>
            <w:tcBorders>
              <w:top w:val="single" w:sz="4" w:space="0" w:color="000000"/>
              <w:left w:val="single" w:sz="4" w:space="0" w:color="000000"/>
              <w:bottom w:val="single" w:sz="4" w:space="0" w:color="000000"/>
            </w:tcBorders>
            <w:shd w:val="clear" w:color="auto" w:fill="auto"/>
          </w:tcPr>
          <w:p w14:paraId="5E35080D"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545" w:type="dxa"/>
            <w:tcBorders>
              <w:top w:val="single" w:sz="4" w:space="0" w:color="000000"/>
              <w:left w:val="single" w:sz="4" w:space="0" w:color="000000"/>
              <w:bottom w:val="single" w:sz="4" w:space="0" w:color="000000"/>
            </w:tcBorders>
            <w:shd w:val="clear" w:color="auto" w:fill="auto"/>
          </w:tcPr>
          <w:p w14:paraId="3382B563"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470" w:type="dxa"/>
            <w:tcBorders>
              <w:top w:val="single" w:sz="4" w:space="0" w:color="000000"/>
              <w:left w:val="single" w:sz="4" w:space="0" w:color="000000"/>
              <w:bottom w:val="single" w:sz="4" w:space="0" w:color="000000"/>
            </w:tcBorders>
            <w:shd w:val="clear" w:color="auto" w:fill="auto"/>
          </w:tcPr>
          <w:p w14:paraId="38756890"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B392EBD"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703BBE49" w14:textId="77777777">
        <w:tc>
          <w:tcPr>
            <w:tcW w:w="9985" w:type="dxa"/>
            <w:gridSpan w:val="5"/>
            <w:tcBorders>
              <w:top w:val="single" w:sz="4" w:space="0" w:color="000000"/>
              <w:left w:val="single" w:sz="4" w:space="0" w:color="000000"/>
              <w:bottom w:val="single" w:sz="4" w:space="0" w:color="000000"/>
              <w:right w:val="single" w:sz="4" w:space="0" w:color="000000"/>
            </w:tcBorders>
            <w:shd w:val="clear" w:color="auto" w:fill="auto"/>
          </w:tcPr>
          <w:p w14:paraId="6798E951" w14:textId="77777777" w:rsidR="00F674A4" w:rsidRPr="00F0736F" w:rsidRDefault="00F674A4" w:rsidP="001F735C">
            <w:pPr>
              <w:ind w:firstLine="59"/>
              <w:jc w:val="center"/>
              <w:rPr>
                <w:color w:val="000000" w:themeColor="text1"/>
              </w:rPr>
            </w:pPr>
            <w:r w:rsidRPr="00F0736F">
              <w:rPr>
                <w:rFonts w:ascii="Times New Roman" w:hAnsi="Times New Roman" w:cs="Times New Roman"/>
                <w:color w:val="000000" w:themeColor="text1"/>
                <w:sz w:val="20"/>
                <w:szCs w:val="20"/>
              </w:rPr>
              <w:t>ЦУР 14. Сохранение и рациональное использование океанов, морей и морских ресурсов в интересах устойчивого развития</w:t>
            </w:r>
          </w:p>
        </w:tc>
      </w:tr>
      <w:tr w:rsidR="00F0736F" w:rsidRPr="00F0736F" w14:paraId="3FAEAE6F" w14:textId="77777777">
        <w:tc>
          <w:tcPr>
            <w:tcW w:w="3060" w:type="dxa"/>
            <w:tcBorders>
              <w:top w:val="single" w:sz="4" w:space="0" w:color="000000"/>
              <w:left w:val="single" w:sz="4" w:space="0" w:color="000000"/>
              <w:bottom w:val="single" w:sz="4" w:space="0" w:color="000000"/>
            </w:tcBorders>
            <w:shd w:val="clear" w:color="auto" w:fill="auto"/>
          </w:tcPr>
          <w:p w14:paraId="3EFFEC02"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14.2 К 2020 году обеспечить рациональное использование и защиту морских и прибрежных экосистем с целью предотвратить значительное отрицательное воздействие, в том числе путем повышения стойкости этих экосистем, и принять меры по их восстановлению для обеспечения хорошего экологического состояния и продуктивности океанов</w:t>
            </w:r>
          </w:p>
        </w:tc>
        <w:tc>
          <w:tcPr>
            <w:tcW w:w="2205" w:type="dxa"/>
            <w:tcBorders>
              <w:top w:val="single" w:sz="4" w:space="0" w:color="000000"/>
              <w:left w:val="single" w:sz="4" w:space="0" w:color="000000"/>
              <w:bottom w:val="single" w:sz="4" w:space="0" w:color="000000"/>
            </w:tcBorders>
            <w:shd w:val="clear" w:color="auto" w:fill="auto"/>
          </w:tcPr>
          <w:p w14:paraId="7B0DDB5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14.2.1 Доля национальных исключительных экономических зон, в управлении которыми применяются экосистемные подходы</w:t>
            </w:r>
          </w:p>
        </w:tc>
        <w:tc>
          <w:tcPr>
            <w:tcW w:w="1545" w:type="dxa"/>
            <w:tcBorders>
              <w:top w:val="single" w:sz="4" w:space="0" w:color="000000"/>
              <w:left w:val="single" w:sz="4" w:space="0" w:color="000000"/>
              <w:bottom w:val="single" w:sz="4" w:space="0" w:color="000000"/>
            </w:tcBorders>
            <w:shd w:val="clear" w:color="auto" w:fill="auto"/>
          </w:tcPr>
          <w:p w14:paraId="5DA5B2C3"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38C7C85E" w14:textId="77777777" w:rsidR="00F674A4" w:rsidRPr="00F0736F" w:rsidRDefault="00F674A4" w:rsidP="005F6A5E">
            <w:pPr>
              <w:snapToGrid w:val="0"/>
              <w:ind w:firstLine="34"/>
              <w:jc w:val="both"/>
              <w:rPr>
                <w:rFonts w:ascii="Times New Roman" w:hAnsi="Times New Roman" w:cs="Times New Roman"/>
                <w:color w:val="000000" w:themeColor="text1"/>
                <w:sz w:val="20"/>
                <w:szCs w:val="20"/>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35E9CB5"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2DF54651" w14:textId="77777777">
        <w:tc>
          <w:tcPr>
            <w:tcW w:w="3060" w:type="dxa"/>
            <w:tcBorders>
              <w:top w:val="single" w:sz="4" w:space="0" w:color="000000"/>
              <w:left w:val="single" w:sz="4" w:space="0" w:color="000000"/>
              <w:bottom w:val="single" w:sz="4" w:space="0" w:color="000000"/>
            </w:tcBorders>
            <w:shd w:val="clear" w:color="auto" w:fill="auto"/>
          </w:tcPr>
          <w:p w14:paraId="2B66BAA2"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14.4 К 2020 году обеспечить эффективное регулирование добычи и положить конец перелову, незаконному, несообщаемому и нерегулируемому рыбному промыслу и губительной рыбопромысловой практике, а также выполнить научно обоснованные планы хозяйственной деятельности, для того чтобы восстановить рыбные запасы в кратчайшие возможные сроки, доведя их по крайней мере до таких уровней, которые способны обеспечивать максимальный экологически рациональный улов с учетом биологических характеристик этих запасов</w:t>
            </w:r>
          </w:p>
        </w:tc>
        <w:tc>
          <w:tcPr>
            <w:tcW w:w="2205" w:type="dxa"/>
            <w:tcBorders>
              <w:top w:val="single" w:sz="4" w:space="0" w:color="000000"/>
              <w:left w:val="single" w:sz="4" w:space="0" w:color="000000"/>
              <w:bottom w:val="single" w:sz="4" w:space="0" w:color="000000"/>
            </w:tcBorders>
            <w:shd w:val="clear" w:color="auto" w:fill="auto"/>
          </w:tcPr>
          <w:p w14:paraId="1F129851"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14.4.1 Доля рыбных запасов, находящихся в биологически устойчивых пределах</w:t>
            </w:r>
          </w:p>
        </w:tc>
        <w:tc>
          <w:tcPr>
            <w:tcW w:w="1545" w:type="dxa"/>
            <w:tcBorders>
              <w:top w:val="single" w:sz="4" w:space="0" w:color="000000"/>
              <w:left w:val="single" w:sz="4" w:space="0" w:color="000000"/>
              <w:bottom w:val="single" w:sz="4" w:space="0" w:color="000000"/>
            </w:tcBorders>
            <w:shd w:val="clear" w:color="auto" w:fill="auto"/>
          </w:tcPr>
          <w:p w14:paraId="276A2F7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Количество сохраняемых рыбных ресурсов и других водных животных, единиц</w:t>
            </w:r>
          </w:p>
        </w:tc>
        <w:tc>
          <w:tcPr>
            <w:tcW w:w="1470" w:type="dxa"/>
            <w:tcBorders>
              <w:top w:val="single" w:sz="4" w:space="0" w:color="000000"/>
              <w:left w:val="single" w:sz="4" w:space="0" w:color="000000"/>
              <w:bottom w:val="single" w:sz="4" w:space="0" w:color="000000"/>
            </w:tcBorders>
            <w:shd w:val="clear" w:color="auto" w:fill="auto"/>
          </w:tcPr>
          <w:p w14:paraId="2FACED56"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819B9B0"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программа по управлению рыбными ресурсами с соответствующими показателями</w:t>
            </w:r>
          </w:p>
        </w:tc>
      </w:tr>
      <w:tr w:rsidR="00F0736F" w:rsidRPr="00F0736F" w14:paraId="146A3646" w14:textId="77777777">
        <w:tc>
          <w:tcPr>
            <w:tcW w:w="3060" w:type="dxa"/>
            <w:tcBorders>
              <w:top w:val="single" w:sz="4" w:space="0" w:color="000000"/>
              <w:left w:val="single" w:sz="4" w:space="0" w:color="000000"/>
              <w:bottom w:val="single" w:sz="4" w:space="0" w:color="000000"/>
            </w:tcBorders>
            <w:shd w:val="clear" w:color="auto" w:fill="auto"/>
          </w:tcPr>
          <w:p w14:paraId="35975FCD"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14.5 К 2020 году охватить природоохранными мерами по крайней мере 10 процентов прибрежных и морских районов в соответствии с национальным законодательством и международным правом и на основе наилучшей имеющейся научной информации</w:t>
            </w:r>
          </w:p>
        </w:tc>
        <w:tc>
          <w:tcPr>
            <w:tcW w:w="2205" w:type="dxa"/>
            <w:tcBorders>
              <w:top w:val="single" w:sz="4" w:space="0" w:color="000000"/>
              <w:left w:val="single" w:sz="4" w:space="0" w:color="000000"/>
              <w:bottom w:val="single" w:sz="4" w:space="0" w:color="000000"/>
            </w:tcBorders>
            <w:shd w:val="clear" w:color="auto" w:fill="auto"/>
          </w:tcPr>
          <w:p w14:paraId="0B43152A"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14.5.1 Доля охраняемых морских районов</w:t>
            </w:r>
          </w:p>
        </w:tc>
        <w:tc>
          <w:tcPr>
            <w:tcW w:w="1545" w:type="dxa"/>
            <w:tcBorders>
              <w:top w:val="single" w:sz="4" w:space="0" w:color="000000"/>
              <w:left w:val="single" w:sz="4" w:space="0" w:color="000000"/>
              <w:bottom w:val="single" w:sz="4" w:space="0" w:color="000000"/>
            </w:tcBorders>
            <w:shd w:val="clear" w:color="auto" w:fill="auto"/>
          </w:tcPr>
          <w:p w14:paraId="278FAFF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Доля государственной заповедной зоны северной части Каспийского моря, озерных экосистем от общей доли ООПТ</w:t>
            </w:r>
          </w:p>
        </w:tc>
        <w:tc>
          <w:tcPr>
            <w:tcW w:w="1470" w:type="dxa"/>
            <w:tcBorders>
              <w:top w:val="single" w:sz="4" w:space="0" w:color="000000"/>
              <w:left w:val="single" w:sz="4" w:space="0" w:color="000000"/>
              <w:bottom w:val="single" w:sz="4" w:space="0" w:color="000000"/>
            </w:tcBorders>
            <w:shd w:val="clear" w:color="auto" w:fill="auto"/>
          </w:tcPr>
          <w:p w14:paraId="4E5F84E8"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Составляет 2,67%, необходимо увеличение</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17A85C2"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317B46A3" w14:textId="77777777">
        <w:tc>
          <w:tcPr>
            <w:tcW w:w="3060" w:type="dxa"/>
            <w:tcBorders>
              <w:top w:val="single" w:sz="4" w:space="0" w:color="000000"/>
              <w:left w:val="single" w:sz="4" w:space="0" w:color="000000"/>
              <w:bottom w:val="single" w:sz="4" w:space="0" w:color="000000"/>
            </w:tcBorders>
            <w:shd w:val="clear" w:color="auto" w:fill="auto"/>
          </w:tcPr>
          <w:p w14:paraId="49B0EA41"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14.6 К 2020 году запретить некоторые формы субсидий для рыбного промысла, содействующие созданию чрезмерных мощностей и перелову, отменить субсидии, содействующие незаконному, несообщаемому и нерегулируемому рыбному промыслу, и воздерживаться от введения новых таких субсидий, признавая, что надлежащее и эффективное применение особого и дифференцированного режима в отношении развивающихся и наименее развитых стран должно быть неотъемлемой частью переговоров по вопросу о субсидировании рыбного промысла, которые ведутся в рамках Всемирной торговой организации</w:t>
            </w:r>
          </w:p>
        </w:tc>
        <w:tc>
          <w:tcPr>
            <w:tcW w:w="2205" w:type="dxa"/>
            <w:tcBorders>
              <w:top w:val="single" w:sz="4" w:space="0" w:color="000000"/>
              <w:left w:val="single" w:sz="4" w:space="0" w:color="000000"/>
              <w:bottom w:val="single" w:sz="4" w:space="0" w:color="000000"/>
            </w:tcBorders>
            <w:shd w:val="clear" w:color="auto" w:fill="auto"/>
          </w:tcPr>
          <w:p w14:paraId="23179CC0"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14.6.1 Достигнутый странами прогресс с точки зрения степени соблюдения международно-правовых документов по борьбе с незаконным, несообщаемым и нерегулируемым рыбным промыслом</w:t>
            </w:r>
          </w:p>
        </w:tc>
        <w:tc>
          <w:tcPr>
            <w:tcW w:w="1545" w:type="dxa"/>
            <w:tcBorders>
              <w:top w:val="single" w:sz="4" w:space="0" w:color="000000"/>
              <w:left w:val="single" w:sz="4" w:space="0" w:color="000000"/>
              <w:bottom w:val="single" w:sz="4" w:space="0" w:color="000000"/>
            </w:tcBorders>
            <w:shd w:val="clear" w:color="auto" w:fill="auto"/>
          </w:tcPr>
          <w:p w14:paraId="5BE5431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В Казахстане осуществляется борьба с браконьерством</w:t>
            </w:r>
          </w:p>
        </w:tc>
        <w:tc>
          <w:tcPr>
            <w:tcW w:w="1470" w:type="dxa"/>
            <w:tcBorders>
              <w:top w:val="single" w:sz="4" w:space="0" w:color="000000"/>
              <w:left w:val="single" w:sz="4" w:space="0" w:color="000000"/>
              <w:bottom w:val="single" w:sz="4" w:space="0" w:color="000000"/>
            </w:tcBorders>
            <w:shd w:val="clear" w:color="auto" w:fill="auto"/>
          </w:tcPr>
          <w:p w14:paraId="054CE025"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13FA3C9"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Необходимы показатели, сравнимые с международными</w:t>
            </w:r>
          </w:p>
        </w:tc>
      </w:tr>
      <w:tr w:rsidR="00F0736F" w:rsidRPr="00F0736F" w14:paraId="3613E698" w14:textId="77777777">
        <w:tc>
          <w:tcPr>
            <w:tcW w:w="3060" w:type="dxa"/>
            <w:tcBorders>
              <w:top w:val="single" w:sz="4" w:space="0" w:color="000000"/>
              <w:left w:val="single" w:sz="4" w:space="0" w:color="000000"/>
              <w:bottom w:val="single" w:sz="4" w:space="0" w:color="000000"/>
            </w:tcBorders>
            <w:shd w:val="clear" w:color="auto" w:fill="auto"/>
          </w:tcPr>
          <w:p w14:paraId="6151B55A"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14.a Увеличить объем научных знаний, расширить научные исследования и обеспечить передачу морских технологий, принимая во внимание Критерии и руководящие принципы в отношении передачи морских технологий, разработанные Межправительственной океанографической комиссией, с тем чтобы улучшить экологическое состояние океанской среды и повысить вклад морского биоразнообразия в развитие развивающихся стран, особенно малых островных развивающихся государств и наименее развитых стран</w:t>
            </w:r>
          </w:p>
        </w:tc>
        <w:tc>
          <w:tcPr>
            <w:tcW w:w="2205" w:type="dxa"/>
            <w:tcBorders>
              <w:top w:val="single" w:sz="4" w:space="0" w:color="000000"/>
              <w:left w:val="single" w:sz="4" w:space="0" w:color="000000"/>
              <w:bottom w:val="single" w:sz="4" w:space="0" w:color="000000"/>
            </w:tcBorders>
            <w:shd w:val="clear" w:color="auto" w:fill="auto"/>
          </w:tcPr>
          <w:p w14:paraId="16A72B3E"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14.a.1 Доля бюджетных ассигнований на научные исследования в области морских технологий в общем объеме бюджетных ассигнований на научные исследования</w:t>
            </w:r>
          </w:p>
        </w:tc>
        <w:tc>
          <w:tcPr>
            <w:tcW w:w="1545" w:type="dxa"/>
            <w:tcBorders>
              <w:top w:val="single" w:sz="4" w:space="0" w:color="000000"/>
              <w:left w:val="single" w:sz="4" w:space="0" w:color="000000"/>
              <w:bottom w:val="single" w:sz="4" w:space="0" w:color="000000"/>
            </w:tcBorders>
            <w:shd w:val="clear" w:color="auto" w:fill="auto"/>
          </w:tcPr>
          <w:p w14:paraId="2632B26E"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01F3F5B0"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7251E9B"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01342989" w14:textId="77777777">
        <w:tc>
          <w:tcPr>
            <w:tcW w:w="9985" w:type="dxa"/>
            <w:gridSpan w:val="5"/>
            <w:tcBorders>
              <w:top w:val="single" w:sz="4" w:space="0" w:color="000000"/>
              <w:left w:val="single" w:sz="4" w:space="0" w:color="000000"/>
              <w:bottom w:val="single" w:sz="4" w:space="0" w:color="000000"/>
              <w:right w:val="single" w:sz="4" w:space="0" w:color="000000"/>
            </w:tcBorders>
            <w:shd w:val="clear" w:color="auto" w:fill="auto"/>
          </w:tcPr>
          <w:p w14:paraId="34822E3A" w14:textId="77777777" w:rsidR="00F674A4" w:rsidRPr="00F0736F" w:rsidRDefault="00F674A4" w:rsidP="001F735C">
            <w:pPr>
              <w:jc w:val="center"/>
              <w:rPr>
                <w:color w:val="000000" w:themeColor="text1"/>
              </w:rPr>
            </w:pPr>
            <w:r w:rsidRPr="00F0736F">
              <w:rPr>
                <w:rFonts w:ascii="Times New Roman" w:hAnsi="Times New Roman" w:cs="Times New Roman"/>
                <w:color w:val="000000" w:themeColor="text1"/>
                <w:sz w:val="20"/>
                <w:szCs w:val="20"/>
              </w:rPr>
              <w:t>ЦУР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биологического разнообразия</w:t>
            </w:r>
          </w:p>
        </w:tc>
      </w:tr>
      <w:tr w:rsidR="00F0736F" w:rsidRPr="00F0736F" w14:paraId="48DB44A8" w14:textId="77777777">
        <w:tc>
          <w:tcPr>
            <w:tcW w:w="3060" w:type="dxa"/>
            <w:tcBorders>
              <w:top w:val="single" w:sz="4" w:space="0" w:color="000000"/>
              <w:left w:val="single" w:sz="4" w:space="0" w:color="000000"/>
              <w:bottom w:val="single" w:sz="4" w:space="0" w:color="000000"/>
            </w:tcBorders>
            <w:shd w:val="clear" w:color="auto" w:fill="auto"/>
          </w:tcPr>
          <w:p w14:paraId="492A24AA"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15.1 К 2020 году обеспечить сохранение, восстановление и рациональное использование наземных и внутренних пресноводных экосистем и их услуг, в том числе лесов, водно-болотных угодий, гор и засушливых земель, в соответствии с обязательствами, вытекающими из международных соглашений</w:t>
            </w:r>
          </w:p>
        </w:tc>
        <w:tc>
          <w:tcPr>
            <w:tcW w:w="2205" w:type="dxa"/>
            <w:tcBorders>
              <w:top w:val="single" w:sz="4" w:space="0" w:color="000000"/>
              <w:left w:val="single" w:sz="4" w:space="0" w:color="000000"/>
              <w:bottom w:val="single" w:sz="4" w:space="0" w:color="000000"/>
            </w:tcBorders>
            <w:shd w:val="clear" w:color="auto" w:fill="auto"/>
          </w:tcPr>
          <w:p w14:paraId="70CD7AED"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15.1.1 Площадь лесов в процентном отношении к общей площади суши</w:t>
            </w:r>
          </w:p>
          <w:p w14:paraId="15F1D45B"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15.1.2 Доля важных с точки зрения биологического разнообразия районов суши и пресноводных районов, находящихся под охраной, в разбивке по видам экосистем</w:t>
            </w:r>
          </w:p>
        </w:tc>
        <w:tc>
          <w:tcPr>
            <w:tcW w:w="1545" w:type="dxa"/>
            <w:tcBorders>
              <w:top w:val="single" w:sz="4" w:space="0" w:color="000000"/>
              <w:left w:val="single" w:sz="4" w:space="0" w:color="000000"/>
              <w:bottom w:val="single" w:sz="4" w:space="0" w:color="000000"/>
            </w:tcBorders>
            <w:shd w:val="clear" w:color="auto" w:fill="auto"/>
          </w:tcPr>
          <w:p w14:paraId="796C5D14"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Площадь лесов в процентном отношении к общей площади суши</w:t>
            </w:r>
          </w:p>
          <w:p w14:paraId="4D3BC70B" w14:textId="77777777" w:rsidR="00F674A4" w:rsidRPr="00F0736F" w:rsidRDefault="00F674A4" w:rsidP="005F6A5E">
            <w:pPr>
              <w:ind w:firstLine="34"/>
              <w:jc w:val="both"/>
              <w:rPr>
                <w:rFonts w:ascii="Times New Roman" w:hAnsi="Times New Roman" w:cs="Times New Roman"/>
                <w:color w:val="000000" w:themeColor="text1"/>
                <w:sz w:val="20"/>
                <w:szCs w:val="20"/>
              </w:rPr>
            </w:pPr>
          </w:p>
          <w:p w14:paraId="094FD7BA"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Доля особо охраняемых природных территорий</w:t>
            </w:r>
          </w:p>
        </w:tc>
        <w:tc>
          <w:tcPr>
            <w:tcW w:w="1470" w:type="dxa"/>
            <w:tcBorders>
              <w:top w:val="single" w:sz="4" w:space="0" w:color="000000"/>
              <w:left w:val="single" w:sz="4" w:space="0" w:color="000000"/>
              <w:bottom w:val="single" w:sz="4" w:space="0" w:color="000000"/>
            </w:tcBorders>
            <w:shd w:val="clear" w:color="auto" w:fill="auto"/>
          </w:tcPr>
          <w:p w14:paraId="5713AF2B"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933F218"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1E293AD5" w14:textId="77777777">
        <w:tc>
          <w:tcPr>
            <w:tcW w:w="3060" w:type="dxa"/>
            <w:tcBorders>
              <w:top w:val="single" w:sz="4" w:space="0" w:color="000000"/>
              <w:left w:val="single" w:sz="4" w:space="0" w:color="000000"/>
              <w:bottom w:val="single" w:sz="4" w:space="0" w:color="000000"/>
            </w:tcBorders>
            <w:shd w:val="clear" w:color="auto" w:fill="auto"/>
          </w:tcPr>
          <w:p w14:paraId="1EE5B4E1"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15.2 К 2020 году содействовать внедрению методов рационального использования всех типов лесов, остановить обезлесение, восстановить деградировавшие леса и значительно расширить масштабы лесонасаждения и лесовосстановления во всем мире</w:t>
            </w:r>
          </w:p>
        </w:tc>
        <w:tc>
          <w:tcPr>
            <w:tcW w:w="2205" w:type="dxa"/>
            <w:tcBorders>
              <w:top w:val="single" w:sz="4" w:space="0" w:color="000000"/>
              <w:left w:val="single" w:sz="4" w:space="0" w:color="000000"/>
              <w:bottom w:val="single" w:sz="4" w:space="0" w:color="000000"/>
            </w:tcBorders>
            <w:shd w:val="clear" w:color="auto" w:fill="auto"/>
          </w:tcPr>
          <w:p w14:paraId="6D58D907"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15.2.1 Прогресс в переходе на неистощительное ведение лесного хозяйства</w:t>
            </w:r>
          </w:p>
        </w:tc>
        <w:tc>
          <w:tcPr>
            <w:tcW w:w="1545" w:type="dxa"/>
            <w:tcBorders>
              <w:top w:val="single" w:sz="4" w:space="0" w:color="000000"/>
              <w:left w:val="single" w:sz="4" w:space="0" w:color="000000"/>
              <w:bottom w:val="single" w:sz="4" w:space="0" w:color="000000"/>
            </w:tcBorders>
            <w:shd w:val="clear" w:color="auto" w:fill="auto"/>
          </w:tcPr>
          <w:p w14:paraId="048AD1B7"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Объем ежегодных посадок</w:t>
            </w:r>
          </w:p>
        </w:tc>
        <w:tc>
          <w:tcPr>
            <w:tcW w:w="1470" w:type="dxa"/>
            <w:tcBorders>
              <w:top w:val="single" w:sz="4" w:space="0" w:color="000000"/>
              <w:left w:val="single" w:sz="4" w:space="0" w:color="000000"/>
              <w:bottom w:val="single" w:sz="4" w:space="0" w:color="000000"/>
            </w:tcBorders>
            <w:shd w:val="clear" w:color="auto" w:fill="auto"/>
          </w:tcPr>
          <w:p w14:paraId="5C9C09C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9312A1B"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040CEF00" w14:textId="77777777">
        <w:tc>
          <w:tcPr>
            <w:tcW w:w="3060" w:type="dxa"/>
            <w:tcBorders>
              <w:top w:val="single" w:sz="4" w:space="0" w:color="000000"/>
              <w:left w:val="single" w:sz="4" w:space="0" w:color="000000"/>
              <w:bottom w:val="single" w:sz="4" w:space="0" w:color="000000"/>
            </w:tcBorders>
            <w:shd w:val="clear" w:color="auto" w:fill="auto"/>
          </w:tcPr>
          <w:p w14:paraId="2EC2BBD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Задача 15.3 К 2030 году вести борьбу с опустыниванием, восстановить деградировавшие земли и почвы, включая земли, затронутые опустыниванием, засухами и наводнениями, и стремиться к тому, чтобы во всем мире не ухудшалось состояние земель</w:t>
            </w:r>
          </w:p>
        </w:tc>
        <w:tc>
          <w:tcPr>
            <w:tcW w:w="2205" w:type="dxa"/>
            <w:tcBorders>
              <w:top w:val="single" w:sz="4" w:space="0" w:color="000000"/>
              <w:left w:val="single" w:sz="4" w:space="0" w:color="000000"/>
              <w:bottom w:val="single" w:sz="4" w:space="0" w:color="000000"/>
            </w:tcBorders>
            <w:shd w:val="clear" w:color="auto" w:fill="auto"/>
          </w:tcPr>
          <w:p w14:paraId="7FAE2037"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15.3.1 Площадь деградировавших земель в процентном отношении к общей площади суши</w:t>
            </w:r>
          </w:p>
        </w:tc>
        <w:tc>
          <w:tcPr>
            <w:tcW w:w="1545" w:type="dxa"/>
            <w:tcBorders>
              <w:top w:val="single" w:sz="4" w:space="0" w:color="000000"/>
              <w:left w:val="single" w:sz="4" w:space="0" w:color="000000"/>
              <w:bottom w:val="single" w:sz="4" w:space="0" w:color="000000"/>
            </w:tcBorders>
            <w:shd w:val="clear" w:color="auto" w:fill="auto"/>
          </w:tcPr>
          <w:p w14:paraId="5616E5C0"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Площадь эродированных земель в составе сельскохозяйственных угодий в процентном отношении к общей площади  земель</w:t>
            </w:r>
          </w:p>
        </w:tc>
        <w:tc>
          <w:tcPr>
            <w:tcW w:w="1470" w:type="dxa"/>
            <w:tcBorders>
              <w:top w:val="single" w:sz="4" w:space="0" w:color="000000"/>
              <w:left w:val="single" w:sz="4" w:space="0" w:color="000000"/>
              <w:bottom w:val="single" w:sz="4" w:space="0" w:color="000000"/>
            </w:tcBorders>
            <w:shd w:val="clear" w:color="auto" w:fill="auto"/>
          </w:tcPr>
          <w:p w14:paraId="4778D5AF"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1AA79BD" w14:textId="77777777" w:rsidR="00F674A4" w:rsidRPr="00F0736F" w:rsidRDefault="00F674A4" w:rsidP="005F6A5E">
            <w:pPr>
              <w:ind w:firstLine="34"/>
              <w:jc w:val="both"/>
              <w:rPr>
                <w:color w:val="000000" w:themeColor="text1"/>
              </w:rPr>
            </w:pPr>
            <w:r w:rsidRPr="00F0736F">
              <w:rPr>
                <w:rFonts w:ascii="Times New Roman" w:hAnsi="Times New Roman" w:cs="Times New Roman"/>
                <w:color w:val="000000" w:themeColor="text1"/>
                <w:sz w:val="20"/>
                <w:szCs w:val="20"/>
              </w:rPr>
              <w:t>Необходимы показатели, сравнимые с международными</w:t>
            </w:r>
          </w:p>
        </w:tc>
      </w:tr>
      <w:tr w:rsidR="00F0736F" w:rsidRPr="00F0736F" w14:paraId="716FF89F" w14:textId="77777777">
        <w:tc>
          <w:tcPr>
            <w:tcW w:w="3060" w:type="dxa"/>
            <w:tcBorders>
              <w:top w:val="single" w:sz="4" w:space="0" w:color="000000"/>
              <w:left w:val="single" w:sz="4" w:space="0" w:color="000000"/>
              <w:bottom w:val="single" w:sz="4" w:space="0" w:color="000000"/>
            </w:tcBorders>
            <w:shd w:val="clear" w:color="auto" w:fill="auto"/>
          </w:tcPr>
          <w:p w14:paraId="7F399456"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15.4 К 2030 году обеспечить сохранение горных экосистем, в том числе их биоразнообразия, для того чтобы повысить их способность давать блага, необходимые для устойчивого развития</w:t>
            </w:r>
          </w:p>
        </w:tc>
        <w:tc>
          <w:tcPr>
            <w:tcW w:w="2205" w:type="dxa"/>
            <w:tcBorders>
              <w:top w:val="single" w:sz="4" w:space="0" w:color="000000"/>
              <w:left w:val="single" w:sz="4" w:space="0" w:color="000000"/>
              <w:bottom w:val="single" w:sz="4" w:space="0" w:color="000000"/>
            </w:tcBorders>
            <w:shd w:val="clear" w:color="auto" w:fill="auto"/>
          </w:tcPr>
          <w:p w14:paraId="5EFCA70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15.4.1 Доля охраняемых районов среди важных для горного биоразнообразия участков</w:t>
            </w:r>
          </w:p>
          <w:p w14:paraId="1DA1D6D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15.4.2 Индекс растительного покрова гор</w:t>
            </w:r>
          </w:p>
        </w:tc>
        <w:tc>
          <w:tcPr>
            <w:tcW w:w="1545" w:type="dxa"/>
            <w:tcBorders>
              <w:top w:val="single" w:sz="4" w:space="0" w:color="000000"/>
              <w:left w:val="single" w:sz="4" w:space="0" w:color="000000"/>
              <w:bottom w:val="single" w:sz="4" w:space="0" w:color="000000"/>
            </w:tcBorders>
            <w:shd w:val="clear" w:color="auto" w:fill="auto"/>
          </w:tcPr>
          <w:p w14:paraId="64BCFC7B"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412EE1DC"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E9B9355"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0D8B43A8" w14:textId="77777777">
        <w:tc>
          <w:tcPr>
            <w:tcW w:w="3060" w:type="dxa"/>
            <w:tcBorders>
              <w:top w:val="single" w:sz="4" w:space="0" w:color="000000"/>
              <w:left w:val="single" w:sz="4" w:space="0" w:color="000000"/>
              <w:bottom w:val="single" w:sz="4" w:space="0" w:color="000000"/>
            </w:tcBorders>
            <w:shd w:val="clear" w:color="auto" w:fill="auto"/>
          </w:tcPr>
          <w:p w14:paraId="6FA1D64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15.5 Незамедлительно принять значимые меры по сдерживанию деградации природных сред обитания, остановить утрату биологического разнообразия и к 2020 году обеспечить сохранение и предотвращение исчезновения видов, находящихся под угрозой вымирания</w:t>
            </w:r>
          </w:p>
        </w:tc>
        <w:tc>
          <w:tcPr>
            <w:tcW w:w="2205" w:type="dxa"/>
            <w:tcBorders>
              <w:top w:val="single" w:sz="4" w:space="0" w:color="000000"/>
              <w:left w:val="single" w:sz="4" w:space="0" w:color="000000"/>
              <w:bottom w:val="single" w:sz="4" w:space="0" w:color="000000"/>
            </w:tcBorders>
            <w:shd w:val="clear" w:color="auto" w:fill="auto"/>
          </w:tcPr>
          <w:p w14:paraId="2EA779EE"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15.5.1 Индекс Красного списка</w:t>
            </w:r>
          </w:p>
        </w:tc>
        <w:tc>
          <w:tcPr>
            <w:tcW w:w="1545" w:type="dxa"/>
            <w:tcBorders>
              <w:top w:val="single" w:sz="4" w:space="0" w:color="000000"/>
              <w:left w:val="single" w:sz="4" w:space="0" w:color="000000"/>
              <w:bottom w:val="single" w:sz="4" w:space="0" w:color="000000"/>
            </w:tcBorders>
            <w:shd w:val="clear" w:color="auto" w:fill="auto"/>
          </w:tcPr>
          <w:p w14:paraId="69FD6238"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38ADF87A"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5223D03"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1F8544ED" w14:textId="77777777">
        <w:tc>
          <w:tcPr>
            <w:tcW w:w="3060" w:type="dxa"/>
            <w:tcBorders>
              <w:top w:val="single" w:sz="4" w:space="0" w:color="000000"/>
              <w:left w:val="single" w:sz="4" w:space="0" w:color="000000"/>
              <w:bottom w:val="single" w:sz="4" w:space="0" w:color="000000"/>
            </w:tcBorders>
            <w:shd w:val="clear" w:color="auto" w:fill="auto"/>
          </w:tcPr>
          <w:p w14:paraId="32AF33E9"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15.6 Содействовать справедливому распределению благ от использования генетических ресурсов и способствовать обеспечению надлежащего доступа к таким ресурсам на согласованных на международном уровне условиях</w:t>
            </w:r>
          </w:p>
        </w:tc>
        <w:tc>
          <w:tcPr>
            <w:tcW w:w="2205" w:type="dxa"/>
            <w:tcBorders>
              <w:top w:val="single" w:sz="4" w:space="0" w:color="000000"/>
              <w:left w:val="single" w:sz="4" w:space="0" w:color="000000"/>
              <w:bottom w:val="single" w:sz="4" w:space="0" w:color="000000"/>
            </w:tcBorders>
            <w:shd w:val="clear" w:color="auto" w:fill="auto"/>
          </w:tcPr>
          <w:p w14:paraId="06674E1C"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15.6.1 Число стран, принявших комплексы законодательных, административных и директивных мер, обеспечивающих справедливое и недискриминационное распределение благ</w:t>
            </w:r>
          </w:p>
        </w:tc>
        <w:tc>
          <w:tcPr>
            <w:tcW w:w="1545" w:type="dxa"/>
            <w:tcBorders>
              <w:top w:val="single" w:sz="4" w:space="0" w:color="000000"/>
              <w:left w:val="single" w:sz="4" w:space="0" w:color="000000"/>
              <w:bottom w:val="single" w:sz="4" w:space="0" w:color="000000"/>
            </w:tcBorders>
            <w:shd w:val="clear" w:color="auto" w:fill="auto"/>
          </w:tcPr>
          <w:p w14:paraId="442C4131"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70CDD76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3CD8C1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59D4585C" w14:textId="77777777">
        <w:tc>
          <w:tcPr>
            <w:tcW w:w="3060" w:type="dxa"/>
            <w:tcBorders>
              <w:top w:val="single" w:sz="4" w:space="0" w:color="000000"/>
              <w:left w:val="single" w:sz="4" w:space="0" w:color="000000"/>
              <w:bottom w:val="single" w:sz="4" w:space="0" w:color="000000"/>
            </w:tcBorders>
            <w:shd w:val="clear" w:color="auto" w:fill="auto"/>
          </w:tcPr>
          <w:p w14:paraId="56B1EC66"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15.7 Незамедлительно принять меры для того, чтобы положить конец браконьерству и контрабандной торговле охраняемыми видами флоры и фауны и решить проблемы, касающиеся как спроса на незаконные продукты живой природы, так и их предложения</w:t>
            </w:r>
          </w:p>
        </w:tc>
        <w:tc>
          <w:tcPr>
            <w:tcW w:w="2205" w:type="dxa"/>
            <w:tcBorders>
              <w:top w:val="single" w:sz="4" w:space="0" w:color="000000"/>
              <w:left w:val="single" w:sz="4" w:space="0" w:color="000000"/>
              <w:bottom w:val="single" w:sz="4" w:space="0" w:color="000000"/>
            </w:tcBorders>
            <w:shd w:val="clear" w:color="auto" w:fill="auto"/>
          </w:tcPr>
          <w:p w14:paraId="02C6D6A8"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15.7.1 Доля диких животных, являющихся объектом браконьерства или незаконного оборота, среди видов, которыми ведется торговля</w:t>
            </w:r>
          </w:p>
        </w:tc>
        <w:tc>
          <w:tcPr>
            <w:tcW w:w="1545" w:type="dxa"/>
            <w:tcBorders>
              <w:top w:val="single" w:sz="4" w:space="0" w:color="000000"/>
              <w:left w:val="single" w:sz="4" w:space="0" w:color="000000"/>
              <w:bottom w:val="single" w:sz="4" w:space="0" w:color="000000"/>
            </w:tcBorders>
            <w:shd w:val="clear" w:color="auto" w:fill="auto"/>
          </w:tcPr>
          <w:p w14:paraId="2125971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3A221FB4"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A271EC5"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7C7C367A" w14:textId="77777777">
        <w:tc>
          <w:tcPr>
            <w:tcW w:w="3060" w:type="dxa"/>
            <w:tcBorders>
              <w:top w:val="single" w:sz="4" w:space="0" w:color="000000"/>
              <w:left w:val="single" w:sz="4" w:space="0" w:color="000000"/>
              <w:bottom w:val="single" w:sz="4" w:space="0" w:color="000000"/>
            </w:tcBorders>
            <w:shd w:val="clear" w:color="auto" w:fill="auto"/>
          </w:tcPr>
          <w:p w14:paraId="424EB7BC"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15.8 К 2020 году принять меры по предотвращению проникновения чужеродных инвазивных видов и по значительному уменьшению их воздействия на наземные и водные экосистемы, а также принять меры по предотвращению ограничения численности или уничтожения приоритетных видов</w:t>
            </w:r>
          </w:p>
        </w:tc>
        <w:tc>
          <w:tcPr>
            <w:tcW w:w="2205" w:type="dxa"/>
            <w:tcBorders>
              <w:top w:val="single" w:sz="4" w:space="0" w:color="000000"/>
              <w:left w:val="single" w:sz="4" w:space="0" w:color="000000"/>
              <w:bottom w:val="single" w:sz="4" w:space="0" w:color="000000"/>
            </w:tcBorders>
            <w:shd w:val="clear" w:color="auto" w:fill="auto"/>
          </w:tcPr>
          <w:p w14:paraId="60EB79DE"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15.8.1 Доля стран, принимающих соответствующее национальное законодательство и выделяющих достаточные ресурсы для предотвращения проникновения или регулирования численности чужеродных инвазивных видов</w:t>
            </w:r>
          </w:p>
        </w:tc>
        <w:tc>
          <w:tcPr>
            <w:tcW w:w="1545" w:type="dxa"/>
            <w:tcBorders>
              <w:top w:val="single" w:sz="4" w:space="0" w:color="000000"/>
              <w:left w:val="single" w:sz="4" w:space="0" w:color="000000"/>
              <w:bottom w:val="single" w:sz="4" w:space="0" w:color="000000"/>
            </w:tcBorders>
            <w:shd w:val="clear" w:color="auto" w:fill="auto"/>
          </w:tcPr>
          <w:p w14:paraId="44AF19EE"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0C82A8F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B98B59E"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06C3991E" w14:textId="77777777">
        <w:tc>
          <w:tcPr>
            <w:tcW w:w="3060" w:type="dxa"/>
            <w:tcBorders>
              <w:top w:val="single" w:sz="4" w:space="0" w:color="000000"/>
              <w:left w:val="single" w:sz="4" w:space="0" w:color="000000"/>
              <w:bottom w:val="single" w:sz="4" w:space="0" w:color="000000"/>
            </w:tcBorders>
            <w:shd w:val="clear" w:color="auto" w:fill="auto"/>
          </w:tcPr>
          <w:p w14:paraId="4442DC7B"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15.9 К 2020 году обеспечить учет ценности экосистем и биологического разнообразия в ходе общенационального и местного планирования и процессов развития, а также при разработке стратегий и планов сокращения масштабов бедности</w:t>
            </w:r>
          </w:p>
        </w:tc>
        <w:tc>
          <w:tcPr>
            <w:tcW w:w="2205" w:type="dxa"/>
            <w:tcBorders>
              <w:top w:val="single" w:sz="4" w:space="0" w:color="000000"/>
              <w:left w:val="single" w:sz="4" w:space="0" w:color="000000"/>
              <w:bottom w:val="single" w:sz="4" w:space="0" w:color="000000"/>
            </w:tcBorders>
            <w:shd w:val="clear" w:color="auto" w:fill="auto"/>
          </w:tcPr>
          <w:p w14:paraId="541145C1"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15.9.1 Прогресс в достижении национальных целевых показателей, установленных в соответствии с Айтинской целевой задачей 2 по биоразнообразию в рамках Стратегического плана по биоразнообразию на 2011–2020 годы</w:t>
            </w:r>
          </w:p>
        </w:tc>
        <w:tc>
          <w:tcPr>
            <w:tcW w:w="1545" w:type="dxa"/>
            <w:tcBorders>
              <w:top w:val="single" w:sz="4" w:space="0" w:color="000000"/>
              <w:left w:val="single" w:sz="4" w:space="0" w:color="000000"/>
              <w:bottom w:val="single" w:sz="4" w:space="0" w:color="000000"/>
            </w:tcBorders>
            <w:shd w:val="clear" w:color="auto" w:fill="auto"/>
          </w:tcPr>
          <w:p w14:paraId="35ADEC9C"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6C5ADAE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48E00DA"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1CCEC26E" w14:textId="77777777">
        <w:tc>
          <w:tcPr>
            <w:tcW w:w="3060" w:type="dxa"/>
            <w:tcBorders>
              <w:top w:val="single" w:sz="4" w:space="0" w:color="000000"/>
              <w:left w:val="single" w:sz="4" w:space="0" w:color="000000"/>
              <w:bottom w:val="single" w:sz="4" w:space="0" w:color="000000"/>
            </w:tcBorders>
            <w:shd w:val="clear" w:color="auto" w:fill="auto"/>
          </w:tcPr>
          <w:p w14:paraId="18D5D95C"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15.a Мобилизовать и значительно увеличить финансовые ресурсы из всех источников в целях сохранения и рационального использования биологического разнообразия и экосистем</w:t>
            </w:r>
          </w:p>
        </w:tc>
        <w:tc>
          <w:tcPr>
            <w:tcW w:w="2205" w:type="dxa"/>
            <w:tcBorders>
              <w:top w:val="single" w:sz="4" w:space="0" w:color="000000"/>
              <w:left w:val="single" w:sz="4" w:space="0" w:color="000000"/>
              <w:bottom w:val="single" w:sz="4" w:space="0" w:color="000000"/>
            </w:tcBorders>
            <w:shd w:val="clear" w:color="auto" w:fill="auto"/>
          </w:tcPr>
          <w:p w14:paraId="5F006082"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15.a.1 Объем официальной помощи в целях развития и государственных средств, выделяемых на сохранение и рациональное использование биоразнообразия и экосистем</w:t>
            </w:r>
          </w:p>
        </w:tc>
        <w:tc>
          <w:tcPr>
            <w:tcW w:w="1545" w:type="dxa"/>
            <w:tcBorders>
              <w:top w:val="single" w:sz="4" w:space="0" w:color="000000"/>
              <w:left w:val="single" w:sz="4" w:space="0" w:color="000000"/>
              <w:bottom w:val="single" w:sz="4" w:space="0" w:color="000000"/>
            </w:tcBorders>
            <w:shd w:val="clear" w:color="auto" w:fill="auto"/>
          </w:tcPr>
          <w:p w14:paraId="2C833D02"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41C85124"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CDD9CA2"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0736F" w:rsidRPr="00F0736F" w14:paraId="082F0060" w14:textId="77777777">
        <w:tc>
          <w:tcPr>
            <w:tcW w:w="3060" w:type="dxa"/>
            <w:tcBorders>
              <w:top w:val="single" w:sz="4" w:space="0" w:color="000000"/>
              <w:left w:val="single" w:sz="4" w:space="0" w:color="000000"/>
              <w:bottom w:val="single" w:sz="4" w:space="0" w:color="000000"/>
            </w:tcBorders>
            <w:shd w:val="clear" w:color="auto" w:fill="auto"/>
          </w:tcPr>
          <w:p w14:paraId="4305A5B1"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15.b Мобилизовать значительные ресурсы из всех источников и на всех уровнях для финансирования рационального лесопользования и дать развивающимся странам адекватные стимулы для применения таких методов управления, в том числе в целях сохранения и восстановления лесов</w:t>
            </w:r>
          </w:p>
        </w:tc>
        <w:tc>
          <w:tcPr>
            <w:tcW w:w="2205" w:type="dxa"/>
            <w:tcBorders>
              <w:top w:val="single" w:sz="4" w:space="0" w:color="000000"/>
              <w:left w:val="single" w:sz="4" w:space="0" w:color="000000"/>
              <w:bottom w:val="single" w:sz="4" w:space="0" w:color="000000"/>
            </w:tcBorders>
            <w:shd w:val="clear" w:color="auto" w:fill="auto"/>
          </w:tcPr>
          <w:p w14:paraId="4AB245D3"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15.b.1 Объем официальной помощи в целях развития и государственных средств, выделяемых на сохранение и рациональное использование биоразнообразия и экосистем</w:t>
            </w:r>
          </w:p>
        </w:tc>
        <w:tc>
          <w:tcPr>
            <w:tcW w:w="1545" w:type="dxa"/>
            <w:tcBorders>
              <w:top w:val="single" w:sz="4" w:space="0" w:color="000000"/>
              <w:left w:val="single" w:sz="4" w:space="0" w:color="000000"/>
              <w:bottom w:val="single" w:sz="4" w:space="0" w:color="000000"/>
            </w:tcBorders>
            <w:shd w:val="clear" w:color="auto" w:fill="auto"/>
          </w:tcPr>
          <w:p w14:paraId="342D974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541160A6"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9B5A2B0"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r w:rsidR="00F674A4" w:rsidRPr="00F0736F" w14:paraId="0CE23EAE" w14:textId="77777777">
        <w:tc>
          <w:tcPr>
            <w:tcW w:w="3060" w:type="dxa"/>
            <w:tcBorders>
              <w:top w:val="single" w:sz="4" w:space="0" w:color="000000"/>
              <w:left w:val="single" w:sz="4" w:space="0" w:color="000000"/>
              <w:bottom w:val="single" w:sz="4" w:space="0" w:color="000000"/>
            </w:tcBorders>
            <w:shd w:val="clear" w:color="auto" w:fill="auto"/>
          </w:tcPr>
          <w:p w14:paraId="0E2E0C7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15.c Активизировать глобальные усилия по борьбе с браконьерством и контрабандной торговлей охраняемыми видами, в том числе путем расширения имеющихся у местного населения возможностей получать средства к существованию экологически безопасным образом</w:t>
            </w:r>
          </w:p>
        </w:tc>
        <w:tc>
          <w:tcPr>
            <w:tcW w:w="2205" w:type="dxa"/>
            <w:tcBorders>
              <w:top w:val="single" w:sz="4" w:space="0" w:color="000000"/>
              <w:left w:val="single" w:sz="4" w:space="0" w:color="000000"/>
              <w:bottom w:val="single" w:sz="4" w:space="0" w:color="000000"/>
            </w:tcBorders>
            <w:shd w:val="clear" w:color="auto" w:fill="auto"/>
          </w:tcPr>
          <w:p w14:paraId="17A0DD71"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15.c.1 Доля диких животных, являющихся объектом браконьерства или незаконного оборота, среди видов, которыми ведется торговля</w:t>
            </w:r>
          </w:p>
        </w:tc>
        <w:tc>
          <w:tcPr>
            <w:tcW w:w="1545" w:type="dxa"/>
            <w:tcBorders>
              <w:top w:val="single" w:sz="4" w:space="0" w:color="000000"/>
              <w:left w:val="single" w:sz="4" w:space="0" w:color="000000"/>
              <w:bottom w:val="single" w:sz="4" w:space="0" w:color="000000"/>
            </w:tcBorders>
            <w:shd w:val="clear" w:color="auto" w:fill="auto"/>
          </w:tcPr>
          <w:p w14:paraId="115BF1F9"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 отслеживается</w:t>
            </w:r>
          </w:p>
        </w:tc>
        <w:tc>
          <w:tcPr>
            <w:tcW w:w="1470" w:type="dxa"/>
            <w:tcBorders>
              <w:top w:val="single" w:sz="4" w:space="0" w:color="000000"/>
              <w:left w:val="single" w:sz="4" w:space="0" w:color="000000"/>
              <w:bottom w:val="single" w:sz="4" w:space="0" w:color="000000"/>
            </w:tcBorders>
            <w:shd w:val="clear" w:color="auto" w:fill="auto"/>
          </w:tcPr>
          <w:p w14:paraId="0F5EA099"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C43B778"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Необходима разработка Стратегии сохранения биоразнообразия с соответствующими показателями</w:t>
            </w:r>
          </w:p>
        </w:tc>
      </w:tr>
    </w:tbl>
    <w:p w14:paraId="5E8B42A5" w14:textId="77777777" w:rsidR="00F674A4" w:rsidRPr="00F0736F" w:rsidRDefault="00F674A4" w:rsidP="008727D9">
      <w:pPr>
        <w:ind w:firstLine="709"/>
        <w:jc w:val="both"/>
        <w:rPr>
          <w:rFonts w:ascii="Times New Roman" w:hAnsi="Times New Roman" w:cs="Times New Roman"/>
          <w:color w:val="000000" w:themeColor="text1"/>
        </w:rPr>
      </w:pPr>
    </w:p>
    <w:p w14:paraId="1F889EF1" w14:textId="77777777"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3DED3FDE" w14:textId="4B33CB03"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ru-RU"/>
        </w:rPr>
        <w:t xml:space="preserve">Дальнейшее развитие </w:t>
      </w:r>
      <w:r w:rsidRPr="00F0736F">
        <w:rPr>
          <w:rFonts w:ascii="Times New Roman" w:eastAsia="Calibri" w:hAnsi="Times New Roman" w:cs="Times New Roman"/>
          <w:b/>
          <w:bCs/>
          <w:color w:val="000000" w:themeColor="text1"/>
          <w:spacing w:val="2"/>
          <w:lang w:eastAsia="ru-RU"/>
        </w:rPr>
        <w:t>сети особо охраняемых природных территорий</w:t>
      </w:r>
      <w:r w:rsidRPr="00F0736F">
        <w:rPr>
          <w:rFonts w:ascii="Times New Roman" w:eastAsia="Calibri" w:hAnsi="Times New Roman" w:cs="Times New Roman"/>
          <w:color w:val="000000" w:themeColor="text1"/>
          <w:spacing w:val="2"/>
          <w:lang w:eastAsia="ru-RU"/>
        </w:rPr>
        <w:t xml:space="preserve"> предусмотрено Основными положениями </w:t>
      </w:r>
      <w:r w:rsidRPr="00F0736F">
        <w:rPr>
          <w:rFonts w:ascii="Times New Roman" w:eastAsia="Calibri" w:hAnsi="Times New Roman" w:cs="Times New Roman"/>
          <w:bCs/>
          <w:color w:val="000000" w:themeColor="text1"/>
          <w:spacing w:val="2"/>
          <w:lang w:eastAsia="ru-RU"/>
        </w:rPr>
        <w:t xml:space="preserve">Генеральной схемы организации территории Республики Казахстан </w:t>
      </w:r>
      <w:r w:rsidRPr="00F0736F">
        <w:rPr>
          <w:rFonts w:ascii="Times New Roman" w:eastAsia="Calibri" w:hAnsi="Times New Roman" w:cs="Times New Roman"/>
          <w:color w:val="000000" w:themeColor="text1"/>
          <w:spacing w:val="2"/>
          <w:lang w:eastAsia="ru-RU"/>
        </w:rPr>
        <w:t xml:space="preserve">(Постановление Правительства </w:t>
      </w:r>
      <w:r w:rsidR="00D0798A" w:rsidRPr="00F0736F">
        <w:rPr>
          <w:rFonts w:ascii="Times New Roman" w:eastAsia="Calibri" w:hAnsi="Times New Roman" w:cs="Times New Roman"/>
          <w:color w:val="000000" w:themeColor="text1"/>
          <w:spacing w:val="2"/>
          <w:lang w:eastAsia="ru-RU"/>
        </w:rPr>
        <w:t xml:space="preserve">2013 года </w:t>
      </w:r>
      <w:r w:rsidRPr="00F0736F">
        <w:rPr>
          <w:rFonts w:ascii="Times New Roman" w:eastAsia="Calibri" w:hAnsi="Times New Roman" w:cs="Times New Roman"/>
          <w:color w:val="000000" w:themeColor="text1"/>
          <w:spacing w:val="2"/>
          <w:lang w:eastAsia="ru-RU"/>
        </w:rPr>
        <w:t>№</w:t>
      </w:r>
      <w:r w:rsidR="00D0798A" w:rsidRPr="00F0736F">
        <w:rPr>
          <w:rFonts w:ascii="Times New Roman" w:eastAsia="Calibri" w:hAnsi="Times New Roman" w:cs="Times New Roman"/>
          <w:color w:val="000000" w:themeColor="text1"/>
          <w:spacing w:val="2"/>
          <w:lang w:eastAsia="ru-RU"/>
        </w:rPr>
        <w:t xml:space="preserve"> </w:t>
      </w:r>
      <w:r w:rsidRPr="00F0736F">
        <w:rPr>
          <w:rFonts w:ascii="Times New Roman" w:eastAsia="Calibri" w:hAnsi="Times New Roman" w:cs="Times New Roman"/>
          <w:color w:val="000000" w:themeColor="text1"/>
          <w:spacing w:val="2"/>
          <w:lang w:eastAsia="ru-RU"/>
        </w:rPr>
        <w:t>1434), в соответствии с которыми предполагается увеличение сети до 29,1 млн. га (10,67% территории страны) к 2020 г</w:t>
      </w:r>
      <w:r w:rsidR="00D0798A" w:rsidRPr="00F0736F">
        <w:rPr>
          <w:rFonts w:ascii="Times New Roman" w:eastAsia="Calibri" w:hAnsi="Times New Roman" w:cs="Times New Roman"/>
          <w:color w:val="000000" w:themeColor="text1"/>
          <w:spacing w:val="2"/>
          <w:lang w:eastAsia="ru-RU"/>
        </w:rPr>
        <w:t>оду</w:t>
      </w:r>
      <w:r w:rsidRPr="00F0736F">
        <w:rPr>
          <w:rFonts w:ascii="Times New Roman" w:eastAsia="Calibri" w:hAnsi="Times New Roman" w:cs="Times New Roman"/>
          <w:color w:val="000000" w:themeColor="text1"/>
          <w:spacing w:val="2"/>
          <w:lang w:eastAsia="ru-RU"/>
        </w:rPr>
        <w:t xml:space="preserve"> и 41,6 млн. га (15,27%) к 2030 </w:t>
      </w:r>
      <w:r w:rsidR="00D0798A" w:rsidRPr="00F0736F">
        <w:rPr>
          <w:rFonts w:ascii="Times New Roman" w:eastAsia="Calibri" w:hAnsi="Times New Roman" w:cs="Times New Roman"/>
          <w:color w:val="000000" w:themeColor="text1"/>
          <w:spacing w:val="2"/>
          <w:lang w:eastAsia="ru-RU"/>
        </w:rPr>
        <w:t>году</w:t>
      </w:r>
      <w:r w:rsidRPr="00F0736F">
        <w:rPr>
          <w:rFonts w:ascii="Times New Roman" w:eastAsia="Calibri" w:hAnsi="Times New Roman" w:cs="Times New Roman"/>
          <w:color w:val="000000" w:themeColor="text1"/>
          <w:spacing w:val="2"/>
          <w:lang w:eastAsia="ru-RU"/>
        </w:rPr>
        <w:t>. Однако эти запланированные изменения все равно не обеспечат решение принятой в Айти целевой задачи №</w:t>
      </w:r>
      <w:r w:rsidR="00D0798A" w:rsidRPr="00F0736F">
        <w:rPr>
          <w:rFonts w:ascii="Times New Roman" w:eastAsia="Calibri" w:hAnsi="Times New Roman" w:cs="Times New Roman"/>
          <w:color w:val="000000" w:themeColor="text1"/>
          <w:spacing w:val="2"/>
          <w:lang w:eastAsia="ru-RU"/>
        </w:rPr>
        <w:t xml:space="preserve"> </w:t>
      </w:r>
      <w:r w:rsidRPr="00F0736F">
        <w:rPr>
          <w:rFonts w:ascii="Times New Roman" w:eastAsia="Calibri" w:hAnsi="Times New Roman" w:cs="Times New Roman"/>
          <w:color w:val="000000" w:themeColor="text1"/>
          <w:spacing w:val="2"/>
          <w:lang w:eastAsia="ru-RU"/>
        </w:rPr>
        <w:t xml:space="preserve">11 КБР, согласно которой к 2020 </w:t>
      </w:r>
      <w:r w:rsidR="00D0798A" w:rsidRPr="00F0736F">
        <w:rPr>
          <w:rFonts w:ascii="Times New Roman" w:eastAsia="Calibri" w:hAnsi="Times New Roman" w:cs="Times New Roman"/>
          <w:color w:val="000000" w:themeColor="text1"/>
          <w:spacing w:val="2"/>
          <w:lang w:eastAsia="ru-RU"/>
        </w:rPr>
        <w:t>году</w:t>
      </w:r>
      <w:r w:rsidRPr="00F0736F">
        <w:rPr>
          <w:rFonts w:ascii="Times New Roman" w:eastAsia="Calibri" w:hAnsi="Times New Roman" w:cs="Times New Roman"/>
          <w:color w:val="000000" w:themeColor="text1"/>
          <w:spacing w:val="2"/>
          <w:lang w:eastAsia="ru-RU"/>
        </w:rPr>
        <w:t xml:space="preserve"> как минимум 17% районов суши и внутренних вод и 10% прибрежных и морских районов сохраняются за счет эффективного и справедливого управления, существования экологически репрезентативных и хорошо связанных между собой систем охраняемых районов.</w:t>
      </w:r>
    </w:p>
    <w:p w14:paraId="51B7FEF0" w14:textId="215262F4" w:rsidR="00F674A4" w:rsidRPr="00F0736F" w:rsidRDefault="00BC141A" w:rsidP="008727D9">
      <w:pPr>
        <w:ind w:firstLine="709"/>
        <w:jc w:val="both"/>
        <w:rPr>
          <w:color w:val="000000" w:themeColor="text1"/>
        </w:rPr>
      </w:pPr>
      <w:r w:rsidRPr="00F0736F">
        <w:rPr>
          <w:rFonts w:ascii="Times New Roman" w:eastAsia="Calibri" w:hAnsi="Times New Roman" w:cs="Times New Roman"/>
          <w:color w:val="000000" w:themeColor="text1"/>
          <w:spacing w:val="2"/>
          <w:lang w:eastAsia="pl-PL"/>
        </w:rPr>
        <w:t xml:space="preserve"> </w:t>
      </w:r>
      <w:r w:rsidR="00F674A4" w:rsidRPr="00F0736F">
        <w:rPr>
          <w:rFonts w:ascii="Times New Roman" w:eastAsia="Times New Roman" w:hAnsi="Times New Roman" w:cs="Times New Roman"/>
          <w:color w:val="000000" w:themeColor="text1"/>
          <w:spacing w:val="2"/>
          <w:lang w:eastAsia="ru-RU"/>
        </w:rPr>
        <w:t>Стратегически</w:t>
      </w:r>
      <w:r w:rsidRPr="00F0736F">
        <w:rPr>
          <w:rFonts w:ascii="Times New Roman" w:eastAsia="Times New Roman" w:hAnsi="Times New Roman" w:cs="Times New Roman"/>
          <w:color w:val="000000" w:themeColor="text1"/>
          <w:spacing w:val="2"/>
          <w:lang w:eastAsia="ru-RU"/>
        </w:rPr>
        <w:t>м</w:t>
      </w:r>
      <w:r w:rsidR="00F674A4" w:rsidRPr="00F0736F">
        <w:rPr>
          <w:rFonts w:ascii="Times New Roman" w:eastAsia="Times New Roman" w:hAnsi="Times New Roman" w:cs="Times New Roman"/>
          <w:color w:val="000000" w:themeColor="text1"/>
          <w:spacing w:val="2"/>
          <w:lang w:eastAsia="ru-RU"/>
        </w:rPr>
        <w:t xml:space="preserve"> план</w:t>
      </w:r>
      <w:r w:rsidRPr="00F0736F">
        <w:rPr>
          <w:rFonts w:ascii="Times New Roman" w:eastAsia="Times New Roman" w:hAnsi="Times New Roman" w:cs="Times New Roman"/>
          <w:color w:val="000000" w:themeColor="text1"/>
          <w:spacing w:val="2"/>
          <w:lang w:eastAsia="ru-RU"/>
        </w:rPr>
        <w:t>ом</w:t>
      </w:r>
      <w:r w:rsidR="00F674A4" w:rsidRPr="00F0736F">
        <w:rPr>
          <w:rFonts w:ascii="Times New Roman" w:eastAsia="Times New Roman" w:hAnsi="Times New Roman" w:cs="Times New Roman"/>
          <w:color w:val="000000" w:themeColor="text1"/>
          <w:spacing w:val="2"/>
          <w:lang w:eastAsia="ru-RU"/>
        </w:rPr>
        <w:t xml:space="preserve"> развития Республики Казахстан до 2025 года в рамках </w:t>
      </w:r>
      <w:bookmarkStart w:id="33" w:name="z113011"/>
      <w:bookmarkEnd w:id="33"/>
      <w:r w:rsidR="00F674A4" w:rsidRPr="00F0736F">
        <w:rPr>
          <w:rFonts w:ascii="Times New Roman" w:eastAsia="Times New Roman" w:hAnsi="Times New Roman" w:cs="Times New Roman"/>
          <w:color w:val="000000" w:themeColor="text1"/>
          <w:spacing w:val="2"/>
          <w:lang w:eastAsia="ru-RU"/>
        </w:rPr>
        <w:t>Задачи 7.</w:t>
      </w:r>
      <w:r w:rsidR="00D0798A" w:rsidRPr="00F0736F">
        <w:rPr>
          <w:rFonts w:ascii="Times New Roman" w:eastAsia="Times New Roman" w:hAnsi="Times New Roman" w:cs="Times New Roman"/>
          <w:color w:val="000000" w:themeColor="text1"/>
          <w:spacing w:val="2"/>
          <w:lang w:eastAsia="ru-RU"/>
        </w:rPr>
        <w:t xml:space="preserve"> «</w:t>
      </w:r>
      <w:r w:rsidR="00F674A4" w:rsidRPr="00F0736F">
        <w:rPr>
          <w:rFonts w:ascii="Times New Roman" w:eastAsia="Times New Roman" w:hAnsi="Times New Roman" w:cs="Times New Roman"/>
          <w:color w:val="000000" w:themeColor="text1"/>
          <w:spacing w:val="2"/>
          <w:lang w:eastAsia="ru-RU"/>
        </w:rPr>
        <w:t>Сохранение биологического разнообразия</w:t>
      </w:r>
      <w:r w:rsidR="00D0798A" w:rsidRPr="00F0736F">
        <w:rPr>
          <w:rFonts w:ascii="Times New Roman" w:eastAsia="Times New Roman"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предусматривается, что  Казахстан продолжит политику сохранения биологического разнообразия через увеличение лесистости территории и доведения ее до 4,8%</w:t>
      </w:r>
      <w:r w:rsidR="006A5A92" w:rsidRPr="00F0736F">
        <w:rPr>
          <w:rFonts w:ascii="Times New Roman" w:eastAsia="Times New Roman" w:hAnsi="Times New Roman" w:cs="Times New Roman"/>
          <w:color w:val="000000" w:themeColor="text1"/>
          <w:spacing w:val="2"/>
          <w:lang w:eastAsia="ru-RU"/>
        </w:rPr>
        <w:t>.</w:t>
      </w:r>
      <w:r w:rsidR="00F674A4" w:rsidRPr="00F0736F">
        <w:rPr>
          <w:rFonts w:ascii="Times New Roman" w:eastAsia="Times New Roman" w:hAnsi="Times New Roman" w:cs="Times New Roman"/>
          <w:color w:val="000000" w:themeColor="text1"/>
          <w:spacing w:val="2"/>
          <w:lang w:eastAsia="ru-RU"/>
        </w:rPr>
        <w:t xml:space="preserve"> </w:t>
      </w:r>
      <w:r w:rsidR="006A5A92" w:rsidRPr="00F0736F">
        <w:rPr>
          <w:rFonts w:ascii="Times New Roman" w:eastAsia="Times New Roman" w:hAnsi="Times New Roman" w:cs="Times New Roman"/>
          <w:color w:val="000000" w:themeColor="text1"/>
          <w:spacing w:val="2"/>
          <w:lang w:eastAsia="ru-RU"/>
        </w:rPr>
        <w:t>В</w:t>
      </w:r>
      <w:r w:rsidR="00F674A4" w:rsidRPr="00F0736F">
        <w:rPr>
          <w:rFonts w:ascii="Times New Roman" w:eastAsia="Times New Roman" w:hAnsi="Times New Roman" w:cs="Times New Roman"/>
          <w:color w:val="000000" w:themeColor="text1"/>
          <w:spacing w:val="2"/>
          <w:lang w:eastAsia="ru-RU"/>
        </w:rPr>
        <w:t xml:space="preserve"> рамках национальной стратегии по устойчивому управлению земельными ресурсами продолжится работа по реализации стратегических мер, направленных на системное решение проблемы деградации и опустынивания земель, предполагается увеличение объемов воспроизводства лесов и лесоразведения, создание зеленых зон вокруг областных центров, развитие частного лесоразведения.</w:t>
      </w:r>
    </w:p>
    <w:p w14:paraId="1ABC2E7B"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Казахстан продолжит политику сохранения биологического разнообразия также через сохранение популяции видов рыб и развитие товарного рыбоводства и аквакультуры</w:t>
      </w:r>
      <w:r w:rsidRPr="00F0736F">
        <w:rPr>
          <w:rStyle w:val="a4"/>
          <w:rFonts w:ascii="Times New Roman" w:eastAsia="Times New Roman" w:hAnsi="Times New Roman" w:cs="Times New Roman"/>
          <w:color w:val="000000" w:themeColor="text1"/>
          <w:spacing w:val="2"/>
          <w:lang w:eastAsia="ru-RU"/>
        </w:rPr>
        <w:footnoteReference w:id="117"/>
      </w:r>
      <w:r w:rsidRPr="00F0736F">
        <w:rPr>
          <w:rFonts w:ascii="Times New Roman" w:eastAsia="Times New Roman" w:hAnsi="Times New Roman" w:cs="Times New Roman"/>
          <w:color w:val="000000" w:themeColor="text1"/>
          <w:spacing w:val="2"/>
          <w:lang w:eastAsia="ru-RU"/>
        </w:rPr>
        <w:t>.</w:t>
      </w:r>
    </w:p>
    <w:p w14:paraId="404FF0BC" w14:textId="77777777" w:rsidR="00F674A4" w:rsidRPr="00F0736F" w:rsidRDefault="00BC141A" w:rsidP="008727D9">
      <w:pPr>
        <w:ind w:firstLine="709"/>
        <w:jc w:val="both"/>
        <w:rPr>
          <w:bCs/>
          <w:color w:val="000000" w:themeColor="text1"/>
        </w:rPr>
      </w:pPr>
      <w:r w:rsidRPr="00F0736F">
        <w:rPr>
          <w:rFonts w:ascii="Times New Roman" w:eastAsia="Calibri" w:hAnsi="Times New Roman" w:cs="Times New Roman"/>
          <w:color w:val="000000" w:themeColor="text1"/>
          <w:lang w:val="kk-KZ"/>
        </w:rPr>
        <w:t>В</w:t>
      </w:r>
      <w:r w:rsidR="00F674A4" w:rsidRPr="00F0736F">
        <w:rPr>
          <w:rFonts w:ascii="Times New Roman" w:eastAsia="Calibri" w:hAnsi="Times New Roman" w:cs="Times New Roman"/>
          <w:color w:val="000000" w:themeColor="text1"/>
          <w:lang w:val="kk-KZ"/>
        </w:rPr>
        <w:t xml:space="preserve"> мае 2019 года К</w:t>
      </w:r>
      <w:r w:rsidR="00F674A4" w:rsidRPr="00F0736F">
        <w:rPr>
          <w:rFonts w:ascii="Times New Roman" w:hAnsi="Times New Roman" w:cs="Times New Roman"/>
          <w:color w:val="000000" w:themeColor="text1"/>
          <w:lang w:val="kk-KZ"/>
        </w:rPr>
        <w:t>омпанией «</w:t>
      </w:r>
      <w:r w:rsidR="00F674A4" w:rsidRPr="00F0736F">
        <w:rPr>
          <w:rFonts w:ascii="Times New Roman" w:eastAsia="Calibri" w:hAnsi="Times New Roman" w:cs="Times New Roman"/>
          <w:color w:val="000000" w:themeColor="text1"/>
          <w:lang w:val="en-US"/>
        </w:rPr>
        <w:t>NCOC</w:t>
      </w:r>
      <w:r w:rsidR="00F674A4" w:rsidRPr="00F0736F">
        <w:rPr>
          <w:rFonts w:ascii="Times New Roman" w:eastAsia="Calibri" w:hAnsi="Times New Roman" w:cs="Times New Roman"/>
          <w:color w:val="000000" w:themeColor="text1"/>
        </w:rPr>
        <w:t xml:space="preserve"> </w:t>
      </w:r>
      <w:r w:rsidR="00F674A4" w:rsidRPr="00F0736F">
        <w:rPr>
          <w:rFonts w:ascii="Times New Roman" w:eastAsia="Calibri" w:hAnsi="Times New Roman" w:cs="Times New Roman"/>
          <w:color w:val="000000" w:themeColor="text1"/>
          <w:lang w:val="en-US"/>
        </w:rPr>
        <w:t>N</w:t>
      </w:r>
      <w:r w:rsidR="00F674A4" w:rsidRPr="00F0736F">
        <w:rPr>
          <w:rFonts w:ascii="Times New Roman" w:eastAsia="Calibri" w:hAnsi="Times New Roman" w:cs="Times New Roman"/>
          <w:color w:val="000000" w:themeColor="text1"/>
        </w:rPr>
        <w:t>.</w:t>
      </w:r>
      <w:r w:rsidR="00F674A4" w:rsidRPr="00F0736F">
        <w:rPr>
          <w:rFonts w:ascii="Times New Roman" w:eastAsia="Calibri" w:hAnsi="Times New Roman" w:cs="Times New Roman"/>
          <w:color w:val="000000" w:themeColor="text1"/>
          <w:lang w:val="en-US"/>
        </w:rPr>
        <w:t>V</w:t>
      </w:r>
      <w:r w:rsidR="00F674A4" w:rsidRPr="00F0736F">
        <w:rPr>
          <w:rFonts w:ascii="Times New Roman" w:eastAsia="Calibri" w:hAnsi="Times New Roman" w:cs="Times New Roman"/>
          <w:color w:val="000000" w:themeColor="text1"/>
        </w:rPr>
        <w:t xml:space="preserve">.» и Федеральным государственным бюджетным учреждением науки Институтом проблем экологии и эволюции имени А.Н. Северцова Российской академии наук (ИПЭЭ РАН) подписано Соглашение о научном сотрудничестве и взаимодействии и разработан проект </w:t>
      </w:r>
      <w:r w:rsidR="00F674A4" w:rsidRPr="00F0736F">
        <w:rPr>
          <w:rFonts w:ascii="Times New Roman" w:eastAsia="Calibri" w:hAnsi="Times New Roman" w:cs="Times New Roman"/>
          <w:bCs/>
          <w:color w:val="000000" w:themeColor="text1"/>
        </w:rPr>
        <w:t xml:space="preserve">Программы исследований каспийского тюленя в акватории Северного Каспия на 2019 - 2023 годы. </w:t>
      </w:r>
    </w:p>
    <w:p w14:paraId="55D3442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lang w:val="kk-KZ"/>
        </w:rPr>
        <w:t xml:space="preserve">3 июля 2019 года в городе Нур-Султан проведена </w:t>
      </w:r>
      <w:r w:rsidRPr="00F0736F">
        <w:rPr>
          <w:rFonts w:ascii="Times New Roman" w:eastAsia="Calibri" w:hAnsi="Times New Roman" w:cs="Times New Roman"/>
          <w:color w:val="000000" w:themeColor="text1"/>
          <w:lang w:val="kk-KZ"/>
        </w:rPr>
        <w:t xml:space="preserve">конференция с участием ученых Республики Казахстан (НПЦ рыбного хозяйства, НПЦ микробиологии и вирусологии, Казахстанское агентство прикладной экологии), Российской Федерации (ИПЭЭ  РАН) и представителей Министерства иностранных дел Российской Федерации, Представительства ПАО «Газпром» в Республике Казахстан в городе </w:t>
      </w:r>
      <w:r w:rsidRPr="00F0736F">
        <w:rPr>
          <w:rFonts w:ascii="Times New Roman" w:hAnsi="Times New Roman" w:cs="Times New Roman"/>
          <w:color w:val="000000" w:themeColor="text1"/>
        </w:rPr>
        <w:t>Нур-Султан</w:t>
      </w:r>
      <w:r w:rsidRPr="00F0736F">
        <w:rPr>
          <w:rFonts w:ascii="Times New Roman" w:eastAsia="Calibri" w:hAnsi="Times New Roman" w:cs="Times New Roman"/>
          <w:color w:val="000000" w:themeColor="text1"/>
          <w:lang w:val="kk-KZ"/>
        </w:rPr>
        <w:t>, ТОО «</w:t>
      </w:r>
      <w:r w:rsidRPr="00F0736F">
        <w:rPr>
          <w:rFonts w:ascii="Times New Roman" w:eastAsia="Calibri" w:hAnsi="Times New Roman" w:cs="Times New Roman"/>
          <w:color w:val="000000" w:themeColor="text1"/>
          <w:lang w:val="en-US"/>
        </w:rPr>
        <w:t>PSA</w:t>
      </w:r>
      <w:r w:rsidRPr="00F0736F">
        <w:rPr>
          <w:rFonts w:ascii="Times New Roman" w:eastAsia="Calibri" w:hAnsi="Times New Roman" w:cs="Times New Roman"/>
          <w:color w:val="000000" w:themeColor="text1"/>
        </w:rPr>
        <w:t>», Компании «</w:t>
      </w:r>
      <w:r w:rsidRPr="00F0736F">
        <w:rPr>
          <w:rFonts w:ascii="Times New Roman" w:eastAsia="Calibri" w:hAnsi="Times New Roman" w:cs="Times New Roman"/>
          <w:color w:val="000000" w:themeColor="text1"/>
          <w:lang w:val="en-US"/>
        </w:rPr>
        <w:t>NCOC</w:t>
      </w:r>
      <w:r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en-US"/>
        </w:rPr>
        <w:t>N</w:t>
      </w:r>
      <w:r w:rsidRPr="00F0736F">
        <w:rPr>
          <w:rFonts w:ascii="Times New Roman" w:eastAsia="Calibri" w:hAnsi="Times New Roman" w:cs="Times New Roman"/>
          <w:color w:val="000000" w:themeColor="text1"/>
        </w:rPr>
        <w:t>.</w:t>
      </w:r>
      <w:r w:rsidRPr="00F0736F">
        <w:rPr>
          <w:rFonts w:ascii="Times New Roman" w:eastAsia="Calibri" w:hAnsi="Times New Roman" w:cs="Times New Roman"/>
          <w:color w:val="000000" w:themeColor="text1"/>
          <w:lang w:val="en-US"/>
        </w:rPr>
        <w:t>V</w:t>
      </w:r>
      <w:r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kk-KZ"/>
        </w:rPr>
        <w:t xml:space="preserve">на которой обсуждена и утверждена Программа, предусмотренная на 5 лет. </w:t>
      </w:r>
    </w:p>
    <w:p w14:paraId="24EA363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Одним из конечных результатов Программы предполагается выдача биологического обоснования по созданию особо охраняемой природной территории (ООПТ) для сохранения основных мест</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обитани</w:t>
      </w:r>
      <w:r w:rsidR="006A5A92" w:rsidRPr="00F0736F">
        <w:rPr>
          <w:rFonts w:ascii="Times New Roman" w:hAnsi="Times New Roman" w:cs="Times New Roman"/>
          <w:color w:val="000000" w:themeColor="text1"/>
        </w:rPr>
        <w:t>я</w:t>
      </w:r>
      <w:r w:rsidRPr="00F0736F">
        <w:rPr>
          <w:rFonts w:ascii="Times New Roman" w:hAnsi="Times New Roman" w:cs="Times New Roman"/>
          <w:color w:val="000000" w:themeColor="text1"/>
        </w:rPr>
        <w:t xml:space="preserve"> каспийского тюленя в казахстанской части Каспийского моря. </w:t>
      </w:r>
    </w:p>
    <w:p w14:paraId="482E3EE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При этом предложено обеспечить разработку Естественного Научного Обоснования (ЕНО) и ТЭО создания ООПТ с Центрами исследования  и реабилитации тюленей (ЦИРТ) в городах Актау, Баутино и Атырау.</w:t>
      </w:r>
    </w:p>
    <w:p w14:paraId="31303834"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rPr>
        <w:t xml:space="preserve">Казахстан входит в число стран, реализующих Глобальную инициативу финансирования биоразнообразия БИОФИН, целью которой является оказание поддержки странам в определении тенденций финансирования биоразнообразия и разработке финансовых решений, с помощью которых возможно мобилизовать финансовые ресурсы для целей сохранения биоразнообразия. </w:t>
      </w:r>
      <w:r w:rsidRPr="00F0736F">
        <w:rPr>
          <w:rFonts w:ascii="Times New Roman" w:eastAsia="MyriadPro-Regular" w:hAnsi="Times New Roman" w:cs="Times New Roman"/>
          <w:color w:val="000000" w:themeColor="text1"/>
          <w:spacing w:val="2"/>
          <w:lang w:eastAsia="ru-RU"/>
        </w:rPr>
        <w:t>БИОФИН рассматривается в качестве важной помощи для амбициозного Стратегического плана КБР по биоразнообразию на 2011-2020 годы.</w:t>
      </w:r>
    </w:p>
    <w:p w14:paraId="21E8E84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Для покрытия существующего финансового дефицита экспертами проекта БИОФИН в Казахстане был разработан План мобилизации финансовых ресурсов для сохранения биоразнообразия, включающий наиболее перспективные финансовые решения. В рамках Плана мобилизации ресурсов экспертами рекомендуется реализация следующих финансовых решений: повышение потенциала ООПТ для улучшения их финансирования, внедрение компенсаций выбросов углерода, совершенствование финансирования охотничьих хозяйств, субсидирование дичеразведения, поддержка органического земледелия, налоговое стимулирование развития экотуризма, внедрение компенсаций за потерю биоразнообразия, привлечение внешних инвестиций для сохранения и устойчивого управления лесных ресурсов. </w:t>
      </w:r>
    </w:p>
    <w:p w14:paraId="7F23A6E8" w14:textId="054E702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Изучив богатый опыт управления национальными парками США, АО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НК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Kazakh Tourism</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Министерства культуры и спорта РК внедряет пилотный проект по развитию экотуризма в трех национальных парках Казахстана. В целях реализации данного проекта 14 августа 2019 года председателем компании были заключены двухсторонние договор</w:t>
      </w:r>
      <w:r w:rsidR="006A5A92" w:rsidRPr="00F0736F">
        <w:rPr>
          <w:rFonts w:ascii="Times New Roman" w:hAnsi="Times New Roman" w:cs="Times New Roman"/>
          <w:color w:val="000000" w:themeColor="text1"/>
        </w:rPr>
        <w:t>ы</w:t>
      </w:r>
      <w:r w:rsidRPr="00F0736F">
        <w:rPr>
          <w:rFonts w:ascii="Times New Roman" w:hAnsi="Times New Roman" w:cs="Times New Roman"/>
          <w:color w:val="000000" w:themeColor="text1"/>
        </w:rPr>
        <w:t xml:space="preserve"> о совместной деятельности с руководителями РГУ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Чарынский государственный национальный природный парк</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РГУ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Иле-Алатауский государственный национальный природный парк</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а также РГУ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Государственный национальный природный парк </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Көлсай көлдері</w:t>
      </w:r>
      <w:r w:rsidR="00D0798A"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Совместная деятельность будет направлена на разработку, внедрение и продвижение инновационных идей, программ, проектов и технологий, направленных на развитие качественной туристской инфраструктуры с учетом интересов сохранения существующей экосистемы. Развитие экологического туризма в Национальных парках предполагается на территориях, где допускается пребывание туристов. В ходе совместной деятельности будут привлекаться международные эксперты и организаций для внедрения лучших практик. Будут определены конкретные территории для привлечения инвестиций. Успешная реализа</w:t>
      </w:r>
      <w:r w:rsidR="006A5A92" w:rsidRPr="00F0736F">
        <w:rPr>
          <w:rFonts w:ascii="Times New Roman" w:hAnsi="Times New Roman" w:cs="Times New Roman"/>
          <w:color w:val="000000" w:themeColor="text1"/>
        </w:rPr>
        <w:t>ция пилотных проектов</w:t>
      </w:r>
      <w:r w:rsidRPr="00F0736F">
        <w:rPr>
          <w:rFonts w:ascii="Times New Roman" w:hAnsi="Times New Roman" w:cs="Times New Roman"/>
          <w:color w:val="000000" w:themeColor="text1"/>
        </w:rPr>
        <w:t xml:space="preserve"> позволит применить данный опыт на всех Национальных парках Республики Казахстан. Благодаря внедрению новой модели планируется увеличить туристопоток с 1,3 млн. туристов в год до 3,4 млн. туристов до 2025 г</w:t>
      </w:r>
      <w:r w:rsidR="00D0798A" w:rsidRPr="00F0736F">
        <w:rPr>
          <w:rFonts w:ascii="Times New Roman" w:hAnsi="Times New Roman" w:cs="Times New Roman"/>
          <w:color w:val="000000" w:themeColor="text1"/>
        </w:rPr>
        <w:t>оду</w:t>
      </w:r>
      <w:r w:rsidRPr="00F0736F">
        <w:rPr>
          <w:rFonts w:ascii="Times New Roman" w:hAnsi="Times New Roman" w:cs="Times New Roman"/>
          <w:color w:val="000000" w:themeColor="text1"/>
        </w:rPr>
        <w:t>. Данные мероприятия позволят создать около 20 тысяч новых рабочих мест и привлечь порядка 100 млрд. тенге инвестиций в ближайшие 5 - 7 лет.</w:t>
      </w:r>
    </w:p>
    <w:p w14:paraId="15C71E8D" w14:textId="77777777" w:rsidR="00EE3DEF" w:rsidRPr="00F0736F" w:rsidRDefault="00EE3DEF" w:rsidP="008727D9">
      <w:pPr>
        <w:ind w:firstLine="709"/>
        <w:jc w:val="both"/>
        <w:rPr>
          <w:rFonts w:ascii="Times New Roman" w:hAnsi="Times New Roman" w:cs="Times New Roman"/>
          <w:color w:val="000000" w:themeColor="text1"/>
        </w:rPr>
      </w:pPr>
    </w:p>
    <w:p w14:paraId="12EBBBE6"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34" w:name="_Toc57818730"/>
      <w:r w:rsidRPr="007272FB">
        <w:rPr>
          <w:rFonts w:ascii="Times New Roman" w:eastAsia="Times New Roman" w:hAnsi="Times New Roman" w:cs="Times New Roman"/>
          <w:color w:val="000000" w:themeColor="text1"/>
          <w:sz w:val="24"/>
          <w:szCs w:val="24"/>
        </w:rPr>
        <w:t>1.9. Формирование экологической культуры населения</w:t>
      </w:r>
      <w:bookmarkEnd w:id="34"/>
    </w:p>
    <w:p w14:paraId="789434A0" w14:textId="77777777" w:rsidR="00F674A4" w:rsidRPr="00F0736F" w:rsidRDefault="00F674A4" w:rsidP="008727D9">
      <w:pPr>
        <w:ind w:firstLine="709"/>
        <w:jc w:val="both"/>
        <w:rPr>
          <w:rFonts w:ascii="Times New Roman" w:hAnsi="Times New Roman" w:cs="Times New Roman"/>
          <w:color w:val="000000" w:themeColor="text1"/>
        </w:rPr>
      </w:pPr>
    </w:p>
    <w:p w14:paraId="68B3E8AA" w14:textId="2D30A9E9"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Текущая ситуация и достижение целевых показателей</w:t>
      </w:r>
    </w:p>
    <w:p w14:paraId="58F1BC6A"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Один из основных принципов, определенных Концепцией по переходу Республики Казахстан к «зеленой экономике» декларирует обучение и формирование экологической культуры в бизнесе и среди населения. Для реализации данного принципа определено следующее необходимое условие – воспитание среди широкой общественности новой экокультуры по охране окружающей среды, для чего необходимо полноценное включение тем, связанных с охраной окружающей среды, в учебные планы образовательных организаций</w:t>
      </w:r>
      <w:r w:rsidRPr="00F0736F">
        <w:rPr>
          <w:rStyle w:val="a4"/>
          <w:rFonts w:ascii="Times New Roman" w:eastAsia="Times New Roman" w:hAnsi="Times New Roman" w:cs="Times New Roman"/>
          <w:color w:val="000000" w:themeColor="text1"/>
          <w:spacing w:val="2"/>
          <w:lang w:eastAsia="ru-RU"/>
        </w:rPr>
        <w:footnoteReference w:id="118"/>
      </w:r>
      <w:r w:rsidRPr="00F0736F">
        <w:rPr>
          <w:rFonts w:ascii="Times New Roman" w:eastAsia="Times New Roman" w:hAnsi="Times New Roman" w:cs="Times New Roman"/>
          <w:color w:val="000000" w:themeColor="text1"/>
          <w:spacing w:val="2"/>
          <w:lang w:eastAsia="ru-RU"/>
        </w:rPr>
        <w:t>. Это позволит воспитать в подрастающем поколении культуру бережного отношения к природным ресурсам и принесет дополнительную пользу.</w:t>
      </w:r>
    </w:p>
    <w:p w14:paraId="4CD6159C" w14:textId="01E3927F" w:rsidR="00F674A4" w:rsidRPr="00F0736F" w:rsidRDefault="00F674A4" w:rsidP="00B5230F">
      <w:pPr>
        <w:ind w:firstLine="709"/>
        <w:jc w:val="both"/>
        <w:rPr>
          <w:color w:val="000000" w:themeColor="text1"/>
        </w:rPr>
      </w:pPr>
      <w:r w:rsidRPr="00F0736F">
        <w:rPr>
          <w:rFonts w:ascii="Times New Roman" w:hAnsi="Times New Roman" w:cs="Times New Roman"/>
          <w:color w:val="000000" w:themeColor="text1"/>
        </w:rPr>
        <w:t xml:space="preserve">Важное значение в формировании экологической культуры населения оказало проведение в </w:t>
      </w:r>
      <w:r w:rsidR="00D0798A" w:rsidRPr="00F0736F">
        <w:rPr>
          <w:rFonts w:ascii="Times New Roman" w:hAnsi="Times New Roman" w:cs="Times New Roman"/>
          <w:color w:val="000000" w:themeColor="text1"/>
        </w:rPr>
        <w:t xml:space="preserve">городе </w:t>
      </w:r>
      <w:r w:rsidRPr="00F0736F">
        <w:rPr>
          <w:rFonts w:ascii="Times New Roman" w:hAnsi="Times New Roman" w:cs="Times New Roman"/>
          <w:color w:val="000000" w:themeColor="text1"/>
        </w:rPr>
        <w:t>Нур-Султан международной выставки ЭКСПО-2017 в июне-августе 2017 года. На выставке были представлены энергоэффективные технологии последнего поколения, а также доказательная база в пользу того, как и почему их нужно использовать. ЭКСПО-2017 сделала упор на идею о личной ответственности и личном участии каждого в создании и реализации устойчивого плана по производству, распределению и использованию Энергии Будущего. В рамках Экспо-2017 прошел Всемирный Конгресс инженеров и ученых WSEC-2017 «Энергия будущего: инновационные сценарии и методы их реализации» и большое количество других мероприятий.</w:t>
      </w:r>
    </w:p>
    <w:p w14:paraId="4C07D91D"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b/>
          <w:color w:val="000000" w:themeColor="text1"/>
        </w:rPr>
        <w:t>Экологическое образование</w:t>
      </w:r>
      <w:r w:rsidRPr="00F0736F">
        <w:rPr>
          <w:rFonts w:ascii="Times New Roman" w:eastAsia="Calibri" w:hAnsi="Times New Roman" w:cs="Times New Roman"/>
          <w:color w:val="000000" w:themeColor="text1"/>
        </w:rPr>
        <w:t xml:space="preserve"> в Казахстане является частью общей системы образования и реализуется в организациях образования через учебные программы Государственного общеобязательного стандарта РК. Экологическое образование направлено на </w:t>
      </w:r>
      <w:r w:rsidRPr="00F0736F">
        <w:rPr>
          <w:rFonts w:ascii="Times New Roman" w:eastAsia="Times New Roman" w:hAnsi="Times New Roman" w:cs="Times New Roman"/>
          <w:color w:val="000000" w:themeColor="text1"/>
          <w:lang w:eastAsia="ru-RU"/>
        </w:rPr>
        <w:t>воспитание любви, уважения и бережного отношения к Родине и природе родного края.</w:t>
      </w:r>
    </w:p>
    <w:p w14:paraId="6421066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Изучение экологического компонента в общеобразовательных школах рассматривается в рамках естественно-биологического цикла и осуществляется через экологизацию содержания отдельных дисциплин:</w:t>
      </w:r>
    </w:p>
    <w:p w14:paraId="61FF613A"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1) начальн</w:t>
      </w:r>
      <w:r w:rsidRPr="00F0736F">
        <w:rPr>
          <w:rFonts w:ascii="Times New Roman" w:eastAsia="Calibri" w:hAnsi="Times New Roman" w:cs="Times New Roman"/>
          <w:color w:val="000000" w:themeColor="text1"/>
          <w:lang w:val="kk-KZ"/>
        </w:rPr>
        <w:t xml:space="preserve">ый уровень </w:t>
      </w:r>
      <w:r w:rsidRPr="00F0736F">
        <w:rPr>
          <w:rFonts w:ascii="Times New Roman" w:eastAsia="Calibri" w:hAnsi="Times New Roman" w:cs="Times New Roman"/>
          <w:color w:val="000000" w:themeColor="text1"/>
        </w:rPr>
        <w:t>(1 - 4 классы) - экологические аспекты включены в содержание предмета «Познание мира» (2 часа в неделю);</w:t>
      </w:r>
    </w:p>
    <w:p w14:paraId="1D41D6AC" w14:textId="77777777" w:rsidR="00F674A4" w:rsidRPr="00F0736F" w:rsidRDefault="00F674A4" w:rsidP="008727D9">
      <w:pPr>
        <w:ind w:firstLine="709"/>
        <w:jc w:val="both"/>
        <w:rPr>
          <w:color w:val="000000" w:themeColor="text1"/>
        </w:rPr>
      </w:pPr>
      <w:r w:rsidRPr="00F0736F">
        <w:rPr>
          <w:rFonts w:ascii="Times New Roman" w:eastAsia="Calibri" w:hAnsi="Times New Roman" w:cs="Times New Roman"/>
          <w:color w:val="000000" w:themeColor="text1"/>
        </w:rPr>
        <w:t>2) основной</w:t>
      </w:r>
      <w:r w:rsidRPr="00F0736F">
        <w:rPr>
          <w:rFonts w:ascii="Times New Roman" w:eastAsia="Calibri" w:hAnsi="Times New Roman" w:cs="Times New Roman"/>
          <w:color w:val="000000" w:themeColor="text1"/>
          <w:lang w:val="kk-KZ"/>
        </w:rPr>
        <w:t xml:space="preserve"> средний </w:t>
      </w:r>
      <w:r w:rsidRPr="00F0736F">
        <w:rPr>
          <w:rFonts w:ascii="Times New Roman" w:eastAsia="Calibri" w:hAnsi="Times New Roman" w:cs="Times New Roman"/>
          <w:color w:val="000000" w:themeColor="text1"/>
        </w:rPr>
        <w:t xml:space="preserve">и </w:t>
      </w:r>
      <w:r w:rsidRPr="00F0736F">
        <w:rPr>
          <w:rFonts w:ascii="Times New Roman" w:eastAsia="Calibri" w:hAnsi="Times New Roman" w:cs="Times New Roman"/>
          <w:color w:val="000000" w:themeColor="text1"/>
          <w:lang w:val="kk-KZ"/>
        </w:rPr>
        <w:t>общий средний</w:t>
      </w:r>
      <w:r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kk-KZ"/>
        </w:rPr>
        <w:t>уровни</w:t>
      </w:r>
      <w:r w:rsidRPr="00F0736F">
        <w:rPr>
          <w:rFonts w:ascii="Times New Roman" w:eastAsia="Calibri" w:hAnsi="Times New Roman" w:cs="Times New Roman"/>
          <w:color w:val="000000" w:themeColor="text1"/>
        </w:rPr>
        <w:t xml:space="preserve"> (5 - 11 классы) - экологические аспекты включены в содержание предметов «Биология», «География», «Химия». </w:t>
      </w:r>
    </w:p>
    <w:p w14:paraId="01D54DD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Более 800 тысяч детей и подростков участвуют в различных программах туристско-краеведческого движения учащихся: «Атамекен», «Болашақ», «Жас Ұрпақ», «Шұғыла» и др. В рамках туристско-краеведческой экспедиции школьников «Менің Отаным – Қазақстан» ежегодно проводятся десятки пеших, лыжных, водных, велосипедных и других походов, экспедиций и экскурсий по самым различным маршрутам, в которых участвуют тысячи юных туристов и их взрослые наставники.</w:t>
      </w:r>
    </w:p>
    <w:p w14:paraId="6F180446"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школах действуют краеведческие кружки и клубы, проходят туристско-краеведческие экспедиции и экскурсии, функционируют 1670 школьных музеев, из них исторических – 856, боевой славы – 290, литературных и художественных – 42, естественно научных (географические, охраны природы, геологические) – 85, этнографических – 155, народного творчества – 36, мемориальных – 60, других – 146. В настоящее время краеведческим туризмом охвачено более 90 тыс. детей в возрасте от 7 до 17 лет. </w:t>
      </w:r>
    </w:p>
    <w:p w14:paraId="0768E31A"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настоящее время в республике действуют:</w:t>
      </w:r>
    </w:p>
    <w:p w14:paraId="5DDD159D"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- 40 станций и центров юных туристов-краеведов с охватом 22</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935 школьников;</w:t>
      </w:r>
    </w:p>
    <w:p w14:paraId="05931895" w14:textId="4F5F9161"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- 2</w:t>
      </w:r>
      <w:r w:rsidR="004B574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581 экологичеки</w:t>
      </w:r>
      <w:r w:rsidR="006A5A92" w:rsidRPr="00F0736F">
        <w:rPr>
          <w:rFonts w:ascii="Times New Roman" w:hAnsi="Times New Roman" w:cs="Times New Roman"/>
          <w:color w:val="000000" w:themeColor="text1"/>
        </w:rPr>
        <w:t>й</w:t>
      </w:r>
      <w:r w:rsidRPr="00F0736F">
        <w:rPr>
          <w:rFonts w:ascii="Times New Roman" w:hAnsi="Times New Roman" w:cs="Times New Roman"/>
          <w:color w:val="000000" w:themeColor="text1"/>
        </w:rPr>
        <w:t xml:space="preserve"> круж</w:t>
      </w:r>
      <w:r w:rsidR="006A5A92" w:rsidRPr="00F0736F">
        <w:rPr>
          <w:rFonts w:ascii="Times New Roman" w:hAnsi="Times New Roman" w:cs="Times New Roman"/>
          <w:color w:val="000000" w:themeColor="text1"/>
        </w:rPr>
        <w:t>ок</w:t>
      </w:r>
      <w:r w:rsidRPr="00F0736F">
        <w:rPr>
          <w:rFonts w:ascii="Times New Roman" w:hAnsi="Times New Roman" w:cs="Times New Roman"/>
          <w:color w:val="000000" w:themeColor="text1"/>
        </w:rPr>
        <w:t xml:space="preserve"> с охватом 58</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169 школьников;</w:t>
      </w:r>
    </w:p>
    <w:p w14:paraId="7722B8DC" w14:textId="205906B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- 2</w:t>
      </w:r>
      <w:r w:rsidR="004B574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179 туристско-краеведческих</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кружков</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с охватом 46</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923 школьников;</w:t>
      </w:r>
    </w:p>
    <w:p w14:paraId="0A1ABAA0" w14:textId="1263511B"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- 2</w:t>
      </w:r>
      <w:r w:rsidR="004B574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581 туристско-краеведчески</w:t>
      </w:r>
      <w:r w:rsidR="006A5A92" w:rsidRPr="00F0736F">
        <w:rPr>
          <w:rFonts w:ascii="Times New Roman" w:hAnsi="Times New Roman" w:cs="Times New Roman"/>
          <w:color w:val="000000" w:themeColor="text1"/>
        </w:rPr>
        <w:t>й</w:t>
      </w:r>
      <w:r w:rsidRPr="00F0736F">
        <w:rPr>
          <w:rFonts w:ascii="Times New Roman" w:hAnsi="Times New Roman" w:cs="Times New Roman"/>
          <w:color w:val="000000" w:themeColor="text1"/>
        </w:rPr>
        <w:t xml:space="preserve"> круж</w:t>
      </w:r>
      <w:r w:rsidR="006A5A92" w:rsidRPr="00F0736F">
        <w:rPr>
          <w:rFonts w:ascii="Times New Roman" w:hAnsi="Times New Roman" w:cs="Times New Roman"/>
          <w:color w:val="000000" w:themeColor="text1"/>
        </w:rPr>
        <w:t>ок</w:t>
      </w:r>
      <w:r w:rsidRPr="00F0736F">
        <w:rPr>
          <w:rFonts w:ascii="Times New Roman" w:hAnsi="Times New Roman" w:cs="Times New Roman"/>
          <w:color w:val="000000" w:themeColor="text1"/>
        </w:rPr>
        <w:t xml:space="preserve"> в общеобразовательных школах с охватом 58</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169 детей и подростков.</w:t>
      </w:r>
    </w:p>
    <w:p w14:paraId="3E76326A" w14:textId="072B3C3F"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alibri" w:hAnsi="Times New Roman" w:cs="Times New Roman"/>
          <w:color w:val="000000" w:themeColor="text1"/>
        </w:rPr>
        <w:t>С 2017 года ежегодно проводится Республиканский форум юных краеведов, экологов и натуралистов «Табиғатты аяла» с участием лучших краев</w:t>
      </w:r>
      <w:r w:rsidR="006A5A92" w:rsidRPr="00F0736F">
        <w:rPr>
          <w:rFonts w:ascii="Times New Roman" w:eastAsia="Calibri" w:hAnsi="Times New Roman" w:cs="Times New Roman"/>
          <w:color w:val="000000" w:themeColor="text1"/>
        </w:rPr>
        <w:t>едческих команд страны (более 2</w:t>
      </w:r>
      <w:r w:rsidR="004B5746"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500 участников), Республиканский слет туристских экспедиционных отрядов «Менің Отаным – Қазақстан», Республиканская выставка краеведческого декоративно-прикладного творчества «Город мастеров: наследие наших предков сохраним и приумножим» и др.</w:t>
      </w:r>
    </w:p>
    <w:p w14:paraId="5778DF61" w14:textId="2F49EE3D" w:rsidR="00F674A4" w:rsidRPr="00F0736F" w:rsidRDefault="00F674A4" w:rsidP="004B5746">
      <w:pPr>
        <w:pBdr>
          <w:top w:val="none" w:sz="0" w:space="0" w:color="000000"/>
          <w:left w:val="none" w:sz="0" w:space="0" w:color="000000"/>
          <w:bottom w:val="single" w:sz="4" w:space="5" w:color="FFFFFF"/>
          <w:right w:val="none" w:sz="0" w:space="0" w:color="000000"/>
        </w:pBdr>
        <w:tabs>
          <w:tab w:val="left" w:pos="993"/>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 сайте </w:t>
      </w:r>
      <w:hyperlink r:id="rId48" w:history="1">
        <w:r w:rsidR="004B5746" w:rsidRPr="00F0736F">
          <w:rPr>
            <w:rStyle w:val="a6"/>
            <w:rFonts w:ascii="Times New Roman" w:hAnsi="Times New Roman" w:cs="Times New Roman"/>
            <w:color w:val="000000" w:themeColor="text1"/>
          </w:rPr>
          <w:t>www.ziyatker.org</w:t>
        </w:r>
      </w:hyperlink>
      <w:r w:rsidR="004B5746"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действует электронный клуб юных натуралистов, создано интернет-сообщество детей.</w:t>
      </w:r>
    </w:p>
    <w:p w14:paraId="531E6208" w14:textId="299BC2C4" w:rsidR="00F674A4" w:rsidRPr="00F0736F" w:rsidRDefault="00F674A4" w:rsidP="004B5746">
      <w:pPr>
        <w:pBdr>
          <w:top w:val="none" w:sz="0" w:space="0" w:color="000000"/>
          <w:left w:val="none" w:sz="0" w:space="0" w:color="000000"/>
          <w:bottom w:val="single" w:sz="4" w:space="5" w:color="FFFFFF"/>
          <w:right w:val="none" w:sz="0" w:space="0" w:color="000000"/>
        </w:pBdr>
        <w:tabs>
          <w:tab w:val="left" w:pos="993"/>
        </w:tabs>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 xml:space="preserve">Ежеквартально на сайте </w:t>
      </w:r>
      <w:hyperlink r:id="rId49" w:history="1">
        <w:r w:rsidR="004B5746" w:rsidRPr="00F0736F">
          <w:rPr>
            <w:rStyle w:val="a6"/>
            <w:rFonts w:ascii="Times New Roman" w:eastAsia="Calibri" w:hAnsi="Times New Roman" w:cs="Times New Roman"/>
            <w:color w:val="000000" w:themeColor="text1"/>
          </w:rPr>
          <w:t>www.ziyatker.org</w:t>
        </w:r>
      </w:hyperlink>
      <w:r w:rsidR="004B5746"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публикуются детские познавательные журналы «Экоәлем» и «Темірқазық» в электронном формате (4 номера)</w:t>
      </w:r>
      <w:r w:rsidRPr="00F0736F">
        <w:rPr>
          <w:rFonts w:ascii="Times New Roman" w:eastAsia="Calibri" w:hAnsi="Times New Roman" w:cs="Times New Roman"/>
          <w:color w:val="000000" w:themeColor="text1"/>
          <w:lang w:val="kk-KZ"/>
        </w:rPr>
        <w:t>.</w:t>
      </w:r>
    </w:p>
    <w:p w14:paraId="4FA3A5EC"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23 февраля 2018 года состоялось расширенное заседание Республиканского координационного совета руководителей организаций, реализующих образовательные программы туристско-краеведческого направления дополнительного образования детей, на тему: «Новые возможности развития детско-юношеского туризма» в рамках реализации программы «Рухани жаңғыру». В мероприятии приняли участие 115 человек.</w:t>
      </w:r>
    </w:p>
    <w:p w14:paraId="5421207B"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Обсуждались вопросы определения новых подходов и организационных форм развития детско-юношеского туризма в регионах на основе усиления межведомственного взаимодействия, перспективы развития туристско-краеведческой деятельности в организациях образования, обновление содержания образовательных программ туристско-краеведческого направления дополнительного образования детей в условиях реализации программы «Рухани жаңғыру».</w:t>
      </w:r>
    </w:p>
    <w:p w14:paraId="15E7EF0B"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ходе заседания подписаны меморандумы о взаимном сотрудничестве в области   развития дополнительного образования детей, в том числе туристско-краеведческого направления, с АО «Национальная компания «Kazakh Tourism», ОО «Казахстанская национальная федерация клубов ЮНЕСКО», ОО «Казахстанская ассоциация дошкольных организаций». </w:t>
      </w:r>
    </w:p>
    <w:p w14:paraId="7DCA4319" w14:textId="3B2357FB"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По спецпроекту «Туған жер» в рамках подпрограммы «Тәрбие және білім» в 2018 году на республиканском, областном и районном уровнях проведено 1</w:t>
      </w:r>
      <w:r w:rsidR="00DE0D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619 мероприятий с охватом </w:t>
      </w:r>
      <w:r w:rsidR="00DE0D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162</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316 человек (99,2%.). В мероприятия вовлечены обучающиеся всех уровней образования от дошколы до вузов. </w:t>
      </w:r>
    </w:p>
    <w:p w14:paraId="537D0892"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республике действует около 900 центров «Рухани жаңғыру». В 2018 году открылись 59 малых офисов в вузах, 123 одноименных кабинетов в колледжах и 531 - в школах.</w:t>
      </w:r>
    </w:p>
    <w:p w14:paraId="7EBEB7DB" w14:textId="55F30941"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Вузами страны проведено около 659 научно-практических конференций, круглых столов и обсуждений по программе. Выпущено более 1</w:t>
      </w:r>
      <w:r w:rsidR="00DE0D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000 статей и монографий.</w:t>
      </w:r>
    </w:p>
    <w:p w14:paraId="75A03F32"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2019 году как дополнительный ресурс была внедрена хрестоматия «Краеведение» (закуплено более 490 тыс. экз.). Данный курс имеет огромное воспитательное значение для изучения истории малой родины, укрепления национального кода подрастающего поколения.</w:t>
      </w:r>
    </w:p>
    <w:p w14:paraId="1FA55E12"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Материал интегрированного курса «Краеведение» изучается в рамках учебных предметов «История Казахстана», «Казахская литература» («Казахский язык и литература» для школ с неказахским языком обучения), «География», «Музыка» в 5-7 классах.</w:t>
      </w:r>
    </w:p>
    <w:p w14:paraId="2616AA96"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Объем учебной нагрузки курса «Краеведение» составляет 20 часов. Кроме того, «Краеведение» изучается в рамках классных часов, внеклассных мероприятий, музейных уроков.</w:t>
      </w:r>
    </w:p>
    <w:p w14:paraId="4E9B125C"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Успешно продолжается практика проведения уроков на базе музеев, организаций сферы культуры и исторических объектов.</w:t>
      </w:r>
    </w:p>
    <w:p w14:paraId="2E1C3368"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Все регионы обеспечены учебниками «Өлкетану/Краеведение». </w:t>
      </w:r>
    </w:p>
    <w:p w14:paraId="0AECEA69"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марте 2019 года издательством «Алматы</w:t>
      </w:r>
      <w:r w:rsidR="006A5A92"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кітап баспасы» разработана общая хрестоматия «Краеведение» для всех регионов, которая прошла все этапы оценки качества, соответствует учебной программе предмета «Краеведение» и включена в Перечень учебников и учебно-методических комплексов, пособий и другой дополнительной литературы, в том числе на электронных носителях (приказ МОН РК от 17 мая 2019 года № 217).</w:t>
      </w:r>
    </w:p>
    <w:p w14:paraId="3DE97884"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onsolas" w:hAnsi="Times New Roman" w:cs="Times New Roman"/>
          <w:color w:val="000000" w:themeColor="text1"/>
          <w:spacing w:val="2"/>
          <w:lang w:eastAsia="ru-RU"/>
        </w:rPr>
        <w:t>По информации Министерства образования и науки РК, ежегодно государственный образовательный заказ формируется на основе заявок отраслей экономики, а также с учетом региональной потребности и нацелен на обеспечение государственных и отраслевых программ. Подготовка кадров для сферы «Зеленая экономика» осуществляется в рамках групп образовательных программ «B050 – Биологические и смежные науки», «В051 – Окружающая среда», «В062 – Электротехника и энергетика», «В162 – Теплоэнергетика» и «В081 – Землеустройство».</w:t>
      </w:r>
    </w:p>
    <w:p w14:paraId="40C12689"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4 июля 2018 года Президент Республики Казахстан подписал Закон «О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w:t>
      </w:r>
    </w:p>
    <w:p w14:paraId="4CF033A7" w14:textId="7047BC60"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рамках Закона расширена академическая и управленческая самостоятельность вузов, в частности основные компетенции вузов (24 полномочия). </w:t>
      </w:r>
    </w:p>
    <w:p w14:paraId="35FA7E5C" w14:textId="37FFE7FC"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Утвержденный новый Классификатор направлений подготовки кадров (приказ министра образования и науки РК</w:t>
      </w:r>
      <w:r w:rsidR="00201C3B" w:rsidRPr="00F0736F">
        <w:rPr>
          <w:rFonts w:ascii="Times New Roman" w:hAnsi="Times New Roman" w:cs="Times New Roman"/>
          <w:color w:val="000000" w:themeColor="text1"/>
        </w:rPr>
        <w:t xml:space="preserve"> от 13 октября 2018 года</w:t>
      </w:r>
      <w:r w:rsidRPr="00F0736F">
        <w:rPr>
          <w:rFonts w:ascii="Times New Roman" w:hAnsi="Times New Roman" w:cs="Times New Roman"/>
          <w:color w:val="000000" w:themeColor="text1"/>
        </w:rPr>
        <w:t xml:space="preserve"> №</w:t>
      </w:r>
      <w:r w:rsidR="00201C3B"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569) позволит вузам разрабатывать новые образовательные программы, соответствующие Международной стандартной классификации образования и ориентированные на результаты обучения. </w:t>
      </w:r>
    </w:p>
    <w:p w14:paraId="65CE7074" w14:textId="5E74363F"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alibri" w:hAnsi="Times New Roman" w:cs="Times New Roman"/>
          <w:color w:val="000000" w:themeColor="text1"/>
          <w:lang w:val="kk-KZ"/>
        </w:rPr>
        <w:t>Согласно</w:t>
      </w:r>
      <w:r w:rsidRPr="00F0736F">
        <w:rPr>
          <w:rFonts w:ascii="Times New Roman" w:eastAsia="Calibri" w:hAnsi="Times New Roman" w:cs="Times New Roman"/>
          <w:color w:val="000000" w:themeColor="text1"/>
        </w:rPr>
        <w:t xml:space="preserve"> Государственному общеобязательному стандарту высшего образования (приказ министра образования и науки РК от 31</w:t>
      </w:r>
      <w:r w:rsidR="00201C3B" w:rsidRPr="00F0736F">
        <w:rPr>
          <w:rFonts w:ascii="Times New Roman" w:eastAsia="Calibri" w:hAnsi="Times New Roman" w:cs="Times New Roman"/>
          <w:color w:val="000000" w:themeColor="text1"/>
        </w:rPr>
        <w:t xml:space="preserve"> </w:t>
      </w:r>
      <w:r w:rsidR="00201C3B" w:rsidRPr="00F0736F">
        <w:rPr>
          <w:rFonts w:ascii="Times New Roman" w:hAnsi="Times New Roman" w:cs="Times New Roman"/>
          <w:color w:val="000000" w:themeColor="text1"/>
        </w:rPr>
        <w:t xml:space="preserve">октября 2018 года </w:t>
      </w:r>
      <w:r w:rsidR="00201C3B" w:rsidRPr="00F0736F">
        <w:rPr>
          <w:rFonts w:ascii="Times New Roman" w:eastAsia="Calibri" w:hAnsi="Times New Roman" w:cs="Times New Roman"/>
          <w:color w:val="000000" w:themeColor="text1"/>
        </w:rPr>
        <w:t>№ 604</w:t>
      </w:r>
      <w:r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kk-KZ"/>
        </w:rPr>
        <w:t>академическая самостоятельность вузов при разработке образовательных программ бакалавриата расширена до 85%. В связи с этим вузы разрабатывают и утверждают образовательные программы на основе профессиональных стандартов с учетом требований рынка труда, ожиданий работодателей, интересов обучающихся и социальных запросов общества.</w:t>
      </w:r>
      <w:r w:rsidRPr="00F0736F">
        <w:rPr>
          <w:rFonts w:ascii="Times New Roman" w:eastAsia="Lucida Sans Unicode" w:hAnsi="Times New Roman" w:cs="Times New Roman"/>
          <w:color w:val="000000" w:themeColor="text1"/>
          <w:lang w:eastAsia="ar-SA"/>
        </w:rPr>
        <w:t xml:space="preserve"> Подготовка кадров по специальностям «Экология» и «Безопасность жизнедеятельности и защита окружающей среды» осуществляется на базе 51 вуз</w:t>
      </w:r>
      <w:r w:rsidRPr="00F0736F">
        <w:rPr>
          <w:rFonts w:ascii="Times New Roman" w:eastAsia="Lucida Sans Unicode" w:hAnsi="Times New Roman" w:cs="Times New Roman"/>
          <w:color w:val="000000" w:themeColor="text1"/>
          <w:lang w:val="kk-KZ" w:eastAsia="ar-SA"/>
        </w:rPr>
        <w:t>а республики.</w:t>
      </w:r>
    </w:p>
    <w:p w14:paraId="3BBCF499"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alibri" w:hAnsi="Times New Roman" w:cs="Times New Roman"/>
          <w:color w:val="000000" w:themeColor="text1"/>
        </w:rPr>
        <w:t>Сегодня в образовательные программы на уровне бакалавриата включены новые дисциплины, способствующие формированию специальных навыков и знаний в сфере экологии: «</w:t>
      </w:r>
      <w:r w:rsidRPr="00F0736F">
        <w:rPr>
          <w:rFonts w:ascii="Times New Roman" w:eastAsia="Calibri" w:hAnsi="Times New Roman" w:cs="Times New Roman"/>
          <w:iCs/>
          <w:color w:val="000000" w:themeColor="text1"/>
          <w:lang w:val="kk-KZ"/>
        </w:rPr>
        <w:t>Экологические аспекты естествознания</w:t>
      </w:r>
      <w:r w:rsidRPr="00F0736F">
        <w:rPr>
          <w:rFonts w:ascii="Times New Roman" w:eastAsia="Calibri" w:hAnsi="Times New Roman" w:cs="Times New Roman"/>
          <w:color w:val="000000" w:themeColor="text1"/>
        </w:rPr>
        <w:t>», «</w:t>
      </w:r>
      <w:r w:rsidRPr="00F0736F">
        <w:rPr>
          <w:rFonts w:ascii="Times New Roman" w:eastAsia="Calibri" w:hAnsi="Times New Roman" w:cs="Times New Roman"/>
          <w:color w:val="000000" w:themeColor="text1"/>
          <w:lang w:val="kk-KZ"/>
        </w:rPr>
        <w:t>Экологическая химия», «</w:t>
      </w:r>
      <w:r w:rsidRPr="00F0736F">
        <w:rPr>
          <w:rFonts w:ascii="Times New Roman" w:eastAsia="Calibri" w:hAnsi="Times New Roman" w:cs="Times New Roman"/>
          <w:iCs/>
          <w:color w:val="000000" w:themeColor="text1"/>
          <w:lang w:val="kk-KZ"/>
        </w:rPr>
        <w:t>Экологическая биогеография», «</w:t>
      </w:r>
      <w:r w:rsidRPr="00F0736F">
        <w:rPr>
          <w:rFonts w:ascii="Times New Roman" w:eastAsia="Calibri" w:hAnsi="Times New Roman" w:cs="Times New Roman"/>
          <w:color w:val="000000" w:themeColor="text1"/>
          <w:lang w:val="kk-KZ"/>
        </w:rPr>
        <w:t>Экология животных и растений», «</w:t>
      </w:r>
      <w:r w:rsidRPr="00F0736F">
        <w:rPr>
          <w:rFonts w:ascii="Times New Roman" w:eastAsia="Calibri" w:hAnsi="Times New Roman" w:cs="Times New Roman"/>
          <w:color w:val="000000" w:themeColor="text1"/>
          <w:lang w:eastAsia="ar-SA"/>
        </w:rPr>
        <w:t>Экологический мониторинг</w:t>
      </w:r>
      <w:r w:rsidRPr="00F0736F">
        <w:rPr>
          <w:rFonts w:ascii="Times New Roman" w:eastAsia="Calibri" w:hAnsi="Times New Roman" w:cs="Times New Roman"/>
          <w:iCs/>
          <w:color w:val="000000" w:themeColor="text1"/>
          <w:lang w:val="kk-KZ"/>
        </w:rPr>
        <w:t>», «Геоэкология» и др.</w:t>
      </w:r>
    </w:p>
    <w:p w14:paraId="5B005EFB"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На уровне магистратуры предусмотрены две образовательные программы: «Экология» и «Интегрированное управление водными ресурсами». Направление «Экология» нацелено на подготовку специалистов в области прикладной экологии и обеспечения экологической безопасности. </w:t>
      </w:r>
    </w:p>
    <w:p w14:paraId="3848B560" w14:textId="58EF8286"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onsolas" w:hAnsi="Times New Roman" w:cs="Times New Roman"/>
          <w:color w:val="000000" w:themeColor="text1"/>
        </w:rPr>
        <w:t>В филиалах Академии государственного управления при Президенте Республики Казахстан в 2019 году прове</w:t>
      </w:r>
      <w:r w:rsidR="004733DF" w:rsidRPr="00F0736F">
        <w:rPr>
          <w:rFonts w:ascii="Times New Roman" w:eastAsia="Consolas" w:hAnsi="Times New Roman" w:cs="Times New Roman"/>
          <w:color w:val="000000" w:themeColor="text1"/>
        </w:rPr>
        <w:t>ден</w:t>
      </w:r>
      <w:r w:rsidRPr="00F0736F">
        <w:rPr>
          <w:rFonts w:ascii="Times New Roman" w:eastAsia="Consolas" w:hAnsi="Times New Roman" w:cs="Times New Roman"/>
          <w:color w:val="000000" w:themeColor="text1"/>
        </w:rPr>
        <w:t xml:space="preserve"> семинар для государственных служащих корпуса </w:t>
      </w:r>
      <w:r w:rsidR="00DD44E5"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Б</w:t>
      </w:r>
      <w:r w:rsidR="00DD44E5" w:rsidRPr="00F0736F">
        <w:rPr>
          <w:rFonts w:ascii="Times New Roman" w:eastAsia="Consolas" w:hAnsi="Times New Roman" w:cs="Times New Roman"/>
          <w:color w:val="000000" w:themeColor="text1"/>
        </w:rPr>
        <w:t>»</w:t>
      </w:r>
      <w:r w:rsidRPr="00F0736F">
        <w:rPr>
          <w:rFonts w:ascii="Times New Roman" w:eastAsia="Consolas" w:hAnsi="Times New Roman" w:cs="Times New Roman"/>
          <w:color w:val="000000" w:themeColor="text1"/>
        </w:rPr>
        <w:t xml:space="preserve"> по теме «зеленая экономика».</w:t>
      </w:r>
    </w:p>
    <w:p w14:paraId="5862F6D2" w14:textId="77777777" w:rsidR="00F674A4" w:rsidRPr="00F0736F" w:rsidRDefault="005E2E4E"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КазНУ им. А</w:t>
      </w:r>
      <w:r w:rsidR="00F674A4" w:rsidRPr="00F0736F">
        <w:rPr>
          <w:rFonts w:ascii="Times New Roman" w:hAnsi="Times New Roman" w:cs="Times New Roman"/>
          <w:color w:val="000000" w:themeColor="text1"/>
        </w:rPr>
        <w:t>ль-Фараби совместно с зарубежными вузами-партнерами были разработаны и утверждены образовательные программы по специальности 6М071700 «Теплоэнергетика» - «Зеленая энергетика для индустрии», по специальности 6М073500 «Пищевая безопасность» - «Зеленая биотехнология и продовольственная безопасность».</w:t>
      </w:r>
    </w:p>
    <w:p w14:paraId="67A3B30C"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К этим образовательным программам базовые вузы создали лаборатории «Зеленой энергетики для индустрии», «Зеленой биотехнологии и клеточной инженерии». Данные лаборатории оснащены современным оборудованием с учетом лучших мировых стандартов.</w:t>
      </w:r>
    </w:p>
    <w:p w14:paraId="0E18CE9F" w14:textId="0E941520"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onsolas" w:hAnsi="Times New Roman" w:cs="Times New Roman"/>
          <w:color w:val="000000" w:themeColor="text1"/>
        </w:rPr>
        <w:t>Согласно плану-графику курсов повышения квалификации и переподготовки для государственных служащих Академии государственного управления при Президенте Республики Казахстан, с 21 по 24 ноября 2017 г</w:t>
      </w:r>
      <w:r w:rsidR="00DD44E5" w:rsidRPr="00F0736F">
        <w:rPr>
          <w:rFonts w:ascii="Times New Roman" w:eastAsia="Consolas" w:hAnsi="Times New Roman" w:cs="Times New Roman"/>
          <w:color w:val="000000" w:themeColor="text1"/>
        </w:rPr>
        <w:t>ода</w:t>
      </w:r>
      <w:r w:rsidRPr="00F0736F">
        <w:rPr>
          <w:rFonts w:ascii="Times New Roman" w:eastAsia="Consolas" w:hAnsi="Times New Roman" w:cs="Times New Roman"/>
          <w:color w:val="000000" w:themeColor="text1"/>
        </w:rPr>
        <w:t xml:space="preserve"> 25 государственных служащих прошли повышение квалификации по теме «Зеленая экономика». </w:t>
      </w:r>
      <w:r w:rsidRPr="00F0736F">
        <w:rPr>
          <w:rFonts w:ascii="Times New Roman" w:eastAsia="Consolas" w:hAnsi="Times New Roman" w:cs="Times New Roman"/>
          <w:color w:val="000000" w:themeColor="text1"/>
          <w:spacing w:val="2"/>
          <w:lang w:eastAsia="ru-RU"/>
        </w:rPr>
        <w:t>Данные курсы повышения квалификации запланированы на ежегодной основе.</w:t>
      </w:r>
    </w:p>
    <w:p w14:paraId="68BB5585" w14:textId="2B4A05BA"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onsolas" w:hAnsi="Times New Roman" w:cs="Times New Roman"/>
          <w:color w:val="000000" w:themeColor="text1"/>
          <w:spacing w:val="2"/>
          <w:lang w:eastAsia="ru-RU"/>
        </w:rPr>
        <w:t xml:space="preserve">Также КазНУ </w:t>
      </w:r>
      <w:r w:rsidRPr="00F0736F">
        <w:rPr>
          <w:rFonts w:ascii="Times New Roman" w:eastAsia="Times New Roman" w:hAnsi="Times New Roman" w:cs="Times New Roman"/>
          <w:color w:val="000000" w:themeColor="text1"/>
          <w:spacing w:val="2"/>
          <w:lang w:eastAsia="ru-RU"/>
        </w:rPr>
        <w:t xml:space="preserve">им. </w:t>
      </w:r>
      <w:r w:rsidRPr="00F0736F">
        <w:rPr>
          <w:rFonts w:ascii="Times New Roman" w:eastAsia="Consolas" w:hAnsi="Times New Roman" w:cs="Times New Roman"/>
          <w:color w:val="000000" w:themeColor="text1"/>
          <w:spacing w:val="2"/>
          <w:lang w:eastAsia="ru-RU"/>
        </w:rPr>
        <w:t>а</w:t>
      </w:r>
      <w:r w:rsidRPr="00F0736F">
        <w:rPr>
          <w:rFonts w:ascii="Times New Roman" w:eastAsia="Times New Roman" w:hAnsi="Times New Roman" w:cs="Times New Roman"/>
          <w:color w:val="000000" w:themeColor="text1"/>
          <w:spacing w:val="2"/>
          <w:lang w:eastAsia="ru-RU"/>
        </w:rPr>
        <w:t>ль-Фараби</w:t>
      </w:r>
      <w:r w:rsidRPr="00F0736F">
        <w:rPr>
          <w:rFonts w:ascii="Times New Roman" w:eastAsia="Consolas" w:hAnsi="Times New Roman" w:cs="Times New Roman"/>
          <w:color w:val="000000" w:themeColor="text1"/>
          <w:spacing w:val="2"/>
          <w:lang w:eastAsia="ru-RU"/>
        </w:rPr>
        <w:t xml:space="preserve"> является Центрально-азиатским региональным хабом по устойчивому развитию в рамках программы ЮНЕСКО - UNITWIN. </w:t>
      </w:r>
      <w:r w:rsidRPr="00F0736F">
        <w:rPr>
          <w:rFonts w:ascii="Times New Roman" w:eastAsia="Times New Roman" w:hAnsi="Times New Roman" w:cs="Times New Roman"/>
          <w:color w:val="000000" w:themeColor="text1"/>
          <w:spacing w:val="2"/>
          <w:lang w:eastAsia="ru-RU"/>
        </w:rPr>
        <w:t>В 2017 - 2019 г</w:t>
      </w:r>
      <w:r w:rsidR="00DD44E5" w:rsidRPr="00F0736F">
        <w:rPr>
          <w:rFonts w:ascii="Times New Roman" w:eastAsia="Times New Roman" w:hAnsi="Times New Roman" w:cs="Times New Roman"/>
          <w:color w:val="000000" w:themeColor="text1"/>
          <w:spacing w:val="2"/>
          <w:lang w:eastAsia="ru-RU"/>
        </w:rPr>
        <w:t>одах</w:t>
      </w:r>
      <w:r w:rsidRPr="00F0736F">
        <w:rPr>
          <w:rFonts w:ascii="Times New Roman" w:eastAsia="Times New Roman" w:hAnsi="Times New Roman" w:cs="Times New Roman"/>
          <w:color w:val="000000" w:themeColor="text1"/>
          <w:spacing w:val="2"/>
          <w:lang w:eastAsia="ru-RU"/>
        </w:rPr>
        <w:t xml:space="preserve"> </w:t>
      </w:r>
      <w:r w:rsidRPr="00F0736F">
        <w:rPr>
          <w:rFonts w:ascii="Times New Roman" w:eastAsia="Consolas" w:hAnsi="Times New Roman" w:cs="Times New Roman"/>
          <w:color w:val="000000" w:themeColor="text1"/>
          <w:spacing w:val="2"/>
          <w:lang w:eastAsia="ru-RU"/>
        </w:rPr>
        <w:t xml:space="preserve">успешно проведена работа Глобального хаба ООН по устойчивому развитию, открыты две кафедры ЮНЕСКО по Устойчивому развитию и Коммуникации. Важным событием стало создание в КазНУ Института устойчивого развития совместно в Институтом Земли Колумбийского университета в США. Одним из важных результатов данного мероприятия стала инициатива КазНУ по созданию КОНСОРЦИУМА УНИВЕРСИТЕТОВ, главной целью которого является подготовка и переподготовка кадров по устойчивому развитию. Для обсуждения данного проекта на мировом уровне создана виртуально–коммуникативная платформа КазНУ им. аль-Фараби «Зелёный мост через поколения». Главной целью данной программы является достижение оптимального уровня потребления всеми странами энергетических и иных природных ресурсов к середине 21 века. В преддверии ЭКСПО-2017 в КазНУ </w:t>
      </w:r>
      <w:r w:rsidRPr="00F0736F">
        <w:rPr>
          <w:rFonts w:ascii="Times New Roman" w:eastAsia="Times New Roman" w:hAnsi="Times New Roman" w:cs="Times New Roman"/>
          <w:color w:val="000000" w:themeColor="text1"/>
          <w:spacing w:val="2"/>
          <w:lang w:eastAsia="ru-RU"/>
        </w:rPr>
        <w:t xml:space="preserve">им. </w:t>
      </w:r>
      <w:r w:rsidRPr="00F0736F">
        <w:rPr>
          <w:rFonts w:ascii="Times New Roman" w:eastAsia="Consolas" w:hAnsi="Times New Roman" w:cs="Times New Roman"/>
          <w:color w:val="000000" w:themeColor="text1"/>
          <w:spacing w:val="2"/>
          <w:lang w:eastAsia="ru-RU"/>
        </w:rPr>
        <w:t>а</w:t>
      </w:r>
      <w:r w:rsidRPr="00F0736F">
        <w:rPr>
          <w:rFonts w:ascii="Times New Roman" w:eastAsia="Times New Roman" w:hAnsi="Times New Roman" w:cs="Times New Roman"/>
          <w:color w:val="000000" w:themeColor="text1"/>
          <w:spacing w:val="2"/>
          <w:lang w:eastAsia="ru-RU"/>
        </w:rPr>
        <w:t>ль-Фараби</w:t>
      </w:r>
      <w:r w:rsidRPr="00F0736F">
        <w:rPr>
          <w:rFonts w:ascii="Times New Roman" w:eastAsia="Consolas" w:hAnsi="Times New Roman" w:cs="Times New Roman"/>
          <w:color w:val="000000" w:themeColor="text1"/>
          <w:spacing w:val="2"/>
          <w:lang w:eastAsia="ru-RU"/>
        </w:rPr>
        <w:t xml:space="preserve"> стартовал Центр «зеленых технологий», который представляет собой «МИНИ-ЭКСПО» для реализации инновационных проектов по «зеленой энергетике» с применением различных технологий получения энергии: ветровой, солнечной, гидро- и геотермальной, биогазовой и водородной энергетики. </w:t>
      </w:r>
    </w:p>
    <w:p w14:paraId="75CCAC26" w14:textId="3191895B"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РГП «Информационно-аналитический центр охраны окружающей среды» (ИАЦ ООС) Министерства энергетики регулярно организует трехдневные обучающие семинары, специально посвященные вопросам охраны окружающей среды. Ежегодно проводятся около 25 семинаров по всей стране с обучением более 300 слушателей. Было разработано семь тематических программ, в которых подробно рассматриваются требования Экологического кодекса, экологическое регулирование и ГЭЭ, государственный экологический контроль, инвентаризация парниковых газов, управление отходами, экологическая безопасность в нефтегазовой промышленности и экологическое нормирование. Учебные семинары в ИАЦ ООС посещают в основном сотрудники предприятий, департаментов экологии Комитета экологического регулирования и контроля и местных органов исполнительной власти, а также участники НПО.</w:t>
      </w:r>
    </w:p>
    <w:p w14:paraId="47F53008"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alibri" w:hAnsi="Times New Roman" w:cs="Times New Roman"/>
          <w:color w:val="000000" w:themeColor="text1"/>
          <w:lang w:eastAsia="en-US"/>
        </w:rPr>
        <w:t xml:space="preserve">Для формирования современного </w:t>
      </w:r>
      <w:r w:rsidRPr="00F0736F">
        <w:rPr>
          <w:rFonts w:ascii="Times New Roman" w:eastAsia="Calibri" w:hAnsi="Times New Roman" w:cs="Times New Roman"/>
          <w:bCs/>
          <w:color w:val="000000" w:themeColor="text1"/>
          <w:lang w:eastAsia="en-US"/>
        </w:rPr>
        <w:t>экологического мировоззрения студенческой молодежи и популяризации принципов «зеленой экономики» в вузах Казахстана</w:t>
      </w:r>
      <w:r w:rsidRPr="00F0736F">
        <w:rPr>
          <w:rFonts w:ascii="Times New Roman" w:eastAsia="Calibri" w:hAnsi="Times New Roman" w:cs="Times New Roman"/>
          <w:color w:val="000000" w:themeColor="text1"/>
          <w:lang w:eastAsia="en-US"/>
        </w:rPr>
        <w:t xml:space="preserve"> создаются различные экологические клубы, секции и кружки. Задачами экологических клубов в вузах являются повышение экологической грамотности и культуры студентов, разработка экологических образовательных и исследовательских проектов.</w:t>
      </w:r>
    </w:p>
    <w:p w14:paraId="2440710F" w14:textId="2F7D0968"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Актюбинском университете им. С. Баишева функционирует экологический клуб «Ecogid Aktobe». Совместно с профессорско-преподавательским составом кафедры «Экология» клуб решает следующие задачи: воспитывает у студентов любовь к природе, бережное отношение к использованию природных ресурсов, вовлекает их в природоохранную деятельность</w:t>
      </w:r>
      <w:r w:rsidR="00DD44E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формирует интерес к науке, производственной деятельности в области охраны окружающей среды. </w:t>
      </w:r>
    </w:p>
    <w:p w14:paraId="573E113B"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Основной целью клуба является включение города Актобе в число экологически чистых городов Республики Казахстан. </w:t>
      </w:r>
    </w:p>
    <w:p w14:paraId="0327FAE6"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Карагандинском государственном техническом университете 8 ноября 2018 года был проведен Международный молодежный антиядерный онлайн-форум «Эстафетам мира - молодым!» с участием поэта, общественного деятеля, президента Международного антиядерного движения «Невада-Семипалатинск» Олжаса Сулейменова. </w:t>
      </w:r>
    </w:p>
    <w:p w14:paraId="2FD103B3"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Казахском национальном университете им. Аль Фараби функционирует экологический кружок «Жас эколог». Основной целью кружка является ознакомление студентов с экологическими проблемами современности. Деятельность кружка «Жас эколог» осуществляется по таким темам, как: «Изучение экологической ситуации города Алматы и Иле-Алатауского национального парка», «Современное состояние Арала и пути его улучшения», «Экологические проблемы Каспийского региона и пути их решения» и др. </w:t>
      </w:r>
    </w:p>
    <w:p w14:paraId="0087C213"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На юридическом факультете вуза создан научный студенческий клуб «Экологическое право» по изучению современных научных тем в сфере экологии и охраны окружающей среды. </w:t>
      </w:r>
    </w:p>
    <w:p w14:paraId="732D076D"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Международном гуманитарно-техническом университете (г. Шымкент) на базе кафедры «Химия, биология и экология» функционирует кружок «Молодой эколог». Члены кружка проводят различные экологические акции: субботники на территории района, города, посадка зеленых насаждений и др.  </w:t>
      </w:r>
    </w:p>
    <w:p w14:paraId="2182C71A" w14:textId="45226BD4"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университете Нархоз работает студенческий экологический клуб </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PINE</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 </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Student Research Club</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которые созданы с целью участия и решения проблем, стоящих перед современным обществом – повышение экологической культуры через воспитание экологической личности. </w:t>
      </w:r>
    </w:p>
    <w:p w14:paraId="311D020B" w14:textId="35046B15" w:rsidR="00F674A4" w:rsidRPr="00F0736F" w:rsidRDefault="00F674A4" w:rsidP="00DD44E5">
      <w:pPr>
        <w:pBdr>
          <w:top w:val="none" w:sz="0" w:space="0" w:color="000000"/>
          <w:left w:val="none" w:sz="0" w:space="0" w:color="000000"/>
          <w:bottom w:val="single" w:sz="4" w:space="5" w:color="FFFFFF"/>
          <w:right w:val="none" w:sz="0" w:space="0" w:color="000000"/>
        </w:pBdr>
        <w:tabs>
          <w:tab w:val="left" w:pos="993"/>
        </w:tabs>
        <w:ind w:firstLine="709"/>
        <w:jc w:val="both"/>
        <w:rPr>
          <w:rFonts w:ascii="Times New Roman" w:hAnsi="Times New Roman" w:cs="Times New Roman"/>
          <w:color w:val="000000" w:themeColor="text1"/>
        </w:rPr>
      </w:pPr>
      <w:r w:rsidRPr="00F0736F">
        <w:rPr>
          <w:rFonts w:ascii="Times New Roman" w:hAnsi="Times New Roman" w:cs="Times New Roman"/>
          <w:bCs/>
          <w:color w:val="000000" w:themeColor="text1"/>
        </w:rPr>
        <w:t>В 2018 году</w:t>
      </w:r>
      <w:r w:rsidRPr="00F0736F">
        <w:rPr>
          <w:rFonts w:ascii="Times New Roman" w:hAnsi="Times New Roman" w:cs="Times New Roman"/>
          <w:color w:val="000000" w:themeColor="text1"/>
        </w:rPr>
        <w:t xml:space="preserve"> Министерством образования и науки РК проводилась работа по определению углеродного следа в основных ведущих </w:t>
      </w:r>
      <w:r w:rsidR="005E2E4E" w:rsidRPr="00F0736F">
        <w:rPr>
          <w:rFonts w:ascii="Times New Roman" w:hAnsi="Times New Roman" w:cs="Times New Roman"/>
          <w:color w:val="000000" w:themeColor="text1"/>
        </w:rPr>
        <w:t>вуз</w:t>
      </w:r>
      <w:r w:rsidRPr="00F0736F">
        <w:rPr>
          <w:rFonts w:ascii="Times New Roman" w:hAnsi="Times New Roman" w:cs="Times New Roman"/>
          <w:color w:val="000000" w:themeColor="text1"/>
        </w:rPr>
        <w:t xml:space="preserve">ах Казахстана. КазНУ им. аль-Фараби проводит исследование по индонезийской методологии разработки углеродного следа </w:t>
      </w:r>
      <w:r w:rsidRPr="00F0736F">
        <w:rPr>
          <w:rFonts w:ascii="Times New Roman" w:hAnsi="Times New Roman" w:cs="Times New Roman"/>
          <w:color w:val="000000" w:themeColor="text1"/>
          <w:lang w:val="en-US"/>
        </w:rPr>
        <w:t>Greenmetrics</w:t>
      </w:r>
      <w:r w:rsidRPr="00F0736F">
        <w:rPr>
          <w:rFonts w:ascii="Times New Roman" w:hAnsi="Times New Roman" w:cs="Times New Roman"/>
          <w:color w:val="000000" w:themeColor="text1"/>
        </w:rPr>
        <w:t xml:space="preserve">. Расчет углеродного следа по IU GREEN METRICS подготовлен на основе этапа расчета, показанного на сайте </w:t>
      </w:r>
      <w:hyperlink r:id="rId50" w:history="1">
        <w:r w:rsidRPr="00F0736F">
          <w:rPr>
            <w:rStyle w:val="a6"/>
            <w:rFonts w:ascii="Times New Roman" w:hAnsi="Times New Roman" w:cs="Times New Roman"/>
            <w:color w:val="000000" w:themeColor="text1"/>
            <w:u w:val="none"/>
          </w:rPr>
          <w:t>http://carbonfootprint.org</w:t>
        </w:r>
      </w:hyperlink>
      <w:r w:rsidR="00DD44E5" w:rsidRPr="00F0736F">
        <w:rPr>
          <w:rStyle w:val="a6"/>
          <w:rFonts w:ascii="Times New Roman" w:hAnsi="Times New Roman" w:cs="Times New Roman"/>
          <w:color w:val="000000" w:themeColor="text1"/>
          <w:u w:val="none"/>
        </w:rPr>
        <w:t xml:space="preserve"> </w:t>
      </w:r>
      <w:r w:rsidRPr="00F0736F">
        <w:rPr>
          <w:rFonts w:ascii="Times New Roman" w:hAnsi="Times New Roman" w:cs="Times New Roman"/>
          <w:color w:val="000000" w:themeColor="text1"/>
        </w:rPr>
        <w:t>(расчет обусловлен суммарным потреблением электричества в год и транспортной нагрузкой в год).</w:t>
      </w:r>
    </w:p>
    <w:p w14:paraId="40E4326B"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Фондом развития общественно-значимых инициатив в общеобразовательных школах республики проведены мероприятия с показом видеороликов</w:t>
      </w:r>
      <w:r w:rsidRPr="00F0736F">
        <w:rPr>
          <w:rFonts w:ascii="Times New Roman" w:hAnsi="Times New Roman" w:cs="Times New Roman"/>
          <w:color w:val="000000" w:themeColor="text1"/>
          <w:lang w:val="kk-KZ"/>
        </w:rPr>
        <w:t xml:space="preserve">, а также </w:t>
      </w:r>
      <w:r w:rsidRPr="00F0736F">
        <w:rPr>
          <w:rFonts w:ascii="Times New Roman" w:hAnsi="Times New Roman" w:cs="Times New Roman"/>
          <w:color w:val="000000" w:themeColor="text1"/>
        </w:rPr>
        <w:t xml:space="preserve">организованы мероприятия по экологическому воспитанию, в том числе по формированию навыков у обучающихся по отдельному сбору мусора. </w:t>
      </w:r>
    </w:p>
    <w:p w14:paraId="0D6F0538" w14:textId="6EF8DA3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АОО «Назарбаев Интеллектуальные школы» в партнерстве с ПРООН в </w:t>
      </w:r>
      <w:r w:rsidR="00DD44E5" w:rsidRPr="00F0736F">
        <w:rPr>
          <w:rFonts w:ascii="Times New Roman" w:hAnsi="Times New Roman" w:cs="Times New Roman"/>
          <w:color w:val="000000" w:themeColor="text1"/>
        </w:rPr>
        <w:t>городе</w:t>
      </w:r>
      <w:r w:rsidRPr="00F0736F">
        <w:rPr>
          <w:rFonts w:ascii="Times New Roman" w:hAnsi="Times New Roman" w:cs="Times New Roman"/>
          <w:color w:val="000000" w:themeColor="text1"/>
        </w:rPr>
        <w:t xml:space="preserve"> Нур-Султан проведена Международная конференция «Шаг в «зеленое» будущее». Конференция была посвящена проблемам экологии, в которой приняли участие более 200 учителей экологии, географии, биологии общеобразовательных и Назарбаев Интеллектуальных школ. На данной конференции презентован учебный ресурс «Климатическая шкатулка» - комплекта учебно-игровых материалов для школьников по теме «Изменение климата». На секционных занятиях проведено обсуждение отечественного и международного опыта активной борьбы с глобальным потеплением посредством использования зеленых технологий в образовательных учреждениях Казахстана. В рамках конференции была организована выставка исследовательских и проектных работ учащихся, победителей конкурса детских и молодежных экологических проектов «Water in Aul» и региональных конкурсов Назарбаев Интеллектуальных школ.</w:t>
      </w:r>
    </w:p>
    <w:p w14:paraId="772800B8" w14:textId="6373A3FB"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С 1 сентября </w:t>
      </w:r>
      <w:r w:rsidRPr="00F0736F">
        <w:rPr>
          <w:rFonts w:ascii="Times New Roman" w:hAnsi="Times New Roman" w:cs="Times New Roman"/>
          <w:color w:val="000000" w:themeColor="text1"/>
          <w:lang w:val="kk-KZ"/>
        </w:rPr>
        <w:t xml:space="preserve">2018 года </w:t>
      </w:r>
      <w:r w:rsidRPr="00F0736F">
        <w:rPr>
          <w:rFonts w:ascii="Times New Roman" w:hAnsi="Times New Roman" w:cs="Times New Roman"/>
          <w:color w:val="000000" w:themeColor="text1"/>
        </w:rPr>
        <w:t>в организациях среднего образования начато проведение экосеминаров с показом видеороликов. В этих целях для школьников 2-4 классов общеобразовательных школ Общественным движением «Казахстан-2050» и «</w:t>
      </w:r>
      <w:r w:rsidRPr="00F0736F">
        <w:rPr>
          <w:rFonts w:ascii="Times New Roman" w:hAnsi="Times New Roman" w:cs="Times New Roman"/>
          <w:color w:val="000000" w:themeColor="text1"/>
          <w:lang w:val="en-US"/>
        </w:rPr>
        <w:t>Samruk</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Kazyna</w:t>
      </w:r>
      <w:r w:rsidR="00DD44E5"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Trust</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разработаны учебно-методические пособия по проведению классного часа «Зеленое – значит бережливое».</w:t>
      </w:r>
    </w:p>
    <w:p w14:paraId="54B088B4" w14:textId="0187A6B4"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Вместе с тем, Управлениями образования областей и городов Нур-Султан, Алматы ведется работа по созданию на базе колледжей студенческих клубов по «зеленой экономике» с целью формирования новых знаний по развитию </w:t>
      </w:r>
      <w:r w:rsidR="00DD44E5"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 экономик</w:t>
      </w:r>
      <w:r w:rsidR="00DD44E5" w:rsidRPr="00F0736F">
        <w:rPr>
          <w:rFonts w:ascii="Times New Roman" w:hAnsi="Times New Roman" w:cs="Times New Roman"/>
          <w:color w:val="000000" w:themeColor="text1"/>
        </w:rPr>
        <w:t>и»</w:t>
      </w:r>
      <w:r w:rsidRPr="00F0736F">
        <w:rPr>
          <w:rFonts w:ascii="Times New Roman" w:hAnsi="Times New Roman" w:cs="Times New Roman"/>
          <w:color w:val="000000" w:themeColor="text1"/>
        </w:rPr>
        <w:t>, повышения заинтересованности молодежи в сохранении природы, внедрения инновационных технологий в различных сферах экономики и др.</w:t>
      </w:r>
      <w:r w:rsidRPr="00F0736F">
        <w:rPr>
          <w:rFonts w:ascii="Times New Roman" w:hAnsi="Times New Roman" w:cs="Times New Roman"/>
          <w:color w:val="000000" w:themeColor="text1"/>
          <w:sz w:val="28"/>
          <w:szCs w:val="28"/>
        </w:rPr>
        <w:t xml:space="preserve"> </w:t>
      </w:r>
    </w:p>
    <w:p w14:paraId="137956F5"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С июля 2019 года стартовала республиканская масштабная экологическая акция #</w:t>
      </w:r>
      <w:r w:rsidRPr="00F0736F">
        <w:rPr>
          <w:rFonts w:ascii="Times New Roman" w:hAnsi="Times New Roman" w:cs="Times New Roman"/>
          <w:color w:val="000000" w:themeColor="text1"/>
          <w:lang w:val="en-US"/>
        </w:rPr>
        <w:t>Birge</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TazaQazaqstan</w:t>
      </w:r>
      <w:r w:rsidRPr="00F0736F">
        <w:rPr>
          <w:rFonts w:ascii="Times New Roman" w:hAnsi="Times New Roman" w:cs="Times New Roman"/>
          <w:color w:val="000000" w:themeColor="text1"/>
        </w:rPr>
        <w:t xml:space="preserve">. Приняли участие выше 300 тыс. казахстанцев по всей стране. Собрано свыше 250 тыс. </w:t>
      </w:r>
      <w:r w:rsidR="00AC18E0" w:rsidRPr="00F0736F">
        <w:rPr>
          <w:rFonts w:ascii="Times New Roman" w:hAnsi="Times New Roman" w:cs="Times New Roman"/>
          <w:color w:val="000000" w:themeColor="text1"/>
        </w:rPr>
        <w:t>т.</w:t>
      </w:r>
      <w:r w:rsidRPr="00F0736F">
        <w:rPr>
          <w:rFonts w:ascii="Times New Roman" w:hAnsi="Times New Roman" w:cs="Times New Roman"/>
          <w:color w:val="000000" w:themeColor="text1"/>
        </w:rPr>
        <w:t xml:space="preserve"> мусор</w:t>
      </w:r>
      <w:r w:rsidRPr="00F0736F">
        <w:rPr>
          <w:rFonts w:ascii="Times New Roman" w:hAnsi="Times New Roman" w:cs="Times New Roman"/>
          <w:color w:val="000000" w:themeColor="text1"/>
          <w:lang w:val="kk-KZ"/>
        </w:rPr>
        <w:t>а</w:t>
      </w:r>
      <w:r w:rsidRPr="00F0736F">
        <w:rPr>
          <w:rFonts w:ascii="Times New Roman" w:hAnsi="Times New Roman" w:cs="Times New Roman"/>
          <w:color w:val="000000" w:themeColor="text1"/>
        </w:rPr>
        <w:t>.</w:t>
      </w:r>
    </w:p>
    <w:p w14:paraId="3109A842" w14:textId="1B12BE5B"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октябре 2019 года </w:t>
      </w:r>
      <w:r w:rsidRPr="00F0736F">
        <w:rPr>
          <w:rFonts w:ascii="Times New Roman" w:hAnsi="Times New Roman" w:cs="Times New Roman"/>
          <w:color w:val="000000" w:themeColor="text1"/>
          <w:lang w:val="kk-KZ"/>
        </w:rPr>
        <w:t xml:space="preserve">проведен </w:t>
      </w:r>
      <w:r w:rsidRPr="00F0736F">
        <w:rPr>
          <w:rFonts w:ascii="Times New Roman" w:hAnsi="Times New Roman" w:cs="Times New Roman"/>
          <w:color w:val="000000" w:themeColor="text1"/>
        </w:rPr>
        <w:t>Республиканский экологичес</w:t>
      </w:r>
      <w:r w:rsidRPr="00F0736F">
        <w:rPr>
          <w:rFonts w:ascii="Times New Roman" w:hAnsi="Times New Roman" w:cs="Times New Roman"/>
          <w:color w:val="000000" w:themeColor="text1"/>
          <w:lang w:val="kk-KZ"/>
        </w:rPr>
        <w:t>кий</w:t>
      </w:r>
      <w:r w:rsidRPr="00F0736F">
        <w:rPr>
          <w:rFonts w:ascii="Times New Roman" w:hAnsi="Times New Roman" w:cs="Times New Roman"/>
          <w:color w:val="000000" w:themeColor="text1"/>
        </w:rPr>
        <w:t xml:space="preserve"> час</w:t>
      </w:r>
      <w:r w:rsidRPr="00F0736F">
        <w:rPr>
          <w:rFonts w:ascii="Times New Roman" w:hAnsi="Times New Roman" w:cs="Times New Roman"/>
          <w:color w:val="000000" w:themeColor="text1"/>
          <w:lang w:val="kk-KZ"/>
        </w:rPr>
        <w:t>. Приняли участие</w:t>
      </w:r>
      <w:r w:rsidR="00DD44E5"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lang w:val="kk-KZ"/>
        </w:rPr>
        <w:t xml:space="preserve"> </w:t>
      </w:r>
      <w:r w:rsidR="00DD44E5"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lang w:val="kk-KZ"/>
        </w:rPr>
        <w:t>6</w:t>
      </w:r>
      <w:r w:rsidR="00DD44E5"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lang w:val="kk-KZ"/>
        </w:rPr>
        <w:t>166 школ с участием более 2,6 млн. школьников</w:t>
      </w:r>
      <w:r w:rsidRPr="00F0736F">
        <w:rPr>
          <w:rFonts w:ascii="Times New Roman" w:hAnsi="Times New Roman" w:cs="Times New Roman"/>
          <w:color w:val="000000" w:themeColor="text1"/>
        </w:rPr>
        <w:t>. Также приняли участие более 60 тысяч родителей, 10 тысяч членов Попечительского совета, акимы всех уровней, руководители государственных органов. Мероприятие приурочено к Всемирному Дню охраны мест обитания - международному празднику, призванному привлечь внимание человечества к проблеме сохранения среды обитания фауны планеты Земля. В основе Экочаса – диалог со школьниками с обсуждением вопросов бережного отношения к природе, родного края, сохранение природных ресурсов, сохранения растительного и животного мира, водных ресурсов, развитие здоровых экопривычек: экоотдыха, раздельного сбора твердых бытовых отходов, правильного питания и многое другое.</w:t>
      </w:r>
    </w:p>
    <w:p w14:paraId="5A88A8BE"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С целью привлечения внимания подрастающего поколения к актуальным экологическим проблемам, популяризации сознательного поведения и формирования навыков рационального природопользования у детей и молодёжи проведены конкурсы: «Моя планета», «Вторая жизнь отходов», «Сохраним планету вместе», «Отходы в доходы», «Волшебный лес», «Глобус мира», «Эколидер», «Познай свою землю».</w:t>
      </w:r>
    </w:p>
    <w:p w14:paraId="47BE66C7"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Также в рамках Экочаса проведены субботники по озеленению и благоустройству территорий организаций образования, волонтерское движение, очистка природных зон от мусора, флешмобы. В этот день на территории школ посажены более 120 тысяч деревьев.</w:t>
      </w:r>
    </w:p>
    <w:p w14:paraId="6E79AD64"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Также в рамках практически всех международных проектов, реализуемых в Казахстане, имеются компоненты по обучению и информированию населения, разрабатываются учебные материалы и программы, проводятся различные обучающие семинары, круглые столы и конференции. К примеру, в рамках проекта ГЭФ-ПРООН-Правительство Казахстана «Повышение устойчивости системы охраняемых территорий в пустынных экосистемах через продвижение совместимых с биоразнообразием источников жизнеобеспечения внутри и вокруг охраняемых территорий» (Пустынный проект) разработан ряд учебных материалов и программ для использования в системе образования от уровня школ до университетов. В частности, на базе двух агротехнических национальных университетов внедрена комплексная магистерская программа с ежегодной подготовкой 16 специалистов по специальности «управление ООПТ».  Для этого были подготовлены и утверждены на национальном уровне типовые учебные модули по 5-ти направлениям: научные исследования и мониторинг; охрана природных объектов; экопросвещение и экотуризм; менеджмент ООПТ; управление финансовыми и административными ресурсами. </w:t>
      </w:r>
    </w:p>
    <w:p w14:paraId="4CFDD202" w14:textId="0B2BA7AA"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На 3-х проектных территориях Пустынного проекта (Иле-Балхашская, Арал-Сырдариинская и Устюртская) и в г</w:t>
      </w:r>
      <w:r w:rsidR="00C37943" w:rsidRPr="00F0736F">
        <w:rPr>
          <w:rFonts w:ascii="Times New Roman" w:hAnsi="Times New Roman" w:cs="Times New Roman"/>
          <w:color w:val="000000" w:themeColor="text1"/>
        </w:rPr>
        <w:t xml:space="preserve">ороде </w:t>
      </w:r>
      <w:r w:rsidRPr="00F0736F">
        <w:rPr>
          <w:rFonts w:ascii="Times New Roman" w:hAnsi="Times New Roman" w:cs="Times New Roman"/>
          <w:color w:val="000000" w:themeColor="text1"/>
        </w:rPr>
        <w:t>Нур-Султан на базе 4-х пилотных школ внедрена программа дополнительного экологического образования для 6, 7, 8 классов, которая ориентирована на получение дополнительных знаний о биоразнообразии пустынных регионов Казахстана. Разработано и выпущено в печать учебно-методическое пособие для уч</w:t>
      </w:r>
      <w:r w:rsidR="005E2E4E" w:rsidRPr="00F0736F">
        <w:rPr>
          <w:rFonts w:ascii="Times New Roman" w:hAnsi="Times New Roman" w:cs="Times New Roman"/>
          <w:color w:val="000000" w:themeColor="text1"/>
        </w:rPr>
        <w:t>ителей средних школ на казахском и русском</w:t>
      </w:r>
      <w:r w:rsidRPr="00F0736F">
        <w:rPr>
          <w:rFonts w:ascii="Times New Roman" w:hAnsi="Times New Roman" w:cs="Times New Roman"/>
          <w:color w:val="000000" w:themeColor="text1"/>
        </w:rPr>
        <w:t xml:space="preserve"> языках. 128 учителей естественных дисциплин с 3-х регионов республики и </w:t>
      </w:r>
      <w:r w:rsidR="00C37943" w:rsidRPr="00F0736F">
        <w:rPr>
          <w:rFonts w:ascii="Times New Roman" w:hAnsi="Times New Roman" w:cs="Times New Roman"/>
          <w:color w:val="000000" w:themeColor="text1"/>
        </w:rPr>
        <w:t>города</w:t>
      </w:r>
      <w:r w:rsidRPr="00F0736F">
        <w:rPr>
          <w:rFonts w:ascii="Times New Roman" w:hAnsi="Times New Roman" w:cs="Times New Roman"/>
          <w:color w:val="000000" w:themeColor="text1"/>
        </w:rPr>
        <w:t xml:space="preserve"> Нур-Султан приняли участие в обучающем семинаре по введению данного учебного курса в своих школах.</w:t>
      </w:r>
    </w:p>
    <w:p w14:paraId="406E7A28"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рамках проекта БИОФИН</w:t>
      </w:r>
      <w:r w:rsidRPr="00F0736F">
        <w:rPr>
          <w:rStyle w:val="a4"/>
          <w:rFonts w:ascii="Times New Roman" w:hAnsi="Times New Roman" w:cs="Times New Roman"/>
          <w:color w:val="000000" w:themeColor="text1"/>
        </w:rPr>
        <w:footnoteReference w:id="119"/>
      </w:r>
      <w:r w:rsidRPr="00F0736F">
        <w:rPr>
          <w:rFonts w:ascii="Times New Roman" w:hAnsi="Times New Roman" w:cs="Times New Roman"/>
          <w:color w:val="000000" w:themeColor="text1"/>
        </w:rPr>
        <w:t xml:space="preserve"> в целях широкого информирования общественности и заинтересованных сторон создан видеофильм на русском и английском языках, раскрывающий вопросы финансирования биоразнообразия в Казахстане, разработаны и выпущены публикационные материалы. Результаты проекта представлены широкой общественности и заинтересованным сторонам в рамках итогового семинара и более 50 человек получили обширную информацию о пл</w:t>
      </w:r>
      <w:r w:rsidR="005E2E4E" w:rsidRPr="00F0736F">
        <w:rPr>
          <w:rFonts w:ascii="Times New Roman" w:hAnsi="Times New Roman" w:cs="Times New Roman"/>
          <w:color w:val="000000" w:themeColor="text1"/>
        </w:rPr>
        <w:t>ане мобилизации ресурсов. Также</w:t>
      </w:r>
      <w:r w:rsidRPr="00F0736F">
        <w:rPr>
          <w:rFonts w:ascii="Times New Roman" w:hAnsi="Times New Roman" w:cs="Times New Roman"/>
          <w:color w:val="000000" w:themeColor="text1"/>
        </w:rPr>
        <w:t xml:space="preserve"> информация о новых экономических механизмах и мобилизации ресурсов, проблемы финансирования биоразнообразия представлены СМИ в рамках «зеленого кафе». Через данное мероприятие повышаются знания и потенциал журналистов в вопросах устойчивого использования экосистем и биоразнообразия.</w:t>
      </w:r>
    </w:p>
    <w:p w14:paraId="69512BCB" w14:textId="3AD46BBD"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рамках проекта «Экономические механизмы оценки для улучшения принятия решений и управления выполнения обязательств в рамках глобальных экологических соглашений»</w:t>
      </w:r>
      <w:r w:rsidRPr="00F0736F">
        <w:rPr>
          <w:rStyle w:val="a4"/>
          <w:rFonts w:ascii="Times New Roman" w:hAnsi="Times New Roman" w:cs="Times New Roman"/>
          <w:color w:val="000000" w:themeColor="text1"/>
        </w:rPr>
        <w:footnoteReference w:id="120"/>
      </w:r>
      <w:r w:rsidRPr="00F0736F">
        <w:rPr>
          <w:rFonts w:ascii="Times New Roman" w:hAnsi="Times New Roman" w:cs="Times New Roman"/>
          <w:color w:val="000000" w:themeColor="text1"/>
        </w:rPr>
        <w:t xml:space="preserve"> учебный модуль с интерактивными приложениями по 8 (восьми) методикам экономической оценки экосистемных услуг в 2014 - 2017 годах разработан и принят двумя высшими учебными заведениями для внедрения с 2018 года в учебную программу студентов-магистрантов специальностей по экономике и природопользованию. Данный модуль был разработан по результатам экономической оценки экосистемных услуг природного резервата «Иле-Балкаш». Модуль протестирован </w:t>
      </w:r>
      <w:r w:rsidR="005E2E4E" w:rsidRPr="00F0736F">
        <w:rPr>
          <w:rFonts w:ascii="Times New Roman" w:hAnsi="Times New Roman" w:cs="Times New Roman"/>
          <w:color w:val="000000" w:themeColor="text1"/>
        </w:rPr>
        <w:t xml:space="preserve">в </w:t>
      </w:r>
      <w:r w:rsidRPr="00F0736F">
        <w:rPr>
          <w:rFonts w:ascii="Times New Roman" w:hAnsi="Times New Roman" w:cs="Times New Roman"/>
          <w:color w:val="000000" w:themeColor="text1"/>
        </w:rPr>
        <w:t>ходе обучающего тренинга</w:t>
      </w:r>
      <w:r w:rsidR="005E2E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 новые знания по методикам оценки экосистемных услуг получили более 20 представителей </w:t>
      </w:r>
      <w:r w:rsidR="005E2E4E" w:rsidRPr="00F0736F">
        <w:rPr>
          <w:rFonts w:ascii="Times New Roman" w:hAnsi="Times New Roman" w:cs="Times New Roman"/>
          <w:color w:val="000000" w:themeColor="text1"/>
        </w:rPr>
        <w:t>вуз</w:t>
      </w:r>
      <w:r w:rsidRPr="00F0736F">
        <w:rPr>
          <w:rFonts w:ascii="Times New Roman" w:hAnsi="Times New Roman" w:cs="Times New Roman"/>
          <w:color w:val="000000" w:themeColor="text1"/>
        </w:rPr>
        <w:t>ов Казахстана и научно-исследовательских институтов. Результаты проекта представлены СМИ в рамках «зеленого кафе» и освещены проблемы экономической оценки биоресурсов в принятии решений. Через данное мероприятие повышены знания и потенциал журналистов в вопросах устойчивого использования экосистем и биоразнообразия. В целом за период реализации проекта более 700 представителей научно-исследовательских организаций, государственных органов и частного сектора получили новые знания и повысили свой потенциал на основе семинаров и тренинга по</w:t>
      </w:r>
      <w:r w:rsidR="00C3794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экономической оценке экосистемных услуг.</w:t>
      </w:r>
    </w:p>
    <w:p w14:paraId="6A09EDB9" w14:textId="77777777" w:rsidR="00F674A4" w:rsidRPr="00F0736F" w:rsidRDefault="004733DF"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eastAsia="Consolas" w:hAnsi="Times New Roman" w:cs="Times New Roman"/>
          <w:color w:val="000000" w:themeColor="text1"/>
          <w:spacing w:val="2"/>
          <w:lang w:eastAsia="ru-RU"/>
        </w:rPr>
        <w:t>С 2017 г</w:t>
      </w:r>
      <w:r w:rsidR="005E2E4E" w:rsidRPr="00F0736F">
        <w:rPr>
          <w:rFonts w:ascii="Times New Roman" w:eastAsia="Consolas" w:hAnsi="Times New Roman" w:cs="Times New Roman"/>
          <w:color w:val="000000" w:themeColor="text1"/>
          <w:spacing w:val="2"/>
          <w:lang w:eastAsia="ru-RU"/>
        </w:rPr>
        <w:t>ода</w:t>
      </w:r>
      <w:r w:rsidR="00F674A4" w:rsidRPr="00F0736F">
        <w:rPr>
          <w:rFonts w:ascii="Times New Roman" w:eastAsia="Consolas" w:hAnsi="Times New Roman" w:cs="Times New Roman"/>
          <w:color w:val="000000" w:themeColor="text1"/>
          <w:spacing w:val="2"/>
          <w:lang w:eastAsia="ru-RU"/>
        </w:rPr>
        <w:t xml:space="preserve"> осуществлен переход на новую систему медиа–планирования, которая обеспечивает полную корреляцию деятельности всех государственных структур в информационно – имиджевом и медийном пространстве. </w:t>
      </w:r>
      <w:r w:rsidR="00F674A4" w:rsidRPr="00F0736F">
        <w:rPr>
          <w:rFonts w:ascii="Times New Roman" w:hAnsi="Times New Roman" w:cs="Times New Roman"/>
          <w:color w:val="000000" w:themeColor="text1"/>
        </w:rPr>
        <w:t>С этой целью на основе предложений всех центральных государственных органов был сформирован Единый республиканский медиа-план «Қуатты Қазақстан» на 2017 г</w:t>
      </w:r>
      <w:r w:rsidR="005E2E4E" w:rsidRPr="00F0736F">
        <w:rPr>
          <w:rFonts w:ascii="Times New Roman" w:hAnsi="Times New Roman" w:cs="Times New Roman"/>
          <w:color w:val="000000" w:themeColor="text1"/>
        </w:rPr>
        <w:t>од</w:t>
      </w:r>
      <w:r w:rsidR="00F674A4" w:rsidRPr="00F0736F">
        <w:rPr>
          <w:rFonts w:ascii="Times New Roman" w:hAnsi="Times New Roman" w:cs="Times New Roman"/>
          <w:color w:val="000000" w:themeColor="text1"/>
        </w:rPr>
        <w:t xml:space="preserve"> включающий основные направления медийной работы. Данный План был одобрен на заседании Правительства 21 февраля 2017 г</w:t>
      </w:r>
      <w:r w:rsidR="005E2E4E" w:rsidRPr="00F0736F">
        <w:rPr>
          <w:rFonts w:ascii="Times New Roman" w:hAnsi="Times New Roman" w:cs="Times New Roman"/>
          <w:color w:val="000000" w:themeColor="text1"/>
        </w:rPr>
        <w:t>ода</w:t>
      </w:r>
      <w:r w:rsidR="00F674A4" w:rsidRPr="00F0736F">
        <w:rPr>
          <w:rFonts w:ascii="Times New Roman" w:hAnsi="Times New Roman" w:cs="Times New Roman"/>
          <w:color w:val="000000" w:themeColor="text1"/>
        </w:rPr>
        <w:t>.</w:t>
      </w:r>
    </w:p>
    <w:p w14:paraId="19F1D064" w14:textId="6BB4FE14"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рамках государственной информационной стратегии, Медиа</w:t>
      </w:r>
      <w:r w:rsidR="005E2E4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плана, карты ценности, информационно-разъяснительная работа проводится через информационные сообщения в ведущих СМИ страны и социальных сетях посредством интервью, пресс-туров, телепрограмм на ведущих телеканалах страны. </w:t>
      </w:r>
    </w:p>
    <w:p w14:paraId="6CD43B4E" w14:textId="55634CC8"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целом, за 2017 г</w:t>
      </w:r>
      <w:r w:rsidR="005E2E4E" w:rsidRPr="00F0736F">
        <w:rPr>
          <w:rFonts w:ascii="Times New Roman" w:hAnsi="Times New Roman" w:cs="Times New Roman"/>
          <w:color w:val="000000" w:themeColor="text1"/>
        </w:rPr>
        <w:t>од</w:t>
      </w:r>
      <w:r w:rsidRPr="00F0736F">
        <w:rPr>
          <w:rFonts w:ascii="Times New Roman" w:hAnsi="Times New Roman" w:cs="Times New Roman"/>
          <w:color w:val="000000" w:themeColor="text1"/>
        </w:rPr>
        <w:t xml:space="preserve"> в СМИ всего было опубликовано – 5</w:t>
      </w:r>
      <w:r w:rsidR="00C3794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593 материала по «зеленой экономике», в том числе: в эфирах республиканских и региональных телеканалов вышло 2</w:t>
      </w:r>
      <w:r w:rsidR="00C37943"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930 сюжетов, в республиканских печатных СМИ опубликовано 972 материал</w:t>
      </w:r>
      <w:r w:rsidR="005E2E4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в ре</w:t>
      </w:r>
      <w:r w:rsidR="005E2E4E" w:rsidRPr="00F0736F">
        <w:rPr>
          <w:rFonts w:ascii="Times New Roman" w:hAnsi="Times New Roman" w:cs="Times New Roman"/>
          <w:color w:val="000000" w:themeColor="text1"/>
        </w:rPr>
        <w:t xml:space="preserve">гиональных СМИ </w:t>
      </w:r>
      <w:r w:rsidR="00C37943" w:rsidRPr="00F0736F">
        <w:rPr>
          <w:rFonts w:ascii="Times New Roman" w:hAnsi="Times New Roman" w:cs="Times New Roman"/>
          <w:color w:val="000000" w:themeColor="text1"/>
        </w:rPr>
        <w:t>–</w:t>
      </w:r>
      <w:r w:rsidR="005E2E4E" w:rsidRPr="00F0736F">
        <w:rPr>
          <w:rFonts w:ascii="Times New Roman" w:hAnsi="Times New Roman" w:cs="Times New Roman"/>
          <w:color w:val="000000" w:themeColor="text1"/>
        </w:rPr>
        <w:t xml:space="preserve"> 1</w:t>
      </w:r>
      <w:r w:rsidR="00C37943" w:rsidRPr="00F0736F">
        <w:rPr>
          <w:rFonts w:ascii="Times New Roman" w:hAnsi="Times New Roman" w:cs="Times New Roman"/>
          <w:color w:val="000000" w:themeColor="text1"/>
        </w:rPr>
        <w:t xml:space="preserve"> </w:t>
      </w:r>
      <w:r w:rsidR="005E2E4E" w:rsidRPr="00F0736F">
        <w:rPr>
          <w:rFonts w:ascii="Times New Roman" w:hAnsi="Times New Roman" w:cs="Times New Roman"/>
          <w:color w:val="000000" w:themeColor="text1"/>
        </w:rPr>
        <w:t>022 материала</w:t>
      </w:r>
      <w:r w:rsidRPr="00F0736F">
        <w:rPr>
          <w:rFonts w:ascii="Times New Roman" w:hAnsi="Times New Roman" w:cs="Times New Roman"/>
          <w:color w:val="000000" w:themeColor="text1"/>
        </w:rPr>
        <w:t>, на Интернет-ресурсах размещено</w:t>
      </w:r>
      <w:r w:rsidR="005E2E4E" w:rsidRPr="00F0736F">
        <w:rPr>
          <w:rFonts w:ascii="Times New Roman" w:hAnsi="Times New Roman" w:cs="Times New Roman"/>
          <w:color w:val="000000" w:themeColor="text1"/>
        </w:rPr>
        <w:t xml:space="preserve"> 669 публикаций</w:t>
      </w:r>
      <w:r w:rsidRPr="00F0736F">
        <w:rPr>
          <w:rFonts w:ascii="Times New Roman" w:hAnsi="Times New Roman" w:cs="Times New Roman"/>
          <w:color w:val="000000" w:themeColor="text1"/>
        </w:rPr>
        <w:t>.</w:t>
      </w:r>
    </w:p>
    <w:p w14:paraId="24F41B45"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В частности, по переходу к «зеленой экономике» в республиканских телеканалах «Хабар», «Хабар24», «Qazaqstan» организованы выпуски новостей и сюжетов «Жасыл экономика», «Зеленая экономика», «По сути», «Негізінде», «Технология будущего», «Арнайы жоба», «Басты тақырып», «ЕХРО life» и др.</w:t>
      </w:r>
    </w:p>
    <w:p w14:paraId="43C6EA54" w14:textId="5D858815" w:rsidR="00F674A4" w:rsidRPr="00F0736F" w:rsidRDefault="005E2E4E"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Также</w:t>
      </w:r>
      <w:r w:rsidR="00F674A4" w:rsidRPr="00F0736F">
        <w:rPr>
          <w:rFonts w:ascii="Times New Roman" w:hAnsi="Times New Roman" w:cs="Times New Roman"/>
          <w:color w:val="000000" w:themeColor="text1"/>
        </w:rPr>
        <w:t xml:space="preserve"> в эфирах региональных телеканалов «Қазақстан-Көкшетау», «Қазақстан-Орал», «Қазақстан-Тараз», «Қазақстан-Атырау», «Қазақстан-Өскемен» вышли в новостных сюжетах и передачах «Өзекті әңгіме», «Кеңдерек», «Қуатты шығыс», «Әлеумет», «Дайджест экономической прессы», «Прямое включение», «Честно говоря», «Модернизация Казахстана».</w:t>
      </w:r>
    </w:p>
    <w:p w14:paraId="41185E33"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 xml:space="preserve">В республиканских газетах «Литер», «Егемен Қазақстан», «Казахстанская правда», «Айқын», «Комсомольская правда Казахстан» по переходу к «зеленой экономике» организован выход следующих материалов: «Тезектің қызыуын пеллеттің жылуы алмастыра ма?», «Приверженность казахстанцев к «зеленой» экономике», «На острые мысли – новая энергетика», «Жаһанды жайлаған жасыл технология», «В поисках чистой энергии» и др. </w:t>
      </w:r>
    </w:p>
    <w:p w14:paraId="5EE2A184"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Данная тематика опубликована в региональных газетах «Знамя труда», «Оңтүстік Қазақстан», «Дидар», «Арқа ақшамы», «Ақ жайық», «Ақмешіт апталығы», «Алматы ақшамы», «Вечерний Алматы» и др.</w:t>
      </w:r>
    </w:p>
    <w:p w14:paraId="375B40BC"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Кроме того, по переходу к «зеленой экономике» опубликованы материалы в Интернет-ресурсах baq.kz, informburo.kz, inform.kz, bnews.kz, tengrinews.kz.</w:t>
      </w:r>
    </w:p>
    <w:p w14:paraId="42CF48D5"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Очень важно постоянное увеличение информационного потока по сохранению биоразнообразия. В большинстве ООПТ созданы музеи природы, в государственных учреждениях лесного хозяйства и природоохранных учреждениях работают школьные лесничества, которые организуют и проводят ежегодно природоохранные акции: «Марш парков», «Жасыл жапырак» «Всеказахстанский день посадки деревьев», «День земли», «Посади свое дерево», «Зеленый Казахстан» и другие. По вопросам сохранения биоразнообразия сняты десятки фильмов, которые демонстрируются на экранах телевидения.</w:t>
      </w:r>
    </w:p>
    <w:p w14:paraId="2529F9BC" w14:textId="77777777" w:rsidR="00B5230F"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color w:val="000000" w:themeColor="text1"/>
        </w:rPr>
        <w:t>Также в рамках практически всех международных проектов, реализуемых в Казахстане, имеются компоненты по обучению и информированию населения, проводятся различные обучающие семинары круглые столы и конференции.</w:t>
      </w:r>
    </w:p>
    <w:p w14:paraId="565E596B" w14:textId="77777777" w:rsidR="00B5230F" w:rsidRPr="00F0736F" w:rsidRDefault="00B5230F"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p>
    <w:p w14:paraId="7C993994" w14:textId="77777777" w:rsidR="00F674A4" w:rsidRPr="00F0736F" w:rsidRDefault="00F674A4" w:rsidP="00B5230F">
      <w:pPr>
        <w:pBdr>
          <w:top w:val="none" w:sz="0" w:space="0" w:color="000000"/>
          <w:left w:val="none" w:sz="0" w:space="0" w:color="000000"/>
          <w:bottom w:val="single" w:sz="4" w:space="5" w:color="FFFFFF"/>
          <w:right w:val="none" w:sz="0" w:space="0" w:color="000000"/>
        </w:pBdr>
        <w:tabs>
          <w:tab w:val="left" w:pos="993"/>
        </w:tabs>
        <w:ind w:firstLine="709"/>
        <w:jc w:val="both"/>
        <w:rPr>
          <w:color w:val="000000" w:themeColor="text1"/>
        </w:rPr>
      </w:pPr>
      <w:r w:rsidRPr="00F0736F">
        <w:rPr>
          <w:rFonts w:ascii="Times New Roman" w:hAnsi="Times New Roman" w:cs="Times New Roman"/>
          <w:b/>
          <w:bCs/>
          <w:i/>
          <w:iCs/>
          <w:color w:val="000000" w:themeColor="text1"/>
        </w:rPr>
        <w:t>Международный опыт</w:t>
      </w:r>
    </w:p>
    <w:p w14:paraId="1D42EF8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Повестка дня ООН до 2030 года предусма</w:t>
      </w:r>
      <w:r w:rsidR="005E2E4E" w:rsidRPr="00F0736F">
        <w:rPr>
          <w:rFonts w:ascii="Times New Roman" w:hAnsi="Times New Roman" w:cs="Times New Roman"/>
          <w:color w:val="000000" w:themeColor="text1"/>
        </w:rPr>
        <w:t>тривает обеспечение качественного</w:t>
      </w:r>
      <w:r w:rsidRPr="00F0736F">
        <w:rPr>
          <w:rFonts w:ascii="Times New Roman" w:hAnsi="Times New Roman" w:cs="Times New Roman"/>
          <w:color w:val="000000" w:themeColor="text1"/>
        </w:rPr>
        <w:t xml:space="preserve"> инклюзивно</w:t>
      </w:r>
      <w:r w:rsidR="005E2E4E" w:rsidRPr="00F0736F">
        <w:rPr>
          <w:rFonts w:ascii="Times New Roman" w:hAnsi="Times New Roman" w:cs="Times New Roman"/>
          <w:color w:val="000000" w:themeColor="text1"/>
        </w:rPr>
        <w:t>го</w:t>
      </w:r>
      <w:r w:rsidRPr="00F0736F">
        <w:rPr>
          <w:rFonts w:ascii="Times New Roman" w:hAnsi="Times New Roman" w:cs="Times New Roman"/>
          <w:color w:val="000000" w:themeColor="text1"/>
        </w:rPr>
        <w:t xml:space="preserve"> и равноправно</w:t>
      </w:r>
      <w:r w:rsidR="005E2E4E" w:rsidRPr="00F0736F">
        <w:rPr>
          <w:rFonts w:ascii="Times New Roman" w:hAnsi="Times New Roman" w:cs="Times New Roman"/>
          <w:color w:val="000000" w:themeColor="text1"/>
        </w:rPr>
        <w:t>го образования</w:t>
      </w:r>
      <w:r w:rsidRPr="00F0736F">
        <w:rPr>
          <w:rFonts w:ascii="Times New Roman" w:hAnsi="Times New Roman" w:cs="Times New Roman"/>
          <w:color w:val="000000" w:themeColor="text1"/>
        </w:rPr>
        <w:t xml:space="preserve"> на всех уровнях: дошкольное, начальное, среднее, высшее и техническое образование, а также профессиональную подготовку. Все люди, независимо от пола, возраста, расы и этнического происхождения, а также инвалиды, мигранты, представители коренных народов, дети и молодые люди, особенно находящиеся в уязвимой ситуации, должны иметь возможность учиться на протяжении всей жизни. Данные обязательства относятся в полной мере и к экологическому образованию. Поэтому ЦУР 4.7 предусматривает к 2030 году обеспечить, чтобы все учащиеся приобретали знания и навыки, необходимые для содействия устойчивому развитию, в том числе посредством обучения по вопросам устойчивого развития и устойчивого образа жизни, прав человека, гендерного равенства, пропаганды культуры мира и ненасилия, гражданства мира и осознания ценности культурного разнообразия и вклада культуры в устойчивое развитие. </w:t>
      </w:r>
    </w:p>
    <w:p w14:paraId="2BED001E" w14:textId="20B209D3"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C 11 по 15 марта 2019 года</w:t>
      </w:r>
      <w:r w:rsidR="00FC1B93" w:rsidRPr="00F0736F">
        <w:rPr>
          <w:rFonts w:ascii="Times New Roman" w:eastAsia="Times New Roman" w:hAnsi="Times New Roman" w:cs="Times New Roman"/>
          <w:bCs/>
          <w:color w:val="000000" w:themeColor="text1"/>
        </w:rPr>
        <w:t xml:space="preserve"> в</w:t>
      </w:r>
      <w:r w:rsidRPr="00F0736F">
        <w:rPr>
          <w:rFonts w:ascii="Times New Roman" w:eastAsia="Times New Roman" w:hAnsi="Times New Roman" w:cs="Times New Roman"/>
          <w:bCs/>
          <w:color w:val="000000" w:themeColor="text1"/>
        </w:rPr>
        <w:t xml:space="preserve"> г</w:t>
      </w:r>
      <w:r w:rsidR="00C37943" w:rsidRPr="00F0736F">
        <w:rPr>
          <w:rFonts w:ascii="Times New Roman" w:eastAsia="Times New Roman" w:hAnsi="Times New Roman" w:cs="Times New Roman"/>
          <w:bCs/>
          <w:color w:val="000000" w:themeColor="text1"/>
        </w:rPr>
        <w:t>ороде</w:t>
      </w:r>
      <w:r w:rsidRPr="00F0736F">
        <w:rPr>
          <w:rFonts w:ascii="Times New Roman" w:eastAsia="Times New Roman" w:hAnsi="Times New Roman" w:cs="Times New Roman"/>
          <w:bCs/>
          <w:color w:val="000000" w:themeColor="text1"/>
        </w:rPr>
        <w:t xml:space="preserve"> Найроби (Кения) прошла ч</w:t>
      </w:r>
      <w:r w:rsidRPr="00F0736F">
        <w:rPr>
          <w:rFonts w:ascii="Times New Roman" w:hAnsi="Times New Roman" w:cs="Times New Roman"/>
          <w:color w:val="000000" w:themeColor="text1"/>
        </w:rPr>
        <w:t xml:space="preserve">етвертая сессия Ассамблеи ООН по окружающей среде. </w:t>
      </w:r>
      <w:hyperlink r:id="rId51" w:history="1">
        <w:r w:rsidRPr="00F0736F">
          <w:rPr>
            <w:rStyle w:val="a6"/>
            <w:rFonts w:ascii="Times New Roman" w:hAnsi="Times New Roman" w:cs="Times New Roman"/>
            <w:color w:val="000000" w:themeColor="text1"/>
            <w:u w:val="none"/>
          </w:rPr>
          <w:t>Справочный доклад ООН - Окружающая среда</w:t>
        </w:r>
      </w:hyperlink>
      <w:r w:rsidRPr="00F0736F">
        <w:rPr>
          <w:rStyle w:val="a6"/>
          <w:rFonts w:ascii="Times New Roman" w:hAnsi="Times New Roman" w:cs="Times New Roman"/>
          <w:color w:val="000000" w:themeColor="text1"/>
          <w:u w:val="none"/>
        </w:rPr>
        <w:t xml:space="preserve"> </w:t>
      </w:r>
      <w:r w:rsidRPr="00F0736F">
        <w:rPr>
          <w:rFonts w:ascii="Times New Roman" w:hAnsi="Times New Roman" w:cs="Times New Roman"/>
          <w:color w:val="000000" w:themeColor="text1"/>
        </w:rPr>
        <w:t>для Ассамблеи, подготовленный ЮНЕП, выступает основой для установления проблем и определения новых областей действий и дает веские основания для срочных действий. Этот доклад называется «Инновационные решения экологических проблем и устойчивое потребление и производство» и в нем рассматриваются инновации как культура, поощряющая изобретательность для решения экологических проблем</w:t>
      </w:r>
      <w:r w:rsidRPr="00F0736F">
        <w:rPr>
          <w:rStyle w:val="a4"/>
          <w:rFonts w:ascii="Times New Roman" w:hAnsi="Times New Roman" w:cs="Times New Roman"/>
          <w:color w:val="000000" w:themeColor="text1"/>
        </w:rPr>
        <w:footnoteReference w:id="121"/>
      </w:r>
      <w:r w:rsidRPr="00F0736F">
        <w:rPr>
          <w:rFonts w:ascii="Times New Roman" w:hAnsi="Times New Roman" w:cs="Times New Roman"/>
          <w:color w:val="000000" w:themeColor="text1"/>
        </w:rPr>
        <w:t>.</w:t>
      </w:r>
    </w:p>
    <w:p w14:paraId="3E2A371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докладе говорится, что для стимулирования и укрепления инновационной культуры требуется ряд условий. Они включают в себя инструменты лидерства и управления, поощряющие инновации и цикличность при одновременном стимулировании открытости и сотрудничества; образование и постоянное наращивание потенциала, способствующие переходу к обществу знаний; и приверженность финансов и технологий устойчивому развитию. </w:t>
      </w:r>
    </w:p>
    <w:p w14:paraId="7490766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Решение экологических проблем в данном докладе рассматривается с точки зрения новаторских подходов в трех основных областях: а) экологические проблемы, связанные с нищетой и рациональным использованием природных ресурсов, включая устойчивые продовольственные системы, продовольственную безопасность и прекращение утраты биоразнообразия; b) подходы на основе жизненного цикла к рациональному использованию ресурсов, энергии и химических веществ и управлению отходами; и с) инновационное устойчивое развитие бизнеса в период быстрых технологических изменений. </w:t>
      </w:r>
    </w:p>
    <w:p w14:paraId="651B095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«Инновация» в докладе рассматривается в самом широком смысле этого слова, как не только технология, но скорее мышление или благоприятствующая культура, доступная для всех стран и организаций, которая включает в себя рационализацию и упрощение процессов, и устранение барьеров для того, чтобы действовать в качестве стимулятора инноваций - «делать разные вещи и делать вещи по–разному».</w:t>
      </w:r>
    </w:p>
    <w:p w14:paraId="5942F44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Одной из основных проблем, препятствующих внедрению инноваций</w:t>
      </w:r>
      <w:r w:rsidR="00FC1B9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назван постоянно растущий разрыв в квалификации для динамичной, ресурсоэффективной экономики. Эффективное образование и профессиональная подготовка являются важнейшими условиями, способствующими внедрению инноваций, привлечению инвестиционных потоков и ускорению технического прогресса.</w:t>
      </w:r>
    </w:p>
    <w:p w14:paraId="78A10F5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Широкое инвестирование в экологическое образование в рамках устойчивого развития с уделением особого внимания гендерной проблематике может способствовать формированию поколения, которое внедряет инновации и быстрее адаптируется к инновациям, направленным на решение глобальных экологических проблем. Образовательные учреждения могут подавать пример, уделяя приоритетное внимание методам образования, которые развивают компетенции, способствующие инновациям и управлению инновациями, включая творческое мышление, навыки проектирования, управление организационными изменениями и способность работать в командах для решения проблем. Не менее важно, что интеграция таких тем, как экологическая, устойчивая химия и устойчивые бизнес-модели, в существующие учебные программы поможет сформировать новое поколение ученых и предпринимателей, которые смогут продвигать реализацию Повестки дня на период до 2030 года.</w:t>
      </w:r>
    </w:p>
    <w:p w14:paraId="55D58EFC" w14:textId="6D323429"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С точки зрения финансирования решения экологических проблем необходимо широкое внедрение умных, </w:t>
      </w:r>
      <w:r w:rsidR="00C3794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экономных</w:t>
      </w:r>
      <w:r w:rsidR="00C37943"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инноваций, которые могут оказать существенное положительное воздействие на окружающую среду при очень ограниченных инвестициях. Это особенно важно для бедных и развивающихся государств.</w:t>
      </w:r>
    </w:p>
    <w:p w14:paraId="7CDB3D6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Примером для развивающихся государств в области экологического образования может быть Болонский образовательный процесс в Европейских государствах, целью которого было создание экономически сильной, конкурентоспособной Европы и преодоление целого ряда серьезных экологических, социальных, экономических и демографических проблем, характерных для современной Европы.</w:t>
      </w:r>
    </w:p>
    <w:p w14:paraId="01D05D50" w14:textId="77777777" w:rsidR="00F674A4" w:rsidRPr="00F0736F" w:rsidRDefault="00F674A4" w:rsidP="008727D9">
      <w:pPr>
        <w:ind w:firstLine="709"/>
        <w:jc w:val="both"/>
        <w:rPr>
          <w:color w:val="000000" w:themeColor="text1"/>
        </w:rPr>
      </w:pPr>
      <w:r w:rsidRPr="00F0736F">
        <w:rPr>
          <w:rStyle w:val="a5"/>
          <w:rFonts w:ascii="Times New Roman" w:hAnsi="Times New Roman" w:cs="Times New Roman"/>
          <w:i w:val="0"/>
          <w:iCs w:val="0"/>
          <w:color w:val="000000" w:themeColor="text1"/>
        </w:rPr>
        <w:t xml:space="preserve">Еще </w:t>
      </w:r>
      <w:r w:rsidR="00FC1B93" w:rsidRPr="00F0736F">
        <w:rPr>
          <w:rStyle w:val="a5"/>
          <w:rFonts w:ascii="Times New Roman" w:hAnsi="Times New Roman" w:cs="Times New Roman"/>
          <w:i w:val="0"/>
          <w:iCs w:val="0"/>
          <w:color w:val="000000" w:themeColor="text1"/>
        </w:rPr>
        <w:t xml:space="preserve">в </w:t>
      </w:r>
      <w:r w:rsidRPr="00F0736F">
        <w:rPr>
          <w:rStyle w:val="a5"/>
          <w:rFonts w:ascii="Times New Roman" w:hAnsi="Times New Roman" w:cs="Times New Roman"/>
          <w:i w:val="0"/>
          <w:iCs w:val="0"/>
          <w:color w:val="000000" w:themeColor="text1"/>
        </w:rPr>
        <w:t xml:space="preserve">1988 году на конференции ректоров европейских вузов в Болонье была принята Всеобщая хартия университетов (Magna Charta Universitatum), в которой университеты были названы центрами культуры, и впервые была обозначена задача создания академического европейского пространства. </w:t>
      </w:r>
      <w:r w:rsidRPr="00F0736F">
        <w:rPr>
          <w:rFonts w:ascii="Times New Roman" w:hAnsi="Times New Roman" w:cs="Times New Roman"/>
          <w:color w:val="000000" w:themeColor="text1"/>
        </w:rPr>
        <w:t xml:space="preserve">Этот вопрос возник в связи с реальной угрозой экспансии образовательных услуг США в Европе, как реакция защиты собственно европейского культурного образовательного пространства. </w:t>
      </w:r>
      <w:r w:rsidRPr="00F0736F">
        <w:rPr>
          <w:rStyle w:val="a5"/>
          <w:rFonts w:ascii="Times New Roman" w:hAnsi="Times New Roman" w:cs="Times New Roman"/>
          <w:i w:val="0"/>
          <w:iCs w:val="0"/>
          <w:color w:val="000000" w:themeColor="text1"/>
        </w:rPr>
        <w:t xml:space="preserve">Таким образом, Болонская декларация стала итогом подготовительного этапа формирования основных принципов организации европейского экологического образовательного пространства. </w:t>
      </w:r>
      <w:r w:rsidRPr="00F0736F">
        <w:rPr>
          <w:rFonts w:ascii="Times New Roman" w:hAnsi="Times New Roman" w:cs="Times New Roman"/>
          <w:color w:val="000000" w:themeColor="text1"/>
        </w:rPr>
        <w:t xml:space="preserve">В июне 1999 года, в Болонье, министрами образования 29 европейских стран была подписана </w:t>
      </w:r>
      <w:r w:rsidRPr="00F0736F">
        <w:rPr>
          <w:rStyle w:val="af1"/>
          <w:rFonts w:ascii="Times New Roman" w:hAnsi="Times New Roman" w:cs="Times New Roman"/>
          <w:b w:val="0"/>
          <w:bCs w:val="0"/>
          <w:color w:val="000000" w:themeColor="text1"/>
        </w:rPr>
        <w:t>«Декларация о Европейском пространстве для высшего образования»</w:t>
      </w:r>
      <w:r w:rsidRPr="00F0736F">
        <w:rPr>
          <w:rFonts w:ascii="Times New Roman" w:hAnsi="Times New Roman" w:cs="Times New Roman"/>
          <w:color w:val="000000" w:themeColor="text1"/>
        </w:rPr>
        <w:t>. Декларация стала ключевым документом нового этапа гармонизации национальных систем в процессе создания общеевропейского пространства высшего экологического образования.</w:t>
      </w:r>
    </w:p>
    <w:p w14:paraId="319869F4" w14:textId="77777777" w:rsidR="00F674A4" w:rsidRPr="00F0736F" w:rsidRDefault="00F674A4" w:rsidP="008727D9">
      <w:pPr>
        <w:ind w:firstLine="709"/>
        <w:jc w:val="both"/>
        <w:rPr>
          <w:color w:val="000000" w:themeColor="text1"/>
        </w:rPr>
      </w:pPr>
      <w:r w:rsidRPr="00F0736F">
        <w:rPr>
          <w:rStyle w:val="af1"/>
          <w:rFonts w:ascii="Times New Roman" w:hAnsi="Times New Roman" w:cs="Times New Roman"/>
          <w:b w:val="0"/>
          <w:bCs w:val="0"/>
          <w:color w:val="000000" w:themeColor="text1"/>
        </w:rPr>
        <w:t>«Европейское измерение в экологическом образовании»</w:t>
      </w:r>
      <w:r w:rsidRPr="00F0736F">
        <w:rPr>
          <w:rFonts w:ascii="Times New Roman" w:hAnsi="Times New Roman" w:cs="Times New Roman"/>
          <w:color w:val="000000" w:themeColor="text1"/>
        </w:rPr>
        <w:t xml:space="preserve"> ориентировано на воспитание личности с четкой гражданской позицией и профессиональной экологической составляющей, личности </w:t>
      </w:r>
      <w:r w:rsidRPr="00F0736F">
        <w:rPr>
          <w:rStyle w:val="af1"/>
          <w:rFonts w:ascii="Times New Roman" w:hAnsi="Times New Roman" w:cs="Times New Roman"/>
          <w:b w:val="0"/>
          <w:bCs w:val="0"/>
          <w:color w:val="000000" w:themeColor="text1"/>
        </w:rPr>
        <w:t>«европейского типа»</w:t>
      </w:r>
      <w:r w:rsidRPr="00F0736F">
        <w:rPr>
          <w:rFonts w:ascii="Times New Roman" w:hAnsi="Times New Roman" w:cs="Times New Roman"/>
          <w:color w:val="000000" w:themeColor="text1"/>
        </w:rPr>
        <w:t xml:space="preserve">, исповедующей толерантность, плюрализм, ценящей культурное наследие сообщества, участника процесса европейской интеграции и сохраняющего окружающую среду. Принятие единых общеевропейских стандартов позволило расширить миграционные потоки студентов, молодых специалистов по экологическим специальностям и способствовало сохранению окружающей среды европейского континента. </w:t>
      </w:r>
    </w:p>
    <w:p w14:paraId="3F258FB5" w14:textId="77777777"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 xml:space="preserve">В Казахстане присоединение к болонскому процессу началось в 2007 году, когда в Законе Республики Казахстан </w:t>
      </w:r>
      <w:r w:rsidRPr="00F0736F">
        <w:rPr>
          <w:rStyle w:val="af1"/>
          <w:rFonts w:ascii="Times New Roman" w:hAnsi="Times New Roman" w:cs="Times New Roman"/>
          <w:b w:val="0"/>
          <w:bCs w:val="0"/>
          <w:color w:val="000000" w:themeColor="text1"/>
          <w:sz w:val="24"/>
        </w:rPr>
        <w:t>«Об образовании»</w:t>
      </w:r>
      <w:r w:rsidRPr="00F0736F">
        <w:rPr>
          <w:rFonts w:ascii="Times New Roman" w:hAnsi="Times New Roman" w:cs="Times New Roman"/>
          <w:color w:val="000000" w:themeColor="text1"/>
          <w:sz w:val="24"/>
        </w:rPr>
        <w:t xml:space="preserve"> была предусмотрена трехступенчатая модель подготовки специалистов: бакалавриат-магистр-доктор PhD, и внедрена кредитная технология обучения. </w:t>
      </w:r>
    </w:p>
    <w:p w14:paraId="1F06E9F9" w14:textId="77777777"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 xml:space="preserve">Проблема гармонизации отношений человека и природы появилась краеугольным камнем многочисленных </w:t>
      </w:r>
      <w:r w:rsidRPr="00F0736F">
        <w:rPr>
          <w:rStyle w:val="a5"/>
          <w:rFonts w:ascii="Times New Roman" w:hAnsi="Times New Roman" w:cs="Times New Roman"/>
          <w:i w:val="0"/>
          <w:iCs w:val="0"/>
          <w:color w:val="000000" w:themeColor="text1"/>
          <w:sz w:val="24"/>
        </w:rPr>
        <w:t>педагогических концепций</w:t>
      </w:r>
      <w:r w:rsidRPr="00F0736F">
        <w:rPr>
          <w:rFonts w:ascii="Times New Roman" w:hAnsi="Times New Roman" w:cs="Times New Roman"/>
          <w:color w:val="000000" w:themeColor="text1"/>
          <w:sz w:val="24"/>
        </w:rPr>
        <w:t xml:space="preserve"> прошлого. Современная практика </w:t>
      </w:r>
      <w:r w:rsidRPr="00F0736F">
        <w:rPr>
          <w:rStyle w:val="a5"/>
          <w:rFonts w:ascii="Times New Roman" w:hAnsi="Times New Roman" w:cs="Times New Roman"/>
          <w:i w:val="0"/>
          <w:iCs w:val="0"/>
          <w:color w:val="000000" w:themeColor="text1"/>
          <w:sz w:val="24"/>
        </w:rPr>
        <w:t>образовательных исследований</w:t>
      </w:r>
      <w:r w:rsidRPr="00F0736F">
        <w:rPr>
          <w:rFonts w:ascii="Times New Roman" w:hAnsi="Times New Roman" w:cs="Times New Roman"/>
          <w:color w:val="000000" w:themeColor="text1"/>
          <w:sz w:val="24"/>
        </w:rPr>
        <w:t xml:space="preserve"> также уделяет особое внимание </w:t>
      </w:r>
      <w:r w:rsidRPr="00F0736F">
        <w:rPr>
          <w:rStyle w:val="a5"/>
          <w:rFonts w:ascii="Times New Roman" w:hAnsi="Times New Roman" w:cs="Times New Roman"/>
          <w:i w:val="0"/>
          <w:iCs w:val="0"/>
          <w:color w:val="000000" w:themeColor="text1"/>
          <w:sz w:val="24"/>
        </w:rPr>
        <w:t>проблеме развития экологического образования</w:t>
      </w:r>
      <w:r w:rsidRPr="00F0736F">
        <w:rPr>
          <w:rFonts w:ascii="Times New Roman" w:hAnsi="Times New Roman" w:cs="Times New Roman"/>
          <w:color w:val="000000" w:themeColor="text1"/>
          <w:sz w:val="24"/>
        </w:rPr>
        <w:t xml:space="preserve"> за рубежом. </w:t>
      </w:r>
    </w:p>
    <w:p w14:paraId="674AB96A" w14:textId="77777777"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Style w:val="a5"/>
          <w:rFonts w:ascii="Times New Roman" w:hAnsi="Times New Roman" w:cs="Times New Roman"/>
          <w:i w:val="0"/>
          <w:iCs w:val="0"/>
          <w:color w:val="000000" w:themeColor="text1"/>
          <w:sz w:val="24"/>
        </w:rPr>
        <w:t>Экологическое образование в США</w:t>
      </w:r>
      <w:r w:rsidRPr="00F0736F">
        <w:rPr>
          <w:rFonts w:ascii="Times New Roman" w:hAnsi="Times New Roman" w:cs="Times New Roman"/>
          <w:color w:val="000000" w:themeColor="text1"/>
          <w:sz w:val="24"/>
        </w:rPr>
        <w:t xml:space="preserve"> имеет два уровня: экологический и природоохранный. Они тесно связаны между собой и взаимо дополняют друг друга. </w:t>
      </w:r>
      <w:r w:rsidRPr="00F0736F">
        <w:rPr>
          <w:rStyle w:val="a5"/>
          <w:rFonts w:ascii="Times New Roman" w:hAnsi="Times New Roman" w:cs="Times New Roman"/>
          <w:i w:val="0"/>
          <w:iCs w:val="0"/>
          <w:color w:val="000000" w:themeColor="text1"/>
          <w:sz w:val="24"/>
        </w:rPr>
        <w:t>Экологический уровень</w:t>
      </w:r>
      <w:r w:rsidRPr="00F0736F">
        <w:rPr>
          <w:rFonts w:ascii="Times New Roman" w:hAnsi="Times New Roman" w:cs="Times New Roman"/>
          <w:color w:val="000000" w:themeColor="text1"/>
          <w:sz w:val="24"/>
        </w:rPr>
        <w:t xml:space="preserve"> охватывает вопросы природного динамического равновесия, организации биосферы, наследственности, адаптации, изменения в природе. А в </w:t>
      </w:r>
      <w:r w:rsidRPr="00F0736F">
        <w:rPr>
          <w:rStyle w:val="a5"/>
          <w:rFonts w:ascii="Times New Roman" w:hAnsi="Times New Roman" w:cs="Times New Roman"/>
          <w:i w:val="0"/>
          <w:iCs w:val="0"/>
          <w:color w:val="000000" w:themeColor="text1"/>
          <w:sz w:val="24"/>
        </w:rPr>
        <w:t>природоохранном уровне</w:t>
      </w:r>
      <w:r w:rsidRPr="00F0736F">
        <w:rPr>
          <w:rFonts w:ascii="Times New Roman" w:hAnsi="Times New Roman" w:cs="Times New Roman"/>
          <w:color w:val="000000" w:themeColor="text1"/>
          <w:sz w:val="24"/>
        </w:rPr>
        <w:t xml:space="preserve"> затронуты вопросы рационального природопользования, охраны природы. Составной частью содержания образования является умение и навыки. Их делят на индивидуальные и поисковые. Первые способствуют эффективному осмыслению экологических знаний, вторые направлены на овладение учащимися и студентами методами самостоятельных творческих научных исследований.</w:t>
      </w:r>
    </w:p>
    <w:p w14:paraId="38B80E0C" w14:textId="68CCDEAE"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Style w:val="a5"/>
          <w:rFonts w:ascii="Times New Roman" w:hAnsi="Times New Roman" w:cs="Times New Roman"/>
          <w:i w:val="0"/>
          <w:iCs w:val="0"/>
          <w:color w:val="000000" w:themeColor="text1"/>
          <w:sz w:val="24"/>
        </w:rPr>
        <w:t>Экологическое образование в Японии</w:t>
      </w:r>
      <w:r w:rsidRPr="00F0736F">
        <w:rPr>
          <w:rFonts w:ascii="Times New Roman" w:hAnsi="Times New Roman" w:cs="Times New Roman"/>
          <w:color w:val="000000" w:themeColor="text1"/>
          <w:sz w:val="24"/>
        </w:rPr>
        <w:t xml:space="preserve"> охватывает начальную, среднюю и высшую школы. Образовательные программы составляют по методу </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калейдоскопа</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 В них выделяют семь основных элементов. Среди них главными являются:</w:t>
      </w:r>
    </w:p>
    <w:p w14:paraId="07FFA37A" w14:textId="77777777"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а) изучение природы;</w:t>
      </w:r>
    </w:p>
    <w:p w14:paraId="752F2CE0" w14:textId="77777777"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б) исследование городов и сел;</w:t>
      </w:r>
    </w:p>
    <w:p w14:paraId="2DD97800" w14:textId="67D3B65A" w:rsidR="00F674A4" w:rsidRPr="00F0736F" w:rsidRDefault="00F674A4" w:rsidP="008727D9">
      <w:pPr>
        <w:pStyle w:val="LTGliederung1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 xml:space="preserve">в) формирование у человека отношения к природе, жизни, ценностей и морали на основе знаний, полученных после усвоения элементов </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а</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 xml:space="preserve"> и </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б</w:t>
      </w:r>
      <w:r w:rsidR="00C3794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w:t>
      </w:r>
    </w:p>
    <w:p w14:paraId="0ADD5DC3" w14:textId="77777777" w:rsidR="00F674A4" w:rsidRPr="00F0736F" w:rsidRDefault="00F674A4" w:rsidP="008727D9">
      <w:pPr>
        <w:widowControl w:val="0"/>
        <w:ind w:firstLine="709"/>
        <w:jc w:val="both"/>
        <w:rPr>
          <w:color w:val="000000" w:themeColor="text1"/>
        </w:rPr>
      </w:pPr>
      <w:r w:rsidRPr="00F0736F">
        <w:rPr>
          <w:rFonts w:ascii="Times New Roman" w:hAnsi="Times New Roman" w:cs="Times New Roman"/>
          <w:color w:val="000000" w:themeColor="text1"/>
        </w:rPr>
        <w:t xml:space="preserve">Немаловажную роль в развитии экологического образования в Казахстане сыграл проект ПРООН по климатической шкатулке. Климатическая шкатулка включает в себя комплект обучающих материалов для школьников. Она применяется в 8 странах Восточной Европы и Центральной Азии. В Казахстане </w:t>
      </w:r>
      <w:hyperlink r:id="rId52" w:history="1">
        <w:r w:rsidRPr="00F0736F">
          <w:rPr>
            <w:rStyle w:val="a6"/>
            <w:rFonts w:ascii="Times New Roman" w:hAnsi="Times New Roman" w:cs="Times New Roman"/>
            <w:color w:val="000000" w:themeColor="text1"/>
          </w:rPr>
          <w:t>#климатическая_шкатулка</w:t>
        </w:r>
      </w:hyperlink>
      <w:r w:rsidRPr="00F0736F">
        <w:rPr>
          <w:rFonts w:ascii="Times New Roman" w:hAnsi="Times New Roman" w:cs="Times New Roman"/>
          <w:color w:val="000000" w:themeColor="text1"/>
        </w:rPr>
        <w:t xml:space="preserve"> появилась в 2016 году и с тех пор преподается в 50 школах, ей охвачены 13,5 тысяч учеников и 800 учителей. Она стала катализатором экодвижения по всей стране – организовываются республиканские и международные конференции, проводятся мастер-классы и круглые столы на экологические темы. Но самое главное, климатическая шкатулка способствовала развитию непрерывного </w:t>
      </w:r>
      <w:hyperlink r:id="rId53" w:history="1">
        <w:r w:rsidRPr="00F0736F">
          <w:rPr>
            <w:rStyle w:val="a6"/>
            <w:rFonts w:ascii="Times New Roman" w:hAnsi="Times New Roman" w:cs="Times New Roman"/>
            <w:color w:val="000000" w:themeColor="text1"/>
          </w:rPr>
          <w:t>#экологического_образования</w:t>
        </w:r>
      </w:hyperlink>
      <w:r w:rsidRPr="00F0736F">
        <w:rPr>
          <w:rFonts w:ascii="Times New Roman" w:hAnsi="Times New Roman" w:cs="Times New Roman"/>
          <w:color w:val="000000" w:themeColor="text1"/>
        </w:rPr>
        <w:t xml:space="preserve"> в Казахстане, которое станет частью образовательной системы страны.</w:t>
      </w:r>
    </w:p>
    <w:p w14:paraId="760E15AA" w14:textId="77777777" w:rsidR="000D72DC" w:rsidRPr="00F0736F" w:rsidRDefault="007963DC" w:rsidP="007963DC">
      <w:pPr>
        <w:pStyle w:val="LTGliederung4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Экологическое образование в К</w:t>
      </w:r>
      <w:r w:rsidR="00FC1B93" w:rsidRPr="00F0736F">
        <w:rPr>
          <w:rFonts w:ascii="Times New Roman" w:hAnsi="Times New Roman" w:cs="Times New Roman"/>
          <w:color w:val="000000" w:themeColor="text1"/>
          <w:sz w:val="24"/>
        </w:rPr>
        <w:t>азахстане хорошо интегрировано в</w:t>
      </w:r>
      <w:r w:rsidRPr="00F0736F">
        <w:rPr>
          <w:rFonts w:ascii="Times New Roman" w:hAnsi="Times New Roman" w:cs="Times New Roman"/>
          <w:color w:val="000000" w:themeColor="text1"/>
          <w:sz w:val="24"/>
        </w:rPr>
        <w:t xml:space="preserve"> систему </w:t>
      </w:r>
      <w:r w:rsidR="00FC1B93" w:rsidRPr="00F0736F">
        <w:rPr>
          <w:rFonts w:ascii="Times New Roman" w:hAnsi="Times New Roman" w:cs="Times New Roman"/>
          <w:color w:val="000000" w:themeColor="text1"/>
          <w:sz w:val="24"/>
        </w:rPr>
        <w:t>дошкольного</w:t>
      </w:r>
      <w:r w:rsidRPr="00F0736F">
        <w:rPr>
          <w:rFonts w:ascii="Times New Roman" w:hAnsi="Times New Roman" w:cs="Times New Roman"/>
          <w:color w:val="000000" w:themeColor="text1"/>
          <w:sz w:val="24"/>
        </w:rPr>
        <w:t xml:space="preserve"> и общего среднего образования. Внедрение обновленной учебной программы позволило Казахстану встать на эффективный путь к достижению задач 4.7 и 12.8 ЦУР</w:t>
      </w:r>
      <w:r w:rsidR="00FC1B93"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 xml:space="preserve"> касающихся интеграции ОУР в национ</w:t>
      </w:r>
      <w:r w:rsidR="00FC1B93" w:rsidRPr="00F0736F">
        <w:rPr>
          <w:rFonts w:ascii="Times New Roman" w:hAnsi="Times New Roman" w:cs="Times New Roman"/>
          <w:color w:val="000000" w:themeColor="text1"/>
          <w:sz w:val="24"/>
        </w:rPr>
        <w:t>а</w:t>
      </w:r>
      <w:r w:rsidRPr="00F0736F">
        <w:rPr>
          <w:rFonts w:ascii="Times New Roman" w:hAnsi="Times New Roman" w:cs="Times New Roman"/>
          <w:color w:val="000000" w:themeColor="text1"/>
          <w:sz w:val="24"/>
        </w:rPr>
        <w:t>льную политику в сфере образования и в учебные программы дошкольного, начального и среднего образования.</w:t>
      </w:r>
      <w:r w:rsidR="00FC1B93" w:rsidRPr="00F0736F">
        <w:rPr>
          <w:rFonts w:ascii="Times New Roman" w:hAnsi="Times New Roman" w:cs="Times New Roman"/>
          <w:color w:val="000000" w:themeColor="text1"/>
          <w:sz w:val="24"/>
        </w:rPr>
        <w:t xml:space="preserve"> </w:t>
      </w:r>
    </w:p>
    <w:p w14:paraId="6962B96F" w14:textId="214918F6" w:rsidR="007963DC" w:rsidRPr="00F0736F" w:rsidRDefault="007963DC" w:rsidP="007963DC">
      <w:pPr>
        <w:pStyle w:val="LTGliederung43"/>
        <w:spacing w:before="0"/>
        <w:ind w:firstLine="709"/>
        <w:jc w:val="both"/>
        <w:rPr>
          <w:rFonts w:ascii="Times New Roman" w:hAnsi="Times New Roman" w:cs="Times New Roman"/>
          <w:color w:val="000000" w:themeColor="text1"/>
          <w:sz w:val="24"/>
        </w:rPr>
      </w:pPr>
      <w:r w:rsidRPr="00F0736F">
        <w:rPr>
          <w:rFonts w:ascii="Times New Roman" w:hAnsi="Times New Roman" w:cs="Times New Roman"/>
          <w:color w:val="000000" w:themeColor="text1"/>
          <w:sz w:val="24"/>
        </w:rPr>
        <w:t>Предстоит проделать опред</w:t>
      </w:r>
      <w:r w:rsidR="00FC1B93" w:rsidRPr="00F0736F">
        <w:rPr>
          <w:rFonts w:ascii="Times New Roman" w:hAnsi="Times New Roman" w:cs="Times New Roman"/>
          <w:color w:val="000000" w:themeColor="text1"/>
          <w:sz w:val="24"/>
        </w:rPr>
        <w:t>е</w:t>
      </w:r>
      <w:r w:rsidRPr="00F0736F">
        <w:rPr>
          <w:rFonts w:ascii="Times New Roman" w:hAnsi="Times New Roman" w:cs="Times New Roman"/>
          <w:color w:val="000000" w:themeColor="text1"/>
          <w:sz w:val="24"/>
        </w:rPr>
        <w:t>ленную работу по интеграции ОУР в программы подгото</w:t>
      </w:r>
      <w:r w:rsidR="00FC1B93" w:rsidRPr="00F0736F">
        <w:rPr>
          <w:rFonts w:ascii="Times New Roman" w:hAnsi="Times New Roman" w:cs="Times New Roman"/>
          <w:color w:val="000000" w:themeColor="text1"/>
          <w:sz w:val="24"/>
        </w:rPr>
        <w:t>в</w:t>
      </w:r>
      <w:r w:rsidRPr="00F0736F">
        <w:rPr>
          <w:rFonts w:ascii="Times New Roman" w:hAnsi="Times New Roman" w:cs="Times New Roman"/>
          <w:color w:val="000000" w:themeColor="text1"/>
          <w:sz w:val="24"/>
        </w:rPr>
        <w:t>ки учителей и</w:t>
      </w:r>
      <w:r w:rsidR="00FC1B93" w:rsidRPr="00F0736F">
        <w:rPr>
          <w:rFonts w:ascii="Times New Roman" w:hAnsi="Times New Roman" w:cs="Times New Roman"/>
          <w:color w:val="000000" w:themeColor="text1"/>
          <w:sz w:val="24"/>
        </w:rPr>
        <w:t xml:space="preserve"> </w:t>
      </w:r>
      <w:r w:rsidRPr="00F0736F">
        <w:rPr>
          <w:rFonts w:ascii="Times New Roman" w:hAnsi="Times New Roman" w:cs="Times New Roman"/>
          <w:color w:val="000000" w:themeColor="text1"/>
          <w:sz w:val="24"/>
        </w:rPr>
        <w:t>систему аттестации учащихся. По</w:t>
      </w:r>
      <w:r w:rsidR="00FC1B93" w:rsidRPr="00F0736F">
        <w:rPr>
          <w:rFonts w:ascii="Times New Roman" w:hAnsi="Times New Roman" w:cs="Times New Roman"/>
          <w:color w:val="000000" w:themeColor="text1"/>
          <w:sz w:val="24"/>
        </w:rPr>
        <w:t>-прежнему не</w:t>
      </w:r>
      <w:r w:rsidRPr="00F0736F">
        <w:rPr>
          <w:rFonts w:ascii="Times New Roman" w:hAnsi="Times New Roman" w:cs="Times New Roman"/>
          <w:color w:val="000000" w:themeColor="text1"/>
          <w:sz w:val="24"/>
        </w:rPr>
        <w:t>достаточно эффективной остается интеграция ОУР в систему профессионально- технического и высшег</w:t>
      </w:r>
      <w:r w:rsidR="00FC1B93" w:rsidRPr="00F0736F">
        <w:rPr>
          <w:rFonts w:ascii="Times New Roman" w:hAnsi="Times New Roman" w:cs="Times New Roman"/>
          <w:color w:val="000000" w:themeColor="text1"/>
          <w:sz w:val="24"/>
        </w:rPr>
        <w:t>о образования, а также повышение</w:t>
      </w:r>
      <w:r w:rsidRPr="00F0736F">
        <w:rPr>
          <w:rFonts w:ascii="Times New Roman" w:hAnsi="Times New Roman" w:cs="Times New Roman"/>
          <w:color w:val="000000" w:themeColor="text1"/>
          <w:sz w:val="24"/>
        </w:rPr>
        <w:t xml:space="preserve"> квалификации преподавателей. Поэтому ОРЭД дается реком</w:t>
      </w:r>
      <w:r w:rsidR="00FC1B93" w:rsidRPr="00F0736F">
        <w:rPr>
          <w:rFonts w:ascii="Times New Roman" w:hAnsi="Times New Roman" w:cs="Times New Roman"/>
          <w:color w:val="000000" w:themeColor="text1"/>
          <w:sz w:val="24"/>
        </w:rPr>
        <w:t>ендация по включению предмета «О</w:t>
      </w:r>
      <w:r w:rsidRPr="00F0736F">
        <w:rPr>
          <w:rFonts w:ascii="Times New Roman" w:hAnsi="Times New Roman" w:cs="Times New Roman"/>
          <w:color w:val="000000" w:themeColor="text1"/>
          <w:sz w:val="24"/>
        </w:rPr>
        <w:t>кружающая среда и устойчивое развитие» в перечень обязательных дисциплин старших клас</w:t>
      </w:r>
      <w:r w:rsidR="00FC1B93" w:rsidRPr="00F0736F">
        <w:rPr>
          <w:rFonts w:ascii="Times New Roman" w:hAnsi="Times New Roman" w:cs="Times New Roman"/>
          <w:color w:val="000000" w:themeColor="text1"/>
          <w:sz w:val="24"/>
        </w:rPr>
        <w:t>с</w:t>
      </w:r>
      <w:r w:rsidRPr="00F0736F">
        <w:rPr>
          <w:rFonts w:ascii="Times New Roman" w:hAnsi="Times New Roman" w:cs="Times New Roman"/>
          <w:color w:val="000000" w:themeColor="text1"/>
          <w:sz w:val="24"/>
        </w:rPr>
        <w:t>ов средней школы, учреждений профессионально-технического и высшего образования. Наиболее сложной задачей для специальностей, связанных с природо</w:t>
      </w:r>
      <w:r w:rsidR="00FC1B93" w:rsidRPr="00F0736F">
        <w:rPr>
          <w:rFonts w:ascii="Times New Roman" w:hAnsi="Times New Roman" w:cs="Times New Roman"/>
          <w:color w:val="000000" w:themeColor="text1"/>
          <w:sz w:val="24"/>
        </w:rPr>
        <w:t>о</w:t>
      </w:r>
      <w:r w:rsidRPr="00F0736F">
        <w:rPr>
          <w:rFonts w:ascii="Times New Roman" w:hAnsi="Times New Roman" w:cs="Times New Roman"/>
          <w:color w:val="000000" w:themeColor="text1"/>
          <w:sz w:val="24"/>
        </w:rPr>
        <w:t>хранной</w:t>
      </w:r>
      <w:r w:rsidR="000D72DC" w:rsidRPr="00F0736F">
        <w:rPr>
          <w:rFonts w:ascii="Times New Roman" w:hAnsi="Times New Roman" w:cs="Times New Roman"/>
          <w:color w:val="000000" w:themeColor="text1"/>
          <w:sz w:val="24"/>
        </w:rPr>
        <w:t xml:space="preserve"> </w:t>
      </w:r>
      <w:r w:rsidRPr="00F0736F">
        <w:rPr>
          <w:rFonts w:ascii="Times New Roman" w:hAnsi="Times New Roman" w:cs="Times New Roman"/>
          <w:color w:val="000000" w:themeColor="text1"/>
          <w:sz w:val="24"/>
        </w:rPr>
        <w:t>деятельностью</w:t>
      </w:r>
      <w:r w:rsidR="000D72DC" w:rsidRPr="00F0736F">
        <w:rPr>
          <w:rFonts w:ascii="Times New Roman" w:hAnsi="Times New Roman" w:cs="Times New Roman"/>
          <w:color w:val="000000" w:themeColor="text1"/>
          <w:sz w:val="24"/>
        </w:rPr>
        <w:t>,</w:t>
      </w:r>
      <w:r w:rsidR="00FC1B93" w:rsidRPr="00F0736F">
        <w:rPr>
          <w:rFonts w:ascii="Times New Roman" w:hAnsi="Times New Roman" w:cs="Times New Roman"/>
          <w:color w:val="000000" w:themeColor="text1"/>
          <w:sz w:val="24"/>
        </w:rPr>
        <w:t xml:space="preserve"> </w:t>
      </w:r>
      <w:r w:rsidRPr="00F0736F">
        <w:rPr>
          <w:rFonts w:ascii="Times New Roman" w:hAnsi="Times New Roman" w:cs="Times New Roman"/>
          <w:color w:val="000000" w:themeColor="text1"/>
          <w:sz w:val="24"/>
        </w:rPr>
        <w:t>является обеспечение непрерывного соответствия специализации и количества выпускников потребностям рынка труда. Особенно важная задача стоит по обеспеч</w:t>
      </w:r>
      <w:r w:rsidR="007244BE" w:rsidRPr="00F0736F">
        <w:rPr>
          <w:rFonts w:ascii="Times New Roman" w:hAnsi="Times New Roman" w:cs="Times New Roman"/>
          <w:color w:val="000000" w:themeColor="text1"/>
          <w:sz w:val="24"/>
        </w:rPr>
        <w:t>ению подготовки по специальност</w:t>
      </w:r>
      <w:r w:rsidRPr="00F0736F">
        <w:rPr>
          <w:rFonts w:ascii="Times New Roman" w:hAnsi="Times New Roman" w:cs="Times New Roman"/>
          <w:color w:val="000000" w:themeColor="text1"/>
          <w:sz w:val="24"/>
        </w:rPr>
        <w:t>ям, необходимым для перехода</w:t>
      </w:r>
      <w:r w:rsidR="007244BE" w:rsidRPr="00F0736F">
        <w:rPr>
          <w:rFonts w:ascii="Times New Roman" w:hAnsi="Times New Roman" w:cs="Times New Roman"/>
          <w:color w:val="000000" w:themeColor="text1"/>
          <w:sz w:val="24"/>
        </w:rPr>
        <w:t xml:space="preserve"> </w:t>
      </w:r>
      <w:r w:rsidRPr="00F0736F">
        <w:rPr>
          <w:rFonts w:ascii="Times New Roman" w:hAnsi="Times New Roman" w:cs="Times New Roman"/>
          <w:color w:val="000000" w:themeColor="text1"/>
          <w:sz w:val="24"/>
        </w:rPr>
        <w:t xml:space="preserve">страны к </w:t>
      </w:r>
      <w:r w:rsidR="000D72DC"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зеленой экономике</w:t>
      </w:r>
      <w:r w:rsidR="000D72DC" w:rsidRPr="00F0736F">
        <w:rPr>
          <w:rFonts w:ascii="Times New Roman" w:hAnsi="Times New Roman" w:cs="Times New Roman"/>
          <w:color w:val="000000" w:themeColor="text1"/>
          <w:sz w:val="24"/>
        </w:rPr>
        <w:t>»</w:t>
      </w:r>
      <w:r w:rsidRPr="00F0736F">
        <w:rPr>
          <w:rFonts w:ascii="Times New Roman" w:hAnsi="Times New Roman" w:cs="Times New Roman"/>
          <w:color w:val="000000" w:themeColor="text1"/>
          <w:sz w:val="24"/>
        </w:rPr>
        <w:t>. Необходимо на постоянной основе проводить оценку потребностей рынка</w:t>
      </w:r>
      <w:r w:rsidR="007244BE" w:rsidRPr="00F0736F">
        <w:rPr>
          <w:rFonts w:ascii="Times New Roman" w:hAnsi="Times New Roman" w:cs="Times New Roman"/>
          <w:color w:val="000000" w:themeColor="text1"/>
          <w:sz w:val="24"/>
        </w:rPr>
        <w:t xml:space="preserve"> </w:t>
      </w:r>
      <w:r w:rsidRPr="00F0736F">
        <w:rPr>
          <w:rFonts w:ascii="Times New Roman" w:hAnsi="Times New Roman" w:cs="Times New Roman"/>
          <w:color w:val="000000" w:themeColor="text1"/>
          <w:sz w:val="24"/>
        </w:rPr>
        <w:t>труда и соответствующим образом адаптировать и диверсифицировать специальности, связанные с природоохранной деятельностью</w:t>
      </w:r>
      <w:r w:rsidRPr="00F0736F">
        <w:rPr>
          <w:rStyle w:val="a4"/>
          <w:rFonts w:ascii="Times New Roman" w:hAnsi="Times New Roman" w:cs="Times New Roman"/>
          <w:color w:val="000000" w:themeColor="text1"/>
          <w:sz w:val="24"/>
        </w:rPr>
        <w:footnoteReference w:id="122"/>
      </w:r>
      <w:r w:rsidRPr="00F0736F">
        <w:rPr>
          <w:rFonts w:ascii="Times New Roman" w:hAnsi="Times New Roman" w:cs="Times New Roman"/>
          <w:color w:val="000000" w:themeColor="text1"/>
          <w:sz w:val="24"/>
        </w:rPr>
        <w:t xml:space="preserve">.  </w:t>
      </w:r>
    </w:p>
    <w:p w14:paraId="0B70CEFD" w14:textId="77777777" w:rsidR="00F674A4" w:rsidRPr="00F0736F" w:rsidRDefault="00F674A4" w:rsidP="008727D9">
      <w:pPr>
        <w:pStyle w:val="LTGliederung43"/>
        <w:spacing w:before="0"/>
        <w:ind w:firstLine="709"/>
        <w:jc w:val="both"/>
        <w:rPr>
          <w:rFonts w:ascii="Times New Roman" w:hAnsi="Times New Roman" w:cs="Times New Roman"/>
          <w:color w:val="000000" w:themeColor="text1"/>
          <w:sz w:val="24"/>
        </w:rPr>
      </w:pPr>
    </w:p>
    <w:p w14:paraId="01C17676" w14:textId="0C4F4ADF"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Проблемы достижения ЦУР</w:t>
      </w:r>
    </w:p>
    <w:p w14:paraId="75EA4955" w14:textId="1F2D9222"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iCs/>
          <w:color w:val="000000" w:themeColor="text1"/>
          <w:spacing w:val="2"/>
          <w:lang w:eastAsia="ru-RU"/>
        </w:rPr>
        <w:t xml:space="preserve">Экологической культуры и экологического образования непосредственно касается </w:t>
      </w:r>
      <w:r w:rsidRPr="00F0736F">
        <w:rPr>
          <w:rFonts w:ascii="Times New Roman" w:eastAsia="Times New Roman" w:hAnsi="Times New Roman" w:cs="Times New Roman"/>
          <w:color w:val="000000" w:themeColor="text1"/>
          <w:spacing w:val="2"/>
          <w:lang w:eastAsia="ru-RU"/>
        </w:rPr>
        <w:t>ЦУР 4 (таблица 1.9.1</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w:t>
      </w:r>
    </w:p>
    <w:p w14:paraId="380C3220" w14:textId="24FD592B"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В 2017 г</w:t>
      </w:r>
      <w:r w:rsidR="007244BE" w:rsidRPr="00F0736F">
        <w:rPr>
          <w:rFonts w:ascii="Times New Roman" w:eastAsia="Times New Roman" w:hAnsi="Times New Roman" w:cs="Times New Roman"/>
          <w:color w:val="000000" w:themeColor="text1"/>
          <w:spacing w:val="2"/>
          <w:lang w:eastAsia="ru-RU"/>
        </w:rPr>
        <w:t>оду</w:t>
      </w:r>
      <w:r w:rsidRPr="00F0736F">
        <w:rPr>
          <w:rFonts w:ascii="Times New Roman" w:eastAsia="Times New Roman" w:hAnsi="Times New Roman" w:cs="Times New Roman"/>
          <w:color w:val="000000" w:themeColor="text1"/>
          <w:spacing w:val="2"/>
          <w:lang w:eastAsia="ru-RU"/>
        </w:rPr>
        <w:t xml:space="preserve"> 49,3% школ в Казахстане пользовались децентрализованными системами канализации, а 9,7% имели децентрализованное водоснабжение. Из всех школ 86% обеспечивали горячие питание учащихся, а 9,7% использовали при приготовлении блюд привозную питьевую воду. В школах осуществляется регулярный контроль состояния освещения, мебели и качества питания. Однако результаты исследования, проведенного в рамках проекта SEARCH II (2011–2012 гг.), указывают на высокий уровень загрязнения воздуха химическими загрязнителями в тех школах, которые были охвачены обследованием</w:t>
      </w:r>
      <w:r w:rsidRPr="00F0736F">
        <w:rPr>
          <w:rStyle w:val="a4"/>
          <w:rFonts w:ascii="Times New Roman" w:eastAsia="Times New Roman" w:hAnsi="Times New Roman" w:cs="Times New Roman"/>
          <w:color w:val="000000" w:themeColor="text1"/>
          <w:spacing w:val="2"/>
          <w:lang w:eastAsia="ru-RU"/>
        </w:rPr>
        <w:footnoteReference w:id="123"/>
      </w:r>
      <w:r w:rsidRPr="00F0736F">
        <w:rPr>
          <w:rFonts w:ascii="Times New Roman" w:eastAsia="Times New Roman" w:hAnsi="Times New Roman" w:cs="Times New Roman"/>
          <w:color w:val="000000" w:themeColor="text1"/>
          <w:spacing w:val="2"/>
          <w:lang w:eastAsia="ru-RU"/>
        </w:rPr>
        <w:t>.</w:t>
      </w:r>
    </w:p>
    <w:p w14:paraId="46EBC3ED" w14:textId="77777777" w:rsidR="00F674A4" w:rsidRPr="00F0736F" w:rsidRDefault="007244BE" w:rsidP="008727D9">
      <w:pPr>
        <w:ind w:firstLine="709"/>
        <w:jc w:val="both"/>
        <w:rPr>
          <w:color w:val="000000" w:themeColor="text1"/>
        </w:rPr>
      </w:pPr>
      <w:r w:rsidRPr="00F0736F">
        <w:rPr>
          <w:rFonts w:ascii="Times New Roman" w:hAnsi="Times New Roman" w:cs="Times New Roman"/>
          <w:color w:val="000000" w:themeColor="text1"/>
        </w:rPr>
        <w:t>Для достижения задач 4-</w:t>
      </w:r>
      <w:r w:rsidR="00F674A4" w:rsidRPr="00F0736F">
        <w:rPr>
          <w:rFonts w:ascii="Times New Roman" w:hAnsi="Times New Roman" w:cs="Times New Roman"/>
          <w:color w:val="000000" w:themeColor="text1"/>
        </w:rPr>
        <w:t>й Глобальной Цели устойчивого развития (ЦУР) ООН рекомендует целенаправленно увеличивать финансирование образования и выделять на ее нужды не менее 4 - 6% от ВВП. В Казахстане с 1991 года этот показатель составляет ежегодно в среднем 3,8% от ВВП. Однако если доля расходов от ВВП на среднее образование в Казахстане сопоставима со странами ОЭСР (2,1% и 2,2% соответственно), то доля расходов на дошкольное, техническое и профессиональное образование и высшее образование в три раза ниже, чем в странах ОЭСР.</w:t>
      </w:r>
    </w:p>
    <w:p w14:paraId="5DC82DD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Министерству здравоохранения совместно с Министерством образования и науки следует предпринять меры, направленные на улучшение состояния окружающей среды внутри помещений, в частности</w:t>
      </w:r>
      <w:r w:rsidR="007244B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школах, детских садах и других общественных зданиях для детей, путем: </w:t>
      </w:r>
    </w:p>
    <w:p w14:paraId="63929925" w14:textId="15D81D77" w:rsidR="00F674A4" w:rsidRPr="00F0736F" w:rsidRDefault="00920CF7" w:rsidP="00920CF7">
      <w:pPr>
        <w:tabs>
          <w:tab w:val="left" w:pos="1134"/>
        </w:tabs>
        <w:ind w:firstLine="709"/>
        <w:jc w:val="both"/>
        <w:rPr>
          <w:color w:val="000000" w:themeColor="text1"/>
        </w:rPr>
      </w:pPr>
      <w:r w:rsidRPr="00F0736F">
        <w:rPr>
          <w:rFonts w:ascii="Times New Roman" w:hAnsi="Times New Roman" w:cs="Times New Roman"/>
          <w:color w:val="000000" w:themeColor="text1"/>
        </w:rPr>
        <w:t>р</w:t>
      </w:r>
      <w:r w:rsidR="00F674A4" w:rsidRPr="00F0736F">
        <w:rPr>
          <w:rFonts w:ascii="Times New Roman" w:hAnsi="Times New Roman" w:cs="Times New Roman"/>
          <w:color w:val="000000" w:themeColor="text1"/>
        </w:rPr>
        <w:t>азработки законодательства, определяющего функции и обязанности государственных органов в сфере создания благоприятной для детей и здоровой окружающей среды внутри помещений в тех местах, где дети живут, учатся и играют, а также требований к организационным, техническим и другим мерам по снижению риска для здоровья и созданию здоровой среды внутри помещений;</w:t>
      </w:r>
    </w:p>
    <w:p w14:paraId="0A0A01B4" w14:textId="24FEA8C4" w:rsidR="00F674A4" w:rsidRPr="00F0736F" w:rsidRDefault="00920CF7" w:rsidP="00920CF7">
      <w:pPr>
        <w:tabs>
          <w:tab w:val="left" w:pos="1134"/>
        </w:tabs>
        <w:ind w:firstLine="709"/>
        <w:jc w:val="both"/>
        <w:rPr>
          <w:color w:val="000000" w:themeColor="text1"/>
        </w:rPr>
      </w:pPr>
      <w:r w:rsidRPr="00F0736F">
        <w:rPr>
          <w:rFonts w:ascii="Times New Roman" w:hAnsi="Times New Roman" w:cs="Times New Roman"/>
          <w:bCs/>
          <w:iCs/>
          <w:color w:val="000000" w:themeColor="text1"/>
          <w:szCs w:val="22"/>
          <w:lang w:eastAsia="en-GB"/>
        </w:rPr>
        <w:t>с</w:t>
      </w:r>
      <w:r w:rsidR="00F674A4" w:rsidRPr="00F0736F">
        <w:rPr>
          <w:rFonts w:ascii="Times New Roman" w:hAnsi="Times New Roman" w:cs="Times New Roman"/>
          <w:bCs/>
          <w:iCs/>
          <w:color w:val="000000" w:themeColor="text1"/>
          <w:szCs w:val="22"/>
          <w:lang w:eastAsia="en-GB"/>
        </w:rPr>
        <w:t>оздания национальной системы мониторинга состояния окружающей среды внутри помещений общественных зданий для детей и подготовки актуализированной оценки рисков воздействия загрязняющих веществ внутри помещений на здоровье детей</w:t>
      </w:r>
      <w:r w:rsidR="00F674A4" w:rsidRPr="00F0736F">
        <w:rPr>
          <w:rStyle w:val="a4"/>
          <w:rFonts w:ascii="Times New Roman" w:hAnsi="Times New Roman" w:cs="Times New Roman"/>
          <w:bCs/>
          <w:iCs/>
          <w:color w:val="000000" w:themeColor="text1"/>
          <w:szCs w:val="22"/>
          <w:lang w:eastAsia="en-GB"/>
        </w:rPr>
        <w:footnoteReference w:id="124"/>
      </w:r>
      <w:r w:rsidR="00F674A4" w:rsidRPr="00F0736F">
        <w:rPr>
          <w:rFonts w:ascii="Times New Roman" w:hAnsi="Times New Roman" w:cs="Times New Roman"/>
          <w:bCs/>
          <w:iCs/>
          <w:color w:val="000000" w:themeColor="text1"/>
          <w:szCs w:val="22"/>
          <w:lang w:eastAsia="en-GB"/>
        </w:rPr>
        <w:t xml:space="preserve">. </w:t>
      </w:r>
    </w:p>
    <w:p w14:paraId="3CF00106" w14:textId="77777777" w:rsidR="00F674A4" w:rsidRPr="00F0736F" w:rsidRDefault="00F674A4" w:rsidP="00920CF7">
      <w:pPr>
        <w:tabs>
          <w:tab w:val="left" w:pos="1134"/>
        </w:tabs>
        <w:ind w:firstLine="709"/>
        <w:jc w:val="both"/>
        <w:rPr>
          <w:color w:val="000000" w:themeColor="text1"/>
        </w:rPr>
      </w:pPr>
      <w:r w:rsidRPr="00F0736F">
        <w:rPr>
          <w:rFonts w:ascii="Times New Roman" w:hAnsi="Times New Roman" w:cs="Times New Roman"/>
          <w:bCs/>
          <w:iCs/>
          <w:color w:val="000000" w:themeColor="text1"/>
          <w:lang w:eastAsia="en-GB"/>
        </w:rPr>
        <w:t xml:space="preserve">Также в Казахстане не отслеживаются показатели </w:t>
      </w:r>
      <w:r w:rsidRPr="00F0736F">
        <w:rPr>
          <w:rFonts w:ascii="Times New Roman" w:hAnsi="Times New Roman" w:cs="Times New Roman"/>
          <w:color w:val="000000" w:themeColor="text1"/>
        </w:rPr>
        <w:t>4.7.1 для решения целевой задачи 4.7.</w:t>
      </w:r>
    </w:p>
    <w:p w14:paraId="5E642A94" w14:textId="77777777" w:rsidR="00F674A4" w:rsidRPr="00F0736F" w:rsidRDefault="00F674A4" w:rsidP="008727D9">
      <w:pPr>
        <w:ind w:firstLine="709"/>
        <w:jc w:val="both"/>
        <w:rPr>
          <w:rFonts w:ascii="Times New Roman" w:hAnsi="Times New Roman" w:cs="Times New Roman"/>
          <w:color w:val="000000" w:themeColor="text1"/>
        </w:rPr>
      </w:pPr>
    </w:p>
    <w:p w14:paraId="43C2631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Таблица 1.9.1. Проблемы достижения ЦУР, связанных с вопросами экологической культуры населения</w:t>
      </w:r>
    </w:p>
    <w:p w14:paraId="135FE503"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2436"/>
        <w:gridCol w:w="2221"/>
        <w:gridCol w:w="1683"/>
        <w:gridCol w:w="1751"/>
        <w:gridCol w:w="2104"/>
      </w:tblGrid>
      <w:tr w:rsidR="00F0736F" w:rsidRPr="00F0736F" w14:paraId="2EEE75B8" w14:textId="77777777">
        <w:tc>
          <w:tcPr>
            <w:tcW w:w="2436" w:type="dxa"/>
            <w:tcBorders>
              <w:top w:val="single" w:sz="4" w:space="0" w:color="000000"/>
              <w:left w:val="single" w:sz="4" w:space="0" w:color="000000"/>
              <w:bottom w:val="single" w:sz="4" w:space="0" w:color="000000"/>
            </w:tcBorders>
            <w:shd w:val="clear" w:color="auto" w:fill="auto"/>
          </w:tcPr>
          <w:p w14:paraId="60E16966"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Цели и задачи ЦУР</w:t>
            </w:r>
          </w:p>
        </w:tc>
        <w:tc>
          <w:tcPr>
            <w:tcW w:w="2221" w:type="dxa"/>
            <w:tcBorders>
              <w:top w:val="single" w:sz="4" w:space="0" w:color="000000"/>
              <w:left w:val="single" w:sz="4" w:space="0" w:color="000000"/>
              <w:bottom w:val="single" w:sz="4" w:space="0" w:color="000000"/>
            </w:tcBorders>
            <w:shd w:val="clear" w:color="auto" w:fill="auto"/>
          </w:tcPr>
          <w:p w14:paraId="42954891"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Международные показатели</w:t>
            </w:r>
          </w:p>
        </w:tc>
        <w:tc>
          <w:tcPr>
            <w:tcW w:w="1683" w:type="dxa"/>
            <w:tcBorders>
              <w:top w:val="single" w:sz="4" w:space="0" w:color="000000"/>
              <w:left w:val="single" w:sz="4" w:space="0" w:color="000000"/>
              <w:bottom w:val="single" w:sz="4" w:space="0" w:color="000000"/>
            </w:tcBorders>
            <w:shd w:val="clear" w:color="auto" w:fill="auto"/>
          </w:tcPr>
          <w:p w14:paraId="740DCCB2"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Показатель в Казахстане</w:t>
            </w:r>
          </w:p>
        </w:tc>
        <w:tc>
          <w:tcPr>
            <w:tcW w:w="1751" w:type="dxa"/>
            <w:tcBorders>
              <w:top w:val="single" w:sz="4" w:space="0" w:color="000000"/>
              <w:left w:val="single" w:sz="4" w:space="0" w:color="000000"/>
              <w:bottom w:val="single" w:sz="4" w:space="0" w:color="000000"/>
            </w:tcBorders>
            <w:shd w:val="clear" w:color="auto" w:fill="auto"/>
          </w:tcPr>
          <w:p w14:paraId="5072C9B1"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Наличие проблем достижения</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5EB05D0C"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Необходимость введения показателей</w:t>
            </w:r>
          </w:p>
        </w:tc>
      </w:tr>
      <w:tr w:rsidR="00F0736F" w:rsidRPr="00F0736F" w14:paraId="271D7F68" w14:textId="77777777">
        <w:tc>
          <w:tcPr>
            <w:tcW w:w="10195" w:type="dxa"/>
            <w:gridSpan w:val="5"/>
            <w:tcBorders>
              <w:top w:val="single" w:sz="4" w:space="0" w:color="000000"/>
              <w:left w:val="single" w:sz="4" w:space="0" w:color="000000"/>
              <w:bottom w:val="single" w:sz="4" w:space="0" w:color="000000"/>
              <w:right w:val="single" w:sz="4" w:space="0" w:color="000000"/>
            </w:tcBorders>
            <w:shd w:val="clear" w:color="auto" w:fill="auto"/>
          </w:tcPr>
          <w:p w14:paraId="0D26DDF4" w14:textId="77777777" w:rsidR="00F674A4" w:rsidRPr="00F0736F" w:rsidRDefault="00F674A4" w:rsidP="00920CF7">
            <w:pPr>
              <w:jc w:val="center"/>
              <w:rPr>
                <w:color w:val="000000" w:themeColor="text1"/>
              </w:rPr>
            </w:pPr>
            <w:r w:rsidRPr="00F0736F">
              <w:rPr>
                <w:rFonts w:ascii="Times New Roman" w:hAnsi="Times New Roman" w:cs="Times New Roman"/>
                <w:color w:val="000000" w:themeColor="text1"/>
                <w:sz w:val="20"/>
                <w:szCs w:val="20"/>
              </w:rPr>
              <w:t>ЦУР 4. Обеспечение всеохватного и справедливого качественного образования и поощрение возможности обучения на протяжении всей жизни для всех</w:t>
            </w:r>
          </w:p>
        </w:tc>
      </w:tr>
      <w:tr w:rsidR="00F674A4" w:rsidRPr="00F0736F" w14:paraId="3D1ED3E9" w14:textId="77777777">
        <w:tc>
          <w:tcPr>
            <w:tcW w:w="2436" w:type="dxa"/>
            <w:tcBorders>
              <w:top w:val="single" w:sz="4" w:space="0" w:color="000000"/>
              <w:left w:val="single" w:sz="4" w:space="0" w:color="000000"/>
              <w:bottom w:val="single" w:sz="4" w:space="0" w:color="000000"/>
            </w:tcBorders>
            <w:shd w:val="clear" w:color="auto" w:fill="auto"/>
          </w:tcPr>
          <w:p w14:paraId="31AD813D"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Задача 4.7 К 2030 году обеспечить, чтобы все учащиеся приобретали знания и навыки, необходимые для содействия устойчивому развитию, в том числе посредством обучения по вопросам устойчивого развития и устойчивого образа жизни, прав человека, гендерного равенства, пропаганды культуры мира и ненасилия, гражданства мира и осознания ценности культурного разнообразия и вклада культуры в устойчивое развитие</w:t>
            </w:r>
          </w:p>
        </w:tc>
        <w:tc>
          <w:tcPr>
            <w:tcW w:w="2221" w:type="dxa"/>
            <w:tcBorders>
              <w:top w:val="single" w:sz="4" w:space="0" w:color="000000"/>
              <w:left w:val="single" w:sz="4" w:space="0" w:color="000000"/>
              <w:bottom w:val="single" w:sz="4" w:space="0" w:color="000000"/>
            </w:tcBorders>
            <w:shd w:val="clear" w:color="auto" w:fill="auto"/>
          </w:tcPr>
          <w:p w14:paraId="6843CD6F"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4.7.1 Статус i) воспитания в духе всемирной гражданственности и ii) пропаганды устойчивого развития, включая гендерное равенство и права человека, на всех уровнях: a) в национальной политике в сфере образования, b) в учебных программах, c) в программах подготовки учителей и d) в системе аттестации учащихся</w:t>
            </w:r>
          </w:p>
        </w:tc>
        <w:tc>
          <w:tcPr>
            <w:tcW w:w="1683" w:type="dxa"/>
            <w:tcBorders>
              <w:top w:val="single" w:sz="4" w:space="0" w:color="000000"/>
              <w:left w:val="single" w:sz="4" w:space="0" w:color="000000"/>
              <w:bottom w:val="single" w:sz="4" w:space="0" w:color="000000"/>
            </w:tcBorders>
            <w:shd w:val="clear" w:color="auto" w:fill="auto"/>
          </w:tcPr>
          <w:p w14:paraId="0C2D1815"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Доля студентов вузов, вовлеченных в общественно-полезную деятельность</w:t>
            </w:r>
          </w:p>
        </w:tc>
        <w:tc>
          <w:tcPr>
            <w:tcW w:w="1751" w:type="dxa"/>
            <w:tcBorders>
              <w:top w:val="single" w:sz="4" w:space="0" w:color="000000"/>
              <w:left w:val="single" w:sz="4" w:space="0" w:color="000000"/>
              <w:bottom w:val="single" w:sz="4" w:space="0" w:color="000000"/>
            </w:tcBorders>
            <w:shd w:val="clear" w:color="auto" w:fill="auto"/>
          </w:tcPr>
          <w:p w14:paraId="3901A1AA"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 мониторинг</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0EA3CDE7" w14:textId="77777777" w:rsidR="00F674A4" w:rsidRPr="00F0736F" w:rsidRDefault="00F674A4" w:rsidP="005F6A5E">
            <w:pPr>
              <w:jc w:val="both"/>
              <w:rPr>
                <w:color w:val="000000" w:themeColor="text1"/>
              </w:rPr>
            </w:pPr>
            <w:r w:rsidRPr="00F0736F">
              <w:rPr>
                <w:rFonts w:ascii="Times New Roman" w:hAnsi="Times New Roman" w:cs="Times New Roman"/>
                <w:color w:val="000000" w:themeColor="text1"/>
                <w:sz w:val="20"/>
                <w:szCs w:val="20"/>
              </w:rPr>
              <w:t>Необходимы показатели соответствующие международным</w:t>
            </w:r>
          </w:p>
        </w:tc>
      </w:tr>
    </w:tbl>
    <w:p w14:paraId="62B465F0" w14:textId="77777777" w:rsidR="00F674A4" w:rsidRPr="00F0736F" w:rsidRDefault="00F674A4" w:rsidP="008727D9">
      <w:pPr>
        <w:ind w:firstLine="709"/>
        <w:jc w:val="both"/>
        <w:rPr>
          <w:rFonts w:ascii="Times New Roman" w:hAnsi="Times New Roman" w:cs="Times New Roman"/>
          <w:color w:val="000000" w:themeColor="text1"/>
        </w:rPr>
      </w:pPr>
    </w:p>
    <w:p w14:paraId="3DB78F4A" w14:textId="589D21CC" w:rsidR="00F674A4" w:rsidRPr="00F0736F" w:rsidRDefault="00F674A4" w:rsidP="008727D9">
      <w:pPr>
        <w:ind w:firstLine="709"/>
        <w:jc w:val="both"/>
        <w:rPr>
          <w:color w:val="000000" w:themeColor="text1"/>
        </w:rPr>
      </w:pPr>
      <w:r w:rsidRPr="00F0736F">
        <w:rPr>
          <w:rFonts w:ascii="Times New Roman" w:hAnsi="Times New Roman" w:cs="Times New Roman"/>
          <w:b/>
          <w:bCs/>
          <w:i/>
          <w:iCs/>
          <w:color w:val="000000" w:themeColor="text1"/>
        </w:rPr>
        <w:t>Планы на будущее</w:t>
      </w:r>
    </w:p>
    <w:p w14:paraId="4600E153" w14:textId="77777777" w:rsidR="00F674A4" w:rsidRPr="00F0736F" w:rsidRDefault="007244BE" w:rsidP="008727D9">
      <w:pPr>
        <w:ind w:firstLine="709"/>
        <w:jc w:val="both"/>
        <w:rPr>
          <w:color w:val="000000" w:themeColor="text1"/>
        </w:rPr>
      </w:pPr>
      <w:r w:rsidRPr="00F0736F">
        <w:rPr>
          <w:rFonts w:ascii="Times New Roman" w:hAnsi="Times New Roman" w:cs="Times New Roman"/>
          <w:color w:val="000000" w:themeColor="text1"/>
        </w:rPr>
        <w:t xml:space="preserve">В течении </w:t>
      </w:r>
      <w:r w:rsidR="00F674A4" w:rsidRPr="00F0736F">
        <w:rPr>
          <w:rFonts w:ascii="Times New Roman" w:hAnsi="Times New Roman" w:cs="Times New Roman"/>
          <w:color w:val="000000" w:themeColor="text1"/>
        </w:rPr>
        <w:t>10 лет Казахстан входит в 8-ку лучших стран мира по индексу развития образования ЮНЕСКО благодаря высоким показателям охвата начальным образованием, грамотности взрослых, доле учащихся, доучившихся до 5 класса</w:t>
      </w:r>
      <w:r w:rsidRPr="00F0736F">
        <w:rPr>
          <w:rFonts w:ascii="Times New Roman" w:hAnsi="Times New Roman" w:cs="Times New Roman"/>
          <w:color w:val="000000" w:themeColor="text1"/>
        </w:rPr>
        <w:t>,</w:t>
      </w:r>
      <w:r w:rsidR="00F674A4" w:rsidRPr="00F0736F">
        <w:rPr>
          <w:rFonts w:ascii="Times New Roman" w:hAnsi="Times New Roman" w:cs="Times New Roman"/>
          <w:color w:val="000000" w:themeColor="text1"/>
        </w:rPr>
        <w:t xml:space="preserve"> и гендерного равенства. Однако только в 47% проанализированных 78 национальных учебных программ упоминается термин «экологическое образование».</w:t>
      </w:r>
    </w:p>
    <w:p w14:paraId="2AD10605" w14:textId="1FD4411B"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Эксперты ОЭСР отмечают, что образованию Казахстана необходимо совершенствовать работу по подготовке</w:t>
      </w:r>
      <w:r w:rsidR="00920CF7"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высококвалифицированных специалистов. Они предлагают выйти за пределы формального образования, повысить уровень менеджмента и усилить формирование профессиональных навыков, учитывая развитие малого и среднего бизнеса. Все отмеченное выше</w:t>
      </w:r>
      <w:r w:rsidR="007244B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соответственно</w:t>
      </w:r>
      <w:r w:rsidR="007244BE"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относится и к экологическому образованию.</w:t>
      </w:r>
    </w:p>
    <w:p w14:paraId="2FE0B1A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w:t>
      </w:r>
      <w:r w:rsidRPr="00F0736F">
        <w:rPr>
          <w:rFonts w:ascii="Times New Roman" w:hAnsi="Times New Roman" w:cs="Times New Roman"/>
          <w:color w:val="000000" w:themeColor="text1"/>
          <w:lang w:eastAsia="ru-RU"/>
        </w:rPr>
        <w:t>настоящее время не решен вопрос об</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упорядочивании перечня доступных источников и определения способов поиска информации из</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отдельных источников, подходов к последующей обработке информации, способов обеспечения</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доступности и определения проблем, являющихся следствием недоступности информации. Очень</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важным аспектом является определение рисков, связанных с достоверностью отдельных источников.</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 xml:space="preserve">Необходимым шагом при этом является создание эффективного механизма – Межведомственного Информационно-аналитического центра. </w:t>
      </w:r>
    </w:p>
    <w:p w14:paraId="5A0B2FB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Чтобы иметь возможность использовать доступную информацию, необходимо разработать специальную систему, которая бы накапливала и обрабатывала информацию для принятия стратегических решений. Важным моментом построения информационно-обеспечивающей системы для принятия стратегических решений является анализ современных инструментов управленческого учета в контексте получения информации для формулирования и реализации стратегии.</w:t>
      </w:r>
    </w:p>
    <w:p w14:paraId="7A32BBEC" w14:textId="749C4433" w:rsidR="00F674A4" w:rsidRPr="00F0736F" w:rsidRDefault="00F674A4" w:rsidP="008727D9">
      <w:pPr>
        <w:ind w:firstLine="709"/>
        <w:jc w:val="both"/>
        <w:rPr>
          <w:color w:val="000000" w:themeColor="text1"/>
        </w:rPr>
      </w:pPr>
      <w:r w:rsidRPr="00F0736F">
        <w:rPr>
          <w:rFonts w:ascii="Times New Roman" w:eastAsia="SimSun" w:hAnsi="Times New Roman" w:cs="Times New Roman"/>
          <w:color w:val="000000" w:themeColor="text1"/>
          <w:spacing w:val="2"/>
          <w:szCs w:val="22"/>
          <w:lang w:eastAsia="en-US"/>
        </w:rPr>
        <w:t>В 2011</w:t>
      </w:r>
      <w:r w:rsidRPr="00F0736F">
        <w:rPr>
          <w:rFonts w:ascii="Times New Roman" w:eastAsia="SimSun" w:hAnsi="Times New Roman" w:cs="Times New Roman"/>
          <w:color w:val="000000" w:themeColor="text1"/>
          <w:spacing w:val="2"/>
          <w:szCs w:val="22"/>
          <w:lang w:val="fr-CH" w:eastAsia="en-US"/>
        </w:rPr>
        <w:t xml:space="preserve"> </w:t>
      </w:r>
      <w:r w:rsidRPr="00F0736F">
        <w:rPr>
          <w:rFonts w:ascii="Times New Roman" w:eastAsia="SimSun" w:hAnsi="Times New Roman" w:cs="Times New Roman"/>
          <w:color w:val="000000" w:themeColor="text1"/>
          <w:spacing w:val="2"/>
          <w:szCs w:val="22"/>
          <w:lang w:eastAsia="en-US"/>
        </w:rPr>
        <w:t>г</w:t>
      </w:r>
      <w:r w:rsidR="007244BE" w:rsidRPr="00F0736F">
        <w:rPr>
          <w:rFonts w:ascii="Times New Roman" w:eastAsia="SimSun" w:hAnsi="Times New Roman" w:cs="Times New Roman"/>
          <w:color w:val="000000" w:themeColor="text1"/>
          <w:spacing w:val="2"/>
          <w:szCs w:val="22"/>
          <w:lang w:eastAsia="en-US"/>
        </w:rPr>
        <w:t>оду</w:t>
      </w:r>
      <w:r w:rsidRPr="00F0736F">
        <w:rPr>
          <w:rFonts w:ascii="Times New Roman" w:eastAsia="SimSun" w:hAnsi="Times New Roman" w:cs="Times New Roman"/>
          <w:color w:val="000000" w:themeColor="text1"/>
          <w:spacing w:val="2"/>
          <w:szCs w:val="22"/>
          <w:lang w:eastAsia="en-US"/>
        </w:rPr>
        <w:t xml:space="preserve"> Министерство науки и образования РК и Всемирный банк запустили пилотный Проект «Коммерциализация технологий», чтобы продемонстрировать повышение эффективности и коммерческой значимости научных исследований, проводимых межведомственными группами ученых, отобранных на прозрачной конкурсной основе. Следующий этап проекта (2014–2020</w:t>
      </w:r>
      <w:r w:rsidRPr="00F0736F">
        <w:rPr>
          <w:rFonts w:ascii="Times New Roman" w:eastAsia="SimSun" w:hAnsi="Times New Roman" w:cs="Times New Roman"/>
          <w:color w:val="000000" w:themeColor="text1"/>
          <w:spacing w:val="2"/>
          <w:szCs w:val="22"/>
          <w:lang w:val="fr-CH" w:eastAsia="en-US"/>
        </w:rPr>
        <w:t xml:space="preserve"> </w:t>
      </w:r>
      <w:r w:rsidRPr="00F0736F">
        <w:rPr>
          <w:rFonts w:ascii="Times New Roman" w:eastAsia="SimSun" w:hAnsi="Times New Roman" w:cs="Times New Roman"/>
          <w:color w:val="000000" w:themeColor="text1"/>
          <w:spacing w:val="2"/>
          <w:szCs w:val="22"/>
          <w:lang w:eastAsia="en-US"/>
        </w:rPr>
        <w:t>гг.) с бюджетом в размере 110 млн. долл</w:t>
      </w:r>
      <w:r w:rsidR="007244BE" w:rsidRPr="00F0736F">
        <w:rPr>
          <w:rFonts w:ascii="Times New Roman" w:eastAsia="SimSun" w:hAnsi="Times New Roman" w:cs="Times New Roman"/>
          <w:color w:val="000000" w:themeColor="text1"/>
          <w:spacing w:val="2"/>
          <w:szCs w:val="22"/>
          <w:lang w:eastAsia="en-US"/>
        </w:rPr>
        <w:t>.</w:t>
      </w:r>
      <w:r w:rsidRPr="00F0736F">
        <w:rPr>
          <w:rFonts w:ascii="Times New Roman" w:eastAsia="SimSun" w:hAnsi="Times New Roman" w:cs="Times New Roman"/>
          <w:color w:val="000000" w:themeColor="text1"/>
          <w:spacing w:val="2"/>
          <w:szCs w:val="22"/>
          <w:lang w:eastAsia="en-US"/>
        </w:rPr>
        <w:t xml:space="preserve"> США ориентирован на предоставление грантов для групп младших научных сотрудников, создание государственно-частных многосторонних консорциумов, консолидацию цикла коммерциализации технологий, усиление координации национальной инновационной системы и создание группы по реализации проекта для осуществления деятельности в области мониторинга, оценки, повышения уровня информированности и развитию потенциала. Водные ресурсы, в частности, очистка воды, входят в число областей исследований.</w:t>
      </w:r>
    </w:p>
    <w:p w14:paraId="0760464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Одними из действенных механизмов сохранения биоразнообразия является развитие системы информационного и научного обеспечения, повышение уровня просвещения представителей государственных органов и общественности в области сохранения и устойчивого использования биологических ресурсов, обеспечение участия общественности в решении вопросов в этой области. Для достижения данных критериев в первую очередь необходима полномасштабная информационная компания, целью которой должно быть донесение до всех без исключения, начиная от простого обывателя до представителей государственных органов, вопросов сохранения экосистем и устойчивого использования биологических ресурсов. Немаловажная роль отводится актуальности информации, ее достоверности.</w:t>
      </w:r>
    </w:p>
    <w:p w14:paraId="13749086" w14:textId="77777777" w:rsidR="00F674A4" w:rsidRPr="00F0736F" w:rsidRDefault="00F674A4" w:rsidP="008727D9">
      <w:pPr>
        <w:ind w:firstLine="709"/>
        <w:jc w:val="both"/>
        <w:rPr>
          <w:color w:val="000000" w:themeColor="text1"/>
        </w:rPr>
      </w:pPr>
      <w:r w:rsidRPr="00F0736F">
        <w:rPr>
          <w:rStyle w:val="a6"/>
          <w:rFonts w:ascii="Times New Roman" w:hAnsi="Times New Roman" w:cs="Times New Roman"/>
          <w:color w:val="000000" w:themeColor="text1"/>
          <w:u w:val="none"/>
        </w:rPr>
        <w:t>Современная ситуация характеризуется: большим разнообразием социальных, религиозных, национальных особенностей в разных группах населения; преобладанием потребительского отношения к природе, ориентацией на использование природных ресурсов, низким уровнем биологической грамотности и отсутствием понимания важности сохранения биоразнообразия; быстрыми изменениями общественного мнения в условиях социальных и экономических реформ.</w:t>
      </w:r>
    </w:p>
    <w:p w14:paraId="79D914C8" w14:textId="03A2CA24" w:rsidR="00F674A4" w:rsidRPr="00F0736F" w:rsidRDefault="00F674A4" w:rsidP="008727D9">
      <w:pPr>
        <w:ind w:firstLine="709"/>
        <w:jc w:val="both"/>
        <w:rPr>
          <w:color w:val="000000" w:themeColor="text1"/>
        </w:rPr>
      </w:pPr>
      <w:r w:rsidRPr="00F0736F">
        <w:rPr>
          <w:rStyle w:val="a6"/>
          <w:rFonts w:ascii="Times New Roman" w:eastAsia="MS Mincho" w:hAnsi="Times New Roman" w:cs="Times New Roman"/>
          <w:color w:val="000000" w:themeColor="text1"/>
          <w:u w:val="none"/>
          <w:lang w:eastAsia="ru-RU"/>
        </w:rPr>
        <w:t xml:space="preserve">Новым среднесрочным стратегическим документом является Стратегический план развития Республики Казахстан до 2025 года, который содержит Задачу </w:t>
      </w:r>
      <w:r w:rsidR="00920CF7" w:rsidRPr="00F0736F">
        <w:rPr>
          <w:rStyle w:val="a6"/>
          <w:rFonts w:ascii="Times New Roman" w:eastAsia="MS Mincho" w:hAnsi="Times New Roman" w:cs="Times New Roman"/>
          <w:color w:val="000000" w:themeColor="text1"/>
          <w:u w:val="none"/>
          <w:lang w:eastAsia="ru-RU"/>
        </w:rPr>
        <w:t>«</w:t>
      </w:r>
      <w:r w:rsidRPr="00F0736F">
        <w:rPr>
          <w:rStyle w:val="a6"/>
          <w:rFonts w:ascii="Times New Roman" w:eastAsia="MS Mincho" w:hAnsi="Times New Roman" w:cs="Times New Roman"/>
          <w:color w:val="000000" w:themeColor="text1"/>
          <w:u w:val="none"/>
          <w:lang w:eastAsia="ru-RU"/>
        </w:rPr>
        <w:t>Обеспечение экономической самостоятельности регионов</w:t>
      </w:r>
      <w:r w:rsidR="00920CF7" w:rsidRPr="00F0736F">
        <w:rPr>
          <w:rStyle w:val="a6"/>
          <w:rFonts w:ascii="Times New Roman" w:eastAsia="MS Mincho" w:hAnsi="Times New Roman" w:cs="Times New Roman"/>
          <w:color w:val="000000" w:themeColor="text1"/>
          <w:u w:val="none"/>
          <w:lang w:eastAsia="ru-RU"/>
        </w:rPr>
        <w:t>»</w:t>
      </w:r>
      <w:r w:rsidRPr="00F0736F">
        <w:rPr>
          <w:rStyle w:val="a4"/>
          <w:rFonts w:ascii="Times New Roman" w:eastAsia="MS Mincho" w:hAnsi="Times New Roman" w:cs="Times New Roman"/>
          <w:color w:val="000000" w:themeColor="text1"/>
          <w:lang w:eastAsia="ru-RU"/>
        </w:rPr>
        <w:footnoteReference w:id="125"/>
      </w:r>
      <w:r w:rsidRPr="00F0736F">
        <w:rPr>
          <w:rStyle w:val="13"/>
          <w:rFonts w:ascii="Times New Roman" w:hAnsi="Times New Roman" w:cs="Times New Roman"/>
          <w:color w:val="000000" w:themeColor="text1"/>
        </w:rPr>
        <w:t xml:space="preserve">, </w:t>
      </w:r>
      <w:r w:rsidRPr="00F0736F">
        <w:rPr>
          <w:rStyle w:val="13"/>
          <w:rFonts w:ascii="Times New Roman" w:hAnsi="Times New Roman" w:cs="Times New Roman"/>
          <w:color w:val="000000" w:themeColor="text1"/>
          <w:vertAlign w:val="baseline"/>
        </w:rPr>
        <w:t xml:space="preserve">, решение которой может содействовать целевой задаче 18 Айти. В рамках данной задачи предусматривается </w:t>
      </w:r>
      <w:r w:rsidRPr="00F0736F">
        <w:rPr>
          <w:rFonts w:ascii="Times New Roman" w:hAnsi="Times New Roman" w:cs="Times New Roman"/>
          <w:color w:val="000000" w:themeColor="text1"/>
        </w:rPr>
        <w:t>Инициатив</w:t>
      </w:r>
      <w:bookmarkStart w:id="35" w:name="z6671"/>
      <w:bookmarkEnd w:id="35"/>
      <w:r w:rsidRPr="00F0736F">
        <w:rPr>
          <w:rFonts w:ascii="Times New Roman" w:hAnsi="Times New Roman" w:cs="Times New Roman"/>
          <w:color w:val="000000" w:themeColor="text1"/>
        </w:rPr>
        <w:t xml:space="preserve">а 5.4 </w:t>
      </w:r>
      <w:r w:rsidR="00920CF7"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Дальнейшее укрепление органов местного самоуправления</w:t>
      </w:r>
      <w:r w:rsidR="00920CF7"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городах районного значения, селах, поселках и сельских округах с численностью населения свыше 2 тысяч человек будут внедрены самостоятельный бюджет и коммунальная собственность местного самоуправления. С 2020 года эти нормы будут действовать во всех населенных пунктах. Это позволит вовлечь население в решение вопросов местного значения. </w:t>
      </w:r>
      <w:r w:rsidRPr="00F0736F">
        <w:rPr>
          <w:rFonts w:ascii="Times New Roman" w:hAnsi="Times New Roman" w:cs="Times New Roman"/>
          <w:bCs/>
          <w:color w:val="000000" w:themeColor="text1"/>
        </w:rPr>
        <w:t>Будет проработан вопрос создания представительного органа местного самоуправления на уровне городов районного значения, сел, поселков и сельских округов, что позволит местному сообществу участвовать в утверждении бюджета. Также будет проработан вопрос дальнейшего увеличения доходных источников бюджетов местного самоуправления. Будут реализованы меры по повышению компетенций маслихатов в части бюджетного процесса.</w:t>
      </w:r>
    </w:p>
    <w:p w14:paraId="17FF2E07" w14:textId="46F4A03F" w:rsidR="00F674A4" w:rsidRPr="00F0736F" w:rsidRDefault="00F674A4" w:rsidP="008727D9">
      <w:pPr>
        <w:ind w:firstLine="709"/>
        <w:jc w:val="both"/>
        <w:rPr>
          <w:color w:val="000000" w:themeColor="text1"/>
        </w:rPr>
      </w:pPr>
      <w:r w:rsidRPr="00F0736F">
        <w:rPr>
          <w:rFonts w:ascii="Times New Roman" w:hAnsi="Times New Roman" w:cs="Times New Roman"/>
          <w:bCs/>
          <w:color w:val="000000" w:themeColor="text1"/>
        </w:rPr>
        <w:t xml:space="preserve">В рамках Реформы 6. Модернизация общественного сознания предусматривается Инициатива 6.3 </w:t>
      </w:r>
      <w:r w:rsidR="00920CF7"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rPr>
        <w:t xml:space="preserve">Развитие </w:t>
      </w:r>
      <w:r w:rsidR="00920CF7"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rPr>
        <w:t>экологической</w:t>
      </w:r>
      <w:r w:rsidR="00920CF7"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rPr>
        <w:t xml:space="preserve"> культуры среди населения</w:t>
      </w:r>
      <w:r w:rsidR="00920CF7"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rPr>
        <w:t>.</w:t>
      </w:r>
      <w:bookmarkStart w:id="36" w:name="z73311"/>
      <w:bookmarkEnd w:id="36"/>
      <w:r w:rsidRPr="00F0736F">
        <w:rPr>
          <w:rFonts w:ascii="Times New Roman" w:hAnsi="Times New Roman" w:cs="Times New Roman"/>
          <w:bCs/>
          <w:color w:val="000000" w:themeColor="text1"/>
        </w:rPr>
        <w:t xml:space="preserve"> Будет осуществляться информационно-пропагандистская деятельность, нацеленная на рациональное пользование природных ресурсов как при личном, так и при производственном потреблении.</w:t>
      </w:r>
    </w:p>
    <w:p w14:paraId="33956F47" w14:textId="59EB4FF6"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В рамках приоритета </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Сохранение национальной идентичности» указывается важность сохранить национальные традиции и обычаи, язык, музыку и литературу и предусматривается Инициатива 6.10 </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Организация проекта </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Сакральная география Казахстана</w:t>
      </w:r>
      <w:bookmarkStart w:id="37" w:name="z7511"/>
      <w:bookmarkEnd w:id="37"/>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будут запущены внутренние и внешние культурно-туристские маршруты по сакральным местам, обеспечена их широкая популяризация в стране и мире, и Инициатива 6.11 </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Организация краеведческой работы и поддержка социальных инициатив</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w:t>
      </w:r>
      <w:bookmarkStart w:id="38" w:name="z75211"/>
      <w:bookmarkEnd w:id="38"/>
      <w:r w:rsidRPr="00F0736F">
        <w:rPr>
          <w:rFonts w:ascii="Times New Roman" w:eastAsia="Times New Roman" w:hAnsi="Times New Roman" w:cs="Times New Roman"/>
          <w:color w:val="000000" w:themeColor="text1"/>
          <w:spacing w:val="2"/>
          <w:lang w:eastAsia="ru-RU"/>
        </w:rPr>
        <w:t xml:space="preserve"> В рамках данной инициативы будут организованы краеведческие работы в сфере образования, экологии и благоустройства, изучения региональной истории, восстановления культурно-исторических памятников и культурных объектов местного значения. Также будет оказано содействие социальным инициативам, выдвигаемым от лица бизнесменов, чиновников, представителей интеллигенции и молодежи для поддержки своей малой родины.</w:t>
      </w:r>
    </w:p>
    <w:p w14:paraId="06DABB22" w14:textId="77777777" w:rsidR="00F674A4" w:rsidRPr="00F0736F" w:rsidRDefault="00F674A4" w:rsidP="008727D9">
      <w:pPr>
        <w:pStyle w:val="afd"/>
        <w:spacing w:before="0" w:after="0"/>
        <w:ind w:firstLine="709"/>
        <w:jc w:val="both"/>
        <w:rPr>
          <w:color w:val="000000" w:themeColor="text1"/>
        </w:rPr>
      </w:pPr>
      <w:r w:rsidRPr="00F0736F">
        <w:rPr>
          <w:rFonts w:ascii="Times New Roman" w:eastAsia="Times New Roman" w:hAnsi="Times New Roman" w:cs="Times New Roman"/>
          <w:i w:val="0"/>
          <w:iCs w:val="0"/>
          <w:color w:val="000000" w:themeColor="text1"/>
          <w:spacing w:val="2"/>
          <w:lang w:eastAsia="ru-RU"/>
        </w:rPr>
        <w:t>В 2020 году Министерство образования и науки и Программа развития ООН (ПРООН) в Казахстане запустили проект по развитию экологического образования. Цель проекта – поддержка предпринимаемых правительством мер по формированию активной жизненной позиции граждан и экологической культуры общества, подкрепленной принципами устойчивого развития. Основным результатом проекта станет подготовка более 6 тысяч педагогов и разработка учебно-методических пособий в области охраны окружающей среды, природопользования и экологической и экономической безопасности</w:t>
      </w:r>
      <w:r w:rsidRPr="00F0736F">
        <w:rPr>
          <w:rStyle w:val="a4"/>
          <w:rFonts w:ascii="Times New Roman" w:eastAsia="Times New Roman" w:hAnsi="Times New Roman" w:cs="Times New Roman"/>
          <w:i w:val="0"/>
          <w:iCs w:val="0"/>
          <w:color w:val="000000" w:themeColor="text1"/>
          <w:spacing w:val="2"/>
          <w:lang w:eastAsia="ru-RU"/>
        </w:rPr>
        <w:footnoteReference w:id="126"/>
      </w:r>
      <w:r w:rsidRPr="00F0736F">
        <w:rPr>
          <w:rFonts w:ascii="Times New Roman" w:eastAsia="Times New Roman" w:hAnsi="Times New Roman" w:cs="Times New Roman"/>
          <w:i w:val="0"/>
          <w:iCs w:val="0"/>
          <w:color w:val="000000" w:themeColor="text1"/>
          <w:spacing w:val="2"/>
          <w:lang w:eastAsia="ru-RU"/>
        </w:rPr>
        <w:t>.</w:t>
      </w:r>
    </w:p>
    <w:p w14:paraId="1049ADA5" w14:textId="77777777" w:rsidR="00F674A4" w:rsidRPr="00F0736F" w:rsidRDefault="00F674A4" w:rsidP="008727D9">
      <w:pPr>
        <w:pStyle w:val="afd"/>
        <w:spacing w:before="0" w:after="0"/>
        <w:ind w:firstLine="709"/>
        <w:jc w:val="both"/>
        <w:rPr>
          <w:color w:val="000000" w:themeColor="text1"/>
        </w:rPr>
      </w:pPr>
      <w:r w:rsidRPr="00F0736F">
        <w:rPr>
          <w:rFonts w:ascii="Times New Roman" w:eastAsia="Times New Roman" w:hAnsi="Times New Roman" w:cs="Times New Roman"/>
          <w:i w:val="0"/>
          <w:iCs w:val="0"/>
          <w:color w:val="000000" w:themeColor="text1"/>
          <w:spacing w:val="2"/>
          <w:lang w:eastAsia="ru-RU"/>
        </w:rPr>
        <w:t>В рамках проекта 17 организаций образования разных уровней будут оснащены зелеными и ресурсосберегающими технологиями; для организации дошкольного образования будут подготовлены методические материалы по экологической культуре; ученики 1-4 классов по предмету «Познание мира» смогут использовать тематические настольные игры и интерактивные видеоуроки.</w:t>
      </w:r>
    </w:p>
    <w:p w14:paraId="75973F72" w14:textId="77777777" w:rsidR="00F674A4" w:rsidRPr="00F0736F" w:rsidRDefault="00F674A4" w:rsidP="008727D9">
      <w:pPr>
        <w:pStyle w:val="afd"/>
        <w:spacing w:before="0" w:after="0"/>
        <w:ind w:firstLine="709"/>
        <w:jc w:val="both"/>
        <w:rPr>
          <w:color w:val="000000" w:themeColor="text1"/>
        </w:rPr>
      </w:pPr>
      <w:r w:rsidRPr="00F0736F">
        <w:rPr>
          <w:rFonts w:ascii="Times New Roman" w:eastAsia="Times New Roman" w:hAnsi="Times New Roman" w:cs="Times New Roman"/>
          <w:i w:val="0"/>
          <w:iCs w:val="0"/>
          <w:color w:val="000000" w:themeColor="text1"/>
          <w:spacing w:val="2"/>
          <w:lang w:eastAsia="ru-RU"/>
        </w:rPr>
        <w:t xml:space="preserve">Совместная инициатива начнется с создания комплексной модели непрерывного экологического образования для устойчивого развития, которая станет неотъемлемой частью государственной системы образования на всех уровнях. </w:t>
      </w:r>
    </w:p>
    <w:p w14:paraId="4669F492" w14:textId="23480F12" w:rsidR="00F674A4" w:rsidRPr="00F0736F" w:rsidRDefault="00F674A4" w:rsidP="008727D9">
      <w:pPr>
        <w:pStyle w:val="afd"/>
        <w:spacing w:before="0" w:after="0"/>
        <w:ind w:firstLine="709"/>
        <w:jc w:val="both"/>
        <w:rPr>
          <w:rFonts w:ascii="Times New Roman" w:eastAsia="Times New Roman" w:hAnsi="Times New Roman" w:cs="Times New Roman"/>
          <w:i w:val="0"/>
          <w:iCs w:val="0"/>
          <w:color w:val="000000" w:themeColor="text1"/>
          <w:spacing w:val="2"/>
          <w:lang w:eastAsia="ru-RU"/>
        </w:rPr>
      </w:pPr>
      <w:r w:rsidRPr="00F0736F">
        <w:rPr>
          <w:rFonts w:ascii="Times New Roman" w:eastAsia="Times New Roman" w:hAnsi="Times New Roman" w:cs="Times New Roman"/>
          <w:i w:val="0"/>
          <w:iCs w:val="0"/>
          <w:color w:val="000000" w:themeColor="text1"/>
          <w:spacing w:val="2"/>
          <w:lang w:eastAsia="ru-RU"/>
        </w:rPr>
        <w:t>Проект направлен на формирование экологической ответственности в обществе, необходимой для рационального использования природных ресурсов, для полноценного и устойчивого развития государства и глобального мира через совершенствование законодательства и создание правовых рамок для включения экологического образования в образовательную систему Казахстана. Экологическое образование будет включать такие критически важные аспекты глобальной повестки в области устойчивого развития, как изменение климата, сохранение биоразнообразия, рациональное потребление и производство. В реализации проекта (2020</w:t>
      </w:r>
      <w:r w:rsidR="007244BE" w:rsidRPr="00F0736F">
        <w:rPr>
          <w:rFonts w:ascii="Times New Roman" w:eastAsia="Times New Roman" w:hAnsi="Times New Roman" w:cs="Times New Roman"/>
          <w:i w:val="0"/>
          <w:iCs w:val="0"/>
          <w:color w:val="000000" w:themeColor="text1"/>
          <w:spacing w:val="2"/>
          <w:lang w:eastAsia="ru-RU"/>
        </w:rPr>
        <w:t>-</w:t>
      </w:r>
      <w:r w:rsidRPr="00F0736F">
        <w:rPr>
          <w:rFonts w:ascii="Times New Roman" w:eastAsia="Times New Roman" w:hAnsi="Times New Roman" w:cs="Times New Roman"/>
          <w:i w:val="0"/>
          <w:iCs w:val="0"/>
          <w:color w:val="000000" w:themeColor="text1"/>
          <w:spacing w:val="2"/>
          <w:lang w:eastAsia="ru-RU"/>
        </w:rPr>
        <w:t>2024 г.) содействие окажут Министерство экологии, геологии и природных ресурсов РК,  НАО «Международный центр зеленых технологий и инвестиционных проектов». </w:t>
      </w:r>
    </w:p>
    <w:p w14:paraId="69D85E20" w14:textId="6319F51A"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spacing w:val="2"/>
          <w:lang w:eastAsia="ru-RU"/>
        </w:rPr>
        <w:t xml:space="preserve">Президент Казахстана Касым-Жомарт Токаев в июле 2020 года выразил возмущение бескультурьем казахстанцев в местах отдыха на природе: «Продолжается повальное бескультурье граждан в местах отдыха на природе. Справедливое возмущение вызвал фактически необратимый урон, нанесенный нашими соотечественниками уникальному </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розовому</w:t>
      </w:r>
      <w:r w:rsidR="00920CF7" w:rsidRPr="00F0736F">
        <w:rPr>
          <w:rFonts w:ascii="Times New Roman" w:eastAsia="Times New Roman" w:hAnsi="Times New Roman" w:cs="Times New Roman"/>
          <w:color w:val="000000" w:themeColor="text1"/>
          <w:spacing w:val="2"/>
          <w:lang w:eastAsia="ru-RU"/>
        </w:rPr>
        <w:t>»</w:t>
      </w:r>
      <w:r w:rsidRPr="00F0736F">
        <w:rPr>
          <w:rFonts w:ascii="Times New Roman" w:eastAsia="Times New Roman" w:hAnsi="Times New Roman" w:cs="Times New Roman"/>
          <w:color w:val="000000" w:themeColor="text1"/>
          <w:spacing w:val="2"/>
          <w:lang w:eastAsia="ru-RU"/>
        </w:rPr>
        <w:t xml:space="preserve"> озеру Кобейтуз. Эти негативные факты вновь обнажили проблему экологического просвещения подрастающего поколения. Министерства образования, экологии, информации должны рассматривать эту задачу как приоритетную», - написал Токаев в Twitter.</w:t>
      </w:r>
      <w:r w:rsidR="007244BE" w:rsidRPr="00F0736F">
        <w:rPr>
          <w:rStyle w:val="a4"/>
          <w:rFonts w:ascii="Times New Roman" w:eastAsia="Times New Roman" w:hAnsi="Times New Roman" w:cs="Times New Roman"/>
          <w:color w:val="000000" w:themeColor="text1"/>
          <w:spacing w:val="2"/>
          <w:lang w:eastAsia="ru-RU"/>
        </w:rPr>
        <w:footnoteReference w:id="127"/>
      </w:r>
      <w:r w:rsidRPr="00F0736F">
        <w:rPr>
          <w:rFonts w:ascii="Times New Roman" w:eastAsia="Times New Roman" w:hAnsi="Times New Roman" w:cs="Times New Roman"/>
          <w:color w:val="000000" w:themeColor="text1"/>
          <w:spacing w:val="2"/>
          <w:lang w:eastAsia="ru-RU"/>
        </w:rPr>
        <w:t xml:space="preserve"> Ранее глава государства предложил ввести в школах страны предмет экологического образования детей: «Нам нужно в школах ввести предмет - экологическое образование детей», - сказал Токаев в ходе расширенного заседания правительства 9 июля 2020 года.</w:t>
      </w:r>
    </w:p>
    <w:p w14:paraId="2C9FF0B4" w14:textId="77777777" w:rsidR="00F674A4" w:rsidRPr="00F0736F" w:rsidRDefault="00F674A4" w:rsidP="008727D9">
      <w:pPr>
        <w:ind w:firstLine="709"/>
        <w:jc w:val="both"/>
        <w:rPr>
          <w:color w:val="000000" w:themeColor="text1"/>
        </w:rPr>
      </w:pPr>
    </w:p>
    <w:p w14:paraId="0EE205A1" w14:textId="77777777" w:rsidR="00F674A4" w:rsidRPr="00F0736F" w:rsidRDefault="00F674A4" w:rsidP="008727D9">
      <w:pPr>
        <w:ind w:firstLine="709"/>
        <w:jc w:val="both"/>
        <w:rPr>
          <w:color w:val="000000" w:themeColor="text1"/>
        </w:rPr>
      </w:pPr>
    </w:p>
    <w:p w14:paraId="0FFEBBF8"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39" w:name="_Toc57818731"/>
      <w:r w:rsidRPr="007272FB">
        <w:rPr>
          <w:rFonts w:ascii="Times New Roman" w:eastAsia="Times New Roman" w:hAnsi="Times New Roman" w:cs="Times New Roman"/>
          <w:color w:val="000000" w:themeColor="text1"/>
          <w:sz w:val="24"/>
          <w:szCs w:val="24"/>
        </w:rPr>
        <w:t>1.10. Совет по переходу к «зеленой экономике»</w:t>
      </w:r>
      <w:bookmarkEnd w:id="39"/>
    </w:p>
    <w:p w14:paraId="3A7DE1B3" w14:textId="77777777" w:rsidR="00F674A4" w:rsidRPr="00F0736F" w:rsidRDefault="00F674A4" w:rsidP="008727D9">
      <w:pPr>
        <w:ind w:firstLine="709"/>
        <w:jc w:val="both"/>
        <w:rPr>
          <w:rFonts w:ascii="Times New Roman" w:hAnsi="Times New Roman" w:cs="Times New Roman"/>
          <w:color w:val="000000" w:themeColor="text1"/>
        </w:rPr>
      </w:pPr>
    </w:p>
    <w:p w14:paraId="0A486A3F" w14:textId="1A5CDD2C" w:rsidR="0082394B" w:rsidRPr="00F0736F" w:rsidRDefault="0082394B" w:rsidP="0082394B">
      <w:pPr>
        <w:ind w:firstLine="709"/>
        <w:jc w:val="both"/>
        <w:rPr>
          <w:color w:val="000000" w:themeColor="text1"/>
        </w:rPr>
      </w:pPr>
      <w:r w:rsidRPr="00F0736F">
        <w:rPr>
          <w:rFonts w:ascii="Times New Roman" w:eastAsia="Times New Roman" w:hAnsi="Times New Roman" w:cs="Times New Roman"/>
          <w:color w:val="000000" w:themeColor="text1"/>
          <w:lang w:val="kk-KZ" w:eastAsia="ru-RU"/>
        </w:rPr>
        <w:t xml:space="preserve">Заседания </w:t>
      </w:r>
      <w:r w:rsidRPr="00F0736F">
        <w:rPr>
          <w:rFonts w:ascii="Times New Roman" w:eastAsia="Times New Roman" w:hAnsi="Times New Roman" w:cs="Times New Roman"/>
          <w:color w:val="000000" w:themeColor="text1"/>
          <w:lang w:eastAsia="ru-RU"/>
        </w:rPr>
        <w:t xml:space="preserve"> Совета по переходу к «зеленой экономике </w:t>
      </w:r>
      <w:r w:rsidRPr="00F0736F">
        <w:rPr>
          <w:rFonts w:ascii="Times New Roman" w:hAnsi="Times New Roman" w:cs="Times New Roman"/>
          <w:color w:val="000000" w:themeColor="text1"/>
        </w:rPr>
        <w:t>при Президенте Республики Казахстан</w:t>
      </w:r>
      <w:r w:rsidR="007244BE" w:rsidRPr="00F0736F">
        <w:rPr>
          <w:rFonts w:ascii="Times New Roman" w:hAnsi="Times New Roman" w:cs="Times New Roman"/>
          <w:color w:val="000000" w:themeColor="text1"/>
        </w:rPr>
        <w:t xml:space="preserve"> (да</w:t>
      </w:r>
      <w:r w:rsidRPr="00F0736F">
        <w:rPr>
          <w:rFonts w:ascii="Times New Roman" w:hAnsi="Times New Roman" w:cs="Times New Roman"/>
          <w:color w:val="000000" w:themeColor="text1"/>
        </w:rPr>
        <w:t>л</w:t>
      </w:r>
      <w:r w:rsidR="007244BE" w:rsidRPr="00F0736F">
        <w:rPr>
          <w:rFonts w:ascii="Times New Roman" w:hAnsi="Times New Roman" w:cs="Times New Roman"/>
          <w:color w:val="000000" w:themeColor="text1"/>
        </w:rPr>
        <w:t>е</w:t>
      </w:r>
      <w:r w:rsidRPr="00F0736F">
        <w:rPr>
          <w:rFonts w:ascii="Times New Roman" w:hAnsi="Times New Roman" w:cs="Times New Roman"/>
          <w:color w:val="000000" w:themeColor="text1"/>
        </w:rPr>
        <w:t>е -</w:t>
      </w:r>
      <w:r w:rsidR="00817CA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Совет) </w:t>
      </w:r>
      <w:r w:rsidRPr="00F0736F">
        <w:rPr>
          <w:rFonts w:ascii="Times New Roman" w:eastAsia="Times New Roman" w:hAnsi="Times New Roman" w:cs="Times New Roman"/>
          <w:color w:val="000000" w:themeColor="text1"/>
          <w:lang w:eastAsia="ru-RU"/>
        </w:rPr>
        <w:t xml:space="preserve"> проходят ежегодно два раза в год.</w:t>
      </w:r>
    </w:p>
    <w:p w14:paraId="17209AAD" w14:textId="77777777" w:rsidR="00F674A4" w:rsidRPr="00F0736F" w:rsidRDefault="0082394B" w:rsidP="0082394B">
      <w:pPr>
        <w:ind w:firstLine="709"/>
        <w:jc w:val="both"/>
        <w:rPr>
          <w:color w:val="000000" w:themeColor="text1"/>
        </w:rPr>
      </w:pPr>
      <w:r w:rsidRPr="00F0736F">
        <w:rPr>
          <w:rFonts w:ascii="Times New Roman" w:hAnsi="Times New Roman" w:cs="Times New Roman"/>
          <w:color w:val="000000" w:themeColor="text1"/>
        </w:rPr>
        <w:t>В 2017 году проведено 2 заседания Совета.</w:t>
      </w:r>
    </w:p>
    <w:p w14:paraId="58DAA3A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2 июня 2017 года проведено шестое заседание Совета, где были заслушаны отчеты вице-министра сельского хозяйства Нысанбаева Е.Н., акима Южно-Казахстанской области Туймебаева Ж.К. об исполнении Плана мероприятий по реализации Концепции по переходу Республики Казахстан к «зеленой экономике» на 2013 - 2020 годы по разделам: «Управление отходами», «Управление водными ресурсами».</w:t>
      </w:r>
    </w:p>
    <w:p w14:paraId="56C44DF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19 октября 2017 года проведено седьмое заседание Совета, где были заслушаны отчеты  Министра энергетики Бозумбаева К.А. о реализации Плана мероприятий Концепции по переходу Республики Казахстан к «зеленой экономике» на 2013 - 2020 годы,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кима Атырауской области Ногаева Н.А.,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кима г. Алматы Байбек Б.К.,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кима Восточно-Казахстанской области Ахметова Д.К.,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кима Алматинской области Баталова А.Г.,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 xml:space="preserve">кима Карагандинской области Кошанова Е.Ж., </w:t>
      </w:r>
      <w:r w:rsidR="007244BE" w:rsidRPr="00F0736F">
        <w:rPr>
          <w:rFonts w:ascii="Times New Roman" w:hAnsi="Times New Roman" w:cs="Times New Roman"/>
          <w:color w:val="000000" w:themeColor="text1"/>
        </w:rPr>
        <w:t>а</w:t>
      </w:r>
      <w:r w:rsidRPr="00F0736F">
        <w:rPr>
          <w:rFonts w:ascii="Times New Roman" w:hAnsi="Times New Roman" w:cs="Times New Roman"/>
          <w:color w:val="000000" w:themeColor="text1"/>
        </w:rPr>
        <w:t>кима Костан</w:t>
      </w:r>
      <w:r w:rsidR="00EB40C4" w:rsidRPr="00F0736F">
        <w:rPr>
          <w:rFonts w:ascii="Times New Roman" w:hAnsi="Times New Roman" w:cs="Times New Roman"/>
          <w:color w:val="000000" w:themeColor="text1"/>
        </w:rPr>
        <w:t>айской области Мухамбетова А.Б.</w:t>
      </w:r>
      <w:r w:rsidRPr="00F0736F">
        <w:rPr>
          <w:rFonts w:ascii="Times New Roman" w:hAnsi="Times New Roman" w:cs="Times New Roman"/>
          <w:color w:val="000000" w:themeColor="text1"/>
        </w:rPr>
        <w:t xml:space="preserve"> по разделу «Управление твердыми бытовыми отходами».</w:t>
      </w:r>
    </w:p>
    <w:p w14:paraId="43EF43C9" w14:textId="5453F58D"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Указом Президента РК от 20 октября 2017 г</w:t>
      </w:r>
      <w:r w:rsidR="00817CAC" w:rsidRPr="00F0736F">
        <w:rPr>
          <w:rFonts w:ascii="Times New Roman" w:hAnsi="Times New Roman" w:cs="Times New Roman"/>
          <w:color w:val="000000" w:themeColor="text1"/>
        </w:rPr>
        <w:t xml:space="preserve">ода </w:t>
      </w:r>
      <w:r w:rsidRPr="00F0736F">
        <w:rPr>
          <w:rFonts w:ascii="Times New Roman" w:hAnsi="Times New Roman" w:cs="Times New Roman"/>
          <w:color w:val="000000" w:themeColor="text1"/>
        </w:rPr>
        <w:t>№</w:t>
      </w:r>
      <w:r w:rsidR="00817CA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568 «О внесении изменений и дополнений в некоторые акты Президента Республики Казахстан и признании утратившими силу некоторых актов Президента Республики Казахстан» состав Совета дополнен двумя участниками: Министром здравоохранения РК и Директором Программы ООН по окружающей среде в Центральной Азии. </w:t>
      </w:r>
    </w:p>
    <w:p w14:paraId="4D084E0F"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14 мая 2018 года состоялось восьмое заседание Совета. Были рассмотрены отчеты Вице-министра сельского хозяйства, акимов Восточно-Казахстанской и Кызылординской областей о результатах реализации Плана мероприятий Концепции по переходу Республики Казахстан к «зеленой экономике» на 2013 - 2020 годы, выступление Председателя Президиума Ассоциации экологических организаций Казахстана, </w:t>
      </w:r>
      <w:r w:rsidRPr="00F0736F">
        <w:rPr>
          <w:rFonts w:ascii="Times New Roman" w:eastAsia="Times New Roman" w:hAnsi="Times New Roman" w:cs="Times New Roman"/>
          <w:color w:val="000000" w:themeColor="text1"/>
          <w:lang w:val="kk-KZ" w:eastAsia="ru-RU"/>
        </w:rPr>
        <w:t>а</w:t>
      </w:r>
      <w:r w:rsidRPr="00F0736F">
        <w:rPr>
          <w:rFonts w:ascii="Times New Roman" w:eastAsia="Times New Roman" w:hAnsi="Times New Roman" w:cs="Times New Roman"/>
          <w:color w:val="000000" w:themeColor="text1"/>
          <w:lang w:eastAsia="ru-RU"/>
        </w:rPr>
        <w:t xml:space="preserve"> также </w:t>
      </w:r>
      <w:r w:rsidRPr="00F0736F">
        <w:rPr>
          <w:rFonts w:ascii="Times New Roman" w:hAnsi="Times New Roman" w:cs="Times New Roman"/>
          <w:color w:val="000000" w:themeColor="text1"/>
        </w:rPr>
        <w:t>рассмотрение Национального доклада по переходу к «зеленой экономике».</w:t>
      </w:r>
    </w:p>
    <w:p w14:paraId="52A77FB2"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20 декабря 2018 состоялось девятое заседание Совета. Был заслушан отчет Министра энергетики по разделу </w:t>
      </w:r>
      <w:r w:rsidRPr="00F0736F">
        <w:rPr>
          <w:rFonts w:ascii="Times New Roman" w:hAnsi="Times New Roman" w:cs="Times New Roman"/>
          <w:color w:val="000000" w:themeColor="text1"/>
          <w:lang w:eastAsia="ru-RU"/>
        </w:rPr>
        <w:t>«Снижение загрязнения воздуха»</w:t>
      </w:r>
      <w:r w:rsidRPr="00F0736F">
        <w:rPr>
          <w:rFonts w:ascii="Times New Roman" w:eastAsia="Times New Roman" w:hAnsi="Times New Roman" w:cs="Times New Roman"/>
          <w:color w:val="000000" w:themeColor="text1"/>
          <w:lang w:eastAsia="ru-RU"/>
        </w:rPr>
        <w:t>. Также выступили представители Казахстанской ассоциации по управлению отходами «Kaz Waste», Научно-образовательного центра «Зеленая академия», ЮНЕП, НПП «Атамекен».</w:t>
      </w:r>
    </w:p>
    <w:p w14:paraId="7EDABF3B" w14:textId="14E9DD8C"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18 декабря 2019 года прошло 11-е заседание Совета под председательством премьер-министра РК Аскара Мамина. О ходе реализации плана мероприятий концепции по переходу РК к </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 экономике</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на 2013 - 2020 годы доложил министр энергетики Нурлан Ногаев. О мерах по улучшению экологической ситуации и развитию </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зеленой экономики</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 регионах также доложили аким Нур-Султана Алтай Кульгинов и заместитель акима Алматы Мухит Азирбаев.</w:t>
      </w:r>
    </w:p>
    <w:p w14:paraId="28E72608" w14:textId="7007EC59"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Также обсуждено развитие возобновляемых источников энергии, в стране действуют 84 объекта ВИЭ установленной мощностью 938,8 мегаватта. Объем выработки электроэнергии ВИЭ за 10 месяцев в 2019 году составил 1,7 млрд. киловатт в час с ростом на 65 процентов в сравнении с аналогичным периодом 2018 года. В 2020 году количество объектов ВИЭ планируется довести до 108 (1</w:t>
      </w:r>
      <w:r w:rsidR="00817CA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610 мегаватт), 2021 году — до 119 (2</w:t>
      </w:r>
      <w:r w:rsidR="00817CAC"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096 мегаватт).</w:t>
      </w:r>
    </w:p>
    <w:p w14:paraId="46AAD474" w14:textId="2D9F8064"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Отдельно рассмотрен ход реализации строительства магистрального газопровода </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Сарыарка</w:t>
      </w:r>
      <w:r w:rsidR="00817CAC"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для газоснабжения столицы, северных и центральных регионов республики. Отмечается, что это одна из пяти социальных инициатив Первого Президента.</w:t>
      </w:r>
    </w:p>
    <w:p w14:paraId="22A52DED" w14:textId="77777777" w:rsidR="00F674A4" w:rsidRPr="00F0736F" w:rsidRDefault="00F674A4" w:rsidP="008727D9">
      <w:pPr>
        <w:ind w:firstLine="709"/>
        <w:jc w:val="both"/>
        <w:rPr>
          <w:rFonts w:ascii="Times New Roman" w:hAnsi="Times New Roman" w:cs="Times New Roman"/>
          <w:color w:val="000000" w:themeColor="text1"/>
        </w:rPr>
      </w:pPr>
    </w:p>
    <w:p w14:paraId="35DF9106" w14:textId="77777777" w:rsidR="00F674A4" w:rsidRPr="00F0736F" w:rsidRDefault="00F674A4" w:rsidP="008727D9">
      <w:pPr>
        <w:ind w:firstLine="709"/>
        <w:jc w:val="both"/>
        <w:rPr>
          <w:rFonts w:ascii="Times New Roman" w:hAnsi="Times New Roman" w:cs="Times New Roman"/>
          <w:color w:val="000000" w:themeColor="text1"/>
        </w:rPr>
      </w:pPr>
    </w:p>
    <w:p w14:paraId="5CCB684C"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40" w:name="_Toc57818732"/>
      <w:r w:rsidRPr="007272FB">
        <w:rPr>
          <w:rFonts w:ascii="Times New Roman" w:eastAsia="Times New Roman" w:hAnsi="Times New Roman" w:cs="Times New Roman"/>
          <w:color w:val="000000" w:themeColor="text1"/>
          <w:sz w:val="24"/>
          <w:szCs w:val="24"/>
        </w:rPr>
        <w:t>1.11. Международное сотрудничество по вопросам «зеленой экономики»</w:t>
      </w:r>
      <w:bookmarkEnd w:id="40"/>
    </w:p>
    <w:p w14:paraId="026D12A4" w14:textId="77777777" w:rsidR="00F674A4" w:rsidRPr="00F0736F" w:rsidRDefault="00F674A4" w:rsidP="008727D9">
      <w:pPr>
        <w:ind w:firstLine="709"/>
        <w:jc w:val="both"/>
        <w:rPr>
          <w:rFonts w:ascii="Times New Roman" w:hAnsi="Times New Roman" w:cs="Times New Roman"/>
          <w:color w:val="000000" w:themeColor="text1"/>
        </w:rPr>
      </w:pPr>
    </w:p>
    <w:p w14:paraId="2D70C7B0"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Важное значение в формировании международной экологической культуры и образования имело проведение в Казахстане международной выставки </w:t>
      </w:r>
      <w:r w:rsidRPr="00F0736F">
        <w:rPr>
          <w:rFonts w:ascii="Times New Roman" w:eastAsia="Times New Roman" w:hAnsi="Times New Roman" w:cs="Times New Roman"/>
          <w:b/>
          <w:bCs/>
          <w:color w:val="000000" w:themeColor="text1"/>
          <w:lang w:eastAsia="ru-RU"/>
        </w:rPr>
        <w:t xml:space="preserve">ЭКСПО-2017. </w:t>
      </w:r>
      <w:r w:rsidRPr="00F0736F">
        <w:rPr>
          <w:rFonts w:ascii="Times New Roman" w:eastAsia="MS Mincho" w:hAnsi="Times New Roman" w:cs="Times New Roman"/>
          <w:color w:val="000000" w:themeColor="text1"/>
          <w:lang w:eastAsia="ru-RU"/>
        </w:rPr>
        <w:t xml:space="preserve">Никогда раньше международная выставка таких масштабов не проводилась в Центрально-Азиатском регионе и СНГ. </w:t>
      </w:r>
    </w:p>
    <w:p w14:paraId="5AA987ED" w14:textId="7037288F"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ru-RU"/>
        </w:rPr>
        <w:t>ЭКСПО-2017</w:t>
      </w:r>
      <w:r w:rsidRPr="00F0736F">
        <w:rPr>
          <w:rFonts w:ascii="Times New Roman" w:eastAsia="MS Mincho" w:hAnsi="Times New Roman" w:cs="Times New Roman"/>
          <w:b/>
          <w:bCs/>
          <w:color w:val="000000" w:themeColor="text1"/>
          <w:lang w:eastAsia="ru-RU"/>
        </w:rPr>
        <w:t xml:space="preserve"> - </w:t>
      </w:r>
      <w:r w:rsidRPr="00F0736F">
        <w:rPr>
          <w:rFonts w:ascii="Times New Roman" w:eastAsia="MS Mincho" w:hAnsi="Times New Roman" w:cs="Times New Roman"/>
          <w:color w:val="000000" w:themeColor="text1"/>
          <w:lang w:eastAsia="ru-RU"/>
        </w:rPr>
        <w:t xml:space="preserve">Международная специализированная выставка под эгидой Международного бюро выставок (МБВ), прошедшая в столице </w:t>
      </w:r>
      <w:hyperlink r:id="rId54" w:history="1">
        <w:r w:rsidRPr="00F0736F">
          <w:rPr>
            <w:rStyle w:val="a6"/>
            <w:rFonts w:ascii="Times New Roman" w:eastAsia="MS Mincho" w:hAnsi="Times New Roman" w:cs="Times New Roman"/>
            <w:color w:val="000000" w:themeColor="text1"/>
            <w:u w:val="none"/>
            <w:lang w:eastAsia="ru-RU"/>
          </w:rPr>
          <w:t>Казахстана</w:t>
        </w:r>
      </w:hyperlink>
      <w:r w:rsidRPr="00F0736F">
        <w:rPr>
          <w:rFonts w:ascii="Times New Roman" w:eastAsia="MS Mincho" w:hAnsi="Times New Roman" w:cs="Times New Roman"/>
          <w:color w:val="000000" w:themeColor="text1"/>
          <w:lang w:eastAsia="ru-RU"/>
        </w:rPr>
        <w:t xml:space="preserve"> городе </w:t>
      </w:r>
      <w:r w:rsidRPr="00F0736F">
        <w:rPr>
          <w:rStyle w:val="a6"/>
          <w:rFonts w:ascii="Times New Roman" w:hAnsi="Times New Roman" w:cs="Times New Roman"/>
          <w:color w:val="000000" w:themeColor="text1"/>
          <w:u w:val="none"/>
        </w:rPr>
        <w:t>Нур-Султан</w:t>
      </w:r>
      <w:r w:rsidRPr="00F0736F">
        <w:rPr>
          <w:rFonts w:ascii="Times New Roman" w:eastAsia="MS Mincho" w:hAnsi="Times New Roman" w:cs="Times New Roman"/>
          <w:color w:val="000000" w:themeColor="text1"/>
          <w:lang w:eastAsia="ru-RU"/>
        </w:rPr>
        <w:t xml:space="preserve"> с 10 июня по 10 сентября </w:t>
      </w:r>
      <w:hyperlink r:id="rId55" w:history="1">
        <w:r w:rsidRPr="00F0736F">
          <w:rPr>
            <w:rStyle w:val="a6"/>
            <w:rFonts w:ascii="Times New Roman" w:eastAsia="MS Mincho" w:hAnsi="Times New Roman" w:cs="Times New Roman"/>
            <w:color w:val="000000" w:themeColor="text1"/>
            <w:u w:val="none"/>
            <w:lang w:eastAsia="ru-RU"/>
          </w:rPr>
          <w:t>2017 года</w:t>
        </w:r>
      </w:hyperlink>
      <w:r w:rsidRPr="00F0736F">
        <w:rPr>
          <w:rFonts w:ascii="Times New Roman" w:eastAsia="MS Mincho" w:hAnsi="Times New Roman" w:cs="Times New Roman"/>
          <w:color w:val="000000" w:themeColor="text1"/>
          <w:lang w:eastAsia="ru-RU"/>
        </w:rPr>
        <w:t>. За это время выставку посетили около 4 млн</w:t>
      </w:r>
      <w:r w:rsidR="00E614AD" w:rsidRPr="00F0736F">
        <w:rPr>
          <w:rFonts w:ascii="Times New Roman" w:eastAsia="MS Mincho" w:hAnsi="Times New Roman" w:cs="Times New Roman"/>
          <w:color w:val="000000" w:themeColor="text1"/>
          <w:lang w:eastAsia="ru-RU"/>
        </w:rPr>
        <w:t>.</w:t>
      </w:r>
      <w:r w:rsidRPr="00F0736F">
        <w:rPr>
          <w:rFonts w:ascii="Times New Roman" w:eastAsia="MS Mincho" w:hAnsi="Times New Roman" w:cs="Times New Roman"/>
          <w:color w:val="000000" w:themeColor="text1"/>
          <w:lang w:eastAsia="ru-RU"/>
        </w:rPr>
        <w:t xml:space="preserve"> человек. Здесь побывали высокопоставленные лица из 40 государств, а свою продукцию представили десятки компаний. Всего в выставке приняли участие 115 стран и 22 международные организации</w:t>
      </w:r>
      <w:r w:rsidRPr="00F0736F">
        <w:rPr>
          <w:rStyle w:val="a4"/>
          <w:rFonts w:ascii="Times New Roman" w:eastAsia="MS Mincho" w:hAnsi="Times New Roman" w:cs="Times New Roman"/>
          <w:color w:val="000000" w:themeColor="text1"/>
          <w:lang w:eastAsia="ru-RU"/>
        </w:rPr>
        <w:footnoteReference w:id="128"/>
      </w:r>
      <w:r w:rsidRPr="00F0736F">
        <w:rPr>
          <w:rFonts w:ascii="Times New Roman" w:eastAsia="MS Mincho" w:hAnsi="Times New Roman" w:cs="Times New Roman"/>
          <w:color w:val="000000" w:themeColor="text1"/>
          <w:lang w:eastAsia="ru-RU"/>
        </w:rPr>
        <w:t>.</w:t>
      </w:r>
    </w:p>
    <w:p w14:paraId="34D0698A" w14:textId="77777777" w:rsidR="00F674A4" w:rsidRPr="00F0736F" w:rsidRDefault="00F674A4" w:rsidP="008727D9">
      <w:pPr>
        <w:ind w:firstLine="709"/>
        <w:jc w:val="both"/>
        <w:rPr>
          <w:color w:val="000000" w:themeColor="text1"/>
        </w:rPr>
      </w:pPr>
      <w:r w:rsidRPr="00F0736F">
        <w:rPr>
          <w:rFonts w:ascii="Times New Roman" w:eastAsia="MS Mincho" w:hAnsi="Times New Roman" w:cs="Times New Roman"/>
          <w:color w:val="000000" w:themeColor="text1"/>
          <w:lang w:eastAsia="ru-RU"/>
        </w:rPr>
        <w:t xml:space="preserve">Выбранная Казахстаном тема «Энергия будущего» отвечает мировому тренду о необходимости постепенного перехода к возобновляемым источникам энергии. </w:t>
      </w:r>
      <w:r w:rsidRPr="00F0736F">
        <w:rPr>
          <w:rFonts w:ascii="Times New Roman" w:eastAsia="MS Mincho" w:hAnsi="Times New Roman" w:cs="Times New Roman"/>
          <w:color w:val="000000" w:themeColor="text1"/>
        </w:rPr>
        <w:t>Проект «Энергия Будущего» основан на идеологии устойчивого развития, которое понимается как процесс, направленный на удовлетворение экономических и социальных потребностей при сохранении культурного разнообразия и чистоты окружающей среды. «Энергия Будущего» также предполагает повышение информированности в отношении энергии, как одной из базовых ценностей человечества, предполагающей ответственный и эффективный подход.</w:t>
      </w:r>
    </w:p>
    <w:p w14:paraId="3A6D8FD3" w14:textId="77777777" w:rsidR="005F2A73" w:rsidRPr="00F0736F" w:rsidRDefault="00F674A4" w:rsidP="005F06A6">
      <w:pPr>
        <w:ind w:firstLine="709"/>
        <w:jc w:val="both"/>
        <w:rPr>
          <w:color w:val="000000" w:themeColor="text1"/>
        </w:rPr>
      </w:pPr>
      <w:r w:rsidRPr="00F0736F">
        <w:rPr>
          <w:rFonts w:ascii="Times New Roman" w:eastAsia="Times New Roman" w:hAnsi="Times New Roman" w:cs="Times New Roman"/>
          <w:iCs/>
          <w:color w:val="000000" w:themeColor="text1"/>
          <w:lang w:val="kk-KZ"/>
        </w:rPr>
        <w:t xml:space="preserve">ЭКСПО-2017 </w:t>
      </w:r>
      <w:r w:rsidRPr="00F0736F">
        <w:rPr>
          <w:rFonts w:ascii="Times New Roman" w:eastAsia="Times New Roman" w:hAnsi="Times New Roman" w:cs="Times New Roman"/>
          <w:iCs/>
          <w:color w:val="000000" w:themeColor="text1"/>
        </w:rPr>
        <w:t>сделала упор на</w:t>
      </w:r>
      <w:r w:rsidRPr="00F0736F">
        <w:rPr>
          <w:rFonts w:ascii="Times New Roman" w:eastAsia="Times New Roman" w:hAnsi="Times New Roman" w:cs="Times New Roman"/>
          <w:iCs/>
          <w:color w:val="000000" w:themeColor="text1"/>
          <w:lang w:val="kk-KZ"/>
        </w:rPr>
        <w:t xml:space="preserve"> идею о личной ответственности и личном участии каждого в создании и реализации устойчивого плана по производству, распределению и использованию Энергии Будущего. </w:t>
      </w:r>
      <w:r w:rsidRPr="00F0736F">
        <w:rPr>
          <w:rFonts w:ascii="Times New Roman" w:eastAsia="Times New Roman" w:hAnsi="Times New Roman" w:cs="Times New Roman"/>
          <w:iCs/>
          <w:color w:val="000000" w:themeColor="text1"/>
        </w:rPr>
        <w:t>В рамках ЭКСПО-2017 прошел Всемирный</w:t>
      </w:r>
      <w:r w:rsidRPr="00F0736F">
        <w:rPr>
          <w:rFonts w:ascii="Times New Roman" w:eastAsia="Times New Roman" w:hAnsi="Times New Roman" w:cs="Times New Roman"/>
          <w:iCs/>
          <w:color w:val="000000" w:themeColor="text1"/>
          <w:lang w:val="kk-KZ"/>
        </w:rPr>
        <w:t xml:space="preserve"> Конгресс инженеров и ученых WSEC-2017 «Энергия будущего: инновационные сценарии и методы их реализации» </w:t>
      </w:r>
      <w:r w:rsidRPr="00F0736F">
        <w:rPr>
          <w:rFonts w:ascii="Times New Roman" w:eastAsia="Times New Roman" w:hAnsi="Times New Roman" w:cs="Times New Roman"/>
          <w:iCs/>
          <w:color w:val="000000" w:themeColor="text1"/>
        </w:rPr>
        <w:t>и большое количество других мероприятий.</w:t>
      </w:r>
    </w:p>
    <w:p w14:paraId="18337070" w14:textId="3A8078CD"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целях дальнейшей реализации </w:t>
      </w:r>
      <w:r w:rsidRPr="00F0736F">
        <w:rPr>
          <w:rFonts w:ascii="Times New Roman" w:eastAsia="Times New Roman" w:hAnsi="Times New Roman" w:cs="Times New Roman"/>
          <w:bCs/>
          <w:color w:val="000000" w:themeColor="text1"/>
          <w:lang w:eastAsia="ru-RU"/>
        </w:rPr>
        <w:t>Программы партнерства «Зеленый мост» (ППЗМ) исполняется План мероприятий (Дорожная карта) по дальнейшему продвижению</w:t>
      </w:r>
      <w:r w:rsidRPr="00F0736F">
        <w:rPr>
          <w:rFonts w:ascii="Times New Roman" w:eastAsia="Times New Roman" w:hAnsi="Times New Roman" w:cs="Times New Roman"/>
          <w:color w:val="000000" w:themeColor="text1"/>
          <w:lang w:eastAsia="ru-RU"/>
        </w:rPr>
        <w:t xml:space="preserve"> ППЗМ на период 20</w:t>
      </w:r>
      <w:r w:rsidRPr="00F0736F">
        <w:rPr>
          <w:rFonts w:ascii="Times New Roman" w:eastAsia="Times New Roman" w:hAnsi="Times New Roman" w:cs="Times New Roman"/>
          <w:color w:val="000000" w:themeColor="text1"/>
          <w:lang w:val="kk-KZ" w:eastAsia="ru-RU"/>
        </w:rPr>
        <w:t>18</w:t>
      </w:r>
      <w:r w:rsidRPr="00F0736F">
        <w:rPr>
          <w:rFonts w:ascii="Times New Roman" w:eastAsia="Times New Roman" w:hAnsi="Times New Roman" w:cs="Times New Roman"/>
          <w:color w:val="000000" w:themeColor="text1"/>
          <w:lang w:eastAsia="ru-RU"/>
        </w:rPr>
        <w:t>-20</w:t>
      </w:r>
      <w:r w:rsidRPr="00F0736F">
        <w:rPr>
          <w:rFonts w:ascii="Times New Roman" w:eastAsia="Times New Roman" w:hAnsi="Times New Roman" w:cs="Times New Roman"/>
          <w:color w:val="000000" w:themeColor="text1"/>
          <w:lang w:val="kk-KZ" w:eastAsia="ru-RU"/>
        </w:rPr>
        <w:t>20</w:t>
      </w:r>
      <w:r w:rsidRPr="00F0736F">
        <w:rPr>
          <w:rFonts w:ascii="Times New Roman" w:eastAsia="Times New Roman" w:hAnsi="Times New Roman" w:cs="Times New Roman"/>
          <w:color w:val="000000" w:themeColor="text1"/>
          <w:lang w:eastAsia="ru-RU"/>
        </w:rPr>
        <w:t xml:space="preserve"> годы, утвержденный Первым Заместителем Премьер-Министра РК</w:t>
      </w:r>
      <w:r w:rsidRPr="00F0736F">
        <w:rPr>
          <w:rFonts w:ascii="Times New Roman" w:eastAsia="Times New Roman" w:hAnsi="Times New Roman" w:cs="Times New Roman"/>
          <w:color w:val="000000" w:themeColor="text1"/>
          <w:lang w:val="kk-KZ" w:eastAsia="ru-RU"/>
        </w:rPr>
        <w:t xml:space="preserve"> Маминым А.У.</w:t>
      </w:r>
      <w:r w:rsidRPr="00F0736F">
        <w:rPr>
          <w:rFonts w:ascii="Times New Roman" w:eastAsia="Times New Roman" w:hAnsi="Times New Roman" w:cs="Times New Roman"/>
          <w:i/>
          <w:color w:val="000000" w:themeColor="text1"/>
          <w:lang w:eastAsia="ru-RU"/>
        </w:rPr>
        <w:t xml:space="preserve"> </w:t>
      </w:r>
    </w:p>
    <w:p w14:paraId="086D49EA"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По итогам 2018 года участниками Хартии по Программе партнерства «Зеленый мост» являются </w:t>
      </w:r>
      <w:r w:rsidRPr="00F0736F">
        <w:rPr>
          <w:rFonts w:ascii="Times New Roman" w:eastAsia="Times New Roman" w:hAnsi="Times New Roman" w:cs="Times New Roman"/>
          <w:bCs/>
          <w:color w:val="000000" w:themeColor="text1"/>
          <w:lang w:eastAsia="ru-RU"/>
        </w:rPr>
        <w:t>1</w:t>
      </w:r>
      <w:r w:rsidRPr="00F0736F">
        <w:rPr>
          <w:rFonts w:ascii="Times New Roman" w:eastAsia="Times New Roman" w:hAnsi="Times New Roman" w:cs="Times New Roman"/>
          <w:bCs/>
          <w:color w:val="000000" w:themeColor="text1"/>
          <w:lang w:val="kk-KZ" w:eastAsia="ru-RU"/>
        </w:rPr>
        <w:t>6</w:t>
      </w:r>
      <w:r w:rsidRPr="00F0736F">
        <w:rPr>
          <w:rFonts w:ascii="Times New Roman" w:eastAsia="Times New Roman" w:hAnsi="Times New Roman" w:cs="Times New Roman"/>
          <w:bCs/>
          <w:color w:val="000000" w:themeColor="text1"/>
          <w:lang w:eastAsia="ru-RU"/>
        </w:rPr>
        <w:t xml:space="preserve"> стран</w:t>
      </w:r>
      <w:r w:rsidRPr="00F0736F">
        <w:rPr>
          <w:rFonts w:ascii="Times New Roman" w:eastAsia="Times New Roman" w:hAnsi="Times New Roman" w:cs="Times New Roman"/>
          <w:color w:val="000000" w:themeColor="text1"/>
          <w:lang w:eastAsia="ru-RU"/>
        </w:rPr>
        <w:t xml:space="preserve"> (Казахстан, Россия, Кыргызстан, Грузия, Германия, Монголия, Беларусь, Черногория, Латвийская Республика, Албания, Финляндия, Венгрия, Болгария, Швеция</w:t>
      </w:r>
      <w:r w:rsidRPr="00F0736F">
        <w:rPr>
          <w:rFonts w:ascii="Times New Roman" w:eastAsia="Times New Roman" w:hAnsi="Times New Roman" w:cs="Times New Roman"/>
          <w:color w:val="000000" w:themeColor="text1"/>
          <w:lang w:val="kk-KZ" w:eastAsia="ru-RU"/>
        </w:rPr>
        <w:t>, Испания, Польша</w:t>
      </w:r>
      <w:r w:rsidRPr="00F0736F">
        <w:rPr>
          <w:rFonts w:ascii="Times New Roman" w:eastAsia="Times New Roman" w:hAnsi="Times New Roman" w:cs="Times New Roman"/>
          <w:color w:val="000000" w:themeColor="text1"/>
          <w:lang w:eastAsia="ru-RU"/>
        </w:rPr>
        <w:t>) и 16 неправительственных организаций.</w:t>
      </w:r>
    </w:p>
    <w:p w14:paraId="63B94596" w14:textId="77777777" w:rsidR="00F674A4" w:rsidRPr="00F0736F" w:rsidRDefault="00F674A4" w:rsidP="008727D9">
      <w:pPr>
        <w:ind w:firstLine="709"/>
        <w:jc w:val="both"/>
        <w:rPr>
          <w:color w:val="000000" w:themeColor="text1"/>
        </w:rPr>
      </w:pPr>
      <w:r w:rsidRPr="00F0736F">
        <w:rPr>
          <w:rFonts w:ascii="Times New Roman" w:eastAsia="Times New Roman" w:hAnsi="Times New Roman" w:cs="Times New Roman"/>
          <w:bCs/>
          <w:color w:val="000000" w:themeColor="text1"/>
          <w:lang w:eastAsia="ru-RU"/>
        </w:rPr>
        <w:t xml:space="preserve">В целях продвижения ППЗМ МЭ </w:t>
      </w:r>
      <w:r w:rsidRPr="00F0736F">
        <w:rPr>
          <w:rFonts w:ascii="Times New Roman" w:eastAsia="Times New Roman" w:hAnsi="Times New Roman" w:cs="Times New Roman"/>
          <w:color w:val="000000" w:themeColor="text1"/>
          <w:lang w:val="kk-KZ" w:eastAsia="ru-RU"/>
        </w:rPr>
        <w:t xml:space="preserve">проведены 5 крупных международных конференций «Зеленый мост». В частности, 12 - 13 июля 2017 года на территории Международной выставки ЭКСПО-2017 проведен Пятый Международный Форум «Программа партнерства «Зеленый Мост». В рамках </w:t>
      </w:r>
      <w:r w:rsidRPr="00F0736F">
        <w:rPr>
          <w:rFonts w:ascii="Times New Roman" w:eastAsia="Times New Roman" w:hAnsi="Times New Roman" w:cs="Times New Roman"/>
          <w:color w:val="000000" w:themeColor="text1"/>
          <w:lang w:eastAsia="ru-RU"/>
        </w:rPr>
        <w:t>Форума обсуждены вопросы низкоуглеродных технологий и политики в реализацию Парижского климатического соглашения и мобилизации «зеленых» финансов. Подписаны Меморандумы о сотрудничестве в сфере зелёных технологий с Австрийским Институтом Технологий и Финской компанией KaukoInternational Group.</w:t>
      </w:r>
    </w:p>
    <w:p w14:paraId="55AF727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Также разработан и подписан Меморандум о взаимопонимании между МЭ и ЭСКАТО по совместному выполнению приоритетов в области устойчивого развития в рамках ППЗМ. </w:t>
      </w:r>
    </w:p>
    <w:p w14:paraId="46C648E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 рамках развития системы зеленых финансов на площадке МФЦА в 2017 году приняты Концепция по внедрению и развитию инструментов и принципов зеленого финансирования, а также Стратегия регионального лидерства МФЦА в области зеленых финансов. Создан Совет МФЦА по зеленым финансам, в состав которого входят Управляющий МФЦА, представители ЕБРР, Climate Bonds Initiate и Research Center for Green Finance Development of Tsinghua University.</w:t>
      </w:r>
    </w:p>
    <w:p w14:paraId="3FE8407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Также в феврале 2018 года Биржей МФЦА приняты Правила выпуска и обращения зеленых облигаций, разработанные на основе Принципов зеленых облигаций Международной ассоциации рынков капитала (International Capital Market Association) и положений международной организации Инициатива климатических облигаций (Climate Bonds Initiative). В апреле 2019 года Биржа МФЦА стала подписантом Принципов зеленого инвестирования в рамках программы «Пояс и Путь». </w:t>
      </w:r>
    </w:p>
    <w:p w14:paraId="4BFE71B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В июне 2018 года создан Центр зеленых финансов МФЦА, который в настоящее время ведет переговоры с потенциальными эмитентами на предмет выпуска первых зеленых облигаций в Казахстане. Также, Центр на постоянной основе проводит семинары и тренинги для участников рынка. Так, 21 - 22 мая 2019 г состоялся двухдневный тренинг </w:t>
      </w:r>
      <w:r w:rsidRPr="00F0736F">
        <w:rPr>
          <w:rFonts w:ascii="Times New Roman" w:hAnsi="Times New Roman" w:cs="Times New Roman"/>
          <w:color w:val="000000" w:themeColor="text1"/>
          <w:lang w:val="en-US"/>
        </w:rPr>
        <w:t>Climate</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Bonds</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Initiate</w:t>
      </w:r>
      <w:r w:rsidRPr="00F0736F">
        <w:rPr>
          <w:rFonts w:ascii="Times New Roman" w:hAnsi="Times New Roman" w:cs="Times New Roman"/>
          <w:color w:val="000000" w:themeColor="text1"/>
        </w:rPr>
        <w:t xml:space="preserve"> по выпуску зеленых облигаций для участников финансового рынка. Целью данных мероприятий является подготовка сообщества профессионалов, которые уже ведут деятельность либо намерены стать активными участниками рынка зеленых облигаций.</w:t>
      </w:r>
    </w:p>
    <w:p w14:paraId="7B5E75AA" w14:textId="6DA721B1"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1 апреля 2019 г</w:t>
      </w:r>
      <w:r w:rsidR="00EB40C4"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на площадке МФЦА прошел семинар, посвященный разработке таксономии зеленых финансов для Республики Казахстан с участием члена Совета МФЦА по зеленым финансам Д-ром Ма Джуном, который</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 xml:space="preserve">является разработчиком системы зеленых финансов Китая, специальным советником Управляющего Народного Банка, а также Председателем Комитета по зеленым финансам Китая. С его участием разработаны зеленые таксономии для Китая и Монголии. </w:t>
      </w:r>
    </w:p>
    <w:p w14:paraId="71D4ED52" w14:textId="77777777" w:rsidR="00F674A4" w:rsidRPr="00F0736F" w:rsidRDefault="00F674A4" w:rsidP="008727D9">
      <w:pPr>
        <w:ind w:firstLine="709"/>
        <w:jc w:val="both"/>
        <w:rPr>
          <w:color w:val="000000" w:themeColor="text1"/>
        </w:rPr>
      </w:pPr>
      <w:r w:rsidRPr="00F0736F">
        <w:rPr>
          <w:rStyle w:val="fontstyle01"/>
          <w:rFonts w:ascii="Times New Roman" w:hAnsi="Times New Roman" w:cs="Times New Roman"/>
          <w:color w:val="000000" w:themeColor="text1"/>
          <w:sz w:val="24"/>
          <w:szCs w:val="24"/>
        </w:rPr>
        <w:t xml:space="preserve">Зеленая таксономия является основой для развития зеленого финансирования, представляя собой гармонизированную систему классификации видов экономической деятельности и проектов, соответствующих техническим критериям отбора. </w:t>
      </w:r>
    </w:p>
    <w:p w14:paraId="10A158A8" w14:textId="77777777" w:rsidR="00F674A4" w:rsidRPr="00F0736F" w:rsidRDefault="00F674A4" w:rsidP="008727D9">
      <w:pPr>
        <w:ind w:firstLine="709"/>
        <w:jc w:val="both"/>
        <w:rPr>
          <w:color w:val="000000" w:themeColor="text1"/>
        </w:rPr>
      </w:pPr>
      <w:r w:rsidRPr="00F0736F">
        <w:rPr>
          <w:rStyle w:val="fontstyle01"/>
          <w:rFonts w:ascii="Times New Roman" w:hAnsi="Times New Roman" w:cs="Times New Roman"/>
          <w:color w:val="000000" w:themeColor="text1"/>
          <w:sz w:val="24"/>
          <w:szCs w:val="24"/>
        </w:rPr>
        <w:t>Подробная классификация с учетом местной специфики должна стать общим и понятным языком для всех участников финансовой системы, в частности, инвесторов и кредиторов при определении содержания и степени «зелености» проектов, а также финансового регулятора – для мониторинга и стимулирования зеленых финансовых потоков.</w:t>
      </w:r>
    </w:p>
    <w:p w14:paraId="18D2CDDF" w14:textId="77777777" w:rsidR="00F674A4" w:rsidRPr="00F0736F" w:rsidRDefault="00F674A4" w:rsidP="008727D9">
      <w:pPr>
        <w:ind w:firstLine="709"/>
        <w:jc w:val="both"/>
        <w:rPr>
          <w:rFonts w:ascii="Times New Roman" w:hAnsi="Times New Roman" w:cs="Times New Roman"/>
          <w:color w:val="000000" w:themeColor="text1"/>
        </w:rPr>
      </w:pPr>
    </w:p>
    <w:p w14:paraId="6A309743" w14:textId="77777777" w:rsidR="005F2A73" w:rsidRPr="00F0736F" w:rsidRDefault="005F2A73" w:rsidP="008727D9">
      <w:pPr>
        <w:ind w:firstLine="709"/>
        <w:jc w:val="both"/>
        <w:rPr>
          <w:rFonts w:ascii="Times New Roman" w:hAnsi="Times New Roman" w:cs="Times New Roman"/>
          <w:color w:val="000000" w:themeColor="text1"/>
        </w:rPr>
      </w:pPr>
    </w:p>
    <w:p w14:paraId="6527C878" w14:textId="77777777" w:rsidR="00F674A4" w:rsidRPr="007272FB" w:rsidRDefault="00F674A4" w:rsidP="007272FB">
      <w:pPr>
        <w:pStyle w:val="2"/>
        <w:ind w:firstLine="709"/>
        <w:rPr>
          <w:rFonts w:ascii="Times New Roman" w:eastAsia="Times New Roman" w:hAnsi="Times New Roman" w:cs="Times New Roman"/>
          <w:color w:val="000000" w:themeColor="text1"/>
          <w:sz w:val="24"/>
          <w:szCs w:val="24"/>
        </w:rPr>
      </w:pPr>
      <w:bookmarkStart w:id="41" w:name="_Toc57818733"/>
      <w:r w:rsidRPr="007272FB">
        <w:rPr>
          <w:rFonts w:ascii="Times New Roman" w:eastAsia="Times New Roman" w:hAnsi="Times New Roman" w:cs="Times New Roman"/>
          <w:color w:val="000000" w:themeColor="text1"/>
          <w:sz w:val="24"/>
          <w:szCs w:val="24"/>
        </w:rPr>
        <w:t>1.12. Предложения по корректировке установочных параметров Концепции перехода Республики Казахстан к «зеленой экономике»</w:t>
      </w:r>
      <w:bookmarkEnd w:id="41"/>
    </w:p>
    <w:p w14:paraId="42428959" w14:textId="77777777" w:rsidR="00F674A4" w:rsidRPr="00F0736F" w:rsidRDefault="00F674A4" w:rsidP="008727D9">
      <w:pPr>
        <w:ind w:firstLine="709"/>
        <w:jc w:val="both"/>
        <w:rPr>
          <w:rFonts w:ascii="Times New Roman" w:hAnsi="Times New Roman" w:cs="Times New Roman"/>
          <w:color w:val="000000" w:themeColor="text1"/>
        </w:rPr>
      </w:pPr>
    </w:p>
    <w:p w14:paraId="0D9BE870"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С 2012 г</w:t>
      </w:r>
      <w:r w:rsidR="00EB40C4" w:rsidRPr="00F0736F">
        <w:rPr>
          <w:rFonts w:ascii="Times New Roman" w:hAnsi="Times New Roman" w:cs="Times New Roman"/>
          <w:color w:val="000000" w:themeColor="text1"/>
        </w:rPr>
        <w:t>ода</w:t>
      </w:r>
      <w:r w:rsidRPr="00F0736F">
        <w:rPr>
          <w:rFonts w:ascii="Times New Roman" w:hAnsi="Times New Roman" w:cs="Times New Roman"/>
          <w:color w:val="000000" w:themeColor="text1"/>
        </w:rPr>
        <w:t xml:space="preserve"> в Казахстане наблюдается тенденция к сокращению количества стратегических документов, что негативно сказалось на стратегическом планировании в области охраны окружающей среды и использования природных ресурсов.</w:t>
      </w:r>
    </w:p>
    <w:p w14:paraId="3130C0A5"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Arial Unicode MS" w:hAnsi="Times New Roman" w:cs="Times New Roman"/>
          <w:color w:val="000000" w:themeColor="text1"/>
          <w:spacing w:val="2"/>
          <w:u w:color="000000"/>
          <w:lang w:eastAsia="ru-RU"/>
        </w:rPr>
        <w:t xml:space="preserve">Концепция по переходу к «зеленой экономике» не охватывает многие экологические проблемы (например, экологическое регулирование, биоразнообразие, экосистемы, леса). Некоторые передовые концепции экологического законодательства (например, комплексные разрешения, экологический аудит или экологическое страхование), </w:t>
      </w:r>
      <w:r w:rsidRPr="00F0736F">
        <w:rPr>
          <w:rFonts w:ascii="Times New Roman" w:eastAsia="Arial Unicode MS" w:hAnsi="Times New Roman" w:cs="Times New Roman"/>
          <w:bCs/>
          <w:color w:val="000000" w:themeColor="text1"/>
          <w:spacing w:val="2"/>
          <w:u w:color="000000"/>
          <w:lang w:eastAsia="ru-RU"/>
        </w:rPr>
        <w:t>введенные в законодательство</w:t>
      </w:r>
      <w:r w:rsidRPr="00F0736F">
        <w:rPr>
          <w:rFonts w:ascii="Times New Roman" w:eastAsia="Arial Unicode MS" w:hAnsi="Times New Roman" w:cs="Times New Roman"/>
          <w:color w:val="000000" w:themeColor="text1"/>
          <w:spacing w:val="2"/>
          <w:u w:color="000000"/>
          <w:lang w:eastAsia="ru-RU"/>
        </w:rPr>
        <w:t xml:space="preserve"> Казахстана</w:t>
      </w:r>
      <w:r w:rsidRPr="00F0736F">
        <w:rPr>
          <w:rFonts w:ascii="Times New Roman" w:eastAsia="Arial Unicode MS" w:hAnsi="Times New Roman" w:cs="Times New Roman"/>
          <w:bCs/>
          <w:color w:val="000000" w:themeColor="text1"/>
          <w:spacing w:val="2"/>
          <w:u w:color="000000"/>
          <w:lang w:eastAsia="ru-RU"/>
        </w:rPr>
        <w:t xml:space="preserve"> десять</w:t>
      </w:r>
      <w:r w:rsidRPr="00F0736F">
        <w:rPr>
          <w:rFonts w:ascii="Times New Roman" w:eastAsia="Arial Unicode MS" w:hAnsi="Times New Roman" w:cs="Times New Roman"/>
          <w:color w:val="000000" w:themeColor="text1"/>
          <w:spacing w:val="2"/>
          <w:u w:color="000000"/>
          <w:lang w:eastAsia="ru-RU"/>
        </w:rPr>
        <w:t xml:space="preserve"> лет назад, еще не </w:t>
      </w:r>
      <w:r w:rsidRPr="00F0736F">
        <w:rPr>
          <w:rFonts w:ascii="Times New Roman" w:eastAsia="Arial Unicode MS" w:hAnsi="Times New Roman" w:cs="Times New Roman"/>
          <w:bCs/>
          <w:color w:val="000000" w:themeColor="text1"/>
          <w:spacing w:val="2"/>
          <w:u w:color="000000"/>
          <w:lang w:eastAsia="ru-RU"/>
        </w:rPr>
        <w:t>функционируют надлежащим образом</w:t>
      </w:r>
      <w:r w:rsidRPr="00F0736F">
        <w:rPr>
          <w:rFonts w:ascii="Times New Roman" w:eastAsia="Arial Unicode MS" w:hAnsi="Times New Roman" w:cs="Times New Roman"/>
          <w:color w:val="000000" w:themeColor="text1"/>
          <w:spacing w:val="2"/>
          <w:u w:color="000000"/>
          <w:lang w:eastAsia="ru-RU"/>
        </w:rPr>
        <w:t>. Концепция не ставила целью и не способна заменить собой полноценный стратегический документ по вопросам охраны окружающей среды. Кроме того, для реализации Концепции и ее Плана мероприятий не выделяется целевое государственное финансирование.</w:t>
      </w:r>
    </w:p>
    <w:p w14:paraId="365B3702" w14:textId="353D7584"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Arial Unicode MS" w:hAnsi="Times New Roman" w:cs="Times New Roman"/>
          <w:color w:val="000000" w:themeColor="text1"/>
          <w:spacing w:val="2"/>
          <w:u w:color="000000"/>
          <w:lang w:eastAsia="ru-RU"/>
        </w:rPr>
        <w:t xml:space="preserve">  </w:t>
      </w:r>
      <w:r w:rsidR="00EB40C4" w:rsidRPr="00F0736F">
        <w:rPr>
          <w:rStyle w:val="fontstyle01"/>
          <w:rFonts w:ascii="Times New Roman" w:hAnsi="Times New Roman" w:cs="Times New Roman"/>
          <w:color w:val="000000" w:themeColor="text1"/>
          <w:sz w:val="24"/>
          <w:szCs w:val="24"/>
        </w:rPr>
        <w:t>«</w:t>
      </w:r>
      <w:r w:rsidRPr="00F0736F">
        <w:rPr>
          <w:rFonts w:ascii="Times New Roman" w:eastAsia="Arial Unicode MS" w:hAnsi="Times New Roman" w:cs="Times New Roman"/>
          <w:color w:val="000000" w:themeColor="text1"/>
          <w:spacing w:val="2"/>
          <w:u w:color="000000"/>
          <w:lang w:eastAsia="ru-RU"/>
        </w:rPr>
        <w:t>Зеленая экономика</w:t>
      </w:r>
      <w:r w:rsidR="00EB40C4" w:rsidRPr="00F0736F">
        <w:rPr>
          <w:rStyle w:val="fontstyle01"/>
          <w:rFonts w:ascii="Times New Roman" w:hAnsi="Times New Roman" w:cs="Times New Roman"/>
          <w:color w:val="000000" w:themeColor="text1"/>
          <w:sz w:val="24"/>
          <w:szCs w:val="24"/>
        </w:rPr>
        <w:t>»</w:t>
      </w:r>
      <w:r w:rsidRPr="00F0736F">
        <w:rPr>
          <w:rFonts w:ascii="Times New Roman" w:eastAsia="Arial Unicode MS" w:hAnsi="Times New Roman" w:cs="Times New Roman"/>
          <w:color w:val="000000" w:themeColor="text1"/>
          <w:spacing w:val="2"/>
          <w:u w:color="000000"/>
          <w:lang w:eastAsia="ru-RU"/>
        </w:rPr>
        <w:t xml:space="preserve"> также должна являться одним из ведущих направлений решения экологических проблем, но недостаточным. Современные подходы </w:t>
      </w:r>
      <w:r w:rsidR="00EB40C4" w:rsidRPr="00F0736F">
        <w:rPr>
          <w:rStyle w:val="fontstyle01"/>
          <w:rFonts w:ascii="Times New Roman" w:hAnsi="Times New Roman" w:cs="Times New Roman"/>
          <w:color w:val="000000" w:themeColor="text1"/>
          <w:sz w:val="24"/>
          <w:szCs w:val="24"/>
        </w:rPr>
        <w:t>«</w:t>
      </w:r>
      <w:r w:rsidRPr="00F0736F">
        <w:rPr>
          <w:rFonts w:ascii="Times New Roman" w:eastAsia="Arial Unicode MS" w:hAnsi="Times New Roman" w:cs="Times New Roman"/>
          <w:color w:val="000000" w:themeColor="text1"/>
          <w:spacing w:val="2"/>
          <w:u w:color="000000"/>
          <w:lang w:eastAsia="ru-RU"/>
        </w:rPr>
        <w:t>Зеленой экономики</w:t>
      </w:r>
      <w:r w:rsidR="00EB40C4" w:rsidRPr="00F0736F">
        <w:rPr>
          <w:rStyle w:val="fontstyle01"/>
          <w:rFonts w:ascii="Times New Roman" w:hAnsi="Times New Roman" w:cs="Times New Roman"/>
          <w:color w:val="000000" w:themeColor="text1"/>
          <w:sz w:val="24"/>
          <w:szCs w:val="24"/>
        </w:rPr>
        <w:t>»</w:t>
      </w:r>
      <w:r w:rsidRPr="00F0736F">
        <w:rPr>
          <w:rFonts w:ascii="Times New Roman" w:eastAsia="Arial Unicode MS" w:hAnsi="Times New Roman" w:cs="Times New Roman"/>
          <w:color w:val="000000" w:themeColor="text1"/>
          <w:spacing w:val="2"/>
          <w:u w:color="000000"/>
          <w:lang w:eastAsia="ru-RU"/>
        </w:rPr>
        <w:t xml:space="preserve"> показывают большую действенность экономических мер, по сравнению с традиционным экологическим регулированием. Эффект от их внедрения получается не только для экологии, но и для экономики, и для социальной сферы. К сожалению, Концепция перехода к «зеленой экономике» таких экономических мер не предусматривает. </w:t>
      </w:r>
    </w:p>
    <w:p w14:paraId="645A22FD" w14:textId="77777777" w:rsidR="006F46EB" w:rsidRPr="00F0736F" w:rsidRDefault="006F46EB" w:rsidP="006F46E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firstLine="567"/>
        <w:jc w:val="both"/>
        <w:rPr>
          <w:rFonts w:ascii="Times New Roman" w:hAnsi="Times New Roman" w:cs="Times New Roman"/>
          <w:color w:val="000000" w:themeColor="text1"/>
        </w:rPr>
      </w:pPr>
      <w:r w:rsidRPr="00F0736F">
        <w:rPr>
          <w:rFonts w:ascii="Times New Roman" w:eastAsia="Arial Unicode MS" w:hAnsi="Times New Roman" w:cs="Times New Roman"/>
          <w:bCs/>
          <w:color w:val="000000" w:themeColor="text1"/>
          <w:spacing w:val="2"/>
          <w:u w:color="000000"/>
          <w:lang w:eastAsia="ru-RU"/>
        </w:rPr>
        <w:t>В результате анализ международной ситуации показывает значительное отставание Казахстана от трендов перехода к «зеленой экономике», не только развитых, но и развивающихся стран. Особенно это касается развития возобновляемых источников энергии и энергосбережения, что ведет к значительному сокращению выбросов парниковых газов. Значительно отстает Казахстан по уровню развития органического сельского хозяйства, аквакультуры и водосбережения, по переработке отходов производства и потребления, по развитию сети ООПТ и лесоразведению.</w:t>
      </w:r>
    </w:p>
    <w:p w14:paraId="70FD26E3"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color w:val="000000" w:themeColor="text1"/>
          <w:spacing w:val="2"/>
          <w:u w:color="000000"/>
          <w:lang w:eastAsia="en-US"/>
        </w:rPr>
        <w:t xml:space="preserve"> </w:t>
      </w:r>
      <w:r w:rsidRPr="00F22AC6">
        <w:rPr>
          <w:rFonts w:ascii="Times New Roman" w:eastAsia="SimSun" w:hAnsi="Times New Roman" w:cs="Times New Roman"/>
          <w:color w:val="000000" w:themeColor="text1"/>
          <w:spacing w:val="2"/>
          <w:u w:color="000000"/>
          <w:lang w:eastAsia="en-US"/>
        </w:rPr>
        <w:t>П</w:t>
      </w:r>
      <w:r w:rsidRPr="00F22AC6">
        <w:rPr>
          <w:rFonts w:ascii="Times New Roman" w:hAnsi="Times New Roman" w:cs="Times New Roman"/>
          <w:color w:val="000000" w:themeColor="text1"/>
        </w:rPr>
        <w:t>о мнению Всемирного банка, в то время как Казахстан признает необходимость перехода к «зеленой экономике</w:t>
      </w:r>
      <w:r w:rsidR="00EB40C4" w:rsidRPr="00F22AC6">
        <w:rPr>
          <w:rFonts w:ascii="Times New Roman" w:hAnsi="Times New Roman" w:cs="Times New Roman"/>
          <w:color w:val="000000" w:themeColor="text1"/>
        </w:rPr>
        <w:t>»</w:t>
      </w:r>
      <w:r w:rsidRPr="00F22AC6">
        <w:rPr>
          <w:rFonts w:ascii="Times New Roman" w:hAnsi="Times New Roman" w:cs="Times New Roman"/>
          <w:color w:val="000000" w:themeColor="text1"/>
        </w:rPr>
        <w:t xml:space="preserve"> и устойчивому росту, содействуя реализации проектов в области ВИЭ и энергосберегающих технологий, реализуемых в настоящее время мер пока недостаточно для достижения поставленных целей. Власти инициировали ряд реформ и масштабных проектов в области окружающей среды, но общая институциональная среда остается недостаточно благоприятной для широкомасштабного внедрения «зеленых» технологий</w:t>
      </w:r>
      <w:r w:rsidRPr="00F22AC6">
        <w:rPr>
          <w:rStyle w:val="a4"/>
          <w:rFonts w:ascii="Times New Roman" w:hAnsi="Times New Roman" w:cs="Times New Roman"/>
          <w:color w:val="000000" w:themeColor="text1"/>
        </w:rPr>
        <w:footnoteReference w:id="129"/>
      </w:r>
      <w:r w:rsidRPr="00F22AC6">
        <w:rPr>
          <w:rFonts w:ascii="Times New Roman" w:hAnsi="Times New Roman" w:cs="Times New Roman"/>
          <w:color w:val="000000" w:themeColor="text1"/>
        </w:rPr>
        <w:t>. Особое внимание и ресурсы необходимо выделять на расширение институционального потенциала и совершенствовани</w:t>
      </w:r>
      <w:r w:rsidR="00EB40C4" w:rsidRPr="00F22AC6">
        <w:rPr>
          <w:rFonts w:ascii="Times New Roman" w:hAnsi="Times New Roman" w:cs="Times New Roman"/>
          <w:color w:val="000000" w:themeColor="text1"/>
        </w:rPr>
        <w:t>е</w:t>
      </w:r>
      <w:r w:rsidRPr="00F22AC6">
        <w:rPr>
          <w:rFonts w:ascii="Times New Roman" w:hAnsi="Times New Roman" w:cs="Times New Roman"/>
          <w:color w:val="000000" w:themeColor="text1"/>
        </w:rPr>
        <w:t xml:space="preserve"> управления. Субсидии и другие инструменты стимулирования</w:t>
      </w:r>
      <w:r w:rsidR="00EB40C4" w:rsidRPr="00F22AC6">
        <w:rPr>
          <w:rFonts w:ascii="Times New Roman" w:hAnsi="Times New Roman" w:cs="Times New Roman"/>
          <w:color w:val="000000" w:themeColor="text1"/>
        </w:rPr>
        <w:t>,</w:t>
      </w:r>
      <w:r w:rsidRPr="00F22AC6">
        <w:rPr>
          <w:rFonts w:ascii="Times New Roman" w:hAnsi="Times New Roman" w:cs="Times New Roman"/>
          <w:color w:val="000000" w:themeColor="text1"/>
        </w:rPr>
        <w:t xml:space="preserve"> возможно</w:t>
      </w:r>
      <w:r w:rsidR="00EB40C4" w:rsidRPr="00F22AC6">
        <w:rPr>
          <w:rFonts w:ascii="Times New Roman" w:hAnsi="Times New Roman" w:cs="Times New Roman"/>
          <w:color w:val="000000" w:themeColor="text1"/>
        </w:rPr>
        <w:t>,</w:t>
      </w:r>
      <w:r w:rsidRPr="00F22AC6">
        <w:rPr>
          <w:rFonts w:ascii="Times New Roman" w:hAnsi="Times New Roman" w:cs="Times New Roman"/>
          <w:color w:val="000000" w:themeColor="text1"/>
        </w:rPr>
        <w:t xml:space="preserve"> нужно будет пересмотреть, чтобы охватить большее число инвесторов и проектов, а также обеспечить более автоматизированную институциональную структуру для новых «зеленых» проектов. Правительству необходимо повысить надежность и эффективность существующих механизмов финансирования и скорректировать льготы для инвесторов для того, чтобы</w:t>
      </w:r>
      <w:r w:rsidRPr="00F0736F">
        <w:rPr>
          <w:rFonts w:ascii="Times New Roman" w:hAnsi="Times New Roman" w:cs="Times New Roman"/>
          <w:color w:val="000000" w:themeColor="text1"/>
        </w:rPr>
        <w:t xml:space="preserve"> начать широкомасштабный переход к устойчивому росту. Это может быть достигнуто путем всесторонней реформации национальных экономических, бюджетных, налоговых, инвестиционных и экологических программ и конкретных инструментов поддержки бизнеса и зеленых инициатив в Казахстане.</w:t>
      </w:r>
    </w:p>
    <w:p w14:paraId="3AC9D0A5"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bCs/>
          <w:color w:val="000000" w:themeColor="text1"/>
          <w:spacing w:val="2"/>
          <w:u w:color="000000"/>
          <w:lang w:eastAsia="en-US"/>
        </w:rPr>
        <w:t>В 2016</w:t>
      </w:r>
      <w:r w:rsidRPr="00F0736F">
        <w:rPr>
          <w:rFonts w:ascii="Times New Roman" w:eastAsia="SimSun" w:hAnsi="Times New Roman" w:cs="Times New Roman"/>
          <w:bCs/>
          <w:color w:val="000000" w:themeColor="text1"/>
          <w:spacing w:val="2"/>
          <w:u w:color="000000"/>
          <w:lang w:val="fr-CH" w:eastAsia="en-US"/>
        </w:rPr>
        <w:t xml:space="preserve"> </w:t>
      </w:r>
      <w:r w:rsidRPr="00F0736F">
        <w:rPr>
          <w:rFonts w:ascii="Times New Roman" w:eastAsia="SimSun" w:hAnsi="Times New Roman" w:cs="Times New Roman"/>
          <w:bCs/>
          <w:color w:val="000000" w:themeColor="text1"/>
          <w:spacing w:val="2"/>
          <w:u w:color="000000"/>
          <w:lang w:eastAsia="en-US"/>
        </w:rPr>
        <w:t>г</w:t>
      </w:r>
      <w:r w:rsidR="00EB40C4" w:rsidRPr="00F0736F">
        <w:rPr>
          <w:rFonts w:ascii="Times New Roman" w:eastAsia="SimSun" w:hAnsi="Times New Roman" w:cs="Times New Roman"/>
          <w:bCs/>
          <w:color w:val="000000" w:themeColor="text1"/>
          <w:spacing w:val="2"/>
          <w:u w:color="000000"/>
          <w:lang w:eastAsia="en-US"/>
        </w:rPr>
        <w:t>оду</w:t>
      </w:r>
      <w:r w:rsidRPr="00F0736F">
        <w:rPr>
          <w:rFonts w:ascii="Times New Roman" w:eastAsia="SimSun" w:hAnsi="Times New Roman" w:cs="Times New Roman"/>
          <w:bCs/>
          <w:color w:val="000000" w:themeColor="text1"/>
          <w:spacing w:val="2"/>
          <w:u w:color="000000"/>
          <w:lang w:eastAsia="en-US"/>
        </w:rPr>
        <w:t xml:space="preserve"> Казахстан присоединился к Декларации о «зеленом росте» ОЭСР и Декларации о сокращении рисков, связанных со свинцом, в соответствии с которыми подписавшие их страны заявляют о своих усилиях по реализации стратегий «зеленого роста», поощрению «зеленых» инвестиций и устойчивого управления природными ресурсами, а также реформированию внутренней политики с целью ликвидации экологически вредных мер, таких как субсидии на ископаемые виды топлива. Страна стремится активно участвовать в работе Комитета по экологической политике ОЭСР и его вспомогательных органов, обмениваться передовым опытом. Казахстану необходимо использовать методические рекомендации ОЭСР в целях укрепления собственной политики «зеленого роста».</w:t>
      </w:r>
    </w:p>
    <w:p w14:paraId="6B561F48"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color w:val="000000" w:themeColor="text1"/>
          <w:spacing w:val="2"/>
          <w:u w:color="000000"/>
          <w:lang w:eastAsia="en-US"/>
        </w:rPr>
        <w:t>Также н</w:t>
      </w:r>
      <w:r w:rsidRPr="00F0736F">
        <w:rPr>
          <w:rFonts w:ascii="Times New Roman" w:eastAsia="SimSun" w:hAnsi="Times New Roman" w:cs="Times New Roman"/>
          <w:color w:val="000000" w:themeColor="text1"/>
          <w:lang w:eastAsia="en-US"/>
        </w:rPr>
        <w:t>ормативная база в сфере государственных закупок в Казахстане не предусматривает критериев устойчивости для товаров и услуг, закупаемых в конкретных секторах, таких как здания, дороги и инфраструктура, транспортные средства, сельскохозяйственные отходы и системы орошения. Технических спецификаций или положений по вопросам экологических или «зеленых» закупок</w:t>
      </w:r>
      <w:r w:rsidR="00454424" w:rsidRPr="00F0736F">
        <w:rPr>
          <w:rFonts w:ascii="Times New Roman" w:eastAsia="SimSun" w:hAnsi="Times New Roman" w:cs="Times New Roman"/>
          <w:color w:val="000000" w:themeColor="text1"/>
          <w:lang w:eastAsia="en-US"/>
        </w:rPr>
        <w:t>,</w:t>
      </w:r>
      <w:r w:rsidRPr="00F0736F">
        <w:rPr>
          <w:rFonts w:ascii="Times New Roman" w:eastAsia="SimSun" w:hAnsi="Times New Roman" w:cs="Times New Roman"/>
          <w:color w:val="000000" w:themeColor="text1"/>
          <w:lang w:eastAsia="en-US"/>
        </w:rPr>
        <w:t xml:space="preserve"> как таковых</w:t>
      </w:r>
      <w:r w:rsidR="00454424" w:rsidRPr="00F0736F">
        <w:rPr>
          <w:rFonts w:ascii="Times New Roman" w:eastAsia="SimSun" w:hAnsi="Times New Roman" w:cs="Times New Roman"/>
          <w:color w:val="000000" w:themeColor="text1"/>
          <w:lang w:eastAsia="en-US"/>
        </w:rPr>
        <w:t>,</w:t>
      </w:r>
      <w:r w:rsidRPr="00F0736F">
        <w:rPr>
          <w:rFonts w:ascii="Times New Roman" w:eastAsia="SimSun" w:hAnsi="Times New Roman" w:cs="Times New Roman"/>
          <w:color w:val="000000" w:themeColor="text1"/>
          <w:lang w:eastAsia="en-US"/>
        </w:rPr>
        <w:t xml:space="preserve"> не имеется; кроме того, отсутствует какая-либо связь с Концепцией по переходу к «зеленой экономике». Работа по повышению информированности и развитию потенциала в настоящее время налажена на недостаточном уровне для практической реализации системы ЭГЗ в Казахстане.</w:t>
      </w:r>
    </w:p>
    <w:p w14:paraId="61FB0916" w14:textId="11D20666" w:rsidR="006F46EB" w:rsidRPr="00F0736F" w:rsidRDefault="006F46EB" w:rsidP="006F46EB">
      <w:pPr>
        <w:ind w:firstLine="567"/>
        <w:jc w:val="both"/>
        <w:rPr>
          <w:rFonts w:ascii="Times New Roman" w:hAnsi="Times New Roman" w:cs="Times New Roman"/>
          <w:color w:val="000000" w:themeColor="text1"/>
        </w:rPr>
      </w:pPr>
      <w:r w:rsidRPr="00F22AC6">
        <w:rPr>
          <w:rFonts w:ascii="Times New Roman" w:eastAsia="SimSun" w:hAnsi="Times New Roman" w:cs="Times New Roman"/>
          <w:color w:val="000000" w:themeColor="text1"/>
          <w:spacing w:val="2"/>
          <w:u w:color="000000"/>
          <w:lang w:eastAsia="en-US"/>
        </w:rPr>
        <w:t>Казахстан мог бы использовать Принципы устойчивых государственных закупок, разработанные в 2015</w:t>
      </w:r>
      <w:r w:rsidRPr="00F22AC6">
        <w:rPr>
          <w:rFonts w:ascii="Times New Roman" w:eastAsia="SimSun" w:hAnsi="Times New Roman" w:cs="Times New Roman"/>
          <w:color w:val="000000" w:themeColor="text1"/>
          <w:spacing w:val="2"/>
          <w:u w:color="000000"/>
          <w:lang w:val="fr-CH" w:eastAsia="en-US"/>
        </w:rPr>
        <w:t xml:space="preserve"> </w:t>
      </w:r>
      <w:r w:rsidRPr="00F22AC6">
        <w:rPr>
          <w:rFonts w:ascii="Times New Roman" w:eastAsia="SimSun" w:hAnsi="Times New Roman" w:cs="Times New Roman"/>
          <w:color w:val="000000" w:themeColor="text1"/>
          <w:spacing w:val="2"/>
          <w:u w:color="000000"/>
          <w:lang w:eastAsia="en-US"/>
        </w:rPr>
        <w:t>г</w:t>
      </w:r>
      <w:r w:rsidR="00454424" w:rsidRPr="00F22AC6">
        <w:rPr>
          <w:rFonts w:ascii="Times New Roman" w:eastAsia="SimSun" w:hAnsi="Times New Roman" w:cs="Times New Roman"/>
          <w:color w:val="000000" w:themeColor="text1"/>
          <w:spacing w:val="2"/>
          <w:u w:color="000000"/>
          <w:lang w:eastAsia="en-US"/>
        </w:rPr>
        <w:t>оду</w:t>
      </w:r>
      <w:r w:rsidRPr="00F22AC6">
        <w:rPr>
          <w:rFonts w:ascii="Times New Roman" w:eastAsia="SimSun" w:hAnsi="Times New Roman" w:cs="Times New Roman"/>
          <w:color w:val="000000" w:themeColor="text1"/>
          <w:spacing w:val="2"/>
          <w:u w:color="000000"/>
          <w:lang w:eastAsia="en-US"/>
        </w:rPr>
        <w:t xml:space="preserve"> по линии Программы по устойчивым государственным закупкам в составе Десятилетних рамок программ (Программы УГЗ 10РП)</w:t>
      </w:r>
      <w:r w:rsidR="00454424" w:rsidRPr="00F22AC6">
        <w:rPr>
          <w:rFonts w:ascii="Times New Roman" w:eastAsia="SimSun" w:hAnsi="Times New Roman" w:cs="Times New Roman"/>
          <w:color w:val="000000" w:themeColor="text1"/>
          <w:spacing w:val="2"/>
          <w:u w:color="000000"/>
          <w:lang w:eastAsia="en-US"/>
        </w:rPr>
        <w:t>,</w:t>
      </w:r>
      <w:r w:rsidRPr="00F22AC6">
        <w:rPr>
          <w:rFonts w:ascii="Times New Roman" w:eastAsia="SimSun" w:hAnsi="Times New Roman" w:cs="Times New Roman"/>
          <w:color w:val="000000" w:themeColor="text1"/>
          <w:spacing w:val="2"/>
          <w:u w:color="000000"/>
          <w:lang w:eastAsia="en-US"/>
        </w:rPr>
        <w:t xml:space="preserve"> и Передовую практику устойчивых закупок ОЭСР 2014</w:t>
      </w:r>
      <w:r w:rsidRPr="00F22AC6">
        <w:rPr>
          <w:rFonts w:ascii="Times New Roman" w:eastAsia="SimSun" w:hAnsi="Times New Roman" w:cs="Times New Roman"/>
          <w:color w:val="000000" w:themeColor="text1"/>
          <w:spacing w:val="2"/>
          <w:u w:color="000000"/>
          <w:lang w:val="fr-CH" w:eastAsia="en-US"/>
        </w:rPr>
        <w:t xml:space="preserve"> </w:t>
      </w:r>
      <w:r w:rsidRPr="00F22AC6">
        <w:rPr>
          <w:rFonts w:ascii="Times New Roman" w:eastAsia="SimSun" w:hAnsi="Times New Roman" w:cs="Times New Roman"/>
          <w:color w:val="000000" w:themeColor="text1"/>
          <w:spacing w:val="2"/>
          <w:u w:color="000000"/>
          <w:lang w:eastAsia="en-US"/>
        </w:rPr>
        <w:t>г</w:t>
      </w:r>
      <w:r w:rsidR="00454424" w:rsidRPr="00F22AC6">
        <w:rPr>
          <w:rFonts w:ascii="Times New Roman" w:eastAsia="SimSun" w:hAnsi="Times New Roman" w:cs="Times New Roman"/>
          <w:color w:val="000000" w:themeColor="text1"/>
          <w:spacing w:val="2"/>
          <w:u w:color="000000"/>
          <w:lang w:eastAsia="en-US"/>
        </w:rPr>
        <w:t>оду</w:t>
      </w:r>
      <w:r w:rsidRPr="00F22AC6">
        <w:rPr>
          <w:rFonts w:ascii="Times New Roman" w:eastAsia="SimSun" w:hAnsi="Times New Roman" w:cs="Times New Roman"/>
          <w:color w:val="000000" w:themeColor="text1"/>
          <w:spacing w:val="2"/>
          <w:u w:color="000000"/>
          <w:lang w:eastAsia="en-US"/>
        </w:rPr>
        <w:t xml:space="preserve"> в качестве полезных рекомендаций по учету экологических аспектов при проведении государственных закупок</w:t>
      </w:r>
      <w:r w:rsidRPr="00F0736F">
        <w:rPr>
          <w:rFonts w:ascii="Times New Roman" w:eastAsia="SimSun" w:hAnsi="Times New Roman" w:cs="Times New Roman"/>
          <w:color w:val="000000" w:themeColor="text1"/>
          <w:spacing w:val="2"/>
          <w:u w:color="000000"/>
          <w:lang w:eastAsia="en-US"/>
        </w:rPr>
        <w:t xml:space="preserve"> прозрачным и экономически эффективным способом</w:t>
      </w:r>
      <w:r w:rsidRPr="00F0736F">
        <w:rPr>
          <w:rStyle w:val="a4"/>
          <w:rFonts w:ascii="Times New Roman" w:eastAsia="SimSun" w:hAnsi="Times New Roman" w:cs="Times New Roman"/>
          <w:color w:val="000000" w:themeColor="text1"/>
          <w:spacing w:val="2"/>
          <w:u w:color="000000"/>
          <w:lang w:eastAsia="en-US"/>
        </w:rPr>
        <w:footnoteReference w:id="130"/>
      </w:r>
      <w:r w:rsidRPr="00F0736F">
        <w:rPr>
          <w:rFonts w:ascii="Times New Roman" w:eastAsia="SimSun" w:hAnsi="Times New Roman" w:cs="Times New Roman"/>
          <w:color w:val="000000" w:themeColor="text1"/>
          <w:spacing w:val="2"/>
          <w:u w:color="000000"/>
          <w:lang w:eastAsia="en-US"/>
        </w:rPr>
        <w:t>.</w:t>
      </w:r>
    </w:p>
    <w:p w14:paraId="76987B9D"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содействия торговле экологическими товарами и услугами (например, для борьбы с загрязнением воздуха, охраны природных ресурсов) Казахстану следует:</w:t>
      </w:r>
    </w:p>
    <w:p w14:paraId="52CB2215" w14:textId="5F5D7BC5"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поддерживать включение конкретных природоохранных положений во всех региональные торговые соглашения в контексте вступления в ВТО и совместно с компетентными органами Евразийского экономического союза;</w:t>
      </w:r>
    </w:p>
    <w:p w14:paraId="55E756C5" w14:textId="455BE388"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bCs/>
          <w:color w:val="000000" w:themeColor="text1"/>
          <w:lang w:eastAsia="en-GB"/>
        </w:rPr>
        <w:t>разрабатывать амбициозные и последовательные экологические стандарты, в том числе добровольные, для изменения поведенческих установок (компаний);</w:t>
      </w:r>
    </w:p>
    <w:p w14:paraId="26F8A6EC" w14:textId="59F3219D"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bCs/>
          <w:color w:val="000000" w:themeColor="text1"/>
          <w:spacing w:val="2"/>
          <w:u w:color="000000"/>
          <w:lang w:eastAsia="en-GB"/>
        </w:rPr>
        <w:t>поощрять торговлю экологическими товарами и услугами в рамках всех региональных торговых соглашений.</w:t>
      </w:r>
    </w:p>
    <w:p w14:paraId="2C288008"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Для внедрения «зеленых рабочих мест» Казахстану следует:</w:t>
      </w:r>
    </w:p>
    <w:p w14:paraId="28C473A5" w14:textId="3D6184EC" w:rsidR="006F46EB" w:rsidRPr="00F0736F" w:rsidRDefault="001956A8"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bCs/>
          <w:color w:val="000000" w:themeColor="text1"/>
          <w:lang w:eastAsia="en-GB"/>
        </w:rPr>
        <w:t>с</w:t>
      </w:r>
      <w:r w:rsidR="006F46EB" w:rsidRPr="00F0736F">
        <w:rPr>
          <w:rFonts w:ascii="Times New Roman" w:eastAsia="SimSun" w:hAnsi="Times New Roman" w:cs="Times New Roman"/>
          <w:bCs/>
          <w:color w:val="000000" w:themeColor="text1"/>
          <w:lang w:eastAsia="en-GB"/>
        </w:rPr>
        <w:t>формулировать определение «зеленых» рабочих мест для Казахстана и определить необходимые компетенции для создания «зеленых» рабочих мест в стране с использованием определения МОТ;</w:t>
      </w:r>
    </w:p>
    <w:p w14:paraId="13955863" w14:textId="0B26E578" w:rsidR="006F46EB" w:rsidRPr="00F0736F" w:rsidRDefault="001956A8"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bCs/>
          <w:color w:val="000000" w:themeColor="text1"/>
          <w:spacing w:val="2"/>
          <w:u w:color="000000"/>
          <w:lang w:eastAsia="en-GB"/>
        </w:rPr>
        <w:t>п</w:t>
      </w:r>
      <w:r w:rsidR="006F46EB" w:rsidRPr="00F0736F">
        <w:rPr>
          <w:rFonts w:ascii="Times New Roman" w:eastAsia="SimSun" w:hAnsi="Times New Roman" w:cs="Times New Roman"/>
          <w:bCs/>
          <w:color w:val="000000" w:themeColor="text1"/>
          <w:spacing w:val="2"/>
          <w:u w:color="000000"/>
          <w:lang w:eastAsia="en-GB"/>
        </w:rPr>
        <w:t xml:space="preserve">остепенно внедрять аспекты «зеленых» рабочих мест в сферу профессионально-технического образования, высшего образования и подготовки кадров в контексте, к примеру, Государственной программы «Цифровой Казахстан». В качестве примеров можно привести профессиональные стандарты, образовательные стандарты и программы обучения, а также оценку квалификации и аттестацию. </w:t>
      </w:r>
    </w:p>
    <w:p w14:paraId="636C8077"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Соответственно</w:t>
      </w:r>
      <w:r w:rsidR="0045442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среди установочных параметров Концепции по переходу к </w:t>
      </w:r>
      <w:r w:rsidR="00454424" w:rsidRPr="00F0736F">
        <w:rPr>
          <w:rStyle w:val="fontstyle01"/>
          <w:rFonts w:ascii="Times New Roman" w:hAnsi="Times New Roman" w:cs="Times New Roman"/>
          <w:color w:val="000000" w:themeColor="text1"/>
          <w:sz w:val="24"/>
          <w:szCs w:val="24"/>
        </w:rPr>
        <w:t>«</w:t>
      </w:r>
      <w:r w:rsidRPr="00F0736F">
        <w:rPr>
          <w:rFonts w:ascii="Times New Roman" w:hAnsi="Times New Roman" w:cs="Times New Roman"/>
          <w:color w:val="000000" w:themeColor="text1"/>
        </w:rPr>
        <w:t>зеленой экономике</w:t>
      </w:r>
      <w:r w:rsidR="00454424"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должны появиться показатели ЦУР 12, 17, 8, 15 для решения следующих задач:</w:t>
      </w:r>
    </w:p>
    <w:p w14:paraId="54893F67" w14:textId="2131E45E"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color w:val="000000" w:themeColor="text1"/>
          <w:spacing w:val="2"/>
          <w:lang w:eastAsia="en-US"/>
        </w:rPr>
        <w:t xml:space="preserve">- </w:t>
      </w:r>
      <w:r w:rsidRPr="00F0736F">
        <w:rPr>
          <w:rFonts w:ascii="Times New Roman" w:eastAsia="SimSun" w:hAnsi="Times New Roman" w:cs="Times New Roman"/>
          <w:color w:val="000000" w:themeColor="text1"/>
          <w:spacing w:val="2"/>
          <w:lang w:eastAsia="en-GB"/>
        </w:rPr>
        <w:t>Задача 12.7</w:t>
      </w:r>
      <w:r w:rsidR="001956A8" w:rsidRPr="00F0736F">
        <w:rPr>
          <w:rFonts w:ascii="Times New Roman" w:eastAsia="SimSun" w:hAnsi="Times New Roman" w:cs="Times New Roman"/>
          <w:color w:val="000000" w:themeColor="text1"/>
          <w:spacing w:val="2"/>
          <w:lang w:eastAsia="en-GB"/>
        </w:rPr>
        <w:t xml:space="preserve"> </w:t>
      </w:r>
      <w:r w:rsidRPr="00F0736F">
        <w:rPr>
          <w:rFonts w:ascii="Times New Roman" w:eastAsia="SimSun" w:hAnsi="Times New Roman" w:cs="Times New Roman"/>
          <w:color w:val="000000" w:themeColor="text1"/>
          <w:spacing w:val="2"/>
          <w:lang w:eastAsia="en-GB"/>
        </w:rPr>
        <w:t>содействовать обеспечению экологичной практики государственных закупок в соответствии с национальными стратегиями и приоритетами</w:t>
      </w:r>
      <w:r w:rsidR="00454424" w:rsidRPr="00F0736F">
        <w:rPr>
          <w:rFonts w:ascii="Times New Roman" w:eastAsia="SimSun" w:hAnsi="Times New Roman" w:cs="Times New Roman"/>
          <w:color w:val="000000" w:themeColor="text1"/>
          <w:spacing w:val="2"/>
          <w:lang w:eastAsia="en-GB"/>
        </w:rPr>
        <w:t>;</w:t>
      </w:r>
      <w:r w:rsidRPr="00F0736F">
        <w:rPr>
          <w:rFonts w:ascii="Times New Roman" w:eastAsia="SimSun" w:hAnsi="Times New Roman" w:cs="Times New Roman"/>
          <w:color w:val="000000" w:themeColor="text1"/>
          <w:spacing w:val="2"/>
          <w:lang w:eastAsia="en-GB"/>
        </w:rPr>
        <w:t xml:space="preserve"> </w:t>
      </w:r>
    </w:p>
    <w:p w14:paraId="30523B05" w14:textId="6FBFCE96"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color w:val="000000" w:themeColor="text1"/>
          <w:spacing w:val="2"/>
          <w:lang w:eastAsia="en-US"/>
        </w:rPr>
        <w:t>- Задача</w:t>
      </w:r>
      <w:r w:rsidR="001956A8" w:rsidRPr="00F0736F">
        <w:rPr>
          <w:rFonts w:ascii="Times New Roman" w:eastAsia="SimSun" w:hAnsi="Times New Roman" w:cs="Times New Roman"/>
          <w:color w:val="000000" w:themeColor="text1"/>
          <w:spacing w:val="2"/>
          <w:lang w:eastAsia="en-US"/>
        </w:rPr>
        <w:t xml:space="preserve"> </w:t>
      </w:r>
      <w:r w:rsidRPr="00F0736F">
        <w:rPr>
          <w:rFonts w:ascii="Times New Roman" w:eastAsia="SimSun" w:hAnsi="Times New Roman" w:cs="Times New Roman"/>
          <w:color w:val="000000" w:themeColor="text1"/>
          <w:spacing w:val="2"/>
          <w:lang w:eastAsia="en-GB"/>
        </w:rPr>
        <w:t>12.</w:t>
      </w:r>
      <w:r w:rsidRPr="00F0736F">
        <w:rPr>
          <w:rFonts w:ascii="Times New Roman" w:eastAsia="SimSun" w:hAnsi="Times New Roman" w:cs="Times New Roman"/>
          <w:color w:val="000000" w:themeColor="text1"/>
          <w:spacing w:val="2"/>
          <w:lang w:val="en-GB" w:eastAsia="en-GB"/>
        </w:rPr>
        <w:t>c</w:t>
      </w:r>
      <w:r w:rsidRPr="00F0736F">
        <w:rPr>
          <w:rFonts w:ascii="Times New Roman" w:eastAsia="SimSun" w:hAnsi="Times New Roman" w:cs="Times New Roman"/>
          <w:color w:val="000000" w:themeColor="text1"/>
          <w:spacing w:val="2"/>
          <w:lang w:eastAsia="en-GB"/>
        </w:rPr>
        <w:t xml:space="preserve"> </w:t>
      </w:r>
      <w:r w:rsidR="001956A8" w:rsidRPr="00F0736F">
        <w:rPr>
          <w:rFonts w:ascii="Times New Roman" w:eastAsia="SimSun" w:hAnsi="Times New Roman" w:cs="Times New Roman"/>
          <w:color w:val="000000" w:themeColor="text1"/>
          <w:spacing w:val="2"/>
          <w:lang w:eastAsia="en-GB"/>
        </w:rPr>
        <w:t>р</w:t>
      </w:r>
      <w:r w:rsidRPr="00F0736F">
        <w:rPr>
          <w:rFonts w:ascii="Times New Roman" w:eastAsia="SimSun" w:hAnsi="Times New Roman" w:cs="Times New Roman"/>
          <w:color w:val="000000" w:themeColor="text1"/>
          <w:spacing w:val="2"/>
          <w:lang w:eastAsia="en-GB"/>
        </w:rPr>
        <w:t>ационализировать отличающееся неэффективностью субсидирование использования ископаемого топлива, ведущее к его расточительному потреблению, посредством устранения рыночных диспропорций с учетом национальных условий, в том числе путем реорганизации налогообложения и постепенного отказа от вредных субсидий там, где они существуют, для учета их экологических последствий, в полной мере принимая во внимание особые потребности и условия развивающихся стран и сводя к минимуму возможные негативные последствия для их развития таким образом, чтобы защитить интересы нуждающихся и уязвимых групп населения;</w:t>
      </w:r>
    </w:p>
    <w:p w14:paraId="5DAEF82B" w14:textId="6B9BE42C"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Задача 17.10: </w:t>
      </w:r>
      <w:r w:rsidR="001956A8" w:rsidRPr="00F0736F">
        <w:rPr>
          <w:rFonts w:ascii="Times New Roman" w:hAnsi="Times New Roman" w:cs="Times New Roman"/>
          <w:color w:val="000000" w:themeColor="text1"/>
        </w:rPr>
        <w:t>п</w:t>
      </w:r>
      <w:r w:rsidRPr="00F0736F">
        <w:rPr>
          <w:rFonts w:ascii="Times New Roman" w:hAnsi="Times New Roman" w:cs="Times New Roman"/>
          <w:color w:val="000000" w:themeColor="text1"/>
        </w:rPr>
        <w:t>оощрять универсальную, основанную на правилах, открытую, недискриминационную и справедливую многостороннюю торговую систему в рамках Всемирной торговой организации, в том числе благодаря завершению переговоров по ее Дохинской повестке дня в области развития;</w:t>
      </w:r>
    </w:p>
    <w:p w14:paraId="1C738328" w14:textId="2B0B9FFB"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Задача 8.3: </w:t>
      </w:r>
      <w:r w:rsidR="001956A8" w:rsidRPr="00F0736F">
        <w:rPr>
          <w:rFonts w:ascii="Times New Roman" w:hAnsi="Times New Roman" w:cs="Times New Roman"/>
          <w:color w:val="000000" w:themeColor="text1"/>
        </w:rPr>
        <w:t>с</w:t>
      </w:r>
      <w:r w:rsidRPr="00F0736F">
        <w:rPr>
          <w:rFonts w:ascii="Times New Roman" w:hAnsi="Times New Roman" w:cs="Times New Roman"/>
          <w:color w:val="000000" w:themeColor="text1"/>
        </w:rPr>
        <w:t>одействовать проведению ориентированной на развитие политики, которая способствует производительной деятельности, созданию достойных рабочих мест, предпринимательству, творчеству и инновационной деятельности, и поощрять официальное признание и развитие микро-, малых и средних предприятий, в том числе посредством предоставления им доступа к финансовым услугам</w:t>
      </w:r>
      <w:r w:rsidR="001956A8" w:rsidRPr="00F0736F">
        <w:rPr>
          <w:rFonts w:ascii="Times New Roman" w:hAnsi="Times New Roman" w:cs="Times New Roman"/>
          <w:color w:val="000000" w:themeColor="text1"/>
        </w:rPr>
        <w:t>;</w:t>
      </w:r>
    </w:p>
    <w:p w14:paraId="167B60D6"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SimSun" w:hAnsi="Times New Roman" w:cs="Times New Roman"/>
          <w:color w:val="000000" w:themeColor="text1"/>
          <w:spacing w:val="2"/>
          <w:lang w:eastAsia="en-GB"/>
        </w:rPr>
        <w:t>- Задача 15.</w:t>
      </w:r>
      <w:r w:rsidRPr="00F0736F">
        <w:rPr>
          <w:rFonts w:ascii="Times New Roman" w:eastAsia="SimSun" w:hAnsi="Times New Roman" w:cs="Times New Roman"/>
          <w:color w:val="000000" w:themeColor="text1"/>
          <w:spacing w:val="2"/>
          <w:lang w:val="en-GB" w:eastAsia="en-GB"/>
        </w:rPr>
        <w:t>a</w:t>
      </w:r>
      <w:r w:rsidRPr="00F0736F">
        <w:rPr>
          <w:rFonts w:ascii="Times New Roman" w:eastAsia="SimSun" w:hAnsi="Times New Roman" w:cs="Times New Roman"/>
          <w:color w:val="000000" w:themeColor="text1"/>
          <w:spacing w:val="2"/>
          <w:lang w:eastAsia="en-GB"/>
        </w:rPr>
        <w:t>: мобилизовать и значительно увеличить финансовые ресурсы из всех источников в целях сохранения и рационального использования биологического разнообразия и экосистем.</w:t>
      </w:r>
    </w:p>
    <w:p w14:paraId="163EBA47" w14:textId="1DACBF36" w:rsidR="006F46EB" w:rsidRPr="00F0736F" w:rsidRDefault="006F46EB" w:rsidP="006F46EB">
      <w:pPr>
        <w:ind w:firstLine="567"/>
        <w:jc w:val="both"/>
        <w:rPr>
          <w:rFonts w:ascii="Times New Roman" w:hAnsi="Times New Roman" w:cs="Times New Roman"/>
          <w:color w:val="000000" w:themeColor="text1"/>
        </w:rPr>
      </w:pPr>
      <w:r w:rsidRPr="00F22AC6">
        <w:rPr>
          <w:rFonts w:ascii="Times New Roman" w:hAnsi="Times New Roman" w:cs="Times New Roman"/>
          <w:color w:val="000000" w:themeColor="text1"/>
        </w:rPr>
        <w:t xml:space="preserve">В целом в Концепции Казахстана необходимо четко увязать переход к </w:t>
      </w:r>
      <w:r w:rsidR="00454424" w:rsidRPr="00F22AC6">
        <w:rPr>
          <w:rStyle w:val="fontstyle01"/>
          <w:rFonts w:ascii="Times New Roman" w:hAnsi="Times New Roman" w:cs="Times New Roman"/>
          <w:color w:val="000000" w:themeColor="text1"/>
          <w:sz w:val="24"/>
          <w:szCs w:val="24"/>
        </w:rPr>
        <w:t>«</w:t>
      </w:r>
      <w:r w:rsidRPr="00F22AC6">
        <w:rPr>
          <w:rFonts w:ascii="Times New Roman" w:hAnsi="Times New Roman" w:cs="Times New Roman"/>
          <w:color w:val="000000" w:themeColor="text1"/>
        </w:rPr>
        <w:t>зеленой экономике</w:t>
      </w:r>
      <w:r w:rsidR="00454424" w:rsidRPr="00F22AC6">
        <w:rPr>
          <w:rFonts w:ascii="Times New Roman" w:hAnsi="Times New Roman" w:cs="Times New Roman"/>
          <w:color w:val="000000" w:themeColor="text1"/>
        </w:rPr>
        <w:t>»</w:t>
      </w:r>
      <w:r w:rsidRPr="00F22AC6">
        <w:rPr>
          <w:rFonts w:ascii="Times New Roman" w:hAnsi="Times New Roman" w:cs="Times New Roman"/>
          <w:color w:val="000000" w:themeColor="text1"/>
        </w:rPr>
        <w:t xml:space="preserve"> с устойчивым развитием и его новыми целями (ЦУР) до 2030 года, принятыми ООН в 2015 году.  При этом необходимо учесть обязательную комплексность планирования и реализации ЦУР, т. к. достижение одной цели способствует достижению других целей и наоборот, недоучет какого-либо направления развития может негативно повлиять на все остальные аспекты. На это указывает и ряд международных экспертов</w:t>
      </w:r>
      <w:r w:rsidRPr="00F0736F">
        <w:rPr>
          <w:rFonts w:ascii="Times New Roman" w:hAnsi="Times New Roman" w:cs="Times New Roman"/>
          <w:color w:val="000000" w:themeColor="text1"/>
        </w:rPr>
        <w:t>. К примеру, ЦУР 1 (снижение нищеты) не может быть решена без решения следующих задач: продовольственной безопасности (ЦУР 2), макроэкономической политики для достижения полной и производительной занятости и достойной работы для всех (ЦУР 8), снижения неравенства (ЦУР 10) и борьбы с изменением климата и его последствиями (ЦУР 13). Достижение этих целей также способствует обеспечению здорового образа жизни и благополучию для всех в любом возрасте</w:t>
      </w:r>
      <w:r w:rsidR="001956A8"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ЦУР 3</w:t>
      </w:r>
      <w:r w:rsidR="001956A8"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В то же время имеются негативные взаимосвязи: расширение сельскохозяйственных площадей для ликвидации голода (ЦУР 2) может привести к потере экосистем (ЦУР 15), загрязнению водных ресурсов (ЦУР 6), что, в свою очередь, угрожает продовольственной безопасности</w:t>
      </w:r>
      <w:r w:rsidRPr="00F0736F">
        <w:rPr>
          <w:rStyle w:val="a4"/>
          <w:rFonts w:ascii="Times New Roman" w:hAnsi="Times New Roman" w:cs="Times New Roman"/>
          <w:color w:val="000000" w:themeColor="text1"/>
        </w:rPr>
        <w:footnoteReference w:id="131"/>
      </w:r>
      <w:r w:rsidRPr="00F0736F">
        <w:rPr>
          <w:rFonts w:ascii="Times New Roman" w:hAnsi="Times New Roman" w:cs="Times New Roman"/>
          <w:color w:val="000000" w:themeColor="text1"/>
        </w:rPr>
        <w:t xml:space="preserve">. </w:t>
      </w:r>
    </w:p>
    <w:p w14:paraId="7F7CE2AC" w14:textId="2255991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font275" w:hAnsi="Times New Roman" w:cs="Times New Roman"/>
          <w:color w:val="000000" w:themeColor="text1"/>
        </w:rPr>
        <w:t xml:space="preserve">Наряду с имплементацией в Концепцию целей </w:t>
      </w:r>
      <w:r w:rsidRPr="00F22AC6">
        <w:rPr>
          <w:rFonts w:ascii="Times New Roman" w:eastAsia="font275" w:hAnsi="Times New Roman" w:cs="Times New Roman"/>
          <w:color w:val="000000" w:themeColor="text1"/>
        </w:rPr>
        <w:t>устойчивого развития, необходимо уточнить общую терминологию «зеленой экономики». Такая необх</w:t>
      </w:r>
      <w:r w:rsidRPr="00F0736F">
        <w:rPr>
          <w:rFonts w:ascii="Times New Roman" w:eastAsia="font275" w:hAnsi="Times New Roman" w:cs="Times New Roman"/>
          <w:color w:val="000000" w:themeColor="text1"/>
        </w:rPr>
        <w:t xml:space="preserve">одимость остро назрела в связи с разработкой новой редакции Экологического кодекса, где предлагаются к внедрению новые правовые понятия, такие как «зеленые» технологии, «зеленые» проекты,  «зеленое» финансирование» для целей экономического стимулирования деятельности, направленной на охрану окружающей среды. </w:t>
      </w:r>
      <w:r w:rsidR="001956A8" w:rsidRPr="00F0736F">
        <w:rPr>
          <w:rFonts w:ascii="Times New Roman" w:eastAsia="font275" w:hAnsi="Times New Roman" w:cs="Times New Roman"/>
          <w:color w:val="000000" w:themeColor="text1"/>
        </w:rPr>
        <w:t>Д</w:t>
      </w:r>
      <w:r w:rsidRPr="00F0736F">
        <w:rPr>
          <w:rFonts w:ascii="Times New Roman" w:eastAsia="font275" w:hAnsi="Times New Roman" w:cs="Times New Roman"/>
          <w:color w:val="000000" w:themeColor="text1"/>
        </w:rPr>
        <w:t>анные понятия внедряются уже для конкретных правовых действий поддержки различных аспектов «зеленой экономики».</w:t>
      </w:r>
    </w:p>
    <w:p w14:paraId="7510D91E"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eastAsia="Calibri" w:hAnsi="Times New Roman" w:cs="Times New Roman"/>
          <w:bCs/>
          <w:color w:val="000000" w:themeColor="text1"/>
          <w:spacing w:val="2"/>
          <w:u w:color="000000"/>
          <w:lang w:eastAsia="en-US" w:bidi="fa-IR"/>
        </w:rPr>
        <w:t>И</w:t>
      </w:r>
      <w:r w:rsidRPr="00F0736F">
        <w:rPr>
          <w:rFonts w:ascii="Times New Roman" w:eastAsia="SimSun" w:hAnsi="Times New Roman" w:cs="Times New Roman"/>
          <w:color w:val="000000" w:themeColor="text1"/>
          <w:spacing w:val="2"/>
          <w:u w:color="000000"/>
        </w:rPr>
        <w:t>з-за отсутствия четких определений т</w:t>
      </w:r>
      <w:r w:rsidRPr="00F0736F">
        <w:rPr>
          <w:rFonts w:ascii="Times New Roman" w:hAnsi="Times New Roman" w:cs="Times New Roman"/>
          <w:color w:val="000000" w:themeColor="text1"/>
        </w:rPr>
        <w:t xml:space="preserve">рансферт новейших зеленых технологий является пока трудно разрешимой проблемой преодоления глобального неравенства развитых, развивающихся и бедных государств, в том числе и для Казахстана. </w:t>
      </w:r>
    </w:p>
    <w:p w14:paraId="22663ED3"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Недостаточно просто знать о зеленой технологии или составить реестр таких технологий, необходимо, чтобы они пришли в страну. Именно этой проблеме посвящена инициатива Первого Президента – Елбасы «Зеленый мост».</w:t>
      </w:r>
    </w:p>
    <w:p w14:paraId="4784DFEC"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Когда-то на заре независимости Республика Казахстан предоставляла значительные льготы и преференции для любых инвестиций в нашу растущую экономику. Результатом стало сегодняшнее экономичес</w:t>
      </w:r>
      <w:r w:rsidR="00454424" w:rsidRPr="00F0736F">
        <w:rPr>
          <w:rFonts w:ascii="Times New Roman" w:hAnsi="Times New Roman" w:cs="Times New Roman"/>
          <w:color w:val="000000" w:themeColor="text1"/>
        </w:rPr>
        <w:t>кое состояние нашей р</w:t>
      </w:r>
      <w:r w:rsidRPr="00F0736F">
        <w:rPr>
          <w:rFonts w:ascii="Times New Roman" w:hAnsi="Times New Roman" w:cs="Times New Roman"/>
          <w:color w:val="000000" w:themeColor="text1"/>
        </w:rPr>
        <w:t xml:space="preserve">еспублики. Сейчас настало время предоставить аналогичные льготы и преференции для зеленых инвестиций, что даст тройной эффект: в экономике, в экологии и в социальной сфере. </w:t>
      </w:r>
    </w:p>
    <w:p w14:paraId="4F8F2E36" w14:textId="4480F7EF" w:rsidR="006F46EB" w:rsidRPr="00F22AC6"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Аналогично и во всем мире передовые страны на безвозмездной основе «под ключ» должны представлять свои новейшие зеленые технологии. В свою очередь, развивающиеся страны должны предоставить благоприятные условия для «зеленых» инвестиций. Все страны</w:t>
      </w:r>
      <w:r w:rsidR="00AE081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партнеры предоставляют свободные рынки для «зеленых товаров», произведенных по «зеленым технологиям». Это краткое видение Программы партнерства «Зеленый мост», которая должна помочь преодолеть</w:t>
      </w:r>
      <w:r w:rsidR="004E524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возможно</w:t>
      </w:r>
      <w:r w:rsidR="004E524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самую главную проблему современного развития</w:t>
      </w:r>
      <w:r w:rsidR="004E5249" w:rsidRPr="00F0736F">
        <w:rPr>
          <w:rFonts w:ascii="Times New Roman" w:hAnsi="Times New Roman" w:cs="Times New Roman"/>
          <w:color w:val="000000" w:themeColor="text1"/>
        </w:rPr>
        <w:t xml:space="preserve"> общества – все нарастающий анта</w:t>
      </w:r>
      <w:r w:rsidRPr="00F0736F">
        <w:rPr>
          <w:rFonts w:ascii="Times New Roman" w:hAnsi="Times New Roman" w:cs="Times New Roman"/>
          <w:color w:val="000000" w:themeColor="text1"/>
        </w:rPr>
        <w:t xml:space="preserve">гонизм не только между государствами, но и между различными секторами гражданского общества внутри одного государства, даже между государственными органами, между поколениями и отдельными личностями («все против всех»). Поэтому одним из главных принципов </w:t>
      </w:r>
      <w:r w:rsidR="004E5249" w:rsidRPr="00F0736F">
        <w:rPr>
          <w:rFonts w:ascii="Times New Roman" w:hAnsi="Times New Roman" w:cs="Times New Roman"/>
          <w:b/>
          <w:color w:val="000000" w:themeColor="text1"/>
        </w:rPr>
        <w:t>«</w:t>
      </w:r>
      <w:r w:rsidRPr="00F0736F">
        <w:rPr>
          <w:rFonts w:ascii="Times New Roman" w:hAnsi="Times New Roman" w:cs="Times New Roman"/>
          <w:color w:val="000000" w:themeColor="text1"/>
        </w:rPr>
        <w:t>Зеленой экономики</w:t>
      </w:r>
      <w:r w:rsidR="004E5249" w:rsidRPr="00F0736F">
        <w:rPr>
          <w:rFonts w:ascii="Times New Roman" w:hAnsi="Times New Roman" w:cs="Times New Roman"/>
          <w:color w:val="000000" w:themeColor="text1"/>
        </w:rPr>
        <w:t>»</w:t>
      </w:r>
      <w:r w:rsidRPr="00F0736F">
        <w:rPr>
          <w:rFonts w:ascii="Times New Roman" w:hAnsi="Times New Roman" w:cs="Times New Roman"/>
          <w:color w:val="000000" w:themeColor="text1"/>
        </w:rPr>
        <w:t xml:space="preserve"> должен стать принцип </w:t>
      </w:r>
      <w:r w:rsidRPr="00F22AC6">
        <w:rPr>
          <w:rFonts w:ascii="Times New Roman" w:hAnsi="Times New Roman" w:cs="Times New Roman"/>
          <w:color w:val="000000" w:themeColor="text1"/>
        </w:rPr>
        <w:t>партнерства («Зеленый мост строится для всех»).</w:t>
      </w:r>
    </w:p>
    <w:p w14:paraId="42ECA06A"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Но для этого необходимо определить четкие критерии зеленых технологий и инвестиций и экономические механизмы и инструменты их привлечения, постепенно прекращая активную поддержку «коричневых» технологий, для которых также нужны определения и критерии.</w:t>
      </w:r>
    </w:p>
    <w:p w14:paraId="0AD2D156" w14:textId="77777777" w:rsidR="006F46EB" w:rsidRPr="00F22AC6" w:rsidRDefault="006F46EB" w:rsidP="006F46EB">
      <w:pPr>
        <w:ind w:firstLine="567"/>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В настоящее время еще м</w:t>
      </w:r>
      <w:r w:rsidRPr="00F0736F">
        <w:rPr>
          <w:rFonts w:ascii="Times New Roman" w:eastAsia="Calibri" w:hAnsi="Times New Roman" w:cs="Times New Roman"/>
          <w:color w:val="000000" w:themeColor="text1"/>
          <w:lang w:val="kk-KZ" w:eastAsia="en-US"/>
        </w:rPr>
        <w:t xml:space="preserve">ало внимания в имеющихся документах уделяется зеленым </w:t>
      </w:r>
      <w:r w:rsidRPr="00F22AC6">
        <w:rPr>
          <w:rFonts w:ascii="Times New Roman" w:eastAsia="Calibri" w:hAnsi="Times New Roman" w:cs="Times New Roman"/>
          <w:color w:val="000000" w:themeColor="text1"/>
          <w:lang w:val="kk-KZ" w:eastAsia="en-US"/>
        </w:rPr>
        <w:t xml:space="preserve">реформам на местном уровне, где </w:t>
      </w:r>
      <w:r w:rsidR="004E5249" w:rsidRPr="00F22AC6">
        <w:rPr>
          <w:rFonts w:ascii="Times New Roman" w:hAnsi="Times New Roman" w:cs="Times New Roman"/>
          <w:color w:val="000000" w:themeColor="text1"/>
        </w:rPr>
        <w:t>«</w:t>
      </w:r>
      <w:r w:rsidRPr="00F22AC6">
        <w:rPr>
          <w:rFonts w:ascii="Times New Roman" w:eastAsia="Calibri" w:hAnsi="Times New Roman" w:cs="Times New Roman"/>
          <w:color w:val="000000" w:themeColor="text1"/>
          <w:lang w:val="kk-KZ" w:eastAsia="en-US"/>
        </w:rPr>
        <w:t>зеленая экономика</w:t>
      </w:r>
      <w:r w:rsidR="004E5249" w:rsidRPr="00F22AC6">
        <w:rPr>
          <w:rFonts w:ascii="Times New Roman" w:hAnsi="Times New Roman" w:cs="Times New Roman"/>
          <w:color w:val="000000" w:themeColor="text1"/>
        </w:rPr>
        <w:t>»</w:t>
      </w:r>
      <w:r w:rsidRPr="00F22AC6">
        <w:rPr>
          <w:rFonts w:ascii="Times New Roman" w:eastAsia="Calibri" w:hAnsi="Times New Roman" w:cs="Times New Roman"/>
          <w:color w:val="000000" w:themeColor="text1"/>
          <w:lang w:val="kk-KZ" w:eastAsia="en-US"/>
        </w:rPr>
        <w:t xml:space="preserve"> наиболее востребована, учитывая, в том числе, происходящие процессы децентрализации производства и распределения. Местные органы мало или формально вовлечены в процессы «зеленого» реформирования, а национальные программы не дают ясных стимулов, сигналов и механизмов для интеграции и продвижения зеленых реформ на местном уровне. </w:t>
      </w:r>
    </w:p>
    <w:p w14:paraId="54B58704" w14:textId="77777777" w:rsidR="006F46EB" w:rsidRPr="00F0736F" w:rsidRDefault="006F46EB" w:rsidP="006F46EB">
      <w:pPr>
        <w:ind w:firstLine="567"/>
        <w:jc w:val="both"/>
        <w:rPr>
          <w:rFonts w:ascii="Times New Roman" w:hAnsi="Times New Roman" w:cs="Times New Roman"/>
          <w:color w:val="000000" w:themeColor="text1"/>
        </w:rPr>
      </w:pPr>
      <w:r w:rsidRPr="00F22AC6">
        <w:rPr>
          <w:rFonts w:ascii="Times New Roman" w:eastAsia="Calibri" w:hAnsi="Times New Roman" w:cs="Times New Roman"/>
          <w:color w:val="000000" w:themeColor="text1"/>
          <w:lang w:val="kk-KZ" w:eastAsia="en-US"/>
        </w:rPr>
        <w:t>Недостаточное внимание уделяется роли и участию частного сектора, который является ключевым игроком в привлечении зеленых технологий и инноваций. Во многих документах упоминается частный сектор, но в Казахстане, в реальных процессах подготовки и проведения реформ частный сектор не только не активен, но часто не поддерживает</w:t>
      </w:r>
      <w:r w:rsidRPr="00F0736F">
        <w:rPr>
          <w:rFonts w:ascii="Times New Roman" w:eastAsia="Calibri" w:hAnsi="Times New Roman" w:cs="Times New Roman"/>
          <w:color w:val="000000" w:themeColor="text1"/>
          <w:lang w:val="kk-KZ" w:eastAsia="en-US"/>
        </w:rPr>
        <w:t xml:space="preserve"> их по причинам непонимания или неверия в серьезность и долгосрочность намерений правительства и реформ. </w:t>
      </w:r>
    </w:p>
    <w:p w14:paraId="530975D3" w14:textId="77777777"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Практически не учтены интересы и возможности малого и среднего бизнеса, как потенциальной заинтересованной стороны в продвижении </w:t>
      </w:r>
      <w:r w:rsidR="004E5249" w:rsidRPr="00F0736F">
        <w:rPr>
          <w:rFonts w:ascii="Times New Roman" w:hAnsi="Times New Roman" w:cs="Times New Roman"/>
          <w:b/>
          <w:color w:val="000000" w:themeColor="text1"/>
        </w:rPr>
        <w:t>«</w:t>
      </w:r>
      <w:r w:rsidRPr="00F0736F">
        <w:rPr>
          <w:rFonts w:ascii="Times New Roman" w:hAnsi="Times New Roman" w:cs="Times New Roman"/>
          <w:color w:val="000000" w:themeColor="text1"/>
        </w:rPr>
        <w:t>зеленой экономики</w:t>
      </w:r>
      <w:r w:rsidR="004E5249" w:rsidRPr="00F0736F">
        <w:rPr>
          <w:rFonts w:ascii="Times New Roman" w:hAnsi="Times New Roman" w:cs="Times New Roman"/>
          <w:b/>
          <w:color w:val="000000" w:themeColor="text1"/>
        </w:rPr>
        <w:t>»</w:t>
      </w:r>
      <w:r w:rsidRPr="00F0736F">
        <w:rPr>
          <w:rFonts w:ascii="Times New Roman" w:hAnsi="Times New Roman" w:cs="Times New Roman"/>
          <w:color w:val="000000" w:themeColor="text1"/>
        </w:rPr>
        <w:t xml:space="preserve">. В дополнение к существующим механизмам поддержки МСБ необходимо создание еще многих институтов, таких как инкубаторы зеленых технологий, револьверные фонды и другие. </w:t>
      </w:r>
    </w:p>
    <w:p w14:paraId="2CFA0389" w14:textId="77777777" w:rsidR="006F46EB" w:rsidRPr="00F22AC6" w:rsidRDefault="006F46EB" w:rsidP="006F46EB">
      <w:pPr>
        <w:ind w:firstLine="567"/>
        <w:jc w:val="both"/>
        <w:rPr>
          <w:rFonts w:ascii="Times New Roman" w:hAnsi="Times New Roman" w:cs="Times New Roman"/>
          <w:bCs/>
          <w:color w:val="000000" w:themeColor="text1"/>
        </w:rPr>
      </w:pPr>
      <w:r w:rsidRPr="00F22AC6">
        <w:rPr>
          <w:rFonts w:ascii="Times New Roman" w:eastAsia="Calibri" w:hAnsi="Times New Roman" w:cs="Times New Roman"/>
          <w:bCs/>
          <w:color w:val="000000" w:themeColor="text1"/>
          <w:lang w:val="kk-KZ" w:eastAsia="en-US"/>
        </w:rPr>
        <w:t xml:space="preserve">Слабой стороной является участие общественности. За прошедший период в процессы разработки зеленых инициатив общественность практически не была вовлечена, за исключением отдельных, наиболее активных экологических НПО.  </w:t>
      </w:r>
    </w:p>
    <w:p w14:paraId="0E66571E" w14:textId="77777777" w:rsidR="006F46EB" w:rsidRPr="00F22AC6" w:rsidRDefault="006F46EB" w:rsidP="006F46EB">
      <w:pPr>
        <w:ind w:firstLine="567"/>
        <w:jc w:val="both"/>
        <w:rPr>
          <w:rFonts w:ascii="Times New Roman" w:hAnsi="Times New Roman" w:cs="Times New Roman"/>
          <w:bCs/>
          <w:color w:val="000000" w:themeColor="text1"/>
        </w:rPr>
      </w:pPr>
      <w:r w:rsidRPr="00F22AC6">
        <w:rPr>
          <w:rFonts w:ascii="Times New Roman" w:hAnsi="Times New Roman" w:cs="Times New Roman"/>
          <w:bCs/>
          <w:color w:val="000000" w:themeColor="text1"/>
        </w:rPr>
        <w:t xml:space="preserve">Наконец, обязательным направлением перехода к </w:t>
      </w:r>
      <w:r w:rsidR="004E5249" w:rsidRPr="00F22AC6">
        <w:rPr>
          <w:rFonts w:ascii="Times New Roman" w:hAnsi="Times New Roman" w:cs="Times New Roman"/>
          <w:bCs/>
          <w:color w:val="000000" w:themeColor="text1"/>
        </w:rPr>
        <w:t>«</w:t>
      </w:r>
      <w:r w:rsidRPr="00F22AC6">
        <w:rPr>
          <w:rFonts w:ascii="Times New Roman" w:hAnsi="Times New Roman" w:cs="Times New Roman"/>
          <w:bCs/>
          <w:color w:val="000000" w:themeColor="text1"/>
        </w:rPr>
        <w:t>Зеленой экономике</w:t>
      </w:r>
      <w:r w:rsidR="004E5249" w:rsidRPr="00F22AC6">
        <w:rPr>
          <w:rFonts w:ascii="Times New Roman" w:hAnsi="Times New Roman" w:cs="Times New Roman"/>
          <w:bCs/>
          <w:color w:val="000000" w:themeColor="text1"/>
        </w:rPr>
        <w:t>»</w:t>
      </w:r>
      <w:r w:rsidRPr="00F22AC6">
        <w:rPr>
          <w:rFonts w:ascii="Times New Roman" w:hAnsi="Times New Roman" w:cs="Times New Roman"/>
          <w:bCs/>
          <w:color w:val="000000" w:themeColor="text1"/>
        </w:rPr>
        <w:t xml:space="preserve"> должны быть образование и пропаганда. Только экономически грамотное население может правильно рассчитать финансовые риски и выгоды от внедрения зеленых технологий и правильно инвестировать в их внедрение.</w:t>
      </w:r>
    </w:p>
    <w:p w14:paraId="0728E428" w14:textId="77777777" w:rsidR="006F46EB" w:rsidRPr="00F22AC6" w:rsidRDefault="006F46EB" w:rsidP="006F46EB">
      <w:pPr>
        <w:ind w:firstLine="567"/>
        <w:jc w:val="both"/>
        <w:rPr>
          <w:rFonts w:ascii="Times New Roman" w:hAnsi="Times New Roman" w:cs="Times New Roman"/>
          <w:bCs/>
          <w:color w:val="000000" w:themeColor="text1"/>
        </w:rPr>
      </w:pPr>
      <w:r w:rsidRPr="00F22AC6">
        <w:rPr>
          <w:rFonts w:ascii="Times New Roman" w:hAnsi="Times New Roman" w:cs="Times New Roman"/>
          <w:bCs/>
          <w:color w:val="000000" w:themeColor="text1"/>
        </w:rPr>
        <w:t>Новым направлением, которое необходимо осветить в измененной Концепции, является «зеленое финансирование».</w:t>
      </w:r>
    </w:p>
    <w:p w14:paraId="46C5863B" w14:textId="33C4CBF6" w:rsidR="006F46EB" w:rsidRPr="00F0736F" w:rsidRDefault="006F46EB" w:rsidP="006F46EB">
      <w:pPr>
        <w:ind w:firstLine="567"/>
        <w:jc w:val="both"/>
        <w:rPr>
          <w:rFonts w:ascii="Times New Roman" w:hAnsi="Times New Roman" w:cs="Times New Roman"/>
          <w:color w:val="000000" w:themeColor="text1"/>
        </w:rPr>
      </w:pPr>
      <w:r w:rsidRPr="00F0736F">
        <w:rPr>
          <w:rFonts w:ascii="Times New Roman" w:hAnsi="Times New Roman" w:cs="Times New Roman"/>
          <w:color w:val="000000" w:themeColor="text1"/>
        </w:rPr>
        <w:t>В последние годы в мире был достигнут значительный прогресс в области финансовой политики, включая банковское регулирование, пенсионное регулирование, страховое регулирование и макропруденциальные подходы, которые могут стимулировать экологически рациональные инвестиции</w:t>
      </w:r>
      <w:r w:rsidRPr="00F0736F">
        <w:rPr>
          <w:rStyle w:val="a4"/>
          <w:rFonts w:ascii="Times New Roman" w:hAnsi="Times New Roman" w:cs="Times New Roman"/>
          <w:color w:val="000000" w:themeColor="text1"/>
        </w:rPr>
        <w:footnoteReference w:id="132"/>
      </w:r>
      <w:r w:rsidRPr="00F0736F">
        <w:rPr>
          <w:rFonts w:ascii="Times New Roman" w:hAnsi="Times New Roman" w:cs="Times New Roman"/>
          <w:color w:val="000000" w:themeColor="text1"/>
        </w:rPr>
        <w:t>. Национальные и международные усилия по перераспределению финансовых потоков, необходимых для достижения устойчивого развития посредством преобразования глобальной финансовой системы, были задокументированы и подкреплены исследованием по разработке устойчивой финансовой системы, начатым программой Организации Объединенных Наций по окружающей среде (ЮНЕП) в 2014 году. Чтобы стимулировать инвестиции в циклический, экологичный и низкоуглеродный рост и привести глобальное финансирование и инвестиции в соответствие с повесткой дня на 2030 год, Правительств</w:t>
      </w:r>
      <w:r w:rsidR="002F069B">
        <w:rPr>
          <w:rFonts w:ascii="Times New Roman" w:hAnsi="Times New Roman" w:cs="Times New Roman"/>
          <w:color w:val="000000" w:themeColor="text1"/>
        </w:rPr>
        <w:t>о</w:t>
      </w:r>
      <w:r w:rsidRPr="00F0736F">
        <w:rPr>
          <w:rFonts w:ascii="Times New Roman" w:hAnsi="Times New Roman" w:cs="Times New Roman"/>
          <w:color w:val="000000" w:themeColor="text1"/>
        </w:rPr>
        <w:t xml:space="preserve"> и регулирующие органы должны уделять повышенное внимание «правилам игры», регулирующим финансовые рынки и рынки капитала.  </w:t>
      </w:r>
    </w:p>
    <w:p w14:paraId="22BB6C03" w14:textId="77777777" w:rsidR="006F46EB" w:rsidRPr="00F0736F" w:rsidRDefault="006F46EB" w:rsidP="006F46EB">
      <w:pPr>
        <w:ind w:firstLine="567"/>
        <w:rPr>
          <w:rFonts w:ascii="Times New Roman" w:hAnsi="Times New Roman" w:cs="Times New Roman"/>
          <w:color w:val="000000" w:themeColor="text1"/>
          <w:sz w:val="28"/>
          <w:szCs w:val="28"/>
        </w:rPr>
      </w:pPr>
    </w:p>
    <w:p w14:paraId="0B2B7C1F" w14:textId="77777777" w:rsidR="00F674A4" w:rsidRPr="00F0736F" w:rsidRDefault="00F674A4" w:rsidP="00B5230F">
      <w:pPr>
        <w:jc w:val="both"/>
        <w:rPr>
          <w:rFonts w:ascii="Times New Roman" w:hAnsi="Times New Roman" w:cs="Times New Roman"/>
          <w:b/>
          <w:bCs/>
          <w:color w:val="000000" w:themeColor="text1"/>
        </w:rPr>
      </w:pPr>
    </w:p>
    <w:p w14:paraId="290461DA" w14:textId="77777777" w:rsidR="00AC1D5B" w:rsidRPr="007272FB" w:rsidRDefault="00AC1D5B" w:rsidP="007272FB">
      <w:pPr>
        <w:pStyle w:val="1"/>
        <w:ind w:firstLine="709"/>
        <w:jc w:val="both"/>
        <w:rPr>
          <w:color w:val="000000" w:themeColor="text1"/>
          <w:sz w:val="24"/>
          <w:szCs w:val="24"/>
        </w:rPr>
      </w:pPr>
      <w:bookmarkStart w:id="42" w:name="_Toc57818734"/>
      <w:r w:rsidRPr="007272FB">
        <w:rPr>
          <w:rFonts w:ascii="Times New Roman" w:hAnsi="Times New Roman" w:cs="Times New Roman"/>
          <w:color w:val="000000" w:themeColor="text1"/>
          <w:sz w:val="24"/>
          <w:szCs w:val="24"/>
        </w:rPr>
        <w:t>2. Реализация мероприятий и достижение показателей перехода к «зеленой экономике» в регионах Республики Казахстан</w:t>
      </w:r>
      <w:bookmarkEnd w:id="42"/>
    </w:p>
    <w:p w14:paraId="282AC0D6" w14:textId="77777777" w:rsidR="00AC1D5B" w:rsidRPr="00F0736F" w:rsidRDefault="00AC1D5B" w:rsidP="00AC1D5B">
      <w:pPr>
        <w:ind w:firstLine="709"/>
        <w:jc w:val="both"/>
        <w:rPr>
          <w:rFonts w:ascii="Times New Roman" w:hAnsi="Times New Roman" w:cs="Times New Roman"/>
          <w:color w:val="000000" w:themeColor="text1"/>
        </w:rPr>
      </w:pPr>
    </w:p>
    <w:p w14:paraId="0B34A704"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3" w:name="_Toc57818735"/>
      <w:r w:rsidRPr="007272FB">
        <w:rPr>
          <w:rFonts w:ascii="Times New Roman" w:eastAsia="Times New Roman" w:hAnsi="Times New Roman" w:cs="Times New Roman"/>
          <w:color w:val="000000" w:themeColor="text1"/>
          <w:sz w:val="24"/>
          <w:szCs w:val="24"/>
        </w:rPr>
        <w:t>2.1. Акмолинская область</w:t>
      </w:r>
      <w:bookmarkEnd w:id="43"/>
    </w:p>
    <w:p w14:paraId="7DF7ECB0" w14:textId="77777777" w:rsidR="00AC1D5B" w:rsidRPr="00F0736F" w:rsidRDefault="00AC1D5B" w:rsidP="00AC1D5B">
      <w:pPr>
        <w:ind w:firstLine="709"/>
        <w:jc w:val="both"/>
        <w:rPr>
          <w:rFonts w:ascii="Times New Roman" w:hAnsi="Times New Roman" w:cs="Times New Roman"/>
          <w:color w:val="000000" w:themeColor="text1"/>
        </w:rPr>
      </w:pPr>
    </w:p>
    <w:p w14:paraId="2B400A89"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52E0E12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Акмолинская область является одним из аграрных регионов РК. Территория области – 146,1 тыс кв. км. Численность населения, по данным Комитета по статистике МНЭ РК, выросла с 734,4 тыс. человек в начале 2017 года до 738,6 тыс. человек в начале 2019 года, но затем снизилась до 736,7 тыс. человек в начале 2020 года. Область специализируется в сельском хозяйстве, добыче золотосодержащих руд, урана, машиностроении, химической промышленности.</w:t>
      </w:r>
    </w:p>
    <w:p w14:paraId="182A04D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ВРП области в 2017 году составил 1552,7 млрд. тенге, на душу населения - 2107,8 тыс. тенге, с номинальным ростом к 2016 году на 15,5%. В 2018 году ВРП области вырос до 1699,9 млрд. тенге, на душу населения – до 2301,0 тыс. тенге, а в 2019 году — до 1933,6 млрд. тенге, а на душу населения — до 2621,2 тыс. тенге. Рост ВРП составляет 13-16% в год, что превышает среднереспубликанский уровень.</w:t>
      </w:r>
    </w:p>
    <w:p w14:paraId="1F0848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Перспективными месторождениями для освоения является развитие добычи золотосодержащих руд (Васильковское месторождение, перспективные месторождения - Аксу, Бестобе, Жолымбет, Кварцитовые горки), железных руд (месторождения Оркен и Масальское), урана (перспективные месторождения Звездное и Глубинное), сырья для производства цемента (в Целиноградском, Биржан сал и Зерендинском районах), общераспространенных полезных ископаемых (строительный камень, песок, ПГС, глина и др.). В области самая высокая по республике густота железнодорожных путей – 10,66 км на 1000 кв. км территории (среднее по РК – 5,53). По территории области проходит автодорога международного значения Алматы-Екатеринбург</w:t>
      </w:r>
      <w:r w:rsidRPr="00F0736F">
        <w:rPr>
          <w:rFonts w:ascii="Times New Roman" w:hAnsi="Times New Roman" w:cs="Times New Roman"/>
          <w:color w:val="000000" w:themeColor="text1"/>
          <w:vertAlign w:val="superscript"/>
        </w:rPr>
        <w:footnoteReference w:id="133"/>
      </w:r>
      <w:r w:rsidRPr="00F0736F">
        <w:rPr>
          <w:rFonts w:ascii="Times New Roman" w:hAnsi="Times New Roman" w:cs="Times New Roman"/>
          <w:color w:val="000000" w:themeColor="text1"/>
        </w:rPr>
        <w:t>.</w:t>
      </w:r>
    </w:p>
    <w:p w14:paraId="1BD8106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Аэропорт г. Кокшетау соответствует требованиям ИКАО и может принимать все типы воздушных судов.</w:t>
      </w:r>
    </w:p>
    <w:p w14:paraId="4AF9075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статистическим данным в 2017 году объем </w:t>
      </w:r>
      <w:r w:rsidRPr="00F0736F">
        <w:rPr>
          <w:rFonts w:ascii="Times New Roman" w:hAnsi="Times New Roman" w:cs="Times New Roman"/>
          <w:b/>
          <w:bCs/>
          <w:color w:val="000000" w:themeColor="text1"/>
        </w:rPr>
        <w:t>производства</w:t>
      </w:r>
      <w:r w:rsidRPr="00F0736F">
        <w:rPr>
          <w:rFonts w:ascii="Times New Roman" w:hAnsi="Times New Roman" w:cs="Times New Roman"/>
          <w:color w:val="000000" w:themeColor="text1"/>
        </w:rPr>
        <w:t xml:space="preserve"> </w:t>
      </w:r>
      <w:r w:rsidRPr="00F0736F">
        <w:rPr>
          <w:rFonts w:ascii="Times New Roman" w:hAnsi="Times New Roman" w:cs="Times New Roman"/>
          <w:b/>
          <w:bCs/>
          <w:color w:val="000000" w:themeColor="text1"/>
        </w:rPr>
        <w:t xml:space="preserve">промышленной продукции  </w:t>
      </w:r>
      <w:r w:rsidRPr="00F0736F">
        <w:rPr>
          <w:rFonts w:ascii="Times New Roman" w:hAnsi="Times New Roman" w:cs="Times New Roman"/>
          <w:color w:val="000000" w:themeColor="text1"/>
        </w:rPr>
        <w:t xml:space="preserve">составил 561 290 млн. тенге, в 2018 году – 659 726 млн. тенге, а в 2019 году - 791 162 млн. тенге. </w:t>
      </w:r>
    </w:p>
    <w:p w14:paraId="4E9AA37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структуре промышленного производства в 2019 году большую часть занимает обрабатывающая промышленность, объем которой составил  641 930 млн тенге (81,1%), немного увеличившись с 2018 года (80,8%). </w:t>
      </w:r>
      <w:r w:rsidRPr="00F0736F">
        <w:rPr>
          <w:rFonts w:ascii="Times New Roman" w:hAnsi="Times New Roman" w:cs="Times New Roman"/>
          <w:b/>
          <w:bCs/>
          <w:color w:val="000000" w:themeColor="text1"/>
        </w:rPr>
        <w:t xml:space="preserve">Обрабатывающая промышленность </w:t>
      </w:r>
      <w:r w:rsidRPr="00F0736F">
        <w:rPr>
          <w:rFonts w:ascii="Times New Roman" w:hAnsi="Times New Roman" w:cs="Times New Roman"/>
          <w:color w:val="000000" w:themeColor="text1"/>
        </w:rPr>
        <w:t>региона представлена производством продуктов питания, легкой и химической промышленностью, производством резиновых и пластмассовых изделий, производством прочей неметаллической минеральной продукции, металлургией и машиностроением.</w:t>
      </w:r>
      <w:r w:rsidRPr="00F0736F">
        <w:rPr>
          <w:rFonts w:ascii="Times New Roman" w:hAnsi="Times New Roman" w:cs="Times New Roman"/>
          <w:color w:val="000000" w:themeColor="text1"/>
          <w:sz w:val="28"/>
          <w:szCs w:val="28"/>
        </w:rPr>
        <w:t xml:space="preserve"> </w:t>
      </w:r>
      <w:r w:rsidRPr="00F0736F">
        <w:rPr>
          <w:rFonts w:ascii="Times New Roman" w:hAnsi="Times New Roman" w:cs="Times New Roman"/>
          <w:color w:val="000000" w:themeColor="text1"/>
        </w:rPr>
        <w:t>В целях наращивания объемов производства и освоения новых месторождений ведется разработка медно-молибденового месторождения «Кызылту» (Ерейментауский район) и строительство фабрики обогащения каолина сырца ТОО «Arai Pro» мощностью 80 тыс. т. в год.</w:t>
      </w:r>
    </w:p>
    <w:p w14:paraId="1D7DDB6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целом показатель производительности труда в обрабатывающей промышленности Акмолинской области в 2 раза ниже, чем в среднем по Республике Казахстан, и находится примерно на уровне таких регионов, как Северо-Казахстанская область, Западно-Казахстанская область, Костанайская область, Кызылординская область, Южно-Казахстанская область, где отсутствует один из наиболее высокопроизводительных секторов – нефтепереработка.</w:t>
      </w:r>
    </w:p>
    <w:p w14:paraId="0057E494" w14:textId="2E102D59"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Доля области в валовом выпуске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в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году составляла 9% (5-е место). </w:t>
      </w:r>
    </w:p>
    <w:p w14:paraId="3DA86D13" w14:textId="77777777" w:rsidR="00EC1270" w:rsidRPr="00F0736F" w:rsidRDefault="00EC1270" w:rsidP="00AC1D5B">
      <w:pPr>
        <w:ind w:firstLine="709"/>
        <w:jc w:val="both"/>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795"/>
        <w:gridCol w:w="2482"/>
        <w:gridCol w:w="2483"/>
      </w:tblGrid>
      <w:tr w:rsidR="00F0736F" w:rsidRPr="00F0736F" w14:paraId="26B3F514" w14:textId="77777777" w:rsidTr="000B2B8A">
        <w:tc>
          <w:tcPr>
            <w:tcW w:w="1101" w:type="dxa"/>
            <w:shd w:val="clear" w:color="auto" w:fill="auto"/>
          </w:tcPr>
          <w:p w14:paraId="46E8BE88" w14:textId="77777777" w:rsidR="00AC1D5B" w:rsidRPr="00F0736F" w:rsidRDefault="00AC1D5B" w:rsidP="00AC1D5B">
            <w:pPr>
              <w:jc w:val="both"/>
              <w:rPr>
                <w:rFonts w:ascii="Times New Roman" w:hAnsi="Times New Roman" w:cs="Times New Roman"/>
                <w:color w:val="000000" w:themeColor="text1"/>
                <w:sz w:val="22"/>
                <w:szCs w:val="22"/>
              </w:rPr>
            </w:pPr>
          </w:p>
        </w:tc>
        <w:tc>
          <w:tcPr>
            <w:tcW w:w="3931" w:type="dxa"/>
            <w:shd w:val="clear" w:color="auto" w:fill="auto"/>
          </w:tcPr>
          <w:p w14:paraId="69E24D28" w14:textId="77777777" w:rsidR="00AC1D5B" w:rsidRPr="00F0736F" w:rsidRDefault="00AC1D5B" w:rsidP="00AC1D5B">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Валовая продукция сельского хозяйств, млрд. тенге</w:t>
            </w:r>
          </w:p>
        </w:tc>
        <w:tc>
          <w:tcPr>
            <w:tcW w:w="2516" w:type="dxa"/>
            <w:shd w:val="clear" w:color="auto" w:fill="auto"/>
          </w:tcPr>
          <w:p w14:paraId="29B6F962" w14:textId="77777777" w:rsidR="00AC1D5B" w:rsidRPr="00F0736F" w:rsidRDefault="00AC1D5B" w:rsidP="00AC1D5B">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Растениеводство, млрд. тенге</w:t>
            </w:r>
          </w:p>
        </w:tc>
        <w:tc>
          <w:tcPr>
            <w:tcW w:w="2517" w:type="dxa"/>
            <w:shd w:val="clear" w:color="auto" w:fill="auto"/>
          </w:tcPr>
          <w:p w14:paraId="6B89F61F" w14:textId="77777777" w:rsidR="00AC1D5B" w:rsidRPr="00F0736F" w:rsidRDefault="00AC1D5B" w:rsidP="00AC1D5B">
            <w:pPr>
              <w:jc w:val="both"/>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Животноводство, млрд. тенге</w:t>
            </w:r>
          </w:p>
        </w:tc>
      </w:tr>
      <w:tr w:rsidR="00F0736F" w:rsidRPr="00F0736F" w14:paraId="305F3782" w14:textId="77777777" w:rsidTr="000B2B8A">
        <w:tc>
          <w:tcPr>
            <w:tcW w:w="1101" w:type="dxa"/>
            <w:shd w:val="clear" w:color="auto" w:fill="auto"/>
          </w:tcPr>
          <w:p w14:paraId="60CDD6CE"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2017</w:t>
            </w:r>
          </w:p>
        </w:tc>
        <w:tc>
          <w:tcPr>
            <w:tcW w:w="3931" w:type="dxa"/>
            <w:shd w:val="clear" w:color="auto" w:fill="auto"/>
          </w:tcPr>
          <w:p w14:paraId="53B6952B"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378,2</w:t>
            </w:r>
          </w:p>
        </w:tc>
        <w:tc>
          <w:tcPr>
            <w:tcW w:w="2516" w:type="dxa"/>
            <w:shd w:val="clear" w:color="auto" w:fill="auto"/>
          </w:tcPr>
          <w:p w14:paraId="1E8587E3"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254</w:t>
            </w:r>
          </w:p>
        </w:tc>
        <w:tc>
          <w:tcPr>
            <w:tcW w:w="2517" w:type="dxa"/>
            <w:shd w:val="clear" w:color="auto" w:fill="auto"/>
          </w:tcPr>
          <w:p w14:paraId="03BACD36"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123,3</w:t>
            </w:r>
          </w:p>
        </w:tc>
      </w:tr>
      <w:tr w:rsidR="00F0736F" w:rsidRPr="00F0736F" w14:paraId="78C3B6F0" w14:textId="77777777" w:rsidTr="000B2B8A">
        <w:tc>
          <w:tcPr>
            <w:tcW w:w="1101" w:type="dxa"/>
            <w:shd w:val="clear" w:color="auto" w:fill="auto"/>
          </w:tcPr>
          <w:p w14:paraId="4FE1341E"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2018</w:t>
            </w:r>
          </w:p>
        </w:tc>
        <w:tc>
          <w:tcPr>
            <w:tcW w:w="3931" w:type="dxa"/>
            <w:shd w:val="clear" w:color="auto" w:fill="auto"/>
          </w:tcPr>
          <w:p w14:paraId="0D993E17"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406,7</w:t>
            </w:r>
          </w:p>
        </w:tc>
        <w:tc>
          <w:tcPr>
            <w:tcW w:w="2516" w:type="dxa"/>
            <w:shd w:val="clear" w:color="auto" w:fill="auto"/>
          </w:tcPr>
          <w:p w14:paraId="4AEFAE01"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268,8</w:t>
            </w:r>
          </w:p>
        </w:tc>
        <w:tc>
          <w:tcPr>
            <w:tcW w:w="2517" w:type="dxa"/>
            <w:shd w:val="clear" w:color="auto" w:fill="auto"/>
          </w:tcPr>
          <w:p w14:paraId="67F3384C"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136,9</w:t>
            </w:r>
          </w:p>
        </w:tc>
      </w:tr>
      <w:tr w:rsidR="00F0736F" w:rsidRPr="00F0736F" w14:paraId="0132E7DB" w14:textId="77777777" w:rsidTr="000B2B8A">
        <w:tc>
          <w:tcPr>
            <w:tcW w:w="1101" w:type="dxa"/>
            <w:shd w:val="clear" w:color="auto" w:fill="auto"/>
          </w:tcPr>
          <w:p w14:paraId="074E14A5"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2019</w:t>
            </w:r>
          </w:p>
        </w:tc>
        <w:tc>
          <w:tcPr>
            <w:tcW w:w="3931" w:type="dxa"/>
            <w:shd w:val="clear" w:color="auto" w:fill="auto"/>
          </w:tcPr>
          <w:p w14:paraId="597AB05E"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487,5</w:t>
            </w:r>
          </w:p>
        </w:tc>
        <w:tc>
          <w:tcPr>
            <w:tcW w:w="2516" w:type="dxa"/>
            <w:shd w:val="clear" w:color="auto" w:fill="auto"/>
          </w:tcPr>
          <w:p w14:paraId="52CCE95A"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318,2</w:t>
            </w:r>
          </w:p>
        </w:tc>
        <w:tc>
          <w:tcPr>
            <w:tcW w:w="2517" w:type="dxa"/>
            <w:shd w:val="clear" w:color="auto" w:fill="auto"/>
          </w:tcPr>
          <w:p w14:paraId="1A210E6B" w14:textId="77777777" w:rsidR="00AC1D5B" w:rsidRPr="00F0736F" w:rsidRDefault="00AC1D5B" w:rsidP="00AC1D5B">
            <w:pPr>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167,9</w:t>
            </w:r>
          </w:p>
        </w:tc>
      </w:tr>
    </w:tbl>
    <w:p w14:paraId="18F56CE4" w14:textId="77777777" w:rsidR="00AC1D5B" w:rsidRPr="00F0736F" w:rsidRDefault="00AC1D5B" w:rsidP="00AC1D5B">
      <w:pPr>
        <w:ind w:firstLine="709"/>
        <w:jc w:val="both"/>
        <w:rPr>
          <w:rFonts w:ascii="Times New Roman" w:hAnsi="Times New Roman" w:cs="Times New Roman"/>
          <w:i/>
          <w:iCs/>
          <w:color w:val="000000" w:themeColor="text1"/>
          <w:sz w:val="22"/>
          <w:szCs w:val="22"/>
        </w:rPr>
      </w:pPr>
      <w:r w:rsidRPr="00F0736F">
        <w:rPr>
          <w:rFonts w:ascii="Times New Roman" w:hAnsi="Times New Roman" w:cs="Times New Roman"/>
          <w:i/>
          <w:iCs/>
          <w:color w:val="000000" w:themeColor="text1"/>
          <w:sz w:val="22"/>
          <w:szCs w:val="22"/>
        </w:rPr>
        <w:t>*Данные Комитета по статистике МНЭ РК</w:t>
      </w:r>
    </w:p>
    <w:p w14:paraId="1A5F2060" w14:textId="77777777" w:rsidR="00AC1D5B" w:rsidRPr="00F0736F" w:rsidRDefault="00AC1D5B" w:rsidP="00AC1D5B">
      <w:pPr>
        <w:jc w:val="both"/>
        <w:rPr>
          <w:rFonts w:ascii="Times New Roman" w:hAnsi="Times New Roman" w:cs="Times New Roman"/>
          <w:i/>
          <w:iCs/>
          <w:color w:val="000000" w:themeColor="text1"/>
          <w:sz w:val="22"/>
          <w:szCs w:val="22"/>
        </w:rPr>
      </w:pPr>
    </w:p>
    <w:p w14:paraId="4E69D50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Основной продукцией сельского хозяйства региона являются зерновые культуры, посевная площадь которых в области самая большая в Казахстане – 4,3 млн. га, или 27,9% от всей посевной площади в стране. </w:t>
      </w:r>
    </w:p>
    <w:p w14:paraId="4D1E876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273D8D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по сравнению с предыдущим годом площадь под пшеницу снизилась на 3,5%, овощей - на 2,1%. Площади масличных культур увеличены на 24,1% до 272,7 тыс. га, картофеля на 0,5%.</w:t>
      </w:r>
    </w:p>
    <w:p w14:paraId="7F72F674" w14:textId="77777777" w:rsidR="00AC1D5B" w:rsidRPr="00F0736F" w:rsidRDefault="00AC1D5B" w:rsidP="00AC1D5B">
      <w:pPr>
        <w:widowControl w:val="0"/>
        <w:overflowPunct/>
        <w:ind w:firstLine="709"/>
        <w:jc w:val="both"/>
        <w:rPr>
          <w:color w:val="000000" w:themeColor="text1"/>
          <w:kern w:val="0"/>
        </w:rPr>
      </w:pPr>
      <w:r w:rsidRPr="00F0736F">
        <w:rPr>
          <w:rFonts w:ascii="Times New Roman" w:hAnsi="Times New Roman" w:cs="Times New Roman"/>
          <w:color w:val="000000" w:themeColor="text1"/>
        </w:rPr>
        <w:t xml:space="preserve">В 2019 году область провела яровой сев на площади свыше 4,8 млн. га, в том числе зерновые и зернобобовые культуры были размещены на площади 4,3 млн. га. Масличные культуры были размещены на площади 260,5 тыс. га, кормовые культуры — 178,2 тыс. га. В целом, по области общая площадь кормовых (с учетом многолетних трав прошлых лет) составила — 677,1 тыс. га. Посадка картофеля и овощей с учетом населения проведена на площади — 17,4 тыс. га и 3,8 тыс. га. </w:t>
      </w:r>
    </w:p>
    <w:p w14:paraId="7865B0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повышения продуктивности скота в секторе домашних хозяйств проводится работа по искусственному осеменению и скрещиванию КРС с племенными животными, в стадах хозяйств населения, крестьянских и фермерских хозяйств за 2017 год в области искусственным осеменением охвачено 44,8 тыс. голов коров и телок. Охват маточного поголовья в целом по области составил 21,6%. Выполняются мероприятия по проведению породного преобразования. В результате по состоянию на 23 августа 2019 года в данный процесс вовлечено 53,6 тыс. голов маточного поголовья, или 25,8% от всего маточного поголовья. </w:t>
      </w:r>
    </w:p>
    <w:p w14:paraId="703DBC69" w14:textId="514E8966"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Площадь пастбищ на землях сельскохозяйственного назначения по области составляет 4493,4 тыс. га, в том числе обводненных 1370,6 тыс. га, или 31%. В рамках плана мероприятий по обводнению пастбищ, утвержденных приказом и.о. Министра сельского хозяйства Республики Казахстан от 07.04.2017 г. №154, дополнительно построен 31 колодец (скважина).</w:t>
      </w:r>
    </w:p>
    <w:p w14:paraId="0B71EAAE" w14:textId="239975F2"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 xml:space="preserve">Общая площадь </w:t>
      </w:r>
      <w:r w:rsidRPr="00F0736F">
        <w:rPr>
          <w:rFonts w:ascii="Times New Roman" w:eastAsia="Calibri" w:hAnsi="Times New Roman" w:cs="Times New Roman"/>
          <w:b/>
          <w:bCs/>
          <w:color w:val="000000" w:themeColor="text1"/>
        </w:rPr>
        <w:t>земельного фонда</w:t>
      </w:r>
      <w:r w:rsidRPr="00F0736F">
        <w:rPr>
          <w:rFonts w:ascii="Times New Roman" w:eastAsia="Calibri" w:hAnsi="Times New Roman" w:cs="Times New Roman"/>
          <w:color w:val="000000" w:themeColor="text1"/>
        </w:rPr>
        <w:t xml:space="preserve"> Акмолинской области по состоянию на конец 2017 года составляла </w:t>
      </w:r>
      <w:r w:rsidRPr="00F0736F">
        <w:rPr>
          <w:rFonts w:ascii="Times New Roman" w:hAnsi="Times New Roman" w:cs="Times New Roman"/>
          <w:color w:val="000000" w:themeColor="text1"/>
          <w:lang w:eastAsia="ru-RU"/>
        </w:rPr>
        <w:t>14 613,2</w:t>
      </w:r>
      <w:r w:rsidRPr="00F0736F">
        <w:rPr>
          <w:rFonts w:ascii="Times New Roman" w:eastAsia="Calibri" w:hAnsi="Times New Roman" w:cs="Times New Roman"/>
          <w:color w:val="000000" w:themeColor="text1"/>
        </w:rPr>
        <w:t xml:space="preserve"> тыс. га. В общей структуре земельного фонда области земли сельскохозяйственного назначения составили 74%, или 10 817,7 тыс. га, и п</w:t>
      </w:r>
      <w:r w:rsidRPr="00F0736F">
        <w:rPr>
          <w:rFonts w:ascii="Times New Roman" w:hAnsi="Times New Roman" w:cs="Times New Roman"/>
          <w:color w:val="000000" w:themeColor="text1"/>
        </w:rPr>
        <w:t>о сравнению с 2016 годом на 33,8 тыс. га, или на 0,3%. Вместе с тем, за счет трансформации сельскохозяйственных угодий, вовлечения залежей и предоставления на конкурсной основе, площадь пашни увеличилась на 57,8 тыс. га. (5772,1 тыс. га). Увеличение пастбищ по сравнению с 2016 годом (4493,4 тыс. га) составило 10,6 тыс. га (4504,0 тыс. га).</w:t>
      </w:r>
    </w:p>
    <w:p w14:paraId="2C44C34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Средний балл бонитета по области составляет 30. Согласно сведениям специализированной организации, ведущей государственный земельный кадастр, по состоянию на 1 января 2017 г. деградации были подвержены 13179,7 тыс. га сельскохозяйственных угодий, в том числе площадь защебненных земель составила 2390,8 тыс. га, засоленных – 1556,7 тыс. га, солонцовых – 3186,2 тыс. га, смытых – 562 тыс. га, дефлированных – 9,6 тыс. га, переувлажненных – 164,5 тыс. га, заболоченных – 115,6 тыс. га.</w:t>
      </w:r>
    </w:p>
    <w:p w14:paraId="6504E2E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Земли граждан для ведения крестьянского хозяйства в составе сельскохозяйственных земель составляют 22,8% (2469,2 тыс. га). Земли государственных сельскохозяйственных юридических лиц составляют 0,2% (19,8 тыс. га). Площадь земель граждан для ведения садоводства и дачного строительства составляет 7,0 тыс. га (0,1%).</w:t>
      </w:r>
    </w:p>
    <w:p w14:paraId="078246F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2BE8187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lang w:eastAsia="ru-RU"/>
        </w:rPr>
        <w:t>Электроснабжение</w:t>
      </w:r>
      <w:r w:rsidRPr="00F0736F">
        <w:rPr>
          <w:rFonts w:ascii="Times New Roman" w:hAnsi="Times New Roman" w:cs="Times New Roman"/>
          <w:color w:val="000000" w:themeColor="text1"/>
          <w:lang w:eastAsia="ru-RU"/>
        </w:rPr>
        <w:t xml:space="preserve"> населенных пунктов Акмолинской области осуществляется 4 электросетевыми компаниями: АО «АРЭК», ТОО «Кокшетау Энерго», ТОО «Энергопромкомпани», ТОО «Степногорск Энерготранзит».</w:t>
      </w:r>
    </w:p>
    <w:p w14:paraId="01FE63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В 2017 году д</w:t>
      </w:r>
      <w:r w:rsidRPr="00F0736F">
        <w:rPr>
          <w:rFonts w:ascii="Times New Roman" w:hAnsi="Times New Roman" w:cs="Times New Roman"/>
          <w:color w:val="000000" w:themeColor="text1"/>
        </w:rPr>
        <w:t xml:space="preserve">оля сетей электроснабжения, нуждающихся в ремонте, по Акмолинской области составила 40%. Уровень удовлетворенности потребителей качеством услуг по электроснабжению составил 94% (по сравнению с 2010 годом рост на 34 пункта). Число аварий на 1 км сетей на объектах электроснабжения составило 0,01%. Уровень нормативных потерь составил 24%. Общая протяженность электрических сетей составляет 821,3 км, 44,2% сетей в нормативном состоянии и 55,8% требует ремонта. </w:t>
      </w:r>
    </w:p>
    <w:p w14:paraId="17482EA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структуре потребления электроэнергия Акмолинского региона 33% приходится на промышленный сектор, в том числе энергетика, 22% на транспортный сектор, 11,2% население, 12,3% сельское хозяйство, 20,5% другие отрасли экономики. 93,5% жилого фонда региона в надлежащем состоянии, 5,4% требует ремонта и 1,1% в аварийном состоянии. Жилищный сектор потребляет около 11,2% электрической энергии и 61% отпускаемой тепловой энергии.</w:t>
      </w:r>
    </w:p>
    <w:p w14:paraId="4733965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по области модернизировано 66 км уличного освещения с применением энергосберегающих ламп, освоено 130,8 млн. тенге. В целом техническое состояние уличного освещения удовлетворительное, в целях повышения энергоэффективности продолжаются работы по реконструкции.</w:t>
      </w:r>
    </w:p>
    <w:p w14:paraId="211A686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Доля выработанной электроэнергии </w:t>
      </w:r>
      <w:r w:rsidRPr="00F0736F">
        <w:rPr>
          <w:rFonts w:ascii="Times New Roman" w:hAnsi="Times New Roman" w:cs="Times New Roman"/>
          <w:b/>
          <w:color w:val="000000" w:themeColor="text1"/>
        </w:rPr>
        <w:t>возобновляемыми источниками энергии</w:t>
      </w:r>
      <w:r w:rsidRPr="00F0736F">
        <w:rPr>
          <w:rFonts w:ascii="Times New Roman" w:hAnsi="Times New Roman" w:cs="Times New Roman"/>
          <w:color w:val="000000" w:themeColor="text1"/>
        </w:rPr>
        <w:t xml:space="preserve"> в общем объеме выработанной электроэнергии составила в 2018 году 16,7% при плане 16,7%.</w:t>
      </w:r>
    </w:p>
    <w:p w14:paraId="0D2351F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Акмолинской области в последние годы реализованы и реализуются следующие проекты:</w:t>
      </w:r>
    </w:p>
    <w:p w14:paraId="1F0C4C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«Ветроэнергетическая установка». ТОО «Агрофирма «Родина» в Целиноградском районе (проектная мощность – 657 кВт);</w:t>
      </w:r>
    </w:p>
    <w:p w14:paraId="35EBD0D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«Ветровая электрическая станция». ТОО «Первая ветровая электрическая станция» в Ерейментауском районе (проектная мощность – 45 МВт.).</w:t>
      </w:r>
    </w:p>
    <w:p w14:paraId="32B74C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в сфере ВИЭ и энергосберегающих технологий реализуются следующие проекты:</w:t>
      </w:r>
    </w:p>
    <w:p w14:paraId="3CF4268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«Солнечная электростанция». ТОО «KB ENTERPRISES» в Целиноградском районе (мощностью 100 МВт); </w:t>
      </w:r>
    </w:p>
    <w:p w14:paraId="7D772AF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«Ветропарк». ТОО «Цатэк GreenEnergy» в Аршалынском районе (мощностью 100 МВт);</w:t>
      </w:r>
    </w:p>
    <w:p w14:paraId="5FB80D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ветровой электрической станции» в Ерейментауском районе (с мощностью 50 МВт с перспективой расширения до 300 МВт). ТОО «Erеуmentau Wind Power» (ТОО «ПЭВС»);</w:t>
      </w:r>
    </w:p>
    <w:p w14:paraId="32E5752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ветровой электростанции» в г. Кокшетау (мощностью 3,75 МВт). ТОО «Ветер Инвест Кокшетау»;</w:t>
      </w:r>
    </w:p>
    <w:p w14:paraId="27CB9D1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«Ветровая электростанция» в Сандыктауском районе (мощностью 7,0 МВт). ТОО «Вичи».</w:t>
      </w:r>
    </w:p>
    <w:p w14:paraId="4955C82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реализации всех проектов Акмолинская область может стать лидером по доле возобновляемой энергетики в общем производстве электроэнергии. Ожидается, что к 2023 году данный показатель повысится до 45%.</w:t>
      </w:r>
    </w:p>
    <w:p w14:paraId="7AED6439" w14:textId="6D0AFA8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eastAsia="ru-RU"/>
        </w:rPr>
        <w:t>В</w:t>
      </w:r>
      <w:r w:rsidRPr="00F0736F">
        <w:rPr>
          <w:rFonts w:ascii="Times New Roman" w:hAnsi="Times New Roman" w:cs="Times New Roman"/>
          <w:color w:val="000000" w:themeColor="text1"/>
          <w:lang w:val="kk-KZ" w:eastAsia="ru-RU"/>
        </w:rPr>
        <w:t xml:space="preserve"> 2017 год</w:t>
      </w:r>
      <w:r w:rsidRPr="00F0736F">
        <w:rPr>
          <w:rFonts w:ascii="Times New Roman" w:hAnsi="Times New Roman" w:cs="Times New Roman"/>
          <w:color w:val="000000" w:themeColor="text1"/>
          <w:lang w:eastAsia="ru-RU"/>
        </w:rPr>
        <w:t>у</w:t>
      </w:r>
      <w:r w:rsidRPr="00F0736F">
        <w:rPr>
          <w:rFonts w:ascii="Times New Roman" w:hAnsi="Times New Roman" w:cs="Times New Roman"/>
          <w:color w:val="000000" w:themeColor="text1"/>
          <w:lang w:val="kk-KZ" w:eastAsia="ru-RU"/>
        </w:rPr>
        <w:t xml:space="preserve"> о</w:t>
      </w:r>
      <w:r w:rsidRPr="00F0736F">
        <w:rPr>
          <w:rFonts w:ascii="Times New Roman" w:hAnsi="Times New Roman" w:cs="Times New Roman"/>
          <w:color w:val="000000" w:themeColor="text1"/>
          <w:lang w:eastAsia="ru-RU"/>
        </w:rPr>
        <w:t xml:space="preserve">бщая протяженность </w:t>
      </w:r>
      <w:r w:rsidRPr="00F0736F">
        <w:rPr>
          <w:rFonts w:ascii="Times New Roman" w:hAnsi="Times New Roman" w:cs="Times New Roman"/>
          <w:b/>
          <w:bCs/>
          <w:color w:val="000000" w:themeColor="text1"/>
          <w:lang w:val="kk-KZ" w:eastAsia="ru-RU"/>
        </w:rPr>
        <w:t xml:space="preserve">тепловых и паровых </w:t>
      </w:r>
      <w:r w:rsidRPr="00F0736F">
        <w:rPr>
          <w:rFonts w:ascii="Times New Roman" w:hAnsi="Times New Roman" w:cs="Times New Roman"/>
          <w:b/>
          <w:bCs/>
          <w:color w:val="000000" w:themeColor="text1"/>
          <w:lang w:eastAsia="ru-RU"/>
        </w:rPr>
        <w:t>сетей</w:t>
      </w:r>
      <w:r w:rsidRPr="00F0736F">
        <w:rPr>
          <w:rFonts w:ascii="Times New Roman" w:hAnsi="Times New Roman" w:cs="Times New Roman"/>
          <w:color w:val="000000" w:themeColor="text1"/>
          <w:lang w:eastAsia="ru-RU"/>
        </w:rPr>
        <w:t xml:space="preserve"> состав</w:t>
      </w:r>
      <w:r w:rsidRPr="00F0736F">
        <w:rPr>
          <w:rFonts w:ascii="Times New Roman" w:hAnsi="Times New Roman" w:cs="Times New Roman"/>
          <w:color w:val="000000" w:themeColor="text1"/>
          <w:lang w:val="kk-KZ" w:eastAsia="ru-RU"/>
        </w:rPr>
        <w:t>ила</w:t>
      </w:r>
      <w:r w:rsidRPr="00F0736F">
        <w:rPr>
          <w:rFonts w:ascii="Times New Roman" w:hAnsi="Times New Roman" w:cs="Times New Roman"/>
          <w:color w:val="000000" w:themeColor="text1"/>
          <w:lang w:eastAsia="ru-RU"/>
        </w:rPr>
        <w:t xml:space="preserve"> </w:t>
      </w:r>
      <w:r w:rsidRPr="00F0736F">
        <w:rPr>
          <w:rFonts w:ascii="Times New Roman" w:hAnsi="Times New Roman" w:cs="Times New Roman"/>
          <w:color w:val="000000" w:themeColor="text1"/>
          <w:lang w:val="kk-KZ" w:eastAsia="ru-RU"/>
        </w:rPr>
        <w:t>903,6 </w:t>
      </w:r>
      <w:r w:rsidRPr="00F0736F">
        <w:rPr>
          <w:rFonts w:ascii="Times New Roman" w:hAnsi="Times New Roman" w:cs="Times New Roman"/>
          <w:color w:val="000000" w:themeColor="text1"/>
          <w:lang w:eastAsia="ru-RU"/>
        </w:rPr>
        <w:t>км</w:t>
      </w:r>
      <w:r w:rsidRPr="00F0736F">
        <w:rPr>
          <w:rFonts w:ascii="Times New Roman" w:hAnsi="Times New Roman" w:cs="Times New Roman"/>
          <w:color w:val="000000" w:themeColor="text1"/>
          <w:lang w:val="kk-KZ" w:eastAsia="ru-RU"/>
        </w:rPr>
        <w:t>,</w:t>
      </w:r>
      <w:r w:rsidRPr="00F0736F">
        <w:rPr>
          <w:rFonts w:ascii="Times New Roman" w:hAnsi="Times New Roman" w:cs="Times New Roman"/>
          <w:color w:val="000000" w:themeColor="text1"/>
          <w:lang w:eastAsia="ru-RU"/>
        </w:rPr>
        <w:t xml:space="preserve"> </w:t>
      </w:r>
      <w:r w:rsidRPr="00F0736F">
        <w:rPr>
          <w:rFonts w:ascii="Times New Roman" w:hAnsi="Times New Roman" w:cs="Times New Roman"/>
          <w:color w:val="000000" w:themeColor="text1"/>
          <w:lang w:val="kk-KZ" w:eastAsia="ru-RU"/>
        </w:rPr>
        <w:t>из них ветхие сети – 221,1 км, или 24,5%, нуждаются в замене – 234,1 км, или 25,9%, заменено – 32,2 км. К</w:t>
      </w:r>
      <w:r w:rsidRPr="00F0736F">
        <w:rPr>
          <w:rFonts w:ascii="Times New Roman" w:hAnsi="Times New Roman" w:cs="Times New Roman"/>
          <w:color w:val="000000" w:themeColor="text1"/>
          <w:lang w:eastAsia="ru-RU"/>
        </w:rPr>
        <w:t>оличество источников теплоснабжения состав</w:t>
      </w:r>
      <w:r w:rsidRPr="00F0736F">
        <w:rPr>
          <w:rFonts w:ascii="Times New Roman" w:hAnsi="Times New Roman" w:cs="Times New Roman"/>
          <w:color w:val="000000" w:themeColor="text1"/>
          <w:lang w:val="kk-KZ" w:eastAsia="ru-RU"/>
        </w:rPr>
        <w:t>и</w:t>
      </w:r>
      <w:r w:rsidRPr="00F0736F">
        <w:rPr>
          <w:rFonts w:ascii="Times New Roman" w:hAnsi="Times New Roman" w:cs="Times New Roman"/>
          <w:color w:val="000000" w:themeColor="text1"/>
          <w:lang w:eastAsia="ru-RU"/>
        </w:rPr>
        <w:t>л</w:t>
      </w:r>
      <w:r w:rsidRPr="00F0736F">
        <w:rPr>
          <w:rFonts w:ascii="Times New Roman" w:hAnsi="Times New Roman" w:cs="Times New Roman"/>
          <w:color w:val="000000" w:themeColor="text1"/>
          <w:lang w:val="kk-KZ" w:eastAsia="ru-RU"/>
        </w:rPr>
        <w:t>о 290</w:t>
      </w:r>
      <w:r w:rsidRPr="00F0736F">
        <w:rPr>
          <w:rFonts w:ascii="Times New Roman" w:hAnsi="Times New Roman" w:cs="Times New Roman"/>
          <w:color w:val="000000" w:themeColor="text1"/>
          <w:lang w:eastAsia="ru-RU"/>
        </w:rPr>
        <w:t> ед</w:t>
      </w:r>
      <w:r w:rsidRPr="00F0736F">
        <w:rPr>
          <w:rFonts w:ascii="Times New Roman" w:hAnsi="Times New Roman" w:cs="Times New Roman"/>
          <w:color w:val="000000" w:themeColor="text1"/>
          <w:lang w:val="kk-KZ" w:eastAsia="ru-RU"/>
        </w:rPr>
        <w:t xml:space="preserve">иниц, установленных котлов </w:t>
      </w:r>
      <w:r w:rsidRPr="00F0736F">
        <w:rPr>
          <w:rFonts w:ascii="Times New Roman" w:hAnsi="Times New Roman" w:cs="Times New Roman"/>
          <w:color w:val="000000" w:themeColor="text1"/>
        </w:rPr>
        <w:t xml:space="preserve">(энергоустановок) – 761 единица. Объем потребления тепловой энергии снизился с 2385,6 тыс. Гкал в 2015 году до 2355,2 тыс. Гкал в 2017 году, при этом снизился для предприятий и вырос для населения. </w:t>
      </w:r>
    </w:p>
    <w:p w14:paraId="002AE4E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общая протяженность тепловых и паровых сетей выросла до 978,8 км, из них ветхие сети – 244,8 км, или 25%, нуждаются в замене – 256,0 км, или 25,9%, заменено – 17,6 км. Количество источников теплоснабжения составило 520 единиц, установленных котлов (энергоустановок) – 1 029 единиц.  Объем потребления тепловой энергии 2 280,8 тыс. Гкал.</w:t>
      </w:r>
    </w:p>
    <w:p w14:paraId="089C580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мероприятий по обеспечению централизованной подачи газа и отказу от применения газовых баллонов в многоквартирных домах в областном центре восстановлена половина ГРУ. В 2018 году в г. Кокшетау из 226 групповых резервуарных установок функционирует 101 ед., что обеспечивает газом более 13 тыс. квартир. Работа по восстановлению ГРУ продолжается. </w:t>
      </w:r>
    </w:p>
    <w:p w14:paraId="70EA8D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Пятой социальной инициативой Главы государства от 5 марта 2018 года предусмотрено строительство магистрального газопровода «САРЫАРКА» для газификации г. Нур-Султан, центральных и северных регионов республики. Разработана Дорожная карта и предусмотрены средства на разработку проектно-сметной документации для строительства газораспределительных сетей к магистральному газопроводу в Акмолинской области.  Реализация проектов по строительству газораспределительных сетей позволит на первом этапе газифицировать населенные пункты Аршалынского и Целиноградского районов.</w:t>
      </w:r>
    </w:p>
    <w:p w14:paraId="715426A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445B32E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Всего на территории области расположено 93 </w:t>
      </w:r>
      <w:r w:rsidRPr="00F0736F">
        <w:rPr>
          <w:rFonts w:ascii="Times New Roman" w:hAnsi="Times New Roman" w:cs="Times New Roman"/>
          <w:b/>
          <w:bCs/>
          <w:color w:val="000000" w:themeColor="text1"/>
        </w:rPr>
        <w:t>гидротехнических сооружения</w:t>
      </w:r>
      <w:r w:rsidRPr="00F0736F">
        <w:rPr>
          <w:rFonts w:ascii="Times New Roman" w:hAnsi="Times New Roman" w:cs="Times New Roman"/>
          <w:color w:val="000000" w:themeColor="text1"/>
        </w:rPr>
        <w:t>, из которых 18 находятся в республиканской, 66 – в коммунальной, 8 – в частной собственности, 1 – бесхозяйное.</w:t>
      </w:r>
    </w:p>
    <w:p w14:paraId="79BB985C" w14:textId="5643AB51"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w:t>
      </w:r>
      <w:r w:rsidRPr="00F0736F">
        <w:rPr>
          <w:rFonts w:ascii="Times New Roman" w:hAnsi="Times New Roman" w:cs="Times New Roman"/>
          <w:b/>
          <w:bCs/>
          <w:color w:val="000000" w:themeColor="text1"/>
        </w:rPr>
        <w:t>централизованным водоснабжением</w:t>
      </w:r>
      <w:r w:rsidRPr="00F0736F">
        <w:rPr>
          <w:rFonts w:ascii="Times New Roman" w:hAnsi="Times New Roman" w:cs="Times New Roman"/>
          <w:color w:val="000000" w:themeColor="text1"/>
        </w:rPr>
        <w:t xml:space="preserve"> обеспечено 535 394 потребителя, децентрализованным водоснабжением – 53 121 потребитель, из них путем привоза – 1169 (в районах Биржан Сал, Егиндыкольском, Зерендинском). </w:t>
      </w:r>
      <w:r w:rsidRPr="00F0736F">
        <w:rPr>
          <w:rFonts w:ascii="Times New Roman" w:hAnsi="Times New Roman" w:cs="Times New Roman"/>
          <w:color w:val="000000" w:themeColor="text1"/>
          <w:lang w:eastAsia="ru-RU"/>
        </w:rPr>
        <w:t>Фактически системами водоотведения и водоснабжения 100% обеспечены только жители г.</w:t>
      </w:r>
      <w:r w:rsidRPr="00F0736F">
        <w:rPr>
          <w:rFonts w:ascii="Times New Roman" w:hAnsi="Times New Roman" w:cs="Times New Roman"/>
          <w:color w:val="000000" w:themeColor="text1"/>
          <w:lang w:val="kk-KZ" w:eastAsia="ru-RU"/>
        </w:rPr>
        <w:t xml:space="preserve"> </w:t>
      </w:r>
      <w:r w:rsidRPr="00F0736F">
        <w:rPr>
          <w:rFonts w:ascii="Times New Roman" w:hAnsi="Times New Roman" w:cs="Times New Roman"/>
          <w:color w:val="000000" w:themeColor="text1"/>
          <w:lang w:eastAsia="ru-RU"/>
        </w:rPr>
        <w:t xml:space="preserve">Степногорск. </w:t>
      </w:r>
      <w:r w:rsidRPr="00F0736F">
        <w:rPr>
          <w:rFonts w:ascii="Times New Roman" w:hAnsi="Times New Roman" w:cs="Times New Roman"/>
          <w:color w:val="000000" w:themeColor="text1"/>
          <w:lang w:val="kk-KZ"/>
        </w:rPr>
        <w:t xml:space="preserve">В 2017 году 372 населенных пункта (59,8%) области обеспечены центральным водоснабжением. Доступ к центральному водоснабжению составил: в городских населенных пунктах – 86%, в сельских населенных пунктах – 58,8%. </w:t>
      </w:r>
    </w:p>
    <w:p w14:paraId="2CD0EB3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д</w:t>
      </w:r>
      <w:r w:rsidRPr="00F0736F">
        <w:rPr>
          <w:rFonts w:ascii="Times New Roman" w:hAnsi="Times New Roman" w:cs="Times New Roman"/>
          <w:color w:val="000000" w:themeColor="text1"/>
          <w:lang w:val="kk-KZ"/>
        </w:rPr>
        <w:t>оступ к центральному водоснабжению составил: в городских населенных пунктах – 97,8%,</w:t>
      </w:r>
      <w:r w:rsidRPr="00F0736F">
        <w:rPr>
          <w:rFonts w:ascii="Times New Roman" w:hAnsi="Times New Roman" w:cs="Times New Roman"/>
          <w:color w:val="000000" w:themeColor="text1"/>
        </w:rPr>
        <w:t xml:space="preserve"> к центральному водоотведению — 61%, </w:t>
      </w:r>
      <w:r w:rsidRPr="00F0736F">
        <w:rPr>
          <w:rFonts w:ascii="Times New Roman" w:hAnsi="Times New Roman" w:cs="Times New Roman"/>
          <w:color w:val="000000" w:themeColor="text1"/>
          <w:lang w:val="kk-KZ"/>
        </w:rPr>
        <w:t>в сельских населенных пунктах</w:t>
      </w:r>
      <w:r w:rsidRPr="00F0736F">
        <w:rPr>
          <w:rFonts w:ascii="Times New Roman" w:hAnsi="Times New Roman" w:cs="Times New Roman"/>
          <w:color w:val="000000" w:themeColor="text1"/>
        </w:rPr>
        <w:t xml:space="preserve"> соответственно </w:t>
      </w:r>
      <w:r w:rsidRPr="00F0736F">
        <w:rPr>
          <w:rFonts w:ascii="Times New Roman" w:hAnsi="Times New Roman" w:cs="Times New Roman"/>
          <w:color w:val="000000" w:themeColor="text1"/>
          <w:lang w:val="kk-KZ"/>
        </w:rPr>
        <w:t xml:space="preserve">– 60,7% </w:t>
      </w:r>
      <w:r w:rsidRPr="00F0736F">
        <w:rPr>
          <w:rFonts w:ascii="Times New Roman" w:hAnsi="Times New Roman" w:cs="Times New Roman"/>
          <w:color w:val="000000" w:themeColor="text1"/>
        </w:rPr>
        <w:t>и 4,7%</w:t>
      </w:r>
      <w:r w:rsidRPr="00F0736F">
        <w:rPr>
          <w:rFonts w:ascii="Times New Roman" w:hAnsi="Times New Roman" w:cs="Times New Roman"/>
          <w:color w:val="000000" w:themeColor="text1"/>
          <w:lang w:val="kk-KZ"/>
        </w:rPr>
        <w:t xml:space="preserve">. </w:t>
      </w:r>
    </w:p>
    <w:p w14:paraId="65DCAF77" w14:textId="37FBE9C3"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МНЭ РК, протяженность водопроводных сетей в области постоянно растет с 5727,5 км в 2017 году до 5904,2 км в 2019 году, однако постоянно растет и их протяженность, нуждающихся в замене с 1177 км (20,5%) в 2017 году до 1610,5 в 2019 году. Темпы замены далеко не адекватны необходимости. Так за 2015 - 2017 годы в области заменено 299,9 км водопроводных сетей в 2018 году – 191,8 км, в 2019 году — 13,8 км. В результате проведенных работ по обновлению и ремонту водопроводных сетей удалось снизить аварийность на участках с 347 до 120 случаев в 2017 году и 146 случаев в 2018 году и до 140 случаев в 2019 году). Обеспечено приборами учета воды 96% абонентов. Уровень потери воды в городах составил 22,2%. По сравнению с 2015 годом снижено на 7,3%.</w:t>
      </w:r>
    </w:p>
    <w:p w14:paraId="5E44463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обеспеченность жилищного фонда </w:t>
      </w:r>
      <w:r w:rsidRPr="00F0736F">
        <w:rPr>
          <w:rFonts w:ascii="Times New Roman" w:hAnsi="Times New Roman" w:cs="Times New Roman"/>
          <w:b/>
          <w:bCs/>
          <w:color w:val="000000" w:themeColor="text1"/>
        </w:rPr>
        <w:t>централизованным водоотведением</w:t>
      </w:r>
      <w:r w:rsidRPr="00F0736F">
        <w:rPr>
          <w:rFonts w:ascii="Times New Roman" w:hAnsi="Times New Roman" w:cs="Times New Roman"/>
          <w:color w:val="000000" w:themeColor="text1"/>
        </w:rPr>
        <w:t xml:space="preserve"> в 2017 году составила 60,9% (в 2014 г. – 46,7%): в городской местности – 72,2% (в 2014 г. – 67,5%), сельской местности – 51,2% (в 2014 г. – 27,5%). </w:t>
      </w:r>
    </w:p>
    <w:p w14:paraId="7C4597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МНЭ РК, протяженность </w:t>
      </w:r>
      <w:r w:rsidRPr="00F0736F">
        <w:rPr>
          <w:rFonts w:ascii="Times New Roman" w:hAnsi="Times New Roman" w:cs="Times New Roman"/>
          <w:b/>
          <w:bCs/>
          <w:color w:val="000000" w:themeColor="text1"/>
        </w:rPr>
        <w:t>канализационных сетей</w:t>
      </w:r>
      <w:r w:rsidRPr="00F0736F">
        <w:rPr>
          <w:rFonts w:ascii="Times New Roman" w:hAnsi="Times New Roman" w:cs="Times New Roman"/>
          <w:color w:val="000000" w:themeColor="text1"/>
        </w:rPr>
        <w:t xml:space="preserve"> составила 1048,4 км в 2017 году, 1057,3 в 2018 году и 1058,1 км в 2019 году. Более 70% (743,8 км в 2017 году, 747,7 км в 2018 году и 748,5 км в 2019 году) от общей протяженности канализационных сетей приходится на городскую местность. </w:t>
      </w:r>
    </w:p>
    <w:p w14:paraId="14C276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области централизованными сетями водоотведения обеспечены 27 населенных пунктов. В то же время очистные сооружения имеются только в гг. Кокшетау, Степногорск, Щучинск, а также в селах Косшы и Акмол. В остальных населенных пунктах сточные воды сбрасываются в естественные поля фильтрации. Доля очищенных стоков в 2019 году достигла 87,3%.</w:t>
      </w:r>
    </w:p>
    <w:p w14:paraId="035BD11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принятых мер по ремонту и модернизации сетей водоотведения в последние годы в отрасли снизилась аварийность на участках и сетях: с 19 ед. в 2014 году до 9 ед. в 2017 году, 10 ед. – в 2018 году и до 5 в 2019 году.</w:t>
      </w:r>
    </w:p>
    <w:p w14:paraId="7471C2A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Полностью очистные сооружения биологической очистки функционируют в городах Кокшетау, Степногорск, Щучинск Бурабайского района и в селе Акмол Целиноградского района. Однако в городах Кокшетау, Степногорск, а также поселках Шантобе и Аршалы станции биологической и механической очистки построены в 70-80-е годы, имеют большой процент износа зданий, требуют капитального ремонта или полной замены. </w:t>
      </w:r>
      <w:r w:rsidRPr="00F0736F">
        <w:rPr>
          <w:rFonts w:ascii="Times New Roman" w:hAnsi="Times New Roman" w:cs="Times New Roman"/>
          <w:color w:val="000000" w:themeColor="text1"/>
        </w:rPr>
        <w:t>238,8 км в 2017 году и 359,7 км в 2018 году канализационных сетей по области нуждалось в замене.</w:t>
      </w:r>
    </w:p>
    <w:p w14:paraId="4B46B786"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72FB64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Казгидромета населенные пункты Акмолинской области характеризуются низким уровнем загрязнения, включая города Кокшетау и Степногорск (ИЗА = 1-4). Отдельные превышения среднемесячной и максимально-разовой концентрации по пыли и окислам азота до 2-3,5 ПДК отмечались в городе Кокшетау и по приземному озону до 1,65 ПДК в городе Степногорске. Случаи высокого загрязнения (ВЗ) и экстремально высокого загрязнения (ЭВЗ) атмосферного воздуха не обнаружены</w:t>
      </w:r>
      <w:r w:rsidRPr="00F0736F">
        <w:rPr>
          <w:rFonts w:ascii="Times New Roman" w:hAnsi="Times New Roman" w:cs="Times New Roman"/>
          <w:color w:val="000000" w:themeColor="text1"/>
          <w:vertAlign w:val="superscript"/>
        </w:rPr>
        <w:footnoteReference w:id="134"/>
      </w:r>
      <w:r w:rsidRPr="00F0736F">
        <w:rPr>
          <w:rFonts w:ascii="Times New Roman" w:hAnsi="Times New Roman" w:cs="Times New Roman"/>
          <w:color w:val="000000" w:themeColor="text1"/>
        </w:rPr>
        <w:t xml:space="preserve">. На остальных пунктах наблюдений в области, включая пос. Калачи, превышений ПДК не наблюдалось. </w:t>
      </w:r>
    </w:p>
    <w:p w14:paraId="314E2D8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сравнению с 2016 годом состояние атмосферного воздуха не изменилось.</w:t>
      </w:r>
    </w:p>
    <w:p w14:paraId="1F354A8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последние шесть лет </w:t>
      </w:r>
      <w:r w:rsidRPr="00F0736F">
        <w:rPr>
          <w:rFonts w:ascii="Times New Roman" w:hAnsi="Times New Roman" w:cs="Times New Roman"/>
          <w:b/>
          <w:color w:val="000000" w:themeColor="text1"/>
        </w:rPr>
        <w:t>количество источников выбросов</w:t>
      </w:r>
      <w:r w:rsidRPr="00F0736F">
        <w:rPr>
          <w:rFonts w:ascii="Times New Roman" w:hAnsi="Times New Roman" w:cs="Times New Roman"/>
          <w:color w:val="000000" w:themeColor="text1"/>
        </w:rPr>
        <w:t xml:space="preserve"> в регионе имеет тенденцию роста. В 2013-2017 годах данный показатель увеличился в 1,6 раза, с 11,8 тыс. ед. до 18,6 тыс. ед. </w:t>
      </w:r>
      <w:r w:rsidRPr="00F0736F">
        <w:rPr>
          <w:rFonts w:ascii="Times New Roman" w:eastAsia="Times New Roman" w:hAnsi="Times New Roman" w:cs="Times New Roman"/>
          <w:color w:val="000000" w:themeColor="text1"/>
          <w:lang w:eastAsia="ru-RU"/>
        </w:rPr>
        <w:t>Основными источниками загрязнения воздушного бассейна региона являются промышленные и теплоэнергетические предприятия (в частности, в зимний период - котельные), а также автотранспорт. Однако лимит на выбросы постоянно снижается и на 2015 год составил 168,318 тыс. т., на 2016 году - 160,845 тыс. т., на 2017 год - 158,896 тыс. т., со снижением на 1,2% по сравнению с 2016 годом. В первом полугодии 2018 года объем лимитированных промышленных выбросов в атмосферный воздух по Акмолинской области составил 68,93 тыс. т. (2016 г - 80,42 тыс. т., 2017 г - 79,44 тыс. т.).</w:t>
      </w:r>
    </w:p>
    <w:p w14:paraId="5A7885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 xml:space="preserve">Валовой </w:t>
      </w:r>
      <w:r w:rsidRPr="00F0736F">
        <w:rPr>
          <w:rFonts w:ascii="Times New Roman" w:hAnsi="Times New Roman" w:cs="Times New Roman"/>
          <w:b/>
          <w:color w:val="000000" w:themeColor="text1"/>
          <w:lang w:eastAsia="ru-RU"/>
        </w:rPr>
        <w:t>выброс загрязняющих веществ</w:t>
      </w:r>
      <w:r w:rsidRPr="00F0736F">
        <w:rPr>
          <w:rFonts w:ascii="Times New Roman" w:hAnsi="Times New Roman" w:cs="Times New Roman"/>
          <w:color w:val="000000" w:themeColor="text1"/>
          <w:lang w:eastAsia="ru-RU"/>
        </w:rPr>
        <w:t xml:space="preserve"> в атмосферу увеличился с 94,3 тыс. т. в 2015 году до 94,55 тыс. т. в 2016 году и уменьшился до 86,9 тыс. т. в 2017 году и до 76,7 тыс. т. в 2019 году. Это связано с установкой циклонов, очистных сооружений, ПГУ на предприятиях, проведением работ по пылеподавлению, эффективным выполнением природоохранных мероприятий, направленных на уменьшение выбросов загрязняющих веществ.</w:t>
      </w:r>
    </w:p>
    <w:p w14:paraId="5CB270E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Наиболее загрязненными территориями Акмолинской области являются гг. Степногорск и Кокшетау, Зерендинский, Бурабайский, Атбасарский районы, на которые приходится порядка 54,3% всех выбросов в атмосферу по области.</w:t>
      </w:r>
    </w:p>
    <w:p w14:paraId="44A3114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Основными источниками выбросов загрязняющих веществ в регионе являются автотранспорт и предприятия теплоэнергетики. Крупнейшие стационарные источники загрязнения атмосферы: Степногорская ТЭЦ ТОО «Джет-7» и ГКП на ПХВ «Кокшетау Жылу».</w:t>
      </w:r>
    </w:p>
    <w:p w14:paraId="3EDBDC0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 xml:space="preserve">За 2012 - 2017 годы </w:t>
      </w:r>
      <w:r w:rsidRPr="00F0736F">
        <w:rPr>
          <w:rFonts w:ascii="Times New Roman" w:hAnsi="Times New Roman" w:cs="Times New Roman"/>
          <w:color w:val="000000" w:themeColor="text1"/>
        </w:rPr>
        <w:t>количество легковых автомобилей увеличилось на 24,2% с 143,3 тыс. ед. до 178 тыс. ед. В настоящее время 60,7% легковых автомобилей области имеют возраст старше 10 лет. 166,9 тыс. ед., или 93,8%, легковых автомобилей функционирует на бензине.</w:t>
      </w:r>
    </w:p>
    <w:p w14:paraId="13954B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информации акимата Акмолинской области, из 246 ед. общественного транспорта на газ переведено 27 единиц в 2017 г. и 3 единицы в 2016 г.</w:t>
      </w:r>
    </w:p>
    <w:p w14:paraId="617A1A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текущие затраты на охрану окружающей среды составили в 2016 году 2128,6 млн. тенге, 2049,5 млн. тенге, в 2018 году — 2715,4 млн. тенге. А в 2019 году — 3165,4 млн. тенге.</w:t>
      </w:r>
    </w:p>
    <w:p w14:paraId="24541B3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bidi="ar-SA"/>
        </w:rPr>
        <w:t xml:space="preserve">В Акмолинской области сертификаты на </w:t>
      </w:r>
      <w:r w:rsidRPr="00F0736F">
        <w:rPr>
          <w:rFonts w:ascii="Times New Roman" w:eastAsia="Times New Roman" w:hAnsi="Times New Roman" w:cs="Times New Roman"/>
          <w:b/>
          <w:bCs/>
          <w:color w:val="000000" w:themeColor="text1"/>
          <w:lang w:eastAsia="ru-RU" w:bidi="ar-SA"/>
        </w:rPr>
        <w:t>выбросы парниковых газов</w:t>
      </w:r>
      <w:r w:rsidRPr="00F0736F">
        <w:rPr>
          <w:rFonts w:ascii="Times New Roman" w:eastAsia="Times New Roman" w:hAnsi="Times New Roman" w:cs="Times New Roman"/>
          <w:color w:val="000000" w:themeColor="text1"/>
          <w:lang w:eastAsia="ru-RU" w:bidi="ar-SA"/>
        </w:rPr>
        <w:t xml:space="preserve"> получили: ТОО «Степногорская ТЭЦ», АО «Алтынтау Кокшетау», ГКП на ПХВ «Кокшетау Жылу», ТОО «Котельная АСИ».</w:t>
      </w:r>
    </w:p>
    <w:p w14:paraId="49A5DEFB"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По данным РГП «Казгидромет», на основе </w:t>
      </w:r>
      <w:r w:rsidRPr="00F0736F">
        <w:rPr>
          <w:rFonts w:ascii="Times New Roman" w:hAnsi="Times New Roman" w:cs="Times New Roman"/>
          <w:color w:val="000000" w:themeColor="text1"/>
        </w:rPr>
        <w:t>анализа за 2018 год</w:t>
      </w:r>
      <w:r w:rsidRPr="00F0736F">
        <w:rPr>
          <w:rFonts w:ascii="Times New Roman" w:eastAsia="Times New Roman" w:hAnsi="Times New Roman" w:cs="Times New Roman"/>
          <w:color w:val="000000" w:themeColor="text1"/>
        </w:rPr>
        <w:t xml:space="preserve"> высокий </w:t>
      </w:r>
      <w:r w:rsidRPr="00F0736F">
        <w:rPr>
          <w:rFonts w:ascii="Times New Roman" w:eastAsia="Times New Roman" w:hAnsi="Times New Roman" w:cs="Times New Roman"/>
          <w:b/>
          <w:bCs/>
          <w:color w:val="000000" w:themeColor="text1"/>
        </w:rPr>
        <w:t>уровень</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b/>
          <w:bCs/>
          <w:color w:val="000000" w:themeColor="text1"/>
        </w:rPr>
        <w:t>загрязнения воды</w:t>
      </w:r>
      <w:r w:rsidRPr="00F0736F">
        <w:rPr>
          <w:rFonts w:ascii="Times New Roman" w:eastAsia="Times New Roman" w:hAnsi="Times New Roman" w:cs="Times New Roman"/>
          <w:color w:val="000000" w:themeColor="text1"/>
        </w:rPr>
        <w:t xml:space="preserve"> отмечен на реках реки Жабай, Силеты, озера Копа, Бурабай, Улькен Шабакты, Щучье, Киши Шабакты, Жукей, Карасье, Текеколь, Катарколь. Вода «чрезвычайно высокого уровня загрязнения» – реки Кылшыкты, Шагалалы, Аксу, озеро Майбалык.  </w:t>
      </w:r>
    </w:p>
    <w:p w14:paraId="7B682B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сравнению с 2017 годом качество воды в озерах Копа, Бурабай, Текеколь, Катарколь - ухудшилось; в реке Сарыбулак, озеро Лебяжье - улучшилось; реки Есиль, Акбулак, Нура, Беттыбулак, Жабай, Кылшыкты, Шагалалы, вдхр. Вячеславское, канал Нура-Есиль, озера Султанкельды, Зеренды, Щучье, Улькен Шабакты, Карасье, Киши Шабакты, Сулуколь, Майбалык существенно не изменилось.</w:t>
      </w:r>
    </w:p>
    <w:p w14:paraId="665EC7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Единой классификации качество воды водных объектов на территории Акмолинской области за 2019 год оценивается следующим образом: 2 класс – Вячеславское вдхр.; 3 класс – река Силеты; 4 класс – реки Есиль, Нура, канал Нура-Есиль, озеро Султанкельды, Беттыбулак; не нормируются (&gt;5 класса): реки Акбулак, Сарыбулак, Жабай, Аксу, Кылшыкты, Шагалалы, озера Сулуколь, Жукей, Зеренды, Копа, Бурабай, Улькен Шабакты, Щучье, Киши Шабакты, Карасье, Катарколь, Текеколь, Майбалык, Лебяжье </w:t>
      </w:r>
    </w:p>
    <w:p w14:paraId="5D1D6D56"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Сброс загрязненных сточных вод</w:t>
      </w:r>
      <w:r w:rsidRPr="00F0736F">
        <w:rPr>
          <w:rFonts w:ascii="Times New Roman" w:hAnsi="Times New Roman" w:cs="Times New Roman"/>
          <w:color w:val="000000" w:themeColor="text1"/>
        </w:rPr>
        <w:t xml:space="preserve"> снизился с 6,0 тыс. т. в 2016 году до 4,0 тыс. т. в 2017 году.</w:t>
      </w:r>
    </w:p>
    <w:p w14:paraId="4CF8742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728BE17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Промышленные отходы</w:t>
      </w:r>
      <w:r w:rsidRPr="00F0736F">
        <w:rPr>
          <w:rFonts w:ascii="Times New Roman" w:hAnsi="Times New Roman" w:cs="Times New Roman"/>
          <w:color w:val="000000" w:themeColor="text1"/>
        </w:rPr>
        <w:t>, образующиеся на территории области, не утилизируются ввиду отсутствия предприятий по их переработке. Имеется 4 единицы хвостохранилищ: из них 3 - на балансе АО «Казахалтын» (г. Степногорск) и 1 – АО «Васильковский ГОК» (г. Кокшетау). На предприятии ТОО «Степногорский горно-химический комбинат» образуются радиоактивные отходы в результате обогащения полиметаллических руд и технологических растворов.</w:t>
      </w:r>
    </w:p>
    <w:p w14:paraId="7B5482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25 км от г. Степногорск находится одно из крупнейших хвостохранилищ радиоактивных отходов уранового производства. Существует опасность воздействия радиоактивного загрязнения не только близлежащих населенных пунктов, но и более масштабного распространения загрязнения. В целом на территории г. Степногорска вместе с пригородами (п. Пригородный, Аксу, Кварцитка, Заводской) проживают порядка 70 тыс. человек, находящихся в зоне риска влияния радиоактивного загрязнения.</w:t>
      </w:r>
    </w:p>
    <w:p w14:paraId="741FF377" w14:textId="105DB4D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2017 год образование промышленных отходов составило </w:t>
      </w:r>
      <w:r w:rsidRPr="00F0736F">
        <w:rPr>
          <w:rFonts w:ascii="Times New Roman" w:hAnsi="Times New Roman" w:cs="Times New Roman"/>
          <w:color w:val="000000" w:themeColor="text1"/>
          <w:szCs w:val="28"/>
        </w:rPr>
        <w:t>41</w:t>
      </w:r>
      <w:r w:rsidR="00EC1270"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szCs w:val="28"/>
        </w:rPr>
        <w:t xml:space="preserve">343,3 тыс. т., за 2018 год </w:t>
      </w:r>
      <w:r w:rsidR="00EC1270" w:rsidRPr="00F0736F">
        <w:rPr>
          <w:rFonts w:ascii="Times New Roman" w:hAnsi="Times New Roman" w:cs="Times New Roman"/>
          <w:color w:val="000000" w:themeColor="text1"/>
          <w:szCs w:val="28"/>
        </w:rPr>
        <w:t>–</w:t>
      </w:r>
      <w:r w:rsidRPr="00F0736F">
        <w:rPr>
          <w:rFonts w:ascii="Times New Roman" w:hAnsi="Times New Roman" w:cs="Times New Roman"/>
          <w:color w:val="000000" w:themeColor="text1"/>
          <w:szCs w:val="28"/>
        </w:rPr>
        <w:t xml:space="preserve"> 43</w:t>
      </w:r>
      <w:r w:rsidR="00EC1270"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szCs w:val="28"/>
        </w:rPr>
        <w:t xml:space="preserve">877,3 тыс. т. </w:t>
      </w:r>
      <w:r w:rsidRPr="00F0736F">
        <w:rPr>
          <w:rFonts w:ascii="Times New Roman" w:hAnsi="Times New Roman" w:cs="Times New Roman"/>
          <w:color w:val="000000" w:themeColor="text1"/>
        </w:rPr>
        <w:t xml:space="preserve">На повышение объема образования промышленных отходов повлияло увеличение выемки вскрышных пород на крупнейших горнодобывающих предприятиях области. </w:t>
      </w:r>
      <w:r w:rsidRPr="00F0736F">
        <w:rPr>
          <w:rFonts w:ascii="Times New Roman" w:hAnsi="Times New Roman" w:cs="Times New Roman"/>
          <w:color w:val="000000" w:themeColor="text1"/>
          <w:szCs w:val="28"/>
        </w:rPr>
        <w:t>Объем утилизации от общего накопления промышленных отходов по предприятиям Акмолинской области составил 8558,0 тыс. т., или 19,5%.</w:t>
      </w:r>
    </w:p>
    <w:p w14:paraId="08CC23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образовано 241 тыс. т. </w:t>
      </w:r>
      <w:r w:rsidRPr="00F0736F">
        <w:rPr>
          <w:rFonts w:ascii="Times New Roman" w:hAnsi="Times New Roman" w:cs="Times New Roman"/>
          <w:bCs/>
          <w:color w:val="000000" w:themeColor="text1"/>
        </w:rPr>
        <w:t>ТБО,</w:t>
      </w:r>
      <w:r w:rsidRPr="00F0736F">
        <w:rPr>
          <w:rFonts w:ascii="Times New Roman" w:hAnsi="Times New Roman" w:cs="Times New Roman"/>
          <w:color w:val="000000" w:themeColor="text1"/>
        </w:rPr>
        <w:t xml:space="preserve"> из них переработано 2,93%. В 2017 году объем образованных ТБО составило 234 тыс. т., из них переработано 2,11%. В 2018 году 44,50% населения области было охвачено услугами по сбору и вывозу ТБО. И</w:t>
      </w:r>
      <w:r w:rsidRPr="00F0736F">
        <w:rPr>
          <w:rFonts w:ascii="Times New Roman" w:hAnsi="Times New Roman" w:cs="Times New Roman"/>
          <w:color w:val="000000" w:themeColor="text1"/>
          <w:lang w:val="kk-KZ"/>
        </w:rPr>
        <w:t xml:space="preserve">з 400 объектов размещения ТБО всего лишь 28 соответствуют экологическим и санитарным требованиям и нормам, что </w:t>
      </w:r>
      <w:r w:rsidRPr="00F0736F">
        <w:rPr>
          <w:rFonts w:ascii="Times New Roman" w:hAnsi="Times New Roman" w:cs="Times New Roman"/>
          <w:color w:val="000000" w:themeColor="text1"/>
        </w:rPr>
        <w:t>составляло</w:t>
      </w:r>
      <w:r w:rsidRPr="00F0736F">
        <w:rPr>
          <w:rFonts w:ascii="Times New Roman" w:hAnsi="Times New Roman" w:cs="Times New Roman"/>
          <w:color w:val="000000" w:themeColor="text1"/>
          <w:lang w:val="kk-KZ"/>
        </w:rPr>
        <w:t xml:space="preserve"> 7</w:t>
      </w:r>
      <w:r w:rsidRPr="00F0736F">
        <w:rPr>
          <w:rFonts w:ascii="Times New Roman" w:hAnsi="Times New Roman" w:cs="Times New Roman"/>
          <w:color w:val="000000" w:themeColor="text1"/>
        </w:rPr>
        <w:t>%.</w:t>
      </w:r>
    </w:p>
    <w:p w14:paraId="1A7F93A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начало 2020 года на территории области имеется 130 свалок ТБО (имеется земельный акт). Доля объектов размещения твердых бытовых отходов, соответствующих экологическим требованиям и санитарным правилам (от общего количества мест их размещения), составила 20%.</w:t>
      </w:r>
    </w:p>
    <w:p w14:paraId="2B5068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в 2018 году насчитывалось 27 (в 2019 году - 36) предприятий и организаций по сбору и вывозу </w:t>
      </w:r>
      <w:r w:rsidRPr="00F0736F">
        <w:rPr>
          <w:rFonts w:ascii="Times New Roman" w:hAnsi="Times New Roman" w:cs="Times New Roman"/>
          <w:bCs/>
          <w:color w:val="000000" w:themeColor="text1"/>
        </w:rPr>
        <w:t>коммунальных отходов</w:t>
      </w:r>
      <w:r w:rsidRPr="00F0736F">
        <w:rPr>
          <w:rFonts w:ascii="Times New Roman" w:hAnsi="Times New Roman" w:cs="Times New Roman"/>
          <w:color w:val="000000" w:themeColor="text1"/>
        </w:rPr>
        <w:t>.</w:t>
      </w:r>
    </w:p>
    <w:p w14:paraId="46C1FF2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связи с отсутствием мусороперерабатывающих заводов переработка коммунальных отходов на территории области не осуществляется.</w:t>
      </w:r>
    </w:p>
    <w:p w14:paraId="1B6541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Акмолинской области приобретено 199 контейнеров для сбора отработанных ртутьсодержащих ламп и термометров.</w:t>
      </w:r>
    </w:p>
    <w:p w14:paraId="169FBA2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2017 - 2018 гг. в Акмолинской области проведено строительство 2 объектов по переработке отходов: ТОО «ЭкопромБурабай», расположенного в г. Щучинск Бурабайского района, и ТОО «GreenEcoService» расположенного в с. Караоткель Целиноградского района.</w:t>
      </w:r>
    </w:p>
    <w:p w14:paraId="08B550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 видом деятельности комплекса ТОО «ЭкопромБурабай» является прием отходов, сортировка, прессование вторсырья и реализация. Мощность комплекса 30000 т. в год. ТОО «Экопромбурабай» введено в эксплуатацию. </w:t>
      </w:r>
    </w:p>
    <w:p w14:paraId="2EEA5C4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Основным видом деятельности мусороперерабатывающего завода ТОО «GreenEcoService» является переработка ТБО с дальнейшим производством продукции (рулонные, туалетные бумаги, салфетки, картон и все виды бумажных изделий). На предприятии планируется установка самосортировочного оборудования и производственный цех. Мощность сортировочного оборудования составляет до 600 т. в сутки.</w:t>
      </w:r>
    </w:p>
    <w:p w14:paraId="6FE327B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На </w:t>
      </w:r>
      <w:r w:rsidRPr="00F0736F">
        <w:rPr>
          <w:rFonts w:ascii="Times New Roman" w:hAnsi="Times New Roman" w:cs="Times New Roman"/>
          <w:color w:val="000000" w:themeColor="text1"/>
        </w:rPr>
        <w:t xml:space="preserve">начало 2020 года </w:t>
      </w:r>
      <w:r w:rsidRPr="00F0736F">
        <w:rPr>
          <w:rFonts w:ascii="Times New Roman" w:hAnsi="Times New Roman" w:cs="Times New Roman"/>
          <w:color w:val="000000" w:themeColor="text1"/>
          <w:lang w:val="kk-KZ"/>
        </w:rPr>
        <w:t>на территории Акмолинской области действуют 4 предприятия, осуществляющие сбор, сортировку вторичного сырья для реализации: 1) ТОО «LS Kokshetau», г. Кокшетау; 2) ТОО «Экопромбурабай», Бурабайский район, г. Щучинск; 3) ТОО «ЭкоСервисБурабай», Бурабайский район, г. Щучинск и 4) ИП «Баян», Целиноградский район, с. Кабанбай батыра.</w:t>
      </w:r>
    </w:p>
    <w:p w14:paraId="7878B24F" w14:textId="284877CA"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w:t>
      </w:r>
      <w:r w:rsidRPr="00F0736F">
        <w:rPr>
          <w:rFonts w:ascii="Times New Roman" w:hAnsi="Times New Roman" w:cs="Times New Roman"/>
          <w:color w:val="000000" w:themeColor="text1"/>
          <w:lang w:val="en-US"/>
        </w:rPr>
        <w:t>LSKokshetau</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для сбора мусора установлено 30 контейнеров. Основной объем вторсырья поступает от предприятий, организаций области. Объем собранного вторсырья составил 5912,03</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т., в том числе</w:t>
      </w:r>
      <w:r w:rsidRPr="00F0736F">
        <w:rPr>
          <w:rFonts w:ascii="Times New Roman" w:hAnsi="Times New Roman" w:cs="Times New Roman"/>
          <w:color w:val="000000" w:themeColor="text1"/>
        </w:rPr>
        <w:t>: макулатура, картон – 3366,76 т., отходы пластмассовые – 3,32 т.ы, отходы полиэтилена – 379,5 т., стеклобой – 2146,13 т.</w:t>
      </w:r>
    </w:p>
    <w:p w14:paraId="495D7E81" w14:textId="7F284982"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ТОО «Эко-Сервис Бурабай» для сбора мусора установлено 172 контейнеров. Объем собраных ТБО составил 4012,71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Вторсырье прессуется и передается </w:t>
      </w:r>
      <w:r w:rsidRPr="00F0736F">
        <w:rPr>
          <w:rFonts w:ascii="Times New Roman" w:hAnsi="Times New Roman" w:cs="Times New Roman"/>
          <w:color w:val="000000" w:themeColor="text1"/>
        </w:rPr>
        <w:t>ТОО «</w:t>
      </w:r>
      <w:r w:rsidRPr="00F0736F">
        <w:rPr>
          <w:rFonts w:ascii="Times New Roman" w:hAnsi="Times New Roman" w:cs="Times New Roman"/>
          <w:color w:val="000000" w:themeColor="text1"/>
          <w:lang w:val="en-US"/>
        </w:rPr>
        <w:t>LSKokshetau</w:t>
      </w:r>
      <w:r w:rsidRPr="00F0736F">
        <w:rPr>
          <w:rFonts w:ascii="Times New Roman" w:hAnsi="Times New Roman" w:cs="Times New Roman"/>
          <w:color w:val="000000" w:themeColor="text1"/>
        </w:rPr>
        <w:t>» с последующей</w:t>
      </w:r>
      <w:r w:rsidRPr="00F0736F">
        <w:rPr>
          <w:rFonts w:ascii="Times New Roman" w:hAnsi="Times New Roman" w:cs="Times New Roman"/>
          <w:color w:val="000000" w:themeColor="text1"/>
          <w:lang w:val="kk-KZ"/>
        </w:rPr>
        <w:t xml:space="preserve"> реализацией заинтересованным лицам.</w:t>
      </w:r>
    </w:p>
    <w:p w14:paraId="22CAF3CE" w14:textId="144EA624"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ИП «Баян» осуществляет сбор вторсырья для дальнейшей реализации заинтересованным лицам. Объем собранного вторсырья составил 1133,70 т., в том числе: макулатура, картон -</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360,9, отходы пластмассовые -167,9 т., отходы полиэтилена -</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321,4, стеклобой</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162,7, дерево</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112, металл</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8,8, отходы передаются на переработку сторонним организациям.</w:t>
      </w:r>
    </w:p>
    <w:p w14:paraId="5EF7F09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разработано ТЭО «Строительство полигона ТБО с мусоросортировочным пунктом в г. Кокшетау Акмолинской области».</w:t>
      </w:r>
    </w:p>
    <w:p w14:paraId="68D69B83"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iCs/>
          <w:color w:val="000000" w:themeColor="text1"/>
        </w:rPr>
        <w:t xml:space="preserve">Состояние биологических ресурсов и развитие лесного, рыбного и охотничьего хозяйств, </w:t>
      </w:r>
      <w:r w:rsidRPr="00F0736F">
        <w:rPr>
          <w:rFonts w:ascii="Times New Roman" w:hAnsi="Times New Roman" w:cs="Times New Roman"/>
          <w:b/>
          <w:bCs/>
          <w:i/>
          <w:iCs/>
          <w:color w:val="000000" w:themeColor="text1"/>
          <w:lang w:eastAsia="ru-RU" w:bidi="ru-RU"/>
        </w:rPr>
        <w:t xml:space="preserve">ООПТ </w:t>
      </w:r>
      <w:r w:rsidRPr="00F0736F">
        <w:rPr>
          <w:rFonts w:ascii="Times New Roman" w:eastAsia="Calibri" w:hAnsi="Times New Roman" w:cs="Times New Roman"/>
          <w:b/>
          <w:bCs/>
          <w:i/>
          <w:iCs/>
          <w:color w:val="000000" w:themeColor="text1"/>
        </w:rPr>
        <w:t>и экологического туризма</w:t>
      </w:r>
    </w:p>
    <w:p w14:paraId="0C18E0B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Общая площадь покрытых лесом угодий</w:t>
      </w:r>
      <w:r w:rsidRPr="00F0736F">
        <w:rPr>
          <w:rFonts w:ascii="Times New Roman" w:hAnsi="Times New Roman" w:cs="Times New Roman"/>
          <w:color w:val="000000" w:themeColor="text1"/>
        </w:rPr>
        <w:t xml:space="preserve"> государственного лесного фонда, подведомственных акимату Акмолинской области, составляет 223,8 га при плане на 2018 год — 220,3 га. Лесистость территории области – 2,6%.</w:t>
      </w:r>
      <w:r w:rsidRPr="00F0736F">
        <w:rPr>
          <w:rFonts w:ascii="Times New Roman" w:hAnsi="Times New Roman" w:cs="Times New Roman"/>
          <w:b/>
          <w:color w:val="000000" w:themeColor="text1"/>
          <w:lang w:eastAsia="ru-RU"/>
        </w:rPr>
        <w:t xml:space="preserve">  </w:t>
      </w:r>
      <w:r w:rsidRPr="00F0736F">
        <w:rPr>
          <w:rFonts w:ascii="Times New Roman" w:hAnsi="Times New Roman" w:cs="Times New Roman"/>
          <w:color w:val="000000" w:themeColor="text1"/>
          <w:lang w:eastAsia="ru-RU"/>
        </w:rPr>
        <w:t xml:space="preserve">Индекс физического объема инвестиций в основной капитал лесного хозяйства составил – 101,7%. </w:t>
      </w:r>
    </w:p>
    <w:p w14:paraId="31706939" w14:textId="1CAC2D32"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проведена посадка лесных культур проведена на площади 1271 га, в том числе 825 га засчет средств областного бюджета, 35 га по платным услугам учреждений, арендаторами долгосрочного лесопользования 411 га. Проведено содействие естественному возобновлению леса на площади 510 га.</w:t>
      </w:r>
    </w:p>
    <w:p w14:paraId="40818C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13-ти учреждениям лесного хозяйства акимата области зарегистрировано 11 случаев лесных пожаров на общей площади 29,9 га, в т.ч. лесопокрытая - 23,3 га, и 0,2 га нелесная площадь. Ущерб лесному хозяйству составил 861,3 тыс. тенге. Средняя площадь одного лесного пожара на территории государственного лесного фонда, находящегося в ведении МИО, составила 2,7 га при плане на 2018 год – 9,5 га. </w:t>
      </w:r>
    </w:p>
    <w:p w14:paraId="45022BF8"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Охотхозяйство</w:t>
      </w:r>
      <w:r w:rsidRPr="00F0736F">
        <w:rPr>
          <w:rFonts w:ascii="Times New Roman" w:hAnsi="Times New Roman" w:cs="Times New Roman"/>
          <w:color w:val="000000" w:themeColor="text1"/>
        </w:rPr>
        <w:t xml:space="preserve"> Акмолинской области представлено 160 охотничьими угодьями на площади охотугодий 12,2 млн. га и 524 рыбохозяйственными водоемами.</w:t>
      </w:r>
    </w:p>
    <w:p w14:paraId="7F5DB11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за 78 природопользователями закреплено 136 охотничьих хозяйств (на площади охотугодий – 10 млн. га), при этом площадь резервных охотничьих угодий составляет – 2,2 млн. га. Из имеющихся 524 рыбохозяйственных водоемов закреплены 390 водоемов и участков, незакрепленными остаются 134 водоема. </w:t>
      </w:r>
    </w:p>
    <w:p w14:paraId="485FC40E" w14:textId="6A85737B"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В 2019 году, по статистическим данным, объем произведенной продукции (услуг) рыболовства и аквакультуры составил 131 714,6 тыс. тенге, из них в рыболовстве – 129 839,6 тыс. тенге, в аквакультуре – 1875 тыс. тенге. За 2019 год юридическими лицами и индивидуальными предпринимателями выловлена 521 т.а рыбы, в том числе 166 т. карася, 74 т.ы окуня пресноводного, 59 т. леща пресноводного, 55 т. карпа. Основная доля улова рыбы приходится на Бурабайский (30,1%), Коргалжынский (16,7%), Зерендинский (16,1%) районы. Реализовано путевок на улов рыбы на сумму 22570 тыс. тенге, в количестве 39296 штук. На долю Бурабайского района приходится 63,7% всех реализованных путевок, на Зерендинский – 22,4%, на Аршалынский – 7,7%. В питомниках и других водоемах за год выращено 16</w:t>
      </w:r>
      <w:r w:rsidR="00EC1270"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rPr>
        <w:t xml:space="preserve">860,3 тыс. штук рыбопосадочного материала, что на 5,8 тыс. штук больше, чем в прошлом отчетном году. Общая площадь водного зеркала водоемов по выращиванию товарной рыбы и рыбопосадочного материала составила 25,9 тыс. га. Израсходовано всех видов кормов для кормления товарной рыбы и рыбопосадочного материала 20,4 т.ы. </w:t>
      </w:r>
    </w:p>
    <w:p w14:paraId="1CF11A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Важную роль в сохранении и восстановлении уникальной флоры и фауны региона играют </w:t>
      </w:r>
      <w:r w:rsidRPr="00F0736F">
        <w:rPr>
          <w:rFonts w:ascii="Times New Roman" w:hAnsi="Times New Roman" w:cs="Times New Roman"/>
          <w:b/>
          <w:color w:val="000000" w:themeColor="text1"/>
        </w:rPr>
        <w:t>особо охраняемые природные территории.</w:t>
      </w:r>
    </w:p>
    <w:p w14:paraId="68A338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пределах Акмолинской области расположен наиболее крупный государственный заповедник – Кургальджинский. Его общая площадь составляет 281 тыс. га, в т. ч. лесопокрытая – 1263 га. Также, на территории Щучинского района расположен государственный национальный природный парк (далее - ГНПП) «</w:t>
      </w:r>
      <w:hyperlink r:id="rId56" w:history="1">
        <w:r w:rsidRPr="00F0736F">
          <w:rPr>
            <w:rFonts w:ascii="Times New Roman" w:hAnsi="Times New Roman" w:cs="Times New Roman"/>
            <w:color w:val="000000" w:themeColor="text1"/>
          </w:rPr>
          <w:t>Бурабай</w:t>
        </w:r>
      </w:hyperlink>
      <w:r w:rsidRPr="00F0736F">
        <w:rPr>
          <w:rFonts w:ascii="Times New Roman" w:hAnsi="Times New Roman" w:cs="Times New Roman"/>
          <w:color w:val="000000" w:themeColor="text1"/>
        </w:rPr>
        <w:t>». Его площадь 129,5 тыс. га, в т.ч. лесопокрытая – 79,0 тыс. га. На территории Зерендинского района находится часть ГНПП «</w:t>
      </w:r>
      <w:hyperlink r:id="rId57" w:history="1">
        <w:r w:rsidRPr="00F0736F">
          <w:rPr>
            <w:rFonts w:ascii="Times New Roman" w:hAnsi="Times New Roman" w:cs="Times New Roman"/>
            <w:color w:val="000000" w:themeColor="text1"/>
          </w:rPr>
          <w:t>Кокшетау</w:t>
        </w:r>
      </w:hyperlink>
      <w:r w:rsidRPr="00F0736F">
        <w:rPr>
          <w:rFonts w:ascii="Times New Roman" w:hAnsi="Times New Roman" w:cs="Times New Roman"/>
          <w:color w:val="000000" w:themeColor="text1"/>
        </w:rPr>
        <w:t>» площадью 47,6 тыс. га, в т.ч. лесопокрытая – 37,9 тыс. га. </w:t>
      </w:r>
    </w:p>
    <w:p w14:paraId="58B9E773" w14:textId="6C6E334B"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2011 году в результате объединения природного парка Буйратау, Белодымовского и Ерейментауского зоологических заказников создан ГНПП «Буйратау». Его общая площадь по Акмолинской области равняется 60,8 тыс. га, в т. ч. лесопокрытая – 7514 тыс. га.</w:t>
      </w:r>
    </w:p>
    <w:p w14:paraId="6EF105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на территории области находятся Восточный государственный природный заказник (зоологический), Буландинский государственный природный заказник (зоологический), Атбасарский государственный природный заказник (зоологический).</w:t>
      </w:r>
    </w:p>
    <w:p w14:paraId="2F77D62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Акмолинской области </w:t>
      </w:r>
      <w:r w:rsidRPr="00F0736F">
        <w:rPr>
          <w:rFonts w:ascii="Times New Roman" w:hAnsi="Times New Roman" w:cs="Times New Roman"/>
          <w:b/>
          <w:bCs/>
          <w:color w:val="000000" w:themeColor="text1"/>
        </w:rPr>
        <w:t>индустрия отдыха и туризма</w:t>
      </w:r>
      <w:r w:rsidRPr="00F0736F">
        <w:rPr>
          <w:rFonts w:ascii="Times New Roman" w:hAnsi="Times New Roman" w:cs="Times New Roman"/>
          <w:color w:val="000000" w:themeColor="text1"/>
        </w:rPr>
        <w:t xml:space="preserve"> является одной из приоритетных отраслей экономики. В туристский кластер региона входят свыше 700 предприятий сферы туризма (338 объектов размещения, 45 санаторно-курортных учреждений, 266 субъектов придорожного сервиса, 68 турфирм, имеющих лицензии на право осуществления туристской деятельности, 3 государственных национальных природных парка «Кокшетау», «Бурабай», «Буйратау», Коргалжынский государственный природный заповедник, ТОО «Бурабай даму»).</w:t>
      </w:r>
    </w:p>
    <w:p w14:paraId="235F39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Культурно-исторический сегмент кластера представлен 900 памятниками, крупнейшие из которых находятся под охраной государства и используются при обеспечении экскурсионных программ. </w:t>
      </w:r>
    </w:p>
    <w:p w14:paraId="172C2C8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Общий туристский поток составил в 2017 году 1 122 835 человек, рост 107,1% (данная информация формируется один раз в год).</w:t>
      </w:r>
    </w:p>
    <w:p w14:paraId="14B5D80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мае 2017 года открыт Туристский Информационный Центр «Visit Aqmola», основными целями которого являются формирование и распространение информации об уникальном туристском потенциале области, проведении массовых мероприятий. </w:t>
      </w:r>
    </w:p>
    <w:p w14:paraId="1F2DE80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обеспечения привлекательности курорта Бурабай и круглогодичной загрузки с привлечением бизнеса реализуется концепция «Four seasons».</w:t>
      </w:r>
    </w:p>
    <w:p w14:paraId="3F2B19B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Создан историко-краеведческий музей на базе Визит-центра и музей Ботайской культуры, открыты этно-аул «Жайлау» и автокемпинги.</w:t>
      </w:r>
    </w:p>
    <w:p w14:paraId="7385DA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курортной зоне и вдоль автобана установлены модульные павильоны «KazWay».</w:t>
      </w:r>
    </w:p>
    <w:p w14:paraId="712E27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Организована сеть стрит-фуда (20 торговых павильонов).</w:t>
      </w:r>
    </w:p>
    <w:p w14:paraId="12C13B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Компанией «AsiaWaters» налажено промышленное производство новой лечебно-столовой воды «Qulager Burabay».</w:t>
      </w:r>
    </w:p>
    <w:p w14:paraId="1A1948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Проведены инфотуры с участием 110 туроператоров из Казахстана, России, Тайваня, Узбекистана. </w:t>
      </w:r>
    </w:p>
    <w:p w14:paraId="570B0550" w14:textId="77777777" w:rsidR="00AC1D5B" w:rsidRPr="00F0736F" w:rsidRDefault="00AC1D5B" w:rsidP="00AC1D5B">
      <w:pPr>
        <w:ind w:firstLine="709"/>
        <w:jc w:val="both"/>
        <w:rPr>
          <w:color w:val="000000" w:themeColor="text1"/>
        </w:rPr>
      </w:pPr>
      <w:r w:rsidRPr="00F0736F">
        <w:rPr>
          <w:rFonts w:ascii="Times New Roman" w:hAnsi="Times New Roman" w:cs="Times New Roman"/>
          <w:i/>
          <w:iCs/>
          <w:color w:val="000000" w:themeColor="text1"/>
        </w:rPr>
        <w:t>Внедрение новых технологий и проектов, продемонстрированных на ЭКСПО</w:t>
      </w:r>
    </w:p>
    <w:p w14:paraId="5CD7BF4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Перевод общественного транспорта на газ (ТОО «Global Gas Group») - Россия – Казахстан, 2019 г. – подписание договора ГЧП (срок изменился в связи с реализацией строительства МГ «Сары Арка»). Цена за 1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товарного (природного) газа на горелке у потребителя составит: для населения 30 тенге/м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что ниже существующей цены на газ на 13,4% (сжиженный газ для населения стоит 400 тенге/м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для прочих потребителей 105 тенге/м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Реализация проекта в Бурабайском районе по переводу котельных на газ приостановлена в связи с его нерентабельностью (ведется строительство МГ «Сары Арка»). </w:t>
      </w:r>
      <w:r w:rsidRPr="00F0736F">
        <w:rPr>
          <w:rFonts w:ascii="Times New Roman" w:hAnsi="Times New Roman" w:cs="Times New Roman"/>
          <w:color w:val="000000" w:themeColor="text1"/>
          <w:lang w:val="kk-KZ"/>
        </w:rPr>
        <w:t>Рассматривается заключение договора ГЧП с ТОО «Кокшетауский автобусный парк» по переводу пассажирского транспорта на газ.</w:t>
      </w:r>
    </w:p>
    <w:p w14:paraId="5BD1F23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Внедрение технологии компьютерного контроля в сети электропередач АО «АРЭК» </w:t>
      </w:r>
      <w:r w:rsidRPr="00F0736F">
        <w:rPr>
          <w:rFonts w:ascii="Times New Roman" w:hAnsi="Times New Roman" w:cs="Times New Roman"/>
          <w:color w:val="000000" w:themeColor="text1"/>
          <w:lang w:val="kk-KZ"/>
        </w:rPr>
        <w:t>2020 - 2023 гг.</w:t>
      </w:r>
      <w:r w:rsidRPr="00F0736F">
        <w:rPr>
          <w:rFonts w:ascii="Times New Roman" w:hAnsi="Times New Roman" w:cs="Times New Roman"/>
          <w:color w:val="000000" w:themeColor="text1"/>
        </w:rPr>
        <w:t xml:space="preserve"> Установка Smart Grids приведет к снижению аварийности на электрических сетях, позволит своевременно обнаружить неполадки и оперативно их устранить, что в целом повысит качество предоставляемых услуг. </w:t>
      </w:r>
      <w:r w:rsidRPr="00F0736F">
        <w:rPr>
          <w:rFonts w:ascii="Times New Roman" w:hAnsi="Times New Roman" w:cs="Times New Roman"/>
          <w:color w:val="000000" w:themeColor="text1"/>
          <w:lang w:val="kk-KZ"/>
        </w:rPr>
        <w:t>Снижение выбросов в атмосферу за счет использования «умных» сетей.</w:t>
      </w:r>
      <w:r w:rsidRPr="00F0736F">
        <w:rPr>
          <w:rFonts w:ascii="Times New Roman" w:hAnsi="Times New Roman" w:cs="Times New Roman"/>
          <w:color w:val="000000" w:themeColor="text1"/>
        </w:rPr>
        <w:t xml:space="preserve"> Внедрение технологии предусматривает замену устаревшего оборудования на современное цифровое. Рентабельность проекта зависит от объемов потребления. </w:t>
      </w:r>
      <w:r w:rsidRPr="00F0736F">
        <w:rPr>
          <w:rFonts w:ascii="Times New Roman" w:hAnsi="Times New Roman" w:cs="Times New Roman"/>
          <w:color w:val="000000" w:themeColor="text1"/>
          <w:lang w:val="kk-KZ"/>
        </w:rPr>
        <w:t>Технологии представляют интерес, но ввиду высокой стоимости проекта, начать внедрение планируется в 2020 году (при корректировке инвестпрограммы).</w:t>
      </w:r>
    </w:p>
    <w:p w14:paraId="2046FA2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Модернизация очистных сооружений (ГКП на ПХВ Степногорск-Водоканал») </w:t>
      </w:r>
      <w:r w:rsidRPr="00F0736F">
        <w:rPr>
          <w:rFonts w:ascii="Times New Roman" w:hAnsi="Times New Roman" w:cs="Times New Roman"/>
          <w:color w:val="000000" w:themeColor="text1"/>
          <w:lang w:val="kk-KZ"/>
        </w:rPr>
        <w:t>Компания «Зенгир НС», г. Алматы 2020 г. Снижение энергозатрат за счет снижения объема сточных вод на 1,5 - 2%; снижение объема электроэнергии до 30% к технологиям; полная автоматизация контроля и мониторинга технологического процесса с применением цифровых технологий. Повысит эффективность производства за счет экономии электроэнергии, реагентов и сокращения потребления исходной воды. Безопасность производства в связи с отказом от жидкого хлора. Повышает качество и безопасность питьевой воды.</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По г. Степногорск запланирован к реализации проект по модернизации очистных сооружений по технологии 2-х стадийной мембранной ультрафильтрации с предварительной коагуляцией ГКП на ПХВ «Степногорск-Водоканал». Начато строительство в 2018 году, выделены средства из РБ 726,5 млн.тенге, в 2019 году - 4,5 млрд. тенге на реализацию проекта </w:t>
      </w:r>
      <w:r w:rsidRPr="00F0736F">
        <w:rPr>
          <w:rFonts w:ascii="Times New Roman" w:hAnsi="Times New Roman" w:cs="Times New Roman"/>
          <w:color w:val="000000" w:themeColor="text1"/>
        </w:rPr>
        <w:t xml:space="preserve">«Светодиодный источник освещения» на объектах образования Акмолинской области. </w:t>
      </w:r>
      <w:r w:rsidRPr="00F0736F">
        <w:rPr>
          <w:rFonts w:ascii="Times New Roman" w:hAnsi="Times New Roman" w:cs="Times New Roman"/>
          <w:color w:val="000000" w:themeColor="text1"/>
          <w:lang w:val="kk-KZ"/>
        </w:rPr>
        <w:t>Казахстан</w:t>
      </w:r>
      <w:r w:rsidRPr="00F0736F">
        <w:rPr>
          <w:rFonts w:ascii="Times New Roman" w:hAnsi="Times New Roman" w:cs="Times New Roman"/>
          <w:color w:val="000000" w:themeColor="text1"/>
        </w:rPr>
        <w:t xml:space="preserve"> ТОО «</w:t>
      </w:r>
      <w:r w:rsidRPr="00F0736F">
        <w:rPr>
          <w:rFonts w:ascii="Times New Roman" w:hAnsi="Times New Roman" w:cs="Times New Roman"/>
          <w:color w:val="000000" w:themeColor="text1"/>
          <w:lang w:val="en-US"/>
        </w:rPr>
        <w:t>Led</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Media</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System</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2018 - 2020 гг.</w:t>
      </w:r>
    </w:p>
    <w:p w14:paraId="5DF6BA6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2018 году </w:t>
      </w:r>
      <w:r w:rsidRPr="00F0736F">
        <w:rPr>
          <w:rFonts w:ascii="Times New Roman" w:hAnsi="Times New Roman" w:cs="Times New Roman"/>
          <w:color w:val="000000" w:themeColor="text1"/>
        </w:rPr>
        <w:t xml:space="preserve">компанией был проведен сбор исходных данных для замены осветительных приборов организаций образования области. В третьем квартале был разработан бизнес-план для реализации проекта «Модернизация и эксплуатация системы освещения объектов образования (школ) в городе Кокшетау в целях повышения энергоэффективности и энергосбережения», как частная финансовая инициатива, через механизм ГЧП. </w:t>
      </w:r>
    </w:p>
    <w:p w14:paraId="5D58CE6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Перевод котельной гостиничного комплекса «Rixos-Боровое» на газ ТОО «Global Gas Group» (Казахстан-Россия)</w:t>
      </w:r>
      <w:r w:rsidRPr="00F0736F">
        <w:rPr>
          <w:rFonts w:ascii="Times New Roman" w:hAnsi="Times New Roman" w:cs="Times New Roman"/>
          <w:color w:val="000000" w:themeColor="text1"/>
          <w:lang w:val="kk-KZ"/>
        </w:rPr>
        <w:t xml:space="preserve"> 2018 год.</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rPr>
        <w:t>Перевод</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котельной гостиничного комплекса на газ позволило с</w:t>
      </w:r>
      <w:r w:rsidRPr="00F0736F">
        <w:rPr>
          <w:rFonts w:ascii="Times New Roman" w:hAnsi="Times New Roman" w:cs="Times New Roman"/>
          <w:bCs/>
          <w:color w:val="000000" w:themeColor="text1"/>
        </w:rPr>
        <w:t>экономить денежные средства</w:t>
      </w:r>
      <w:r w:rsidRPr="00F0736F">
        <w:rPr>
          <w:rFonts w:ascii="Times New Roman" w:hAnsi="Times New Roman" w:cs="Times New Roman"/>
          <w:b/>
          <w:color w:val="000000" w:themeColor="text1"/>
        </w:rPr>
        <w:t> </w:t>
      </w:r>
      <w:r w:rsidRPr="00F0736F">
        <w:rPr>
          <w:rFonts w:ascii="Times New Roman" w:hAnsi="Times New Roman" w:cs="Times New Roman"/>
          <w:bCs/>
          <w:color w:val="000000" w:themeColor="text1"/>
        </w:rPr>
        <w:t>и улучшило экологическую обстановку.</w:t>
      </w:r>
      <w:r w:rsidRPr="00F0736F">
        <w:rPr>
          <w:rFonts w:ascii="Times New Roman" w:hAnsi="Times New Roman" w:cs="Times New Roman"/>
          <w:color w:val="000000" w:themeColor="text1"/>
        </w:rPr>
        <w:t xml:space="preserve"> Строительно-монтажные работы по проекту завершены. Проект реализован</w:t>
      </w:r>
      <w:r w:rsidRPr="00F0736F">
        <w:rPr>
          <w:rFonts w:ascii="Times New Roman" w:hAnsi="Times New Roman" w:cs="Times New Roman"/>
          <w:color w:val="000000" w:themeColor="text1"/>
          <w:lang w:val="kk-KZ"/>
        </w:rPr>
        <w:t>.</w:t>
      </w:r>
    </w:p>
    <w:p w14:paraId="32F394A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Установка интерактивных скамеек в п. Бурабай Бурабайского района </w:t>
      </w:r>
      <w:r w:rsidRPr="00F0736F">
        <w:rPr>
          <w:rFonts w:ascii="Times New Roman" w:hAnsi="Times New Roman" w:cs="Times New Roman"/>
          <w:color w:val="000000" w:themeColor="text1"/>
          <w:lang w:val="kk-KZ"/>
        </w:rPr>
        <w:t>2018 год.</w:t>
      </w:r>
      <w:r w:rsidRPr="00F0736F">
        <w:rPr>
          <w:rFonts w:ascii="Times New Roman" w:hAnsi="Times New Roman" w:cs="Times New Roman"/>
          <w:color w:val="000000" w:themeColor="text1"/>
        </w:rPr>
        <w:t xml:space="preserve"> Улучшение социального благополучия населения. Создание комфортной городской среды. Введение инновационных подходов к развитию города. В июле 2018 года из средств местного бюджета было выделено 2,4 млн. тенге на установку 2 скамеек. Проект реализован.</w:t>
      </w:r>
    </w:p>
    <w:p w14:paraId="459B4D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Строительство ветровой электростанции мощностью 25 МВт в Тайбайском с/о Ерейментауского района. ТОО «Golden Energy Corp» в 2018 - 2023 гг. увеличит мощность, вырабатываемую возобновляемыми источниками, с</w:t>
      </w:r>
      <w:r w:rsidRPr="00F0736F">
        <w:rPr>
          <w:rFonts w:ascii="Times New Roman" w:hAnsi="Times New Roman" w:cs="Times New Roman"/>
          <w:color w:val="000000" w:themeColor="text1"/>
          <w:lang w:val="kk-KZ"/>
        </w:rPr>
        <w:t>оздаст рабочие места при строительстве и реализации проекта, даст снижение выбросов в атмосферу за счет выработки «чистой» энергии.</w:t>
      </w:r>
      <w:r w:rsidRPr="00F0736F">
        <w:rPr>
          <w:rFonts w:ascii="Times New Roman" w:hAnsi="Times New Roman" w:cs="Times New Roman"/>
          <w:color w:val="000000" w:themeColor="text1"/>
        </w:rPr>
        <w:t xml:space="preserve"> Концепция проекта предусматривает строительство 14 ветровых турбин мощностью 1,8 МВт. Разработано технико-экономическое обоснование, заключен договор с Расчетно-Финансовым центром по покупке электрической электроэнергии, оформлен земельный участок.</w:t>
      </w:r>
    </w:p>
    <w:p w14:paraId="720BFC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Строительство ветровой электростанции, мощностью 50 МВт в г. Ерейментау ТОО «Ereimentau Wind Power», 2018 - 2021 гг., увеличит мощность, вырабатываемую возобновляемыми источниками, с</w:t>
      </w:r>
      <w:r w:rsidRPr="00F0736F">
        <w:rPr>
          <w:rFonts w:ascii="Times New Roman" w:hAnsi="Times New Roman" w:cs="Times New Roman"/>
          <w:color w:val="000000" w:themeColor="text1"/>
          <w:lang w:val="kk-KZ"/>
        </w:rPr>
        <w:t>оздаст рабочие места при строительстве и реализации проекта, даст снижение выбросов в атмосферу за счет выработки «чистой» энергии.</w:t>
      </w:r>
      <w:r w:rsidRPr="00F0736F">
        <w:rPr>
          <w:rFonts w:ascii="Times New Roman" w:hAnsi="Times New Roman" w:cs="Times New Roman"/>
          <w:color w:val="000000" w:themeColor="text1"/>
        </w:rPr>
        <w:t xml:space="preserve"> Концепция проекта предусматривает строительство 15 ветровых турбин мощностью 3,5 МВт. В феврале 2019 года начата разработка проектно-сметной документации. </w:t>
      </w:r>
    </w:p>
    <w:p w14:paraId="50DD55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Теплые остановки – 2 ед 2018 г. Увеличение потока информации для последующей обработки в центре управления «умным» городом. Повышение безопасности в городе за счет круглосуточного мониторинга за городским пространством и видеопотоком с камер наблюдения. Увеличение качества оказываемых услуг транспортной инфраструктурой города.</w:t>
      </w:r>
      <w:r w:rsidRPr="00F0736F">
        <w:rPr>
          <w:rFonts w:ascii="Times New Roman" w:eastAsia="Calibri" w:hAnsi="Times New Roman" w:cs="Times New Roman"/>
          <w:color w:val="000000" w:themeColor="text1"/>
          <w:lang w:val="kk-KZ"/>
        </w:rPr>
        <w:t xml:space="preserve"> Имеется</w:t>
      </w:r>
      <w:r w:rsidRPr="00F0736F">
        <w:rPr>
          <w:rFonts w:ascii="Times New Roman" w:eastAsia="Calibri" w:hAnsi="Times New Roman" w:cs="Times New Roman"/>
          <w:color w:val="000000" w:themeColor="text1"/>
        </w:rPr>
        <w:t xml:space="preserve"> кондиционер и камер</w:t>
      </w:r>
      <w:r w:rsidRPr="00F0736F">
        <w:rPr>
          <w:rFonts w:ascii="Times New Roman" w:eastAsia="Calibri" w:hAnsi="Times New Roman" w:cs="Times New Roman"/>
          <w:color w:val="000000" w:themeColor="text1"/>
          <w:lang w:val="kk-KZ"/>
        </w:rPr>
        <w:t>а</w:t>
      </w:r>
      <w:r w:rsidRPr="00F0736F">
        <w:rPr>
          <w:rFonts w:ascii="Times New Roman" w:eastAsia="Calibri" w:hAnsi="Times New Roman" w:cs="Times New Roman"/>
          <w:color w:val="000000" w:themeColor="text1"/>
        </w:rPr>
        <w:t xml:space="preserve"> видеонаблюдения. Доступная информационная панель с расписанием движения автобусов для пассажиров</w:t>
      </w:r>
      <w:r w:rsidRPr="00F0736F">
        <w:rPr>
          <w:rFonts w:ascii="Times New Roman" w:hAnsi="Times New Roman" w:cs="Times New Roman"/>
          <w:color w:val="000000" w:themeColor="text1"/>
        </w:rPr>
        <w:t>, точка</w:t>
      </w:r>
      <w:r w:rsidRPr="00F0736F">
        <w:rPr>
          <w:rFonts w:ascii="Times New Roman" w:eastAsia="Calibri" w:hAnsi="Times New Roman" w:cs="Times New Roman"/>
          <w:color w:val="000000" w:themeColor="text1"/>
        </w:rPr>
        <w:t xml:space="preserve"> раздачи </w:t>
      </w:r>
      <w:r w:rsidRPr="00F0736F">
        <w:rPr>
          <w:rFonts w:ascii="Times New Roman" w:eastAsia="Calibri" w:hAnsi="Times New Roman" w:cs="Times New Roman"/>
          <w:color w:val="000000" w:themeColor="text1"/>
          <w:lang w:val="en-US"/>
        </w:rPr>
        <w:t>WI</w:t>
      </w:r>
      <w:r w:rsidRPr="00F0736F">
        <w:rPr>
          <w:rFonts w:ascii="Times New Roman" w:eastAsia="Calibri" w:hAnsi="Times New Roman" w:cs="Times New Roman"/>
          <w:color w:val="000000" w:themeColor="text1"/>
        </w:rPr>
        <w:t xml:space="preserve">- </w:t>
      </w:r>
      <w:r w:rsidRPr="00F0736F">
        <w:rPr>
          <w:rFonts w:ascii="Times New Roman" w:eastAsia="Calibri" w:hAnsi="Times New Roman" w:cs="Times New Roman"/>
          <w:color w:val="000000" w:themeColor="text1"/>
          <w:lang w:val="en-US"/>
        </w:rPr>
        <w:t>FI</w:t>
      </w:r>
      <w:r w:rsidRPr="00F0736F">
        <w:rPr>
          <w:rFonts w:ascii="Times New Roman" w:hAnsi="Times New Roman" w:cs="Times New Roman"/>
          <w:color w:val="000000" w:themeColor="text1"/>
        </w:rPr>
        <w:t>.</w:t>
      </w:r>
      <w:r w:rsidRPr="00F0736F">
        <w:rPr>
          <w:rFonts w:ascii="Times New Roman" w:eastAsia="Calibri" w:hAnsi="Times New Roman" w:cs="Times New Roman"/>
          <w:color w:val="000000" w:themeColor="text1"/>
        </w:rPr>
        <w:t xml:space="preserve"> Проект реализован.</w:t>
      </w:r>
    </w:p>
    <w:p w14:paraId="562AACDF"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val="kk-KZ"/>
        </w:rPr>
        <w:t>Т</w:t>
      </w:r>
      <w:r w:rsidRPr="00F0736F">
        <w:rPr>
          <w:rFonts w:ascii="Times New Roman" w:eastAsia="Calibri" w:hAnsi="Times New Roman" w:cs="Times New Roman"/>
          <w:color w:val="000000" w:themeColor="text1"/>
        </w:rPr>
        <w:t>абло «Интерактивная карта города</w:t>
      </w:r>
      <w:r w:rsidRPr="00F0736F">
        <w:rPr>
          <w:rFonts w:ascii="Times New Roman" w:hAnsi="Times New Roman" w:cs="Times New Roman"/>
          <w:color w:val="000000" w:themeColor="text1"/>
        </w:rPr>
        <w:t xml:space="preserve">» 2018 г. </w:t>
      </w:r>
      <w:r w:rsidRPr="00F0736F">
        <w:rPr>
          <w:rFonts w:ascii="Times New Roman" w:eastAsia="Calibri" w:hAnsi="Times New Roman" w:cs="Times New Roman"/>
          <w:color w:val="000000" w:themeColor="text1"/>
        </w:rPr>
        <w:t>Является познавательной картой города для иногородних граждан и туристов.</w:t>
      </w:r>
      <w:r w:rsidRPr="00F0736F">
        <w:rPr>
          <w:rFonts w:ascii="Times New Roman" w:hAnsi="Times New Roman" w:cs="Times New Roman"/>
          <w:color w:val="000000" w:themeColor="text1"/>
        </w:rPr>
        <w:t xml:space="preserve"> Создание комфортной городской среды.</w:t>
      </w:r>
      <w:r w:rsidRPr="00F0736F">
        <w:rPr>
          <w:rFonts w:ascii="Times New Roman" w:eastAsia="Calibri" w:hAnsi="Times New Roman" w:cs="Times New Roman"/>
          <w:color w:val="000000" w:themeColor="text1"/>
        </w:rPr>
        <w:t xml:space="preserve"> Служит веб-порталом города, с отображением информации и работы пользователей всех уровней. Единая точка доступа для всех сервисов обеспечения жизнедеятельности города. Проект реализован.</w:t>
      </w:r>
    </w:p>
    <w:p w14:paraId="3E36C75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Воздушная платформа «Аэростат», 2018 г. Контроль опасных участков, оперативная радиосвязь и видеоконтроль станций с большой высоты. Контроль загрязнения воздуха. Охват видеонаблюдением на расстоянии до 100 км. </w:t>
      </w:r>
      <w:r w:rsidRPr="00F0736F">
        <w:rPr>
          <w:rFonts w:ascii="Times New Roman" w:eastAsia="Calibri" w:hAnsi="Times New Roman" w:cs="Times New Roman"/>
          <w:color w:val="000000" w:themeColor="text1"/>
        </w:rPr>
        <w:t>Проект реализован.</w:t>
      </w:r>
    </w:p>
    <w:p w14:paraId="568B519D" w14:textId="77777777" w:rsidR="00AC1D5B" w:rsidRPr="00F0736F" w:rsidRDefault="00AC1D5B" w:rsidP="00AC1D5B">
      <w:pPr>
        <w:ind w:firstLine="709"/>
        <w:jc w:val="both"/>
        <w:rPr>
          <w:rFonts w:ascii="Times New Roman" w:hAnsi="Times New Roman" w:cs="Times New Roman"/>
          <w:color w:val="000000" w:themeColor="text1"/>
        </w:rPr>
      </w:pPr>
    </w:p>
    <w:p w14:paraId="39C6E687"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4" w:name="_Toc57818736"/>
      <w:r w:rsidRPr="007272FB">
        <w:rPr>
          <w:rFonts w:ascii="Times New Roman" w:eastAsia="Times New Roman" w:hAnsi="Times New Roman" w:cs="Times New Roman"/>
          <w:color w:val="000000" w:themeColor="text1"/>
          <w:sz w:val="24"/>
          <w:szCs w:val="24"/>
        </w:rPr>
        <w:t>2.2. Актюбинская область</w:t>
      </w:r>
      <w:bookmarkEnd w:id="44"/>
    </w:p>
    <w:p w14:paraId="1E869180" w14:textId="77777777" w:rsidR="00AC1D5B" w:rsidRPr="00F0736F" w:rsidRDefault="00AC1D5B" w:rsidP="00AC1D5B">
      <w:pPr>
        <w:ind w:firstLine="709"/>
        <w:jc w:val="both"/>
        <w:rPr>
          <w:rFonts w:ascii="Times New Roman" w:hAnsi="Times New Roman" w:cs="Times New Roman"/>
          <w:color w:val="000000" w:themeColor="text1"/>
        </w:rPr>
      </w:pPr>
    </w:p>
    <w:p w14:paraId="2B88A7C7"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349953B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Актюбинская область является индустриально-развитым регионом Казахстана и является второй по величине территории областью Казахстана с территорией 300,6 тыс. кв км</w:t>
      </w:r>
      <w:r w:rsidRPr="00F0736F">
        <w:rPr>
          <w:rFonts w:ascii="Times New Roman" w:hAnsi="Times New Roman" w:cs="Times New Roman"/>
          <w:color w:val="000000" w:themeColor="text1"/>
          <w:vertAlign w:val="superscript"/>
        </w:rPr>
        <w:footnoteReference w:id="135"/>
      </w:r>
      <w:r w:rsidRPr="00F0736F">
        <w:rPr>
          <w:rFonts w:ascii="Times New Roman" w:hAnsi="Times New Roman" w:cs="Times New Roman"/>
          <w:color w:val="000000" w:themeColor="text1"/>
        </w:rPr>
        <w:t xml:space="preserve">. Численность населения области на 1 января 2017 года, по данным Комитета РК по статистике, составила 845,7 тыс. человек, а на 1 января 2020 года — 881,7 тыс. человек. </w:t>
      </w:r>
    </w:p>
    <w:p w14:paraId="792C4AF8" w14:textId="59B0BDCC"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объем ВРП составил 3039,8 млрд. тенге, а на душу населения 3396,8 тыс. тенге. Индекс физического объема валового регионального продукта по итогам 2019 года составил 104,9%. По всем основным направлениям экономики отмечается положительная динамика.</w:t>
      </w:r>
    </w:p>
    <w:p w14:paraId="3345099A" w14:textId="15EA2231"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обеспечен рост </w:t>
      </w:r>
      <w:r w:rsidRPr="00F0736F">
        <w:rPr>
          <w:rFonts w:ascii="Times New Roman" w:hAnsi="Times New Roman" w:cs="Times New Roman"/>
          <w:b/>
          <w:color w:val="000000" w:themeColor="text1"/>
        </w:rPr>
        <w:t>промышленности</w:t>
      </w:r>
      <w:r w:rsidRPr="00F0736F">
        <w:rPr>
          <w:rFonts w:ascii="Times New Roman" w:hAnsi="Times New Roman" w:cs="Times New Roman"/>
          <w:color w:val="000000" w:themeColor="text1"/>
        </w:rPr>
        <w:t xml:space="preserve"> региона на 5,1%, было произведено продукции на рекордную сумму – 1866,0 млрд. тенге (2017 год – 1 597,1 млрд. тенге). В 2019 году объем производства промышленной продукции (товаров, услуг) составил – 1856,8 млрд. тенге, индекс промышленного производства в % к 2018г. составил 104,9%.</w:t>
      </w:r>
    </w:p>
    <w:p w14:paraId="7A8E1602" w14:textId="77777777" w:rsidR="00AC1D5B" w:rsidRPr="00F0736F" w:rsidRDefault="00AC1D5B" w:rsidP="00AC1D5B">
      <w:pPr>
        <w:ind w:firstLine="709"/>
        <w:jc w:val="both"/>
        <w:rPr>
          <w:strike/>
          <w:color w:val="000000" w:themeColor="text1"/>
        </w:rPr>
      </w:pPr>
      <w:r w:rsidRPr="00F0736F">
        <w:rPr>
          <w:rFonts w:ascii="Times New Roman" w:hAnsi="Times New Roman" w:cs="Times New Roman"/>
          <w:color w:val="000000" w:themeColor="text1"/>
        </w:rPr>
        <w:t xml:space="preserve">Объем производства промышленной продукции (товаров, услуг) </w:t>
      </w:r>
      <w:r w:rsidRPr="00F0736F">
        <w:rPr>
          <w:rFonts w:ascii="Times New Roman" w:hAnsi="Times New Roman" w:cs="Times New Roman"/>
          <w:b/>
          <w:color w:val="000000" w:themeColor="text1"/>
        </w:rPr>
        <w:t>в обрабатывающей промышленности</w:t>
      </w:r>
      <w:r w:rsidRPr="00F0736F">
        <w:rPr>
          <w:rFonts w:ascii="Times New Roman" w:hAnsi="Times New Roman" w:cs="Times New Roman"/>
          <w:color w:val="000000" w:themeColor="text1"/>
        </w:rPr>
        <w:t xml:space="preserve"> за 2017 год составил - 531 508 млн. тенге, за 2018 год - 606 534 млн. тенге с ростом на 9,8%, за 2019 год – 605 300 млн. тенге, индекс промышленного производства, 2019 г. в % к 2018г. составил 101,1%.</w:t>
      </w:r>
    </w:p>
    <w:p w14:paraId="37EF4C5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Также по итогам 2018 года производительность труда </w:t>
      </w:r>
      <w:r w:rsidRPr="00F0736F">
        <w:rPr>
          <w:rFonts w:ascii="Times New Roman" w:hAnsi="Times New Roman" w:cs="Times New Roman"/>
          <w:bCs/>
          <w:color w:val="000000" w:themeColor="text1"/>
        </w:rPr>
        <w:t>в обрабатывающей промышленности</w:t>
      </w:r>
      <w:r w:rsidRPr="00F0736F">
        <w:rPr>
          <w:rFonts w:ascii="Times New Roman" w:hAnsi="Times New Roman" w:cs="Times New Roman"/>
          <w:color w:val="000000" w:themeColor="text1"/>
        </w:rPr>
        <w:t xml:space="preserve"> составила </w:t>
      </w:r>
      <w:r w:rsidRPr="00F0736F">
        <w:rPr>
          <w:rFonts w:ascii="Times New Roman" w:hAnsi="Times New Roman" w:cs="Times New Roman"/>
          <w:color w:val="000000" w:themeColor="text1"/>
          <w:lang w:val="kk-KZ"/>
        </w:rPr>
        <w:t>32,2</w:t>
      </w:r>
      <w:r w:rsidRPr="00F0736F">
        <w:rPr>
          <w:rFonts w:ascii="Times New Roman" w:hAnsi="Times New Roman" w:cs="Times New Roman"/>
          <w:color w:val="000000" w:themeColor="text1"/>
        </w:rPr>
        <w:t xml:space="preserve"> тыс. долларов США на человека, что на 13,7% больше аналогичного периода предыдущего года. В 2019 году производительность труда </w:t>
      </w:r>
      <w:r w:rsidRPr="00F0736F">
        <w:rPr>
          <w:rFonts w:ascii="Times New Roman" w:hAnsi="Times New Roman" w:cs="Times New Roman"/>
          <w:bCs/>
          <w:color w:val="000000" w:themeColor="text1"/>
        </w:rPr>
        <w:t>в обрабатывающей промышленности</w:t>
      </w:r>
      <w:r w:rsidRPr="00F0736F">
        <w:rPr>
          <w:rFonts w:ascii="Times New Roman" w:hAnsi="Times New Roman" w:cs="Times New Roman"/>
          <w:color w:val="000000" w:themeColor="text1"/>
        </w:rPr>
        <w:t xml:space="preserve"> составила 29,6 тыс. долларов США на человека. Объем экспорта продукции обрабатывающей промышленности составил 1,2 млрд. долларов. </w:t>
      </w:r>
      <w:r w:rsidRPr="00F0736F">
        <w:rPr>
          <w:rFonts w:ascii="Times New Roman" w:hAnsi="Times New Roman" w:cs="Times New Roman"/>
          <w:color w:val="000000" w:themeColor="text1"/>
          <w:lang w:eastAsia="ru-RU"/>
        </w:rPr>
        <w:t>Основу обрабатывающей промышленности составляют следующие подотрасли: металлургическая промышленность, черная металлургия, производство продуктов питания, химическая промышленность, машиностроение, производство прочих неметаллических минеральных продуктов, производство кокса и продуктов нефтепереработки и т. д.</w:t>
      </w:r>
    </w:p>
    <w:p w14:paraId="7250FB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 xml:space="preserve">Металлургическая промышленность является одним из основных направлений обрабатывающей промышленности области, доля которой составляет 10,5%. Основные предприятия металлургической промышленности: </w:t>
      </w:r>
      <w:r w:rsidRPr="00F0736F">
        <w:rPr>
          <w:rFonts w:ascii="Times New Roman" w:eastAsia="Times New Roman" w:hAnsi="Times New Roman" w:cs="Times New Roman"/>
          <w:color w:val="000000" w:themeColor="text1"/>
          <w:lang w:eastAsia="ru-RU"/>
        </w:rPr>
        <w:t>АЗФ филиал АО «ТНК «Казхром» (ферросплавы), ТОО «</w:t>
      </w:r>
      <w:r w:rsidRPr="00F0736F">
        <w:rPr>
          <w:rFonts w:ascii="Times New Roman" w:hAnsi="Times New Roman" w:cs="Times New Roman"/>
          <w:color w:val="000000" w:themeColor="text1"/>
          <w:lang w:eastAsia="ru-RU"/>
        </w:rPr>
        <w:t>Актюбинский рельсобалочный завод» (р</w:t>
      </w:r>
      <w:r w:rsidRPr="00F0736F">
        <w:rPr>
          <w:rFonts w:ascii="Times New Roman" w:eastAsia="Times New Roman" w:hAnsi="Times New Roman" w:cs="Times New Roman"/>
          <w:color w:val="000000" w:themeColor="text1"/>
          <w:lang w:eastAsia="ru-RU"/>
        </w:rPr>
        <w:t xml:space="preserve">ельсы 125 м, сортовой прокат), ТОО «Актюбинский завод металлоконструкции» (металлоконструкции, сэндвич панели, блок-боксы), </w:t>
      </w:r>
      <w:r w:rsidRPr="00F0736F">
        <w:rPr>
          <w:rFonts w:ascii="Times New Roman" w:eastAsia="Times New Roman" w:hAnsi="Times New Roman" w:cs="Times New Roman"/>
          <w:color w:val="000000" w:themeColor="text1"/>
        </w:rPr>
        <w:t xml:space="preserve">ТОО «Каспий плюс» (металлообработка, крепежные изделия), ТОО «Энерго Альянс» (мелющие шары), ТОО «Улан компаниясы» (металлоконструкции и металлоизделия). </w:t>
      </w:r>
    </w:p>
    <w:p w14:paraId="27D9B36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Актюбинском заводе ферросплавов впервые в Казахстане освоено производство металлического хрома, гранулированного ферросилиция, ферротитана, отработана технология выпуска феррованадия.</w:t>
      </w:r>
    </w:p>
    <w:p w14:paraId="65C46A0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Послания Главы государства «Третья модернизация Казахстана: глобальная конкурентоспособность» в 2018 году модернизировано 55 предприятий области на 85 млрд. тенге. Это позволило повысить их конкурентоспособность, производительность труда на 10%, снизить себестоимость продукции на 2%.</w:t>
      </w:r>
    </w:p>
    <w:p w14:paraId="3B2499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 xml:space="preserve">Основные предприятия химической отрасли: </w:t>
      </w:r>
      <w:r w:rsidRPr="00F0736F">
        <w:rPr>
          <w:rFonts w:ascii="Times New Roman" w:eastAsia="Times New Roman" w:hAnsi="Times New Roman" w:cs="Times New Roman"/>
          <w:color w:val="000000" w:themeColor="text1"/>
          <w:lang w:eastAsia="ru-RU"/>
        </w:rPr>
        <w:t xml:space="preserve">АО «АЗХС» (хромовые соли), ТОО «КазЦКУБНитрохим», ТОО «Центр БВР» (взрывчатые вещества), ТОО «Темир Сервис» (фосфоритная мука), ТОО «Аманат» (химические реагенты), </w:t>
      </w:r>
      <w:r w:rsidRPr="00F0736F">
        <w:rPr>
          <w:rFonts w:ascii="Times New Roman" w:eastAsia="Times New Roman" w:hAnsi="Times New Roman" w:cs="Times New Roman"/>
          <w:color w:val="000000" w:themeColor="text1"/>
        </w:rPr>
        <w:t>ТОО «Chilisai Chemicals» (сложные минеральные удобрения типа ДАФ/МАФ).</w:t>
      </w:r>
    </w:p>
    <w:p w14:paraId="061495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Основные предприятия отрасли нефти и газа:</w:t>
      </w:r>
      <w:r w:rsidRPr="00F0736F">
        <w:rPr>
          <w:rFonts w:ascii="Times New Roman" w:eastAsia="Times New Roman" w:hAnsi="Times New Roman" w:cs="Times New Roman"/>
          <w:color w:val="000000" w:themeColor="text1"/>
          <w:lang w:eastAsia="ru-RU"/>
        </w:rPr>
        <w:t xml:space="preserve"> АО </w:t>
      </w:r>
      <w:r w:rsidRPr="00F0736F">
        <w:rPr>
          <w:rFonts w:ascii="Times New Roman" w:hAnsi="Times New Roman" w:cs="Times New Roman"/>
          <w:color w:val="000000" w:themeColor="text1"/>
          <w:lang w:eastAsia="ru-RU"/>
        </w:rPr>
        <w:t>«СНПС-Актобемунайгаз»</w:t>
      </w:r>
      <w:r w:rsidRPr="00F0736F">
        <w:rPr>
          <w:rFonts w:ascii="Times New Roman" w:eastAsia="Times New Roman" w:hAnsi="Times New Roman" w:cs="Times New Roman"/>
          <w:color w:val="000000" w:themeColor="text1"/>
          <w:lang w:eastAsia="ru-RU"/>
        </w:rPr>
        <w:t>, ТОО «Казахойл Актобе», АО «КМК Мунай», ТОО «Сагиз Петролеум Компани», ТОО «Фирма Ада Ойл», ТОО «Алтиес Петролеум Капитал», ТОО «Казахтуркмунай» и др.</w:t>
      </w:r>
    </w:p>
    <w:p w14:paraId="5EA822A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Аграрно-промышленный комплекс</w:t>
      </w:r>
      <w:r w:rsidRPr="00F0736F">
        <w:rPr>
          <w:rFonts w:ascii="Times New Roman" w:hAnsi="Times New Roman" w:cs="Times New Roman"/>
          <w:color w:val="000000" w:themeColor="text1"/>
        </w:rPr>
        <w:t xml:space="preserve"> </w:t>
      </w:r>
      <w:r w:rsidRPr="00F0736F">
        <w:rPr>
          <w:rFonts w:ascii="Times New Roman" w:hAnsi="Times New Roman" w:cs="Times New Roman"/>
          <w:iCs/>
          <w:color w:val="000000" w:themeColor="text1"/>
        </w:rPr>
        <w:t>является одним из крупных и социально-значимых секторов экономики области</w:t>
      </w:r>
      <w:r w:rsidRPr="00F0736F">
        <w:rPr>
          <w:rFonts w:ascii="Times New Roman" w:eastAsia="Times New Roman" w:hAnsi="Times New Roman" w:cs="Times New Roman"/>
          <w:iCs/>
          <w:color w:val="000000" w:themeColor="text1"/>
          <w:lang w:eastAsia="ru-RU"/>
        </w:rPr>
        <w:t>. В структуре валового регионального продукта на долю сельского хозяйства приходится 5,1%.</w:t>
      </w:r>
    </w:p>
    <w:p w14:paraId="7345C983" w14:textId="304DFF59"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статистическим данным валовый выпуск продукции сельского хозяйства составил 200</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631,3 млн. тенге в 2017 году, 234</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336,4 млн. тенге в 2018 году и 274</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534,2 млн. тенге в 2019 году, с преимущественным развитием животноводства (64,4%).</w:t>
      </w:r>
    </w:p>
    <w:p w14:paraId="5750A1E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2017 - 2018 годах по области реализовано более 40 инвестиционных проектов в сфере сельского хозяйства. В 2018 году в сельское хозяйство привлечено - 17,7 млрд. тенге инвестиций, в производство продуктов питания - 2,6 млрд. тенге. Индекс физического объема инвестиций в основной капитал сельского хозяйства составил 161%, ИФО инвестиций в основной капитал производства продуктов питания – 111%.</w:t>
      </w:r>
    </w:p>
    <w:p w14:paraId="4B60B3F9"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57E53E1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Земли сельскохозяйственного назначения увеличились на 1 800,7 тыс. га, что связано с ростом предпринимательской активности в сфере сельского хозяйства, а также проводимых мероприятий по инвентаризации земель сельскохозяйственного назначения по выявлению неиспользуемых земель и вовлечению их в сельскохозяйственный оборот.</w:t>
      </w:r>
    </w:p>
    <w:p w14:paraId="108C8C2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соответствии с поручением Главы государства в последние годы в области ведется целенаправленная работа по диверсификации структуры посевных площадей. В результате проведенной работы доля пшеницы в структуре посевных площадей сельхозкультур снижена почти в два раза, во столько же увеличены площади кормовых культур.</w:t>
      </w:r>
    </w:p>
    <w:p w14:paraId="7AEA18D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2019 году площадь орошаемых земель увеличена с 21,9 до 30,2 тыс. га, площадь посевных площадей сельхозкультур – на 11,5% (с 656 тыс. га до 731,4 тыс. га). </w:t>
      </w:r>
      <w:r w:rsidRPr="00F0736F">
        <w:rPr>
          <w:rFonts w:ascii="Times New Roman" w:hAnsi="Times New Roman" w:cs="Times New Roman"/>
          <w:color w:val="000000" w:themeColor="text1"/>
        </w:rPr>
        <w:t>На орошаемых полях увеличиваются площади капельного орошения, дождевального орошения. Так, в 2017 году посевная площадь капельного орошения составила 200 га, в 2018 году - 310 га. Площадь дождевального орошения увеличилась с 2,1 тыс. га до 2,7 тыс. га. Кроме того, в 2018 году введены в эксплуатацию новые тепличные комплексы на площади 5,0 га, общая площадь теплиц доведена до 35,7 га.</w:t>
      </w:r>
      <w:r w:rsidRPr="00F0736F">
        <w:rPr>
          <w:rFonts w:ascii="Times New Roman" w:eastAsia="Times New Roman" w:hAnsi="Times New Roman" w:cs="Times New Roman"/>
          <w:color w:val="000000" w:themeColor="text1"/>
          <w:lang w:eastAsia="ru-RU"/>
        </w:rPr>
        <w:t xml:space="preserve"> В сельском хозяйстве в результате применения современных технологий вдвое выросла эффективность использования водных ресурсов.</w:t>
      </w:r>
    </w:p>
    <w:p w14:paraId="01C824C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помощью элементов цифровизации (ведение электронного учета площадей, аэрокосмического мониторинга) государству возвращен 291 участок площадью 595,3 тыс. га, в т.ч. пашни – 26,4 тыс. га. Выдано для дальнейшего развития сельского хозяйства 427 участков площадью 771,5 тыс. га, в т.ч. для пашни – 36 тыс. га.</w:t>
      </w:r>
    </w:p>
    <w:p w14:paraId="7636FDE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в животноводстве поголовье крупного рогатого скота увеличено на 6,3%, лошадей – на 12,1%, овец-коз – на 1,6% и верблюдов – на 2%. Производство мяса увеличилось на 8,5%, молока – на 3,2% и яиц – на 2,6%.  Доля КРС, участвующих в породном преобразовании, составила 30,5%, МРС – 14,3%.</w:t>
      </w:r>
    </w:p>
    <w:p w14:paraId="36B7F93D" w14:textId="2D36EF7F"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Площадь пастбищ на землях сельскохозяйственного назначения составляет 8865,5 тыс. га, обводненных 4075,5 тыс. га, или 46%. Потребность по обводнению пастбищ на 2017 год, составляла 30 колодцев (скважин), построено 74 колодца (скважин), или 247%. Проводится оснащение «чабанских точек» для развития отдаленного животноводства. Внедряются ветровые электростанции, солнечные батареи, что позволяет удешевлять затраты на развитие инфраструктуры сельского хозяйства. По состоянию на конец 2019 года на отгонных пастбищах установлено 145 альтернативных источников энергии (ветрогенераторы и солнечные батареи) и пробурено 300 скважин.</w:t>
      </w:r>
    </w:p>
    <w:p w14:paraId="4AE1740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Объемы выпускаемой продукции растениеводства и животноводства достаточны для обеспечения населения области основными продуктами питания. Объем экспорта говядины увеличился в 2 раза, составив 4,4 тысячи т.. Мясо экспортируется в Россию, Узбекистан и Иран, а в перспективе значительно увеличатся объемы и география поставок, к примеру, в ОАЭ, Китай и другие страны.</w:t>
      </w:r>
    </w:p>
    <w:p w14:paraId="462DD6DC"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6798A257" w14:textId="484A0F62" w:rsidR="00AC1D5B" w:rsidRPr="00F0736F" w:rsidRDefault="00AC1D5B" w:rsidP="00AC1D5B">
      <w:pPr>
        <w:ind w:firstLine="709"/>
        <w:jc w:val="both"/>
        <w:rPr>
          <w:color w:val="000000" w:themeColor="text1"/>
        </w:rPr>
      </w:pPr>
      <w:r w:rsidRPr="00F0736F">
        <w:rPr>
          <w:rFonts w:ascii="Times New Roman" w:eastAsia="Times New Roman" w:hAnsi="Times New Roman" w:cs="Times New Roman"/>
          <w:iCs/>
          <w:color w:val="000000" w:themeColor="text1"/>
        </w:rPr>
        <w:t xml:space="preserve">Общая протяженность </w:t>
      </w:r>
      <w:r w:rsidRPr="00F0736F">
        <w:rPr>
          <w:rFonts w:ascii="Times New Roman" w:eastAsia="Times New Roman" w:hAnsi="Times New Roman" w:cs="Times New Roman"/>
          <w:b/>
          <w:bCs/>
          <w:iCs/>
          <w:color w:val="000000" w:themeColor="text1"/>
        </w:rPr>
        <w:t>линий электропередач</w:t>
      </w:r>
      <w:r w:rsidRPr="00F0736F">
        <w:rPr>
          <w:rFonts w:ascii="Times New Roman" w:eastAsia="Times New Roman" w:hAnsi="Times New Roman" w:cs="Times New Roman"/>
          <w:iCs/>
          <w:color w:val="000000" w:themeColor="text1"/>
        </w:rPr>
        <w:t xml:space="preserve"> по области – 17 </w:t>
      </w:r>
      <w:r w:rsidRPr="00F0736F">
        <w:rPr>
          <w:rFonts w:ascii="Times New Roman" w:eastAsia="Times New Roman" w:hAnsi="Times New Roman" w:cs="Times New Roman"/>
          <w:iCs/>
          <w:color w:val="000000" w:themeColor="text1"/>
          <w:lang w:val="kk-KZ"/>
        </w:rPr>
        <w:t>371</w:t>
      </w:r>
      <w:r w:rsidRPr="00F0736F">
        <w:rPr>
          <w:rFonts w:ascii="Times New Roman" w:eastAsia="Times New Roman" w:hAnsi="Times New Roman" w:cs="Times New Roman"/>
          <w:iCs/>
          <w:color w:val="000000" w:themeColor="text1"/>
        </w:rPr>
        <w:t xml:space="preserve"> км, в т. ч. РЭК ТОО «Энергосистема» - 14 </w:t>
      </w:r>
      <w:r w:rsidRPr="00F0736F">
        <w:rPr>
          <w:rFonts w:ascii="Times New Roman" w:eastAsia="Times New Roman" w:hAnsi="Times New Roman" w:cs="Times New Roman"/>
          <w:iCs/>
          <w:color w:val="000000" w:themeColor="text1"/>
          <w:lang w:val="kk-KZ"/>
        </w:rPr>
        <w:t>798</w:t>
      </w:r>
      <w:r w:rsidRPr="00F0736F">
        <w:rPr>
          <w:rFonts w:ascii="Times New Roman" w:eastAsia="Times New Roman" w:hAnsi="Times New Roman" w:cs="Times New Roman"/>
          <w:iCs/>
          <w:color w:val="000000" w:themeColor="text1"/>
        </w:rPr>
        <w:t>,</w:t>
      </w:r>
      <w:r w:rsidRPr="00F0736F">
        <w:rPr>
          <w:rFonts w:ascii="Times New Roman" w:eastAsia="Times New Roman" w:hAnsi="Times New Roman" w:cs="Times New Roman"/>
          <w:iCs/>
          <w:color w:val="000000" w:themeColor="text1"/>
          <w:lang w:val="kk-KZ"/>
        </w:rPr>
        <w:t>52</w:t>
      </w:r>
      <w:r w:rsidRPr="00F0736F">
        <w:rPr>
          <w:rFonts w:ascii="Times New Roman" w:eastAsia="Times New Roman" w:hAnsi="Times New Roman" w:cs="Times New Roman"/>
          <w:iCs/>
          <w:color w:val="000000" w:themeColor="text1"/>
        </w:rPr>
        <w:t xml:space="preserve"> км, АО «</w:t>
      </w:r>
      <w:r w:rsidRPr="00F0736F">
        <w:rPr>
          <w:rFonts w:ascii="Times New Roman" w:eastAsia="Times New Roman" w:hAnsi="Times New Roman" w:cs="Times New Roman"/>
          <w:iCs/>
          <w:color w:val="000000" w:themeColor="text1"/>
          <w:lang w:val="en-US"/>
        </w:rPr>
        <w:t>KEGOK</w:t>
      </w:r>
      <w:r w:rsidRPr="00F0736F">
        <w:rPr>
          <w:rFonts w:ascii="Times New Roman" w:eastAsia="Times New Roman" w:hAnsi="Times New Roman" w:cs="Times New Roman"/>
          <w:iCs/>
          <w:color w:val="000000" w:themeColor="text1"/>
        </w:rPr>
        <w:t>» - 439,</w:t>
      </w:r>
      <w:r w:rsidRPr="00F0736F">
        <w:rPr>
          <w:rFonts w:ascii="Times New Roman" w:eastAsia="Times New Roman" w:hAnsi="Times New Roman" w:cs="Times New Roman"/>
          <w:iCs/>
          <w:color w:val="000000" w:themeColor="text1"/>
          <w:lang w:val="kk-KZ"/>
        </w:rPr>
        <w:t>4</w:t>
      </w:r>
      <w:r w:rsidRPr="00F0736F">
        <w:rPr>
          <w:rFonts w:ascii="Times New Roman" w:eastAsia="Times New Roman" w:hAnsi="Times New Roman" w:cs="Times New Roman"/>
          <w:iCs/>
          <w:color w:val="000000" w:themeColor="text1"/>
        </w:rPr>
        <w:t xml:space="preserve"> км, АО «Батыс Транзит» - 440,2 км, «МК КТЖ» - 1661,3 км, ТОО «ЖемМунайЭнерго» - 31,7 км. Изношенность основных фондов электроэнергетических предприятий области составляет порядка 61%, или более 10 000 км. В настоящее время обеспеченность области электрической энергией составляет 100%.</w:t>
      </w:r>
    </w:p>
    <w:p w14:paraId="6598DD7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iCs/>
          <w:color w:val="000000" w:themeColor="text1"/>
        </w:rPr>
        <w:t>АО «СНПС-Актобемунайгаз» вв</w:t>
      </w:r>
      <w:r w:rsidRPr="00F0736F">
        <w:rPr>
          <w:rFonts w:ascii="Times New Roman" w:eastAsia="Times New Roman" w:hAnsi="Times New Roman" w:cs="Times New Roman"/>
          <w:iCs/>
          <w:color w:val="000000" w:themeColor="text1"/>
          <w:lang w:val="kk-KZ"/>
        </w:rPr>
        <w:t>еден</w:t>
      </w:r>
      <w:r w:rsidRPr="00F0736F">
        <w:rPr>
          <w:rFonts w:ascii="Times New Roman" w:eastAsia="Times New Roman" w:hAnsi="Times New Roman" w:cs="Times New Roman"/>
          <w:iCs/>
          <w:color w:val="000000" w:themeColor="text1"/>
        </w:rPr>
        <w:t xml:space="preserve"> в эксплуатацию объект расширения газотурбинной электростанции мощностью 160 МВт с объемом инвестиций 22,5 млрд. тенге.</w:t>
      </w:r>
    </w:p>
    <w:p w14:paraId="3473F8D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индустриальной зоне планируется реализовать проект АО «Актобемунай-финанс» по строительству газопоршневой тепловой электростанции мощностью 97 МВт.</w:t>
      </w:r>
    </w:p>
    <w:p w14:paraId="601F14B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укрупнения региональных электросетевых компаний, согласно Плану нации-100 конкретных шагов, проведена инвентаризация бесхозяйных энергообъектов в разрезе районов и г. Актобе. В настоящее время, выявленные бесхозяйные энергообъекты поставлены на учет в органах юстиции с дальнейшей их передачей на баланс РЭК ТОО «Энергосистема», что позволит повысить надежность энергоснабжения, снизить затраты на передачу электроэнергии и снизить стоимость электроэнергии для потребителей.</w:t>
      </w:r>
    </w:p>
    <w:p w14:paraId="2369C569" w14:textId="46DA85C1"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на реализацию электроснабжения из республиканского бюджета предусмотрены средства в сумме 2</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086</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295,0 тыс. тенге. Освоение составило 2086 94,178 тыс. тенге, или 99,9%. Из местного бюджета выделено 44</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773,0 тыс. тенге, освоено полностью. В результате построено 58,743 км электроснабжения. В целях снижения изношенности энергообъектов в рамках ремонтного фонда в 2019 году произведен ремонт 646,4 км линий электропередач и 221 трансформатора. К 2020 году сданы в эксплуатацию 4 переходящих объекта, 5 объектов. Для обеспечения бесперебойной электроэнергией потребителей региона и повышения надежности энергетической системы в 2019 году разработан «План развития электрических сетей 35-500 кВ Актюбинской области на перспективу до 2030 года». </w:t>
      </w:r>
    </w:p>
    <w:p w14:paraId="2BC7115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lang w:eastAsia="ru-RU"/>
        </w:rPr>
        <w:t>Возобновляемые источники энергии.</w:t>
      </w:r>
      <w:r w:rsidRPr="00F0736F">
        <w:rPr>
          <w:rFonts w:ascii="Times New Roman" w:eastAsia="Times New Roman" w:hAnsi="Times New Roman" w:cs="Times New Roman"/>
          <w:color w:val="000000" w:themeColor="text1"/>
          <w:lang w:eastAsia="ru-RU"/>
        </w:rPr>
        <w:t xml:space="preserve"> Составлена ветровая карта Актюбинской области для расчета ветрового потенциала. Ведется строительство 3-х ветроэлектростанций – ТОО «Желэнерго» в Мартукском районе (450 кВт), ввод которого запланирован до конца 2019 г.</w:t>
      </w:r>
    </w:p>
    <w:p w14:paraId="0EF0A89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Каргалинском районе в 2019 году компанией «Arm Wind» введена в эксплуатацию ветроэлектростанция мощностью 48 МВт. В 2019 - 2020 годы планируется реализация проекта ТОО «Kimpersay Energy» (от 100 до 300 МВт в год).</w:t>
      </w:r>
    </w:p>
    <w:p w14:paraId="4180AA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Начата работа по реализации проекта по установке ветроэлектростанции совместно с транснациональными компаниями ENI и General Electric.</w:t>
      </w:r>
    </w:p>
    <w:p w14:paraId="001353E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iCs/>
          <w:color w:val="000000" w:themeColor="text1"/>
        </w:rPr>
        <w:t>Компанией «</w:t>
      </w:r>
      <w:r w:rsidRPr="00F0736F">
        <w:rPr>
          <w:rFonts w:ascii="Times New Roman" w:eastAsia="Times New Roman" w:hAnsi="Times New Roman" w:cs="Times New Roman"/>
          <w:iCs/>
          <w:color w:val="000000" w:themeColor="text1"/>
          <w:lang w:val="en-US"/>
        </w:rPr>
        <w:t>C</w:t>
      </w:r>
      <w:r w:rsidRPr="00F0736F">
        <w:rPr>
          <w:rFonts w:ascii="Times New Roman" w:eastAsia="Times New Roman" w:hAnsi="Times New Roman" w:cs="Times New Roman"/>
          <w:iCs/>
          <w:color w:val="000000" w:themeColor="text1"/>
        </w:rPr>
        <w:t>2</w:t>
      </w:r>
      <w:r w:rsidRPr="00F0736F">
        <w:rPr>
          <w:rFonts w:ascii="Times New Roman" w:eastAsia="Times New Roman" w:hAnsi="Times New Roman" w:cs="Times New Roman"/>
          <w:iCs/>
          <w:color w:val="000000" w:themeColor="text1"/>
          <w:lang w:val="en-US"/>
        </w:rPr>
        <w:t>energy</w:t>
      </w:r>
      <w:r w:rsidRPr="00F0736F">
        <w:rPr>
          <w:rFonts w:ascii="Times New Roman" w:eastAsia="Times New Roman" w:hAnsi="Times New Roman" w:cs="Times New Roman"/>
          <w:iCs/>
          <w:color w:val="000000" w:themeColor="text1"/>
        </w:rPr>
        <w:t xml:space="preserve"> </w:t>
      </w:r>
      <w:r w:rsidRPr="00F0736F">
        <w:rPr>
          <w:rFonts w:ascii="Times New Roman" w:eastAsia="Times New Roman" w:hAnsi="Times New Roman" w:cs="Times New Roman"/>
          <w:iCs/>
          <w:color w:val="000000" w:themeColor="text1"/>
          <w:lang w:val="en-US"/>
        </w:rPr>
        <w:t>GMBH</w:t>
      </w:r>
      <w:r w:rsidRPr="00F0736F">
        <w:rPr>
          <w:rFonts w:ascii="Times New Roman" w:eastAsia="Times New Roman" w:hAnsi="Times New Roman" w:cs="Times New Roman"/>
          <w:iCs/>
          <w:color w:val="000000" w:themeColor="text1"/>
        </w:rPr>
        <w:t xml:space="preserve">» (Германия) планируется строительство солнечной электростанции мощностью 50 МВт в г. Алга за счет собственных средств. </w:t>
      </w:r>
    </w:p>
    <w:p w14:paraId="008764CC" w14:textId="0E9B4FCF" w:rsidR="00AC1D5B" w:rsidRPr="00F0736F" w:rsidRDefault="00AC1D5B" w:rsidP="00AC1D5B">
      <w:pPr>
        <w:ind w:firstLine="709"/>
        <w:jc w:val="both"/>
        <w:rPr>
          <w:color w:val="000000" w:themeColor="text1"/>
        </w:rPr>
      </w:pPr>
      <w:r w:rsidRPr="00F0736F">
        <w:rPr>
          <w:rFonts w:ascii="Times New Roman" w:eastAsia="Times New Roman" w:hAnsi="Times New Roman" w:cs="Times New Roman"/>
          <w:iCs/>
          <w:color w:val="000000" w:themeColor="text1"/>
          <w:lang w:val="kk-KZ"/>
        </w:rPr>
        <w:t xml:space="preserve">Общая протяженность </w:t>
      </w:r>
      <w:r w:rsidRPr="00F0736F">
        <w:rPr>
          <w:rFonts w:ascii="Times New Roman" w:eastAsia="Times New Roman" w:hAnsi="Times New Roman" w:cs="Times New Roman"/>
          <w:b/>
          <w:bCs/>
          <w:iCs/>
          <w:color w:val="000000" w:themeColor="text1"/>
          <w:lang w:val="kk-KZ"/>
        </w:rPr>
        <w:t>тепловых сетей</w:t>
      </w:r>
      <w:r w:rsidRPr="00F0736F">
        <w:rPr>
          <w:rFonts w:ascii="Times New Roman" w:eastAsia="Times New Roman" w:hAnsi="Times New Roman" w:cs="Times New Roman"/>
          <w:iCs/>
          <w:color w:val="000000" w:themeColor="text1"/>
          <w:lang w:val="kk-KZ"/>
        </w:rPr>
        <w:t xml:space="preserve"> области </w:t>
      </w:r>
      <w:r w:rsidRPr="00F0736F">
        <w:rPr>
          <w:rFonts w:ascii="Times New Roman" w:eastAsia="Times New Roman" w:hAnsi="Times New Roman" w:cs="Times New Roman"/>
          <w:iCs/>
          <w:color w:val="000000" w:themeColor="text1"/>
        </w:rPr>
        <w:t>в 2019 году составила 522,3 км</w:t>
      </w:r>
      <w:r w:rsidRPr="00F0736F">
        <w:rPr>
          <w:rFonts w:ascii="Times New Roman" w:eastAsia="Times New Roman" w:hAnsi="Times New Roman" w:cs="Times New Roman"/>
          <w:iCs/>
          <w:color w:val="000000" w:themeColor="text1"/>
          <w:lang w:val="kk-KZ"/>
        </w:rPr>
        <w:t xml:space="preserve"> (</w:t>
      </w:r>
      <w:r w:rsidRPr="00F0736F">
        <w:rPr>
          <w:rFonts w:ascii="Times New Roman" w:eastAsia="Times New Roman" w:hAnsi="Times New Roman" w:cs="Times New Roman"/>
          <w:iCs/>
          <w:color w:val="000000" w:themeColor="text1"/>
        </w:rPr>
        <w:t>в 2017 году – 519,</w:t>
      </w:r>
      <w:r w:rsidRPr="00F0736F">
        <w:rPr>
          <w:rFonts w:ascii="Times New Roman" w:eastAsia="Times New Roman" w:hAnsi="Times New Roman" w:cs="Times New Roman"/>
          <w:iCs/>
          <w:color w:val="000000" w:themeColor="text1"/>
          <w:lang w:val="kk-KZ"/>
        </w:rPr>
        <w:t>7 км), из них 148,3</w:t>
      </w:r>
      <w:r w:rsidRPr="00F0736F">
        <w:rPr>
          <w:rFonts w:ascii="Times New Roman" w:eastAsia="Times New Roman" w:hAnsi="Times New Roman" w:cs="Times New Roman"/>
          <w:iCs/>
          <w:color w:val="000000" w:themeColor="text1"/>
        </w:rPr>
        <w:t xml:space="preserve"> км –</w:t>
      </w:r>
      <w:r w:rsidRPr="00F0736F">
        <w:rPr>
          <w:rFonts w:ascii="Times New Roman" w:eastAsia="Times New Roman" w:hAnsi="Times New Roman" w:cs="Times New Roman"/>
          <w:iCs/>
          <w:color w:val="000000" w:themeColor="text1"/>
          <w:lang w:val="kk-KZ"/>
        </w:rPr>
        <w:t xml:space="preserve"> </w:t>
      </w:r>
      <w:r w:rsidRPr="00F0736F">
        <w:rPr>
          <w:rFonts w:ascii="Times New Roman" w:eastAsia="Times New Roman" w:hAnsi="Times New Roman" w:cs="Times New Roman"/>
          <w:iCs/>
          <w:color w:val="000000" w:themeColor="text1"/>
        </w:rPr>
        <w:t xml:space="preserve">ветхие (28,4%), 78 км — нуждаются в замене (14,9%). </w:t>
      </w:r>
      <w:r w:rsidRPr="00F0736F">
        <w:rPr>
          <w:rFonts w:ascii="Times New Roman" w:eastAsia="Times New Roman" w:hAnsi="Times New Roman" w:cs="Times New Roman"/>
          <w:iCs/>
          <w:color w:val="000000" w:themeColor="text1"/>
          <w:lang w:val="kk-KZ"/>
        </w:rPr>
        <w:t xml:space="preserve">Теплопроизводящими предприятиями вырабатывается 6725,7 </w:t>
      </w:r>
      <w:r w:rsidRPr="00F0736F">
        <w:rPr>
          <w:rFonts w:ascii="Times New Roman" w:eastAsia="Times New Roman" w:hAnsi="Times New Roman" w:cs="Times New Roman"/>
          <w:iCs/>
          <w:color w:val="000000" w:themeColor="text1"/>
        </w:rPr>
        <w:t xml:space="preserve">тыс </w:t>
      </w:r>
      <w:r w:rsidRPr="00F0736F">
        <w:rPr>
          <w:rFonts w:ascii="Times New Roman" w:eastAsia="Times New Roman" w:hAnsi="Times New Roman" w:cs="Times New Roman"/>
          <w:iCs/>
          <w:color w:val="000000" w:themeColor="text1"/>
          <w:lang w:val="kk-KZ"/>
        </w:rPr>
        <w:t>Гкал теплоэнергии (</w:t>
      </w:r>
      <w:r w:rsidRPr="00F0736F">
        <w:rPr>
          <w:rFonts w:ascii="Times New Roman" w:eastAsia="Times New Roman" w:hAnsi="Times New Roman" w:cs="Times New Roman"/>
          <w:iCs/>
          <w:color w:val="000000" w:themeColor="text1"/>
        </w:rPr>
        <w:t xml:space="preserve">в 2017 году — </w:t>
      </w:r>
      <w:r w:rsidRPr="00F0736F">
        <w:rPr>
          <w:rFonts w:ascii="Times New Roman" w:eastAsia="Times New Roman" w:hAnsi="Times New Roman" w:cs="Times New Roman"/>
          <w:iCs/>
          <w:color w:val="000000" w:themeColor="text1"/>
          <w:lang w:val="kk-KZ"/>
        </w:rPr>
        <w:t xml:space="preserve">5592,1 </w:t>
      </w:r>
      <w:r w:rsidRPr="00F0736F">
        <w:rPr>
          <w:rFonts w:ascii="Times New Roman" w:eastAsia="Times New Roman" w:hAnsi="Times New Roman" w:cs="Times New Roman"/>
          <w:iCs/>
          <w:color w:val="000000" w:themeColor="text1"/>
        </w:rPr>
        <w:t xml:space="preserve">тыс. </w:t>
      </w:r>
      <w:r w:rsidRPr="00F0736F">
        <w:rPr>
          <w:rFonts w:ascii="Times New Roman" w:eastAsia="Times New Roman" w:hAnsi="Times New Roman" w:cs="Times New Roman"/>
          <w:iCs/>
          <w:color w:val="000000" w:themeColor="text1"/>
          <w:lang w:val="kk-KZ"/>
        </w:rPr>
        <w:t>Гкал)</w:t>
      </w:r>
      <w:r w:rsidRPr="00F0736F">
        <w:rPr>
          <w:rFonts w:ascii="Times New Roman" w:eastAsia="Times New Roman" w:hAnsi="Times New Roman" w:cs="Times New Roman"/>
          <w:iCs/>
          <w:color w:val="000000" w:themeColor="text1"/>
        </w:rPr>
        <w:t>,</w:t>
      </w:r>
      <w:r w:rsidRPr="00F0736F">
        <w:rPr>
          <w:rFonts w:ascii="Times New Roman" w:eastAsia="Times New Roman" w:hAnsi="Times New Roman" w:cs="Times New Roman"/>
          <w:iCs/>
          <w:color w:val="000000" w:themeColor="text1"/>
          <w:lang w:val="kk-KZ"/>
        </w:rPr>
        <w:t xml:space="preserve"> при потребности 2148,5</w:t>
      </w:r>
      <w:r w:rsidRPr="00F0736F">
        <w:rPr>
          <w:rFonts w:ascii="Times New Roman" w:eastAsia="Times New Roman" w:hAnsi="Times New Roman" w:cs="Times New Roman"/>
          <w:iCs/>
          <w:color w:val="000000" w:themeColor="text1"/>
        </w:rPr>
        <w:t xml:space="preserve"> тыс. Гкал (в 2017 году – </w:t>
      </w:r>
      <w:r w:rsidRPr="00F0736F">
        <w:rPr>
          <w:rFonts w:ascii="Times New Roman" w:eastAsia="Times New Roman" w:hAnsi="Times New Roman" w:cs="Times New Roman"/>
          <w:iCs/>
          <w:color w:val="000000" w:themeColor="text1"/>
          <w:lang w:val="kk-KZ"/>
        </w:rPr>
        <w:t xml:space="preserve">2164,6 </w:t>
      </w:r>
      <w:r w:rsidRPr="00F0736F">
        <w:rPr>
          <w:rFonts w:ascii="Times New Roman" w:eastAsia="Times New Roman" w:hAnsi="Times New Roman" w:cs="Times New Roman"/>
          <w:iCs/>
          <w:color w:val="000000" w:themeColor="text1"/>
        </w:rPr>
        <w:t xml:space="preserve">тыс. </w:t>
      </w:r>
      <w:r w:rsidRPr="00F0736F">
        <w:rPr>
          <w:rFonts w:ascii="Times New Roman" w:eastAsia="Times New Roman" w:hAnsi="Times New Roman" w:cs="Times New Roman"/>
          <w:iCs/>
          <w:color w:val="000000" w:themeColor="text1"/>
          <w:lang w:val="kk-KZ"/>
        </w:rPr>
        <w:t xml:space="preserve">Гкал). </w:t>
      </w:r>
      <w:r w:rsidRPr="00F0736F">
        <w:rPr>
          <w:rFonts w:ascii="Times New Roman" w:eastAsia="Times New Roman" w:hAnsi="Times New Roman" w:cs="Times New Roman"/>
          <w:iCs/>
          <w:color w:val="000000" w:themeColor="text1"/>
        </w:rPr>
        <w:t xml:space="preserve">Потери в сетях в 2019 году составили 487,1 тыс. Гкал. За счет </w:t>
      </w:r>
      <w:r w:rsidRPr="00F0736F">
        <w:rPr>
          <w:rFonts w:ascii="Times New Roman" w:eastAsia="Times New Roman" w:hAnsi="Times New Roman" w:cs="Times New Roman"/>
          <w:iCs/>
          <w:color w:val="000000" w:themeColor="text1"/>
          <w:lang w:val="kk-KZ"/>
        </w:rPr>
        <w:t xml:space="preserve">модернизации сетей и оборудования в области удалось добиться снижения износа сетей теплоснабжения в г.Актобе, г.Алга, Мугалжарском, Хромтауском, Шалкарском районах. Вместе с тем износ сетей в этих районах, а также в Каргалинском районах остается высоким. </w:t>
      </w:r>
    </w:p>
    <w:p w14:paraId="653294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начало 2020 года о</w:t>
      </w:r>
      <w:r w:rsidRPr="00F0736F">
        <w:rPr>
          <w:rFonts w:ascii="Times New Roman" w:hAnsi="Times New Roman" w:cs="Times New Roman"/>
          <w:color w:val="000000" w:themeColor="text1"/>
          <w:lang w:val="kk-KZ"/>
        </w:rPr>
        <w:t xml:space="preserve">бщая протяженность </w:t>
      </w:r>
      <w:r w:rsidRPr="00F0736F">
        <w:rPr>
          <w:rFonts w:ascii="Times New Roman" w:hAnsi="Times New Roman" w:cs="Times New Roman"/>
          <w:b/>
          <w:bCs/>
          <w:color w:val="000000" w:themeColor="text1"/>
          <w:lang w:val="kk-KZ"/>
        </w:rPr>
        <w:t>газопроводов</w:t>
      </w:r>
      <w:r w:rsidRPr="00F0736F">
        <w:rPr>
          <w:rFonts w:ascii="Times New Roman" w:hAnsi="Times New Roman" w:cs="Times New Roman"/>
          <w:color w:val="000000" w:themeColor="text1"/>
          <w:lang w:val="kk-KZ"/>
        </w:rPr>
        <w:t xml:space="preserve"> области составляет 6720 км. Из 315 населенных пунктов области газифицировано 113 (35%), в которых проживает более 792 тысяч человек, или 90,1% населения области. В настоящее время реализуется 11 проектов газоснабжения общей стоимостью 2,2 млрд тенге, завершение которых планируется до конца 2020 года. В результате будет газифицировано 6 населенных пунктов с населением 6000 человек. </w:t>
      </w:r>
    </w:p>
    <w:p w14:paraId="6071B7DF"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Вместе с тем, в области имеется дефицит газа в связи с перегруженностью газопровода-отвода от МГ «Бухара – Урал», а также изношенностью сетей МГ «Жанажол – Актобе» от Жанажольского ГПЗ и прогнозируемым ростом спроса на газ. В этой связи на данный момент акиматом совместно с Правительством ведется работа по реализации проектов «Строительство 3-й нитки магистрального газопровода-отвода в г. Актобе Актюбинской области». Также планируется реализация проекта «Строительство 2-й нитки МГ «Жанажол – Актобе» в г. Актобе». Строительство 2-й нитки создаст условия для бесперебойного газоснабжения Мугалжарского, Байганинского, Темирского, Уилского, Алгинского районов с численностью населения более 187 000 человек в 135 населенных пунктах.</w:t>
      </w:r>
    </w:p>
    <w:p w14:paraId="05A7C80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spacing w:val="2"/>
          <w:lang w:val="kk-KZ" w:eastAsia="ru-RU"/>
        </w:rPr>
        <w:t xml:space="preserve">Сформирован и реализуется Региональный Комплексный </w:t>
      </w:r>
      <w:r w:rsidRPr="00F0736F">
        <w:rPr>
          <w:rFonts w:ascii="Times New Roman" w:eastAsia="Times New Roman" w:hAnsi="Times New Roman" w:cs="Times New Roman"/>
          <w:b/>
          <w:color w:val="000000" w:themeColor="text1"/>
          <w:spacing w:val="2"/>
          <w:lang w:val="kk-KZ" w:eastAsia="ru-RU"/>
        </w:rPr>
        <w:t>План энергосбережения</w:t>
      </w:r>
      <w:r w:rsidRPr="00F0736F">
        <w:rPr>
          <w:rFonts w:ascii="Times New Roman" w:eastAsia="Times New Roman" w:hAnsi="Times New Roman" w:cs="Times New Roman"/>
          <w:color w:val="000000" w:themeColor="text1"/>
          <w:spacing w:val="2"/>
          <w:lang w:val="kk-KZ" w:eastAsia="ru-RU"/>
        </w:rPr>
        <w:t xml:space="preserve"> Актюбинской области на 2016 – 2020 г.</w:t>
      </w:r>
    </w:p>
    <w:p w14:paraId="10B131C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Актобе внедрена</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 xml:space="preserve">система управления уличным освещением, установлено спецоборудование (32 единицы) на сумму 30,1 млн. тенге. Идет </w:t>
      </w:r>
      <w:r w:rsidRPr="00F0736F">
        <w:rPr>
          <w:rFonts w:ascii="Times New Roman" w:hAnsi="Times New Roman" w:cs="Times New Roman"/>
          <w:color w:val="000000" w:themeColor="text1"/>
          <w:lang w:val="kk-KZ"/>
        </w:rPr>
        <w:t>модернизация уличного освещения (замена старых светильников на ЛЭД – 850 шт, ЖБ опор на металлические – 310 шт, проводов линий уличного освещения- 20 км) на сумму 150,6 млн. тенге.</w:t>
      </w:r>
    </w:p>
    <w:p w14:paraId="78CF371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Поэтапно проводится модернизация жилищно-коммунального хозяйства. Совместно с ЕБРР реализуется проект обновления канализационных сетей областного центра.</w:t>
      </w:r>
    </w:p>
    <w:p w14:paraId="408270F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Проводится работа по установке потребителям индивидуальных и общедомовых приборов учета водопотребления и тепла. Среднеобластной показатель по счетчикам составляет 91% охват абонентов. В результате принятых мер более снижены затраты на отопление до 45%, на горячую воду до 30%, что также положительно сказалось на снижении оплаты для населения.</w:t>
      </w:r>
    </w:p>
    <w:p w14:paraId="673458F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5E46067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настоящее время 8 городов области (100%) оснащены </w:t>
      </w:r>
      <w:r w:rsidRPr="00F0736F">
        <w:rPr>
          <w:rFonts w:ascii="Times New Roman" w:hAnsi="Times New Roman" w:cs="Times New Roman"/>
          <w:b/>
          <w:bCs/>
          <w:color w:val="000000" w:themeColor="text1"/>
          <w:lang w:val="kk-KZ"/>
        </w:rPr>
        <w:t>централизованным водоснабжением</w:t>
      </w:r>
      <w:r w:rsidRPr="00F0736F">
        <w:rPr>
          <w:rFonts w:ascii="Times New Roman" w:hAnsi="Times New Roman" w:cs="Times New Roman"/>
          <w:color w:val="000000" w:themeColor="text1"/>
          <w:lang w:val="kk-KZ"/>
        </w:rPr>
        <w:t xml:space="preserve">. </w:t>
      </w:r>
    </w:p>
    <w:p w14:paraId="3F741F4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в рамках госпрограммы Актюбинской области из РБ выделено 5235,8 млн. тенге для реализации 25 проектов водоснабжения по сельским населенным пунктам, освоено 100%. В результате построено и реконструировано 294,2 км сетей водоснабжения. Введено в эксплуатацию 18 объектов.</w:t>
      </w:r>
    </w:p>
    <w:p w14:paraId="64E0211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итогам 2018 года доступ к централизованному водоснабжению в городах составил 98,5%, в сельских населенных пунктах – 54,6%, охват очисткой сточных вод в городах – 67,4%, в селах – 6,6%.</w:t>
      </w:r>
    </w:p>
    <w:p w14:paraId="05630BDD"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По итогам работы в 2019 году обеспеченность населения центральным водоснабжением повысилась с 94,6% до 95,2%. Всего в 2019 году в рамках развития систем водоснабжения и водоотведения области реализовано 7 проектов. В 2020 году запланирована реализация 18 проектов водоснабжения, что позволит увеличить охват населения до 95,7%.</w:t>
      </w:r>
    </w:p>
    <w:p w14:paraId="43CAC4D9" w14:textId="0063C578"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Актюбинской области общая протяжённость водопроводов составляла 3114,9 км в 2017 году, 4763,8 км в 2018 году, и 5017,2 в 2019 году, из них 1401,7 км или 45% сетей в 2017 году, 479,5 км, или 10% в 2018 году и 411,6 км или 8,2% в 2019 году  нуждались в замене и ремонте. Наибольший износ сетей водоснабжения наблюдался в городах Актобе, Темирском, Шалкарском, Хромтауском районах. </w:t>
      </w:r>
    </w:p>
    <w:p w14:paraId="54EE8F1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на реализацию 12 проектов водоснабжения по сельским населенным пунктам предусмотрено 1501,4 млн. тенге. На развитие городского водоснабжения из РБ предусмотрено 856,5 млн. тенге на реализацию 2 проектов.</w:t>
      </w:r>
    </w:p>
    <w:p w14:paraId="5EF3A85D"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lang w:val="kk-KZ"/>
        </w:rPr>
        <w:t xml:space="preserve">В результате реализации указанных проектов будет достигнут экономический эффект, выраженный в следующих показателях: показатель доступа водоснабжения в СНП достигнет в 2020 году 100%, износ водопроводных сетей снизится на 12% (с 45% на 33%). </w:t>
      </w:r>
      <w:r w:rsidRPr="00F0736F">
        <w:rPr>
          <w:rFonts w:ascii="Times New Roman" w:hAnsi="Times New Roman" w:cs="Times New Roman"/>
          <w:bCs/>
          <w:iCs/>
          <w:color w:val="000000" w:themeColor="text1"/>
        </w:rPr>
        <w:t xml:space="preserve">Для реализации проектов водоснабжения помимо бюджетных средств будут использоваться инвестиции международных финансовых организаций. </w:t>
      </w:r>
    </w:p>
    <w:p w14:paraId="448ED72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на проект «Модернизация канализационных очистных сооружений г. Актобе Актюбинской области» было разработано технико-экономическое обоснование. Предполагаемая стоимость проекта составит порядка - 16,9 млрд. тенге. </w:t>
      </w:r>
    </w:p>
    <w:p w14:paraId="36E16F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в 2018 году общая протяженность канализационных сетей в области достигла 936,9 км, в 2019 году 389,8, из них 41,5 км нуждалось в замене в 2018 году и 47 км в 2019 году, заменено 31,8 км в 2018 году и 7,4 км в 2019 году.</w:t>
      </w:r>
    </w:p>
    <w:p w14:paraId="0174DF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итогам 2019 года достигнута обеспеченность централизованным водоснабжением в городах – 98,5%, в селах – 56,5%, охват очисткой сточных вод в городах – 67,4%, в селах – 6,6%.</w:t>
      </w:r>
    </w:p>
    <w:p w14:paraId="7BAB82BA"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7DC313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Для систематизации проводимой работы сформированы и </w:t>
      </w:r>
      <w:r w:rsidRPr="00F0736F">
        <w:rPr>
          <w:rFonts w:ascii="Times New Roman" w:hAnsi="Times New Roman" w:cs="Times New Roman"/>
          <w:color w:val="000000" w:themeColor="text1"/>
        </w:rPr>
        <w:t>утверждены</w:t>
      </w:r>
      <w:r w:rsidRPr="00F0736F">
        <w:rPr>
          <w:rFonts w:ascii="Times New Roman" w:hAnsi="Times New Roman" w:cs="Times New Roman"/>
          <w:color w:val="000000" w:themeColor="text1"/>
          <w:lang w:val="kk-KZ"/>
        </w:rPr>
        <w:t xml:space="preserve"> План мероприятий по улучшению экологической ситуации Актюбинской области на 2018 - 2020 годы и Целевые показатели качества окружающей среды Актюбинской области на период 2018 - 2025 годы.</w:t>
      </w:r>
    </w:p>
    <w:p w14:paraId="3FD4E8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состоянием </w:t>
      </w:r>
      <w:r w:rsidRPr="00F0736F">
        <w:rPr>
          <w:rFonts w:ascii="Times New Roman" w:hAnsi="Times New Roman" w:cs="Times New Roman"/>
          <w:b/>
          <w:bCs/>
          <w:color w:val="000000" w:themeColor="text1"/>
        </w:rPr>
        <w:t>атмосферного воздуха</w:t>
      </w:r>
      <w:r w:rsidRPr="00F0736F">
        <w:rPr>
          <w:rFonts w:ascii="Times New Roman" w:hAnsi="Times New Roman" w:cs="Times New Roman"/>
          <w:color w:val="000000" w:themeColor="text1"/>
        </w:rPr>
        <w:t xml:space="preserve"> в 2017, 2018 и 2019 годах по г. Актобе велись на 6 стационарных постах. </w:t>
      </w:r>
    </w:p>
    <w:p w14:paraId="65F4985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С 2017 по 2019 годы </w:t>
      </w:r>
      <w:r w:rsidRPr="00F0736F">
        <w:rPr>
          <w:rFonts w:ascii="Times New Roman" w:hAnsi="Times New Roman" w:cs="Times New Roman"/>
          <w:color w:val="000000" w:themeColor="text1"/>
        </w:rPr>
        <w:t xml:space="preserve">уровень загрязнения атмосферного воздуха города </w:t>
      </w:r>
      <w:r w:rsidRPr="00F0736F">
        <w:rPr>
          <w:rFonts w:ascii="Times New Roman" w:hAnsi="Times New Roman" w:cs="Times New Roman"/>
          <w:b/>
          <w:color w:val="000000" w:themeColor="text1"/>
        </w:rPr>
        <w:t>Актобе</w:t>
      </w:r>
      <w:r w:rsidRPr="00F0736F">
        <w:rPr>
          <w:rFonts w:ascii="Times New Roman" w:hAnsi="Times New Roman" w:cs="Times New Roman"/>
          <w:color w:val="000000" w:themeColor="text1"/>
        </w:rPr>
        <w:t xml:space="preserve"> несколько ухудшился (ИЗА увеличился с 6 (повышенный уровень) до 7 (высокий уровень), СИ колеблется от 13 до 30 (&gt;10 очень </w:t>
      </w:r>
      <w:r w:rsidRPr="00F0736F">
        <w:rPr>
          <w:rFonts w:ascii="Times New Roman" w:hAnsi="Times New Roman" w:cs="Times New Roman"/>
          <w:color w:val="000000" w:themeColor="text1"/>
          <w:lang w:val="kk-KZ"/>
        </w:rPr>
        <w:t>высокий уровень</w:t>
      </w:r>
      <w:r w:rsidRPr="00F0736F">
        <w:rPr>
          <w:rFonts w:ascii="Times New Roman" w:hAnsi="Times New Roman" w:cs="Times New Roman"/>
          <w:color w:val="000000" w:themeColor="text1"/>
        </w:rPr>
        <w:t xml:space="preserve">). </w:t>
      </w:r>
    </w:p>
    <w:p w14:paraId="7384B8C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Наиболее крупными загрязнителями</w:t>
      </w:r>
      <w:r w:rsidRPr="00F0736F">
        <w:rPr>
          <w:rFonts w:ascii="Times New Roman" w:hAnsi="Times New Roman" w:cs="Times New Roman"/>
          <w:color w:val="000000" w:themeColor="text1"/>
        </w:rPr>
        <w:t xml:space="preserve"> окружающей среды области являются предприятия нефтегазодобывающего комплекса: АО «СНПС Актобемунайгаз», ТОО «КазахойлАктобе», АО «Интергаз ЦА» УМГ «Актобе» (газотранспортная), предприятия горнодобывающей, металлургической, химической и теплоэнергетической промышленности: АО «ТНК Казхром» - филиалы АО ДГОК и АЗФ, ТОО «Актюбинская медная компания», АО «АЗХС», АО «Актобе ТЭЦ», коммунальные предприятия.</w:t>
      </w:r>
    </w:p>
    <w:p w14:paraId="45B1006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Всего в области – 181 предприятие I категории, в том числе предприятия нефтегазового сектора – 53 (29%), горнодобывающей отрасли - 47 (26%), коммунального сектора - 8 (4,4%), металлурги</w:t>
      </w:r>
      <w:r w:rsidRPr="00F0736F">
        <w:rPr>
          <w:rFonts w:ascii="Times New Roman" w:hAnsi="Times New Roman" w:cs="Times New Roman"/>
          <w:color w:val="000000" w:themeColor="text1"/>
          <w:lang w:val="kk-KZ"/>
        </w:rPr>
        <w:t>я</w:t>
      </w:r>
      <w:r w:rsidRPr="00F0736F">
        <w:rPr>
          <w:rFonts w:ascii="Times New Roman" w:hAnsi="Times New Roman" w:cs="Times New Roman"/>
          <w:color w:val="000000" w:themeColor="text1"/>
        </w:rPr>
        <w:t xml:space="preserve"> – 2 (1,1 %), сельское хозяйство -7 (4 %), прочие – 64 (35,5%).</w:t>
      </w:r>
    </w:p>
    <w:p w14:paraId="326981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2018 г. предприятиями области получено 2 753 разрешения на выбросы в атмосферу от стационарных источников. Разрешенный объем выбросов – </w:t>
      </w:r>
      <w:r w:rsidRPr="00F0736F">
        <w:rPr>
          <w:rFonts w:ascii="Times New Roman" w:hAnsi="Times New Roman" w:cs="Times New Roman"/>
          <w:color w:val="000000" w:themeColor="text1"/>
          <w:lang w:val="kk-KZ"/>
        </w:rPr>
        <w:t xml:space="preserve">312,65 </w:t>
      </w:r>
      <w:r w:rsidRPr="00F0736F">
        <w:rPr>
          <w:rFonts w:ascii="Times New Roman" w:hAnsi="Times New Roman" w:cs="Times New Roman"/>
          <w:color w:val="000000" w:themeColor="text1"/>
        </w:rPr>
        <w:t xml:space="preserve">тыс. т, </w:t>
      </w:r>
      <w:r w:rsidRPr="00F0736F">
        <w:rPr>
          <w:rFonts w:ascii="Times New Roman" w:hAnsi="Times New Roman" w:cs="Times New Roman"/>
          <w:b/>
          <w:bCs/>
          <w:color w:val="000000" w:themeColor="text1"/>
        </w:rPr>
        <w:t>фактический объем выбросов</w:t>
      </w:r>
      <w:r w:rsidRPr="00F0736F">
        <w:rPr>
          <w:rFonts w:ascii="Times New Roman" w:hAnsi="Times New Roman" w:cs="Times New Roman"/>
          <w:color w:val="000000" w:themeColor="text1"/>
        </w:rPr>
        <w:t xml:space="preserve"> за 2018 г. </w:t>
      </w:r>
      <w:r w:rsidRPr="00F0736F">
        <w:rPr>
          <w:rFonts w:ascii="Times New Roman" w:hAnsi="Times New Roman" w:cs="Times New Roman"/>
          <w:color w:val="000000" w:themeColor="text1"/>
          <w:lang w:val="kk-KZ"/>
        </w:rPr>
        <w:t xml:space="preserve">– 185,2 </w:t>
      </w:r>
      <w:r w:rsidRPr="00F0736F">
        <w:rPr>
          <w:rFonts w:ascii="Times New Roman" w:hAnsi="Times New Roman" w:cs="Times New Roman"/>
          <w:color w:val="000000" w:themeColor="text1"/>
        </w:rPr>
        <w:t>тыс. т, по сравнению с 2017</w:t>
      </w:r>
      <w:r w:rsidRPr="00F0736F">
        <w:rPr>
          <w:rFonts w:ascii="Times New Roman" w:hAnsi="Times New Roman" w:cs="Times New Roman"/>
          <w:color w:val="000000" w:themeColor="text1"/>
          <w:lang w:val="kk-KZ"/>
        </w:rPr>
        <w:t xml:space="preserve"> годом </w:t>
      </w:r>
      <w:r w:rsidRPr="00F0736F">
        <w:rPr>
          <w:rFonts w:ascii="Times New Roman" w:hAnsi="Times New Roman" w:cs="Times New Roman"/>
          <w:color w:val="000000" w:themeColor="text1"/>
        </w:rPr>
        <w:t>у</w:t>
      </w:r>
      <w:r w:rsidRPr="00F0736F">
        <w:rPr>
          <w:rFonts w:ascii="Times New Roman" w:hAnsi="Times New Roman" w:cs="Times New Roman"/>
          <w:color w:val="000000" w:themeColor="text1"/>
          <w:lang w:val="kk-KZ"/>
        </w:rPr>
        <w:t>меньшился</w:t>
      </w:r>
      <w:r w:rsidRPr="00F0736F">
        <w:rPr>
          <w:rFonts w:ascii="Times New Roman" w:hAnsi="Times New Roman" w:cs="Times New Roman"/>
          <w:color w:val="000000" w:themeColor="text1"/>
        </w:rPr>
        <w:t xml:space="preserve"> на </w:t>
      </w:r>
      <w:r w:rsidRPr="00F0736F">
        <w:rPr>
          <w:rFonts w:ascii="Times New Roman" w:hAnsi="Times New Roman" w:cs="Times New Roman"/>
          <w:color w:val="000000" w:themeColor="text1"/>
          <w:lang w:val="kk-KZ"/>
        </w:rPr>
        <w:t>4,7</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2017 г. - </w:t>
      </w:r>
      <w:r w:rsidRPr="00F0736F">
        <w:rPr>
          <w:rFonts w:ascii="Times New Roman" w:hAnsi="Times New Roman" w:cs="Times New Roman"/>
          <w:color w:val="000000" w:themeColor="text1"/>
          <w:lang w:val="kk-KZ"/>
        </w:rPr>
        <w:t xml:space="preserve">194,3 </w:t>
      </w:r>
      <w:r w:rsidRPr="00F0736F">
        <w:rPr>
          <w:rFonts w:ascii="Times New Roman" w:hAnsi="Times New Roman" w:cs="Times New Roman"/>
          <w:color w:val="000000" w:themeColor="text1"/>
        </w:rPr>
        <w:t>тыс. т).</w:t>
      </w:r>
    </w:p>
    <w:p w14:paraId="149819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Уменьшение фактических объемов выбросов </w:t>
      </w:r>
      <w:r w:rsidRPr="00F0736F">
        <w:rPr>
          <w:rFonts w:ascii="Times New Roman" w:hAnsi="Times New Roman" w:cs="Times New Roman"/>
          <w:color w:val="000000" w:themeColor="text1"/>
        </w:rPr>
        <w:t>загрязняющих веществ в 2018 году</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связано </w:t>
      </w:r>
      <w:r w:rsidRPr="00F0736F">
        <w:rPr>
          <w:rFonts w:ascii="Times New Roman" w:hAnsi="Times New Roman" w:cs="Times New Roman"/>
          <w:color w:val="000000" w:themeColor="text1"/>
          <w:lang w:val="kk-KZ"/>
        </w:rPr>
        <w:t>с уменьшением</w:t>
      </w:r>
      <w:r w:rsidRPr="00F0736F">
        <w:rPr>
          <w:rFonts w:ascii="Times New Roman" w:hAnsi="Times New Roman" w:cs="Times New Roman"/>
          <w:color w:val="000000" w:themeColor="text1"/>
        </w:rPr>
        <w:t>:</w:t>
      </w:r>
    </w:p>
    <w:p w14:paraId="2A1D05B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ремонтных работ </w:t>
      </w:r>
      <w:r w:rsidRPr="00F0736F">
        <w:rPr>
          <w:rFonts w:ascii="Times New Roman" w:hAnsi="Times New Roman" w:cs="Times New Roman"/>
          <w:color w:val="000000" w:themeColor="text1"/>
        </w:rPr>
        <w:t xml:space="preserve">на УМГ «Актобе» АО «ИЦА» (на </w:t>
      </w:r>
      <w:r w:rsidRPr="00F0736F">
        <w:rPr>
          <w:rFonts w:ascii="Times New Roman" w:hAnsi="Times New Roman" w:cs="Times New Roman"/>
          <w:color w:val="000000" w:themeColor="text1"/>
          <w:lang w:val="kk-KZ"/>
        </w:rPr>
        <w:t>12,29</w:t>
      </w:r>
      <w:r w:rsidRPr="00F0736F">
        <w:rPr>
          <w:rFonts w:ascii="Times New Roman" w:hAnsi="Times New Roman" w:cs="Times New Roman"/>
          <w:color w:val="000000" w:themeColor="text1"/>
        </w:rPr>
        <w:t xml:space="preserve"> тыс. т);</w:t>
      </w:r>
    </w:p>
    <w:p w14:paraId="367031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уменьшение объема добычи нефти ТОО «Казахойл Актобе» (8,31 тыс. т),</w:t>
      </w:r>
    </w:p>
    <w:p w14:paraId="0939A2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при этом: АО «СНПС-Актобемунайгаз» в связи с капитальным ремонтом на ЖНГК увеличил фактические выбросы на 4,49 тыс. т.</w:t>
      </w:r>
    </w:p>
    <w:p w14:paraId="031542F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по статистическим данным выбросы в атмосферу снизились до 136,6 тыс. т.</w:t>
      </w:r>
    </w:p>
    <w:p w14:paraId="61B5C38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Актюбинской области, по областному центру – Актобе для регулярных городских, маршрутов задействовано более 497 ед. автобусов большой, средней и малой вместимости. Из них на газовом топливе - 172 автобуса, на дизельном - 325 автобусов. На внутриобластных маршрутах задействовано 120 единиц, из них на газовом топливе -104 единицы. </w:t>
      </w:r>
    </w:p>
    <w:p w14:paraId="151B2A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Основной причиной загрязнения атмосферного воздуха сероводородом в г. Актобе являются выбросы от канализационных </w:t>
      </w:r>
      <w:r w:rsidRPr="00F0736F">
        <w:rPr>
          <w:rFonts w:ascii="Times New Roman" w:hAnsi="Times New Roman" w:cs="Times New Roman"/>
          <w:color w:val="000000" w:themeColor="text1"/>
          <w:lang w:val="kk-KZ"/>
        </w:rPr>
        <w:t>насосных станций</w:t>
      </w:r>
      <w:r w:rsidRPr="00F0736F">
        <w:rPr>
          <w:rFonts w:ascii="Times New Roman" w:hAnsi="Times New Roman" w:cs="Times New Roman"/>
          <w:color w:val="000000" w:themeColor="text1"/>
        </w:rPr>
        <w:t xml:space="preserve"> АО «Акбулак». </w:t>
      </w:r>
    </w:p>
    <w:p w14:paraId="4E2CDA4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городскую систему канализации вместе с бытовыми стоками поступают и промышленные стоки. По причине неэффективной работы КОС АО «Акбулак», поступающие стоки недостаточно очищаются и создают условия для гниения и разложения загрязняющих веществ с образованием сероводорода, ухудшая состояние атмосферного воздуха в г. Актобе. Отсутствие либо неэффективная работа локально-очистных сооружений на предприятиях является одной из основных причин выбросов сероводорода в г. Актобе. В этой связи разрабатывается проект по их модернизации, который планируется начать с 2020 года (стоимость – 16,9 млрд. тенге).</w:t>
      </w:r>
    </w:p>
    <w:p w14:paraId="29BFCE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Вторым источником выделения сероводорода являются иловые площадки, образованные в первичном отстойнике I и вторичном отстойнике II КОС. Площадь иловых площадок составляет 25 га. Количество площадок 56 шт. По состоянию текущего года заполнены 26 площадок илом. По данным Департамента экологии, фактическая концентрация сероводорода на глубине от 0-10 см составляет 496 мг/кг.</w:t>
      </w:r>
    </w:p>
    <w:p w14:paraId="3E6BBBF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2017 - 2019 годах </w:t>
      </w:r>
      <w:r w:rsidRPr="00F0736F">
        <w:rPr>
          <w:rFonts w:ascii="Times New Roman" w:hAnsi="Times New Roman" w:cs="Times New Roman"/>
          <w:color w:val="000000" w:themeColor="text1"/>
          <w:lang w:val="kk-KZ"/>
        </w:rPr>
        <w:t>АО «Акбулак» выполнил ряд мероприятий по устранению и минимизации выбросов сероводорода:</w:t>
      </w:r>
    </w:p>
    <w:p w14:paraId="46161A17" w14:textId="77777777" w:rsidR="00AC1D5B" w:rsidRPr="00F0736F" w:rsidRDefault="00AC1D5B" w:rsidP="00AC1D5B">
      <w:pPr>
        <w:numPr>
          <w:ilvl w:val="0"/>
          <w:numId w:val="2"/>
        </w:numPr>
        <w:ind w:firstLine="709"/>
        <w:jc w:val="both"/>
        <w:rPr>
          <w:color w:val="000000" w:themeColor="text1"/>
        </w:rPr>
      </w:pPr>
      <w:r w:rsidRPr="00F0736F">
        <w:rPr>
          <w:rFonts w:ascii="Times New Roman" w:hAnsi="Times New Roman" w:cs="Times New Roman"/>
          <w:color w:val="000000" w:themeColor="text1"/>
          <w:lang w:val="kk-KZ"/>
        </w:rPr>
        <w:t xml:space="preserve">- на КОС: установка мокрого барьера, накрытие </w:t>
      </w:r>
      <w:r w:rsidRPr="00F0736F">
        <w:rPr>
          <w:rFonts w:ascii="Times New Roman" w:hAnsi="Times New Roman" w:cs="Times New Roman"/>
          <w:color w:val="000000" w:themeColor="text1"/>
        </w:rPr>
        <w:t xml:space="preserve">поверхности  песколовок, распределительных, приемных камер; </w:t>
      </w:r>
    </w:p>
    <w:p w14:paraId="58F3C2C4" w14:textId="77777777" w:rsidR="00AC1D5B" w:rsidRPr="00F0736F" w:rsidRDefault="00AC1D5B" w:rsidP="00AC1D5B">
      <w:pPr>
        <w:numPr>
          <w:ilvl w:val="0"/>
          <w:numId w:val="2"/>
        </w:numPr>
        <w:ind w:firstLine="709"/>
        <w:jc w:val="both"/>
        <w:rPr>
          <w:color w:val="000000" w:themeColor="text1"/>
        </w:rPr>
      </w:pPr>
      <w:r w:rsidRPr="00F0736F">
        <w:rPr>
          <w:rFonts w:ascii="Times New Roman" w:hAnsi="Times New Roman" w:cs="Times New Roman"/>
          <w:color w:val="000000" w:themeColor="text1"/>
        </w:rPr>
        <w:t>- введение в эксплуатацию 3 современных сливных станций;</w:t>
      </w:r>
    </w:p>
    <w:p w14:paraId="1A83ADF3" w14:textId="77777777" w:rsidR="00AC1D5B" w:rsidRPr="00F0736F" w:rsidRDefault="00AC1D5B" w:rsidP="00AC1D5B">
      <w:pPr>
        <w:numPr>
          <w:ilvl w:val="0"/>
          <w:numId w:val="2"/>
        </w:numPr>
        <w:ind w:firstLine="709"/>
        <w:jc w:val="both"/>
        <w:rPr>
          <w:color w:val="000000" w:themeColor="text1"/>
        </w:rPr>
      </w:pPr>
      <w:r w:rsidRPr="00F0736F">
        <w:rPr>
          <w:rFonts w:ascii="Times New Roman" w:hAnsi="Times New Roman" w:cs="Times New Roman"/>
          <w:color w:val="000000" w:themeColor="text1"/>
          <w:lang w:val="kk-KZ"/>
        </w:rPr>
        <w:t>- организация контроля за соблюдением нормативов ДКВВ в промстоках и прекращение услуг приема сточных вод при ее несоответствии</w:t>
      </w:r>
      <w:r w:rsidRPr="00F0736F">
        <w:rPr>
          <w:rFonts w:ascii="Times New Roman" w:hAnsi="Times New Roman" w:cs="Times New Roman"/>
          <w:color w:val="000000" w:themeColor="text1"/>
        </w:rPr>
        <w:t>;</w:t>
      </w:r>
    </w:p>
    <w:p w14:paraId="48B507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применение препарата ИВКАЗ в системе водоотведения для очистки стоков от сероводорода и устранения запахов. Лабораторные исследования показали значительное снижение содержания сероводорода в канализационных стоках. Непосредственно на КОС в поступающих сточных водах увеличилось содержание кислорода (было 0, стало 0,23 мг/дм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w:t>
      </w:r>
    </w:p>
    <w:p w14:paraId="63EC1EF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Проведены опытные работы на иловых картах (скопление осадка после очистки стоков), где были применены кисломолочные бактерии. Также данный метод (обработка кисломолочными бактериями) был опробован на картах накопителя барды, в течение года обработаны бактериями 15 жидких карт.</w:t>
      </w:r>
    </w:p>
    <w:p w14:paraId="746C050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Как результат принимаемых мер, снизились случаи фиксации превышения сероводорода. </w:t>
      </w:r>
      <w:r w:rsidRPr="00F0736F">
        <w:rPr>
          <w:rFonts w:ascii="Times New Roman" w:hAnsi="Times New Roman" w:cs="Times New Roman"/>
          <w:color w:val="000000" w:themeColor="text1"/>
        </w:rPr>
        <w:t>Если в 2017 году стационарные посты РГП «Казгидромет» зафиксировали более 144 случаев превышения ПДК по сероводороду, то за 2018 год 7 случаев превышения ПДК по сероводороду.</w:t>
      </w:r>
    </w:p>
    <w:p w14:paraId="6F09B29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2018 год объемы </w:t>
      </w:r>
      <w:r w:rsidRPr="00F0736F">
        <w:rPr>
          <w:rFonts w:ascii="Times New Roman" w:hAnsi="Times New Roman" w:cs="Times New Roman"/>
          <w:b/>
          <w:bCs/>
          <w:color w:val="000000" w:themeColor="text1"/>
        </w:rPr>
        <w:t>утилизации попутного нефтяного газа</w:t>
      </w:r>
      <w:r w:rsidRPr="00F0736F">
        <w:rPr>
          <w:rFonts w:ascii="Times New Roman" w:hAnsi="Times New Roman" w:cs="Times New Roman"/>
          <w:color w:val="000000" w:themeColor="text1"/>
        </w:rPr>
        <w:t xml:space="preserve"> составили 6 474,085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против 6 282,324 млн. м</w:t>
      </w:r>
      <w:r w:rsidRPr="00F0736F">
        <w:rPr>
          <w:rFonts w:ascii="Times New Roman" w:hAnsi="Times New Roman" w:cs="Times New Roman"/>
          <w:color w:val="000000" w:themeColor="text1"/>
          <w:vertAlign w:val="superscript"/>
        </w:rPr>
        <w:t xml:space="preserve">3 </w:t>
      </w:r>
      <w:r w:rsidRPr="00F0736F">
        <w:rPr>
          <w:rFonts w:ascii="Times New Roman" w:hAnsi="Times New Roman" w:cs="Times New Roman"/>
          <w:color w:val="000000" w:themeColor="text1"/>
        </w:rPr>
        <w:t>за 2017 г.</w:t>
      </w:r>
      <w:r w:rsidRPr="00F0736F">
        <w:rPr>
          <w:rFonts w:ascii="Times New Roman" w:hAnsi="Times New Roman" w:cs="Times New Roman"/>
          <w:color w:val="000000" w:themeColor="text1"/>
          <w:lang w:val="kk-KZ"/>
        </w:rPr>
        <w:t xml:space="preserve"> О</w:t>
      </w:r>
      <w:r w:rsidRPr="00F0736F">
        <w:rPr>
          <w:rFonts w:ascii="Times New Roman" w:hAnsi="Times New Roman" w:cs="Times New Roman"/>
          <w:color w:val="000000" w:themeColor="text1"/>
        </w:rPr>
        <w:t>бъем сожженного газа за 2018 год составляет 248,54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что меньше на 80,528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по сравнению с 2017 г. </w:t>
      </w:r>
      <w:r w:rsidRPr="00F0736F">
        <w:rPr>
          <w:rFonts w:ascii="Times New Roman" w:hAnsi="Times New Roman" w:cs="Times New Roman"/>
          <w:bCs/>
          <w:color w:val="000000" w:themeColor="text1"/>
        </w:rPr>
        <w:t>97%</w:t>
      </w:r>
      <w:r w:rsidRPr="00F0736F">
        <w:rPr>
          <w:rFonts w:ascii="Times New Roman" w:hAnsi="Times New Roman" w:cs="Times New Roman"/>
          <w:color w:val="000000" w:themeColor="text1"/>
        </w:rPr>
        <w:t xml:space="preserve"> всех выбросов от факельных установок приходится на 3 нефтегазодобывающие и перерабатывающие предприятия: </w:t>
      </w:r>
      <w:r w:rsidRPr="00F0736F">
        <w:rPr>
          <w:rFonts w:ascii="Times New Roman" w:hAnsi="Times New Roman" w:cs="Times New Roman"/>
          <w:bCs/>
          <w:color w:val="000000" w:themeColor="text1"/>
        </w:rPr>
        <w:t>АО «СНПС-Актобемунайгаз», ТОО «Казах</w:t>
      </w:r>
      <w:r w:rsidRPr="00F0736F">
        <w:rPr>
          <w:rFonts w:ascii="Times New Roman" w:hAnsi="Times New Roman" w:cs="Times New Roman"/>
          <w:bCs/>
          <w:color w:val="000000" w:themeColor="text1"/>
          <w:lang w:val="kk-KZ"/>
        </w:rPr>
        <w:t>О</w:t>
      </w:r>
      <w:r w:rsidRPr="00F0736F">
        <w:rPr>
          <w:rFonts w:ascii="Times New Roman" w:hAnsi="Times New Roman" w:cs="Times New Roman"/>
          <w:bCs/>
          <w:color w:val="000000" w:themeColor="text1"/>
        </w:rPr>
        <w:t xml:space="preserve">йлАктобе» и ТОО «Аман Мунай». </w:t>
      </w:r>
    </w:p>
    <w:p w14:paraId="621504A0" w14:textId="2CDEB0D6"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Снижени</w:t>
      </w:r>
      <w:r w:rsidRPr="00F0736F">
        <w:rPr>
          <w:rFonts w:ascii="Times New Roman" w:hAnsi="Times New Roman" w:cs="Times New Roman"/>
          <w:color w:val="000000" w:themeColor="text1"/>
          <w:lang w:val="kk-KZ"/>
        </w:rPr>
        <w:t>е</w:t>
      </w:r>
      <w:r w:rsidRPr="00F0736F">
        <w:rPr>
          <w:rFonts w:ascii="Times New Roman" w:hAnsi="Times New Roman" w:cs="Times New Roman"/>
          <w:color w:val="000000" w:themeColor="text1"/>
        </w:rPr>
        <w:t xml:space="preserve"> объема сжигаемого попутного газа на факелах связано с увеличением объема утилизации попутного газа. При этом</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объем добычи попутного нефтяного газа в АО «СНПС-АМГ» в 2018 г. больше на 194,237 млн. м</w:t>
      </w:r>
      <w:r w:rsidRPr="00F0736F">
        <w:rPr>
          <w:rFonts w:ascii="Times New Roman" w:hAnsi="Times New Roman" w:cs="Times New Roman"/>
          <w:color w:val="000000" w:themeColor="text1"/>
          <w:vertAlign w:val="superscript"/>
        </w:rPr>
        <w:t xml:space="preserve">3 </w:t>
      </w:r>
      <w:r w:rsidRPr="00F0736F">
        <w:rPr>
          <w:rFonts w:ascii="Times New Roman" w:hAnsi="Times New Roman" w:cs="Times New Roman"/>
          <w:color w:val="000000" w:themeColor="text1"/>
        </w:rPr>
        <w:t>(добыто 6 155,107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газа против 5960,87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2017 года).</w:t>
      </w:r>
    </w:p>
    <w:p w14:paraId="5B5F49C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Из общего объема выбросов от стационарных источников (</w:t>
      </w:r>
      <w:r w:rsidRPr="00F0736F">
        <w:rPr>
          <w:rFonts w:ascii="Times New Roman" w:hAnsi="Times New Roman" w:cs="Times New Roman"/>
          <w:color w:val="000000" w:themeColor="text1"/>
          <w:lang w:val="kk-KZ"/>
        </w:rPr>
        <w:t>185,2</w:t>
      </w:r>
      <w:r w:rsidRPr="00F0736F">
        <w:rPr>
          <w:rFonts w:ascii="Times New Roman" w:hAnsi="Times New Roman" w:cs="Times New Roman"/>
          <w:bCs/>
          <w:color w:val="000000" w:themeColor="text1"/>
        </w:rPr>
        <w:t xml:space="preserve"> тыс. т)</w:t>
      </w:r>
      <w:r w:rsidRPr="00F0736F">
        <w:rPr>
          <w:rFonts w:ascii="Times New Roman" w:hAnsi="Times New Roman" w:cs="Times New Roman"/>
          <w:color w:val="000000" w:themeColor="text1"/>
        </w:rPr>
        <w:t xml:space="preserve"> доля выбросов от сжигания попутного газа на факелах – </w:t>
      </w:r>
      <w:r w:rsidRPr="00F0736F">
        <w:rPr>
          <w:rFonts w:ascii="Times New Roman" w:hAnsi="Times New Roman" w:cs="Times New Roman"/>
          <w:bCs/>
          <w:color w:val="000000" w:themeColor="text1"/>
          <w:lang w:val="kk-KZ"/>
        </w:rPr>
        <w:t>16,3</w:t>
      </w:r>
      <w:r w:rsidRPr="00F0736F">
        <w:rPr>
          <w:rFonts w:ascii="Times New Roman" w:hAnsi="Times New Roman" w:cs="Times New Roman"/>
          <w:bCs/>
          <w:color w:val="000000" w:themeColor="text1"/>
        </w:rPr>
        <w:t xml:space="preserve"> тыс. т (</w:t>
      </w:r>
      <w:r w:rsidRPr="00F0736F">
        <w:rPr>
          <w:rFonts w:ascii="Times New Roman" w:hAnsi="Times New Roman" w:cs="Times New Roman"/>
          <w:bCs/>
          <w:color w:val="000000" w:themeColor="text1"/>
          <w:lang w:val="kk-KZ"/>
        </w:rPr>
        <w:t>8,8</w:t>
      </w:r>
      <w:r w:rsidRPr="00F0736F">
        <w:rPr>
          <w:rFonts w:ascii="Times New Roman" w:hAnsi="Times New Roman" w:cs="Times New Roman"/>
          <w:bCs/>
          <w:color w:val="000000" w:themeColor="text1"/>
        </w:rPr>
        <w:t xml:space="preserve">%). </w:t>
      </w:r>
    </w:p>
    <w:p w14:paraId="719D9D4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В конце 2018 года в Байганинском районе на месторождении «Кожасай» введен в эксплуатацию современный газоперерабатывающий комплекс мощностью 40 тыс.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/час или 326,4 млн.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/год. В результате технологически неизбежный объем сжигаемого попутного нефтяного газа сократится на 316,0 млн.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/год, при этом объем выбросов загрязняющих веществ на 5,6 тыс. т/год.</w:t>
      </w:r>
    </w:p>
    <w:p w14:paraId="46A8562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Плана мероприятий по улучшению экологической ситуации Актюбинской области на 2018 - 2020 годы:</w:t>
      </w:r>
    </w:p>
    <w:p w14:paraId="42FF205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а</w:t>
      </w:r>
      <w:r w:rsidRPr="00F0736F">
        <w:rPr>
          <w:rFonts w:ascii="Times New Roman" w:hAnsi="Times New Roman" w:cs="Times New Roman"/>
          <w:color w:val="000000" w:themeColor="text1"/>
          <w:lang w:val="kk-KZ"/>
        </w:rPr>
        <w:t>втотранспорт бюджетных организаций (850 единиц) и более 60% общественного транспорта переведены на газовое топливо (всего 23% автомобилей от общего числа зарегистрированных по области переведены на газовое топливо);</w:t>
      </w:r>
    </w:p>
    <w:p w14:paraId="5089811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- 64 </w:t>
      </w:r>
      <w:r w:rsidRPr="00F0736F">
        <w:rPr>
          <w:rFonts w:ascii="Times New Roman" w:hAnsi="Times New Roman" w:cs="Times New Roman"/>
          <w:color w:val="000000" w:themeColor="text1"/>
        </w:rPr>
        <w:t>перекрестка</w:t>
      </w:r>
      <w:r w:rsidRPr="00F0736F">
        <w:rPr>
          <w:rFonts w:ascii="Times New Roman" w:hAnsi="Times New Roman" w:cs="Times New Roman"/>
          <w:color w:val="000000" w:themeColor="text1"/>
          <w:lang w:val="kk-KZ"/>
        </w:rPr>
        <w:t xml:space="preserve"> города подключены к автоматизированной системе управления движением (АСУД);</w:t>
      </w:r>
    </w:p>
    <w:p w14:paraId="4629A85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по линии департамента экологии совместно с ДВД проводится контроль выбросов автотранспорта на дымность и токсичность.</w:t>
      </w:r>
      <w:r w:rsidRPr="00F0736F">
        <w:rPr>
          <w:rFonts w:ascii="Times New Roman" w:hAnsi="Times New Roman" w:cs="Times New Roman"/>
          <w:color w:val="000000" w:themeColor="text1"/>
        </w:rPr>
        <w:tab/>
      </w:r>
    </w:p>
    <w:p w14:paraId="472B1347" w14:textId="77777777" w:rsidR="00AC1D5B" w:rsidRPr="00F0736F" w:rsidRDefault="00AC1D5B" w:rsidP="00AC1D5B">
      <w:pPr>
        <w:ind w:firstLine="709"/>
        <w:jc w:val="both"/>
        <w:rPr>
          <w:color w:val="000000" w:themeColor="text1"/>
        </w:rPr>
      </w:pPr>
      <w:r w:rsidRPr="00F0736F">
        <w:rPr>
          <w:rFonts w:ascii="Times New Roman" w:eastAsia="font275" w:hAnsi="Times New Roman" w:cs="Times New Roman"/>
          <w:color w:val="000000" w:themeColor="text1"/>
          <w:kern w:val="0"/>
          <w:lang w:eastAsia="ru-RU" w:bidi="ar-SA"/>
        </w:rPr>
        <w:t xml:space="preserve">Наблюдения за </w:t>
      </w:r>
      <w:r w:rsidRPr="00F0736F">
        <w:rPr>
          <w:rFonts w:ascii="Times New Roman" w:eastAsia="font275" w:hAnsi="Times New Roman" w:cs="Times New Roman"/>
          <w:bCs/>
          <w:color w:val="000000" w:themeColor="text1"/>
          <w:kern w:val="0"/>
          <w:lang w:eastAsia="ru-RU" w:bidi="ar-SA"/>
        </w:rPr>
        <w:t>загрязнением поверхностных вод</w:t>
      </w:r>
      <w:r w:rsidRPr="00F0736F">
        <w:rPr>
          <w:rFonts w:ascii="Times New Roman" w:eastAsia="font275" w:hAnsi="Times New Roman" w:cs="Times New Roman"/>
          <w:color w:val="000000" w:themeColor="text1"/>
          <w:kern w:val="0"/>
          <w:lang w:eastAsia="ru-RU" w:bidi="ar-SA"/>
        </w:rPr>
        <w:t xml:space="preserve"> в 2017, 2018 и 2019 годах на территории Актюбинском области проводились на 12 водных объектах: реки Елек, Каргалы, Косестек, Актасты, Ойыл, Улькен Кобда, Кара Кобда, Эмба, Темир, Орь, Ыргыз и озеро Шалкар. </w:t>
      </w:r>
    </w:p>
    <w:p w14:paraId="5A8F5B31" w14:textId="77777777" w:rsidR="00AC1D5B" w:rsidRPr="00F0736F" w:rsidRDefault="00AC1D5B" w:rsidP="00AC1D5B">
      <w:pPr>
        <w:ind w:firstLine="709"/>
        <w:jc w:val="both"/>
        <w:rPr>
          <w:bCs/>
          <w:color w:val="000000" w:themeColor="text1"/>
        </w:rPr>
      </w:pPr>
      <w:r w:rsidRPr="00F0736F">
        <w:rPr>
          <w:rFonts w:ascii="Times New Roman" w:eastAsia="font275" w:hAnsi="Times New Roman" w:cs="Times New Roman"/>
          <w:bCs/>
          <w:color w:val="000000" w:themeColor="text1"/>
          <w:kern w:val="0"/>
          <w:lang w:eastAsia="ru-RU" w:bidi="ar-SA"/>
        </w:rPr>
        <w:t xml:space="preserve">В 2017 году качество воды оценивается следующим образом: вода «высокого уровня загрязнения» - реки Елек, Орь, Каргалы, Ыргыз, Косестек, Темир; «умеренного уровня загрязнения» - реки Эмба, Ойыл, Актасты, Кара Кобда, Улькен Кобда, оз. Шалкар. За 2017 год в реке Елек обнаружено 15 случаев ВЗ и 1 случай ЭВЗ. </w:t>
      </w:r>
    </w:p>
    <w:p w14:paraId="48AA3CD1" w14:textId="77777777" w:rsidR="00AC1D5B" w:rsidRPr="00F0736F" w:rsidRDefault="00AC1D5B" w:rsidP="00AC1D5B">
      <w:pPr>
        <w:ind w:firstLine="709"/>
        <w:jc w:val="both"/>
        <w:rPr>
          <w:bCs/>
          <w:color w:val="000000" w:themeColor="text1"/>
        </w:rPr>
      </w:pPr>
      <w:r w:rsidRPr="00F0736F">
        <w:rPr>
          <w:rFonts w:ascii="Times New Roman" w:eastAsia="font275" w:hAnsi="Times New Roman" w:cs="Times New Roman"/>
          <w:bCs/>
          <w:color w:val="000000" w:themeColor="text1"/>
          <w:kern w:val="0"/>
          <w:lang w:eastAsia="ru-RU" w:bidi="ar-SA"/>
        </w:rPr>
        <w:t>В сравнении с 2016 годом качество воды в реках Елек, Косестек, Актасты, Ойыл, Орь, оз. Шалкар существенно не изменилось, в реках Улькен Кобда, Кара Кобда, Эмба улучшилось; в реках Ыргыз, Каргалы, Темир ухудшилось</w:t>
      </w:r>
      <w:r w:rsidRPr="00F0736F">
        <w:rPr>
          <w:rFonts w:ascii="Times New Roman" w:eastAsia="font275" w:hAnsi="Times New Roman" w:cs="Times New Roman"/>
          <w:bCs/>
          <w:color w:val="000000" w:themeColor="text1"/>
          <w:kern w:val="0"/>
          <w:vertAlign w:val="superscript"/>
          <w:lang w:eastAsia="ru-RU" w:bidi="ar-SA"/>
        </w:rPr>
        <w:footnoteReference w:id="136"/>
      </w:r>
      <w:r w:rsidRPr="00F0736F">
        <w:rPr>
          <w:rFonts w:ascii="Times New Roman" w:eastAsia="font275" w:hAnsi="Times New Roman" w:cs="Times New Roman"/>
          <w:bCs/>
          <w:color w:val="000000" w:themeColor="text1"/>
          <w:kern w:val="0"/>
          <w:lang w:eastAsia="ru-RU" w:bidi="ar-SA"/>
        </w:rPr>
        <w:t xml:space="preserve">. </w:t>
      </w:r>
    </w:p>
    <w:p w14:paraId="45EC0BD8" w14:textId="77777777" w:rsidR="00AC1D5B" w:rsidRPr="00F0736F" w:rsidRDefault="00AC1D5B" w:rsidP="00AC1D5B">
      <w:pPr>
        <w:ind w:firstLine="709"/>
        <w:jc w:val="both"/>
        <w:rPr>
          <w:color w:val="000000" w:themeColor="text1"/>
        </w:rPr>
      </w:pPr>
      <w:r w:rsidRPr="00F0736F">
        <w:rPr>
          <w:rFonts w:ascii="Times New Roman" w:eastAsia="font275" w:hAnsi="Times New Roman" w:cs="Times New Roman"/>
          <w:bCs/>
          <w:color w:val="000000" w:themeColor="text1"/>
          <w:kern w:val="0"/>
          <w:lang w:eastAsia="ru-RU" w:bidi="ar-SA"/>
        </w:rPr>
        <w:t>В 2018 году -</w:t>
      </w:r>
      <w:r w:rsidRPr="00F0736F">
        <w:rPr>
          <w:rFonts w:ascii="Times New Roman" w:eastAsia="font275" w:hAnsi="Times New Roman" w:cs="Times New Roman"/>
          <w:color w:val="000000" w:themeColor="text1"/>
          <w:kern w:val="0"/>
          <w:lang w:eastAsia="ru-RU" w:bidi="ar-SA"/>
        </w:rPr>
        <w:t xml:space="preserve"> «умеренного уровня загрязнения» - реки Орь, Каргалы, Косестек, Ыргыз Улькен Кобда, Ойыл, Эмба, Темир и оз. Шалкар; вода «высокого уровня загрязнения» - реки Елек, Актасты, Кара Кобда. На территории Актюбинской области в реке Елек обнаружено 40 случаев высокого загрязнения. По сравнению с 2017 годом качество воды в реках Каргалы, Орь, Косестек, Темир - улучшилось; в реках Кара Кобда ухудшилось; в реках Елек, Улькен Кобда, Ыргыз, Эмба, Ойыл, Актасты и оз. Шалкар - существенно не изменилось.</w:t>
      </w:r>
      <w:r w:rsidRPr="00F0736F">
        <w:rPr>
          <w:rFonts w:ascii="Times New Roman" w:hAnsi="Times New Roman" w:cs="Times New Roman"/>
          <w:color w:val="000000" w:themeColor="text1"/>
          <w:vertAlign w:val="superscript"/>
        </w:rPr>
        <w:footnoteReference w:id="137"/>
      </w:r>
      <w:r w:rsidRPr="00F0736F">
        <w:rPr>
          <w:rFonts w:ascii="Times New Roman" w:hAnsi="Times New Roman" w:cs="Times New Roman"/>
          <w:color w:val="000000" w:themeColor="text1"/>
        </w:rPr>
        <w:t xml:space="preserve"> </w:t>
      </w:r>
    </w:p>
    <w:p w14:paraId="0B8F493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По Единой классификации качество воды водных объектов на территории Актюбинской области за 2019 год</w:t>
      </w:r>
      <w:r w:rsidRPr="00F0736F">
        <w:rPr>
          <w:rFonts w:ascii="Times New Roman" w:eastAsia="Times New Roman" w:hAnsi="Times New Roman" w:cs="Times New Roman"/>
          <w:b/>
          <w:bCs/>
          <w:color w:val="000000" w:themeColor="text1"/>
        </w:rPr>
        <w:t xml:space="preserve"> </w:t>
      </w:r>
      <w:r w:rsidRPr="00F0736F">
        <w:rPr>
          <w:rFonts w:ascii="Times New Roman" w:eastAsia="Times New Roman" w:hAnsi="Times New Roman" w:cs="Times New Roman"/>
          <w:color w:val="000000" w:themeColor="text1"/>
        </w:rPr>
        <w:t>оценивается следующим образом: 4 класс – реки Елек, Каргалы, Орь, Косестек, Актасты, Улькен Кобда, Кара Кобда, Темир, Эмба, Ыргыз и озеро Шалкар; не нормируется (&gt;5 класса): река Ойыл</w:t>
      </w:r>
      <w:r w:rsidRPr="00F0736F">
        <w:rPr>
          <w:rFonts w:ascii="Times New Roman" w:eastAsia="Times New Roman" w:hAnsi="Times New Roman" w:cs="Times New Roman"/>
          <w:color w:val="000000" w:themeColor="text1"/>
          <w:vertAlign w:val="superscript"/>
        </w:rPr>
        <w:footnoteReference w:id="138"/>
      </w:r>
      <w:r w:rsidRPr="00F0736F">
        <w:rPr>
          <w:rFonts w:ascii="Times New Roman" w:eastAsia="Times New Roman" w:hAnsi="Times New Roman" w:cs="Times New Roman"/>
          <w:color w:val="000000" w:themeColor="text1"/>
        </w:rPr>
        <w:t xml:space="preserve">. </w:t>
      </w:r>
    </w:p>
    <w:p w14:paraId="12F8A477"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бассейне р. Илек более 50 лет продолжается интенсивное загрязнение подземных и поверхностных вод соединениями шестивалентного хрома из накопленных, хромсодержащих шламов АЗХС и шлаков ферросплавного производства АЗФ (отвал). Ареал загрязнения подземных вод бассейна р. Илек шестивалентным хромом первоначально составлял 12,0 км</w:t>
      </w:r>
      <w:r w:rsidRPr="00F0736F">
        <w:rPr>
          <w:rFonts w:ascii="Times New Roman" w:eastAsia="Times New Roman" w:hAnsi="Times New Roman" w:cs="Times New Roman"/>
          <w:b/>
          <w:color w:val="000000" w:themeColor="text1"/>
          <w:vertAlign w:val="superscript"/>
        </w:rPr>
        <w:t>2</w:t>
      </w:r>
      <w:r w:rsidRPr="00F0736F">
        <w:rPr>
          <w:rFonts w:ascii="Times New Roman" w:eastAsia="Times New Roman" w:hAnsi="Times New Roman" w:cs="Times New Roman"/>
          <w:b/>
          <w:color w:val="000000" w:themeColor="text1"/>
        </w:rPr>
        <w:t>.</w:t>
      </w:r>
    </w:p>
    <w:p w14:paraId="67CA28C4"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Максимальная концентрация хрома в поверхностных водах р. Илек отмечена в холодный период времени (декабрь-март), когда объем стока реки минимальный (меженный период). Самая высокая концентрация шестивалентного хрома в поверхностных водах р. Илек зафиксирована в 1 квартале 2014 г по профилю у с. Георгиевка – 0,25 мг/л, по профилю IV (у с. Целинное) и V (у границы с Россией) – 0,15 мг/дм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kk-KZ"/>
        </w:rPr>
        <w:t xml:space="preserve">Также следует отметить, что по заданию «Запказнедра» на участке загрязнения хромом (от Северо-Западной Промзоны г.Актобе до пос. Яйсана) постоянный государственный мониторинг подземных вод ведется ТОО «АКПАН» по более 100 точкам. </w:t>
      </w:r>
      <w:r w:rsidRPr="00F0736F">
        <w:rPr>
          <w:rFonts w:ascii="Times New Roman" w:eastAsia="Times New Roman" w:hAnsi="Times New Roman" w:cs="Times New Roman"/>
          <w:color w:val="000000" w:themeColor="text1"/>
          <w:sz w:val="28"/>
          <w:szCs w:val="28"/>
          <w:lang w:val="kk-KZ"/>
        </w:rPr>
        <w:t xml:space="preserve">   </w:t>
      </w:r>
    </w:p>
    <w:p w14:paraId="518AE89B"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2007 – 2009 гг</w:t>
      </w:r>
      <w:r w:rsidRPr="00F0736F">
        <w:rPr>
          <w:rFonts w:ascii="Times New Roman" w:eastAsia="Times New Roman" w:hAnsi="Times New Roman" w:cs="Times New Roman"/>
          <w:color w:val="000000" w:themeColor="text1"/>
          <w:lang w:val="kk-KZ"/>
        </w:rPr>
        <w:t>.</w:t>
      </w:r>
      <w:r w:rsidRPr="00F0736F">
        <w:rPr>
          <w:rFonts w:ascii="Times New Roman" w:eastAsia="Times New Roman" w:hAnsi="Times New Roman" w:cs="Times New Roman"/>
          <w:color w:val="000000" w:themeColor="text1"/>
        </w:rPr>
        <w:t xml:space="preserve"> проведены научно-исследовательские и опытно-экспериментальные работы по очистке вод от загрязнения хромом (VI) в зоне примыкания к р. Илек, освоено 24,95 млн. тенге. Разработано ТЭО инвестиционного проекта ликвидации загрязнения р. Илек хромом, освоено 8,0 млн. тенге.</w:t>
      </w:r>
    </w:p>
    <w:p w14:paraId="590A50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период 2012 - 2013 годы Министерством охраны окружающей среды и водных ресурсов РК проведена реализация проекта «Очистка подземных вод опытно-промышленного участка №3 от загрязнения шестивалентным хромом в зоне, примыкающей в реке Илек». Подрядчику проекта ТОО «Производственная компания «Геотерм» удалось в короткий срок ликвидировать загрязнение на экспериментальном участке №3.</w:t>
      </w:r>
    </w:p>
    <w:p w14:paraId="7BBAA3C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w:t>
      </w:r>
      <w:r w:rsidRPr="00F0736F">
        <w:rPr>
          <w:rFonts w:ascii="Times New Roman" w:eastAsia="Times New Roman" w:hAnsi="Times New Roman" w:cs="Times New Roman"/>
          <w:color w:val="000000" w:themeColor="text1"/>
          <w:lang w:val="kk-KZ"/>
        </w:rPr>
        <w:t xml:space="preserve"> декабре 2018 года</w:t>
      </w:r>
      <w:r w:rsidRPr="00F0736F">
        <w:rPr>
          <w:rFonts w:ascii="Times New Roman" w:eastAsia="Times New Roman" w:hAnsi="Times New Roman" w:cs="Times New Roman"/>
          <w:color w:val="000000" w:themeColor="text1"/>
        </w:rPr>
        <w:t xml:space="preserve"> по данным мониторинга отдела лабораторно-аналитического контроля наблюдается увеличение концентрации шестивалентного хрома по р. Илек, установлены случаи ВЗ (более 10 ПДК). Проведенный повторный контроль установил концентрацию в створе с. Георгиевка в 12 ПДК. С целью определения причины увеличения концентрации хрома (VI) проводится анализ данных мониторинга подземных скважин, расположенных на Илекском полигоне. В этой связи необходим</w:t>
      </w:r>
      <w:r w:rsidRPr="00F0736F">
        <w:rPr>
          <w:rFonts w:ascii="Times New Roman" w:eastAsia="Times New Roman" w:hAnsi="Times New Roman" w:cs="Times New Roman"/>
          <w:color w:val="000000" w:themeColor="text1"/>
          <w:lang w:val="kk-KZ"/>
        </w:rPr>
        <w:t>о</w:t>
      </w:r>
      <w:r w:rsidRPr="00F0736F">
        <w:rPr>
          <w:rFonts w:ascii="Times New Roman" w:eastAsia="Times New Roman" w:hAnsi="Times New Roman" w:cs="Times New Roman"/>
          <w:color w:val="000000" w:themeColor="text1"/>
        </w:rPr>
        <w:t xml:space="preserve"> возобнов</w:t>
      </w:r>
      <w:r w:rsidRPr="00F0736F">
        <w:rPr>
          <w:rFonts w:ascii="Times New Roman" w:eastAsia="Times New Roman" w:hAnsi="Times New Roman" w:cs="Times New Roman"/>
          <w:color w:val="000000" w:themeColor="text1"/>
          <w:lang w:val="kk-KZ"/>
        </w:rPr>
        <w:t>ить</w:t>
      </w:r>
      <w:r w:rsidRPr="00F0736F">
        <w:rPr>
          <w:rFonts w:ascii="Times New Roman" w:eastAsia="Times New Roman" w:hAnsi="Times New Roman" w:cs="Times New Roman"/>
          <w:color w:val="000000" w:themeColor="text1"/>
        </w:rPr>
        <w:t xml:space="preserve"> работ</w:t>
      </w:r>
      <w:r w:rsidRPr="00F0736F">
        <w:rPr>
          <w:rFonts w:ascii="Times New Roman" w:eastAsia="Times New Roman" w:hAnsi="Times New Roman" w:cs="Times New Roman"/>
          <w:color w:val="000000" w:themeColor="text1"/>
          <w:lang w:val="kk-KZ"/>
        </w:rPr>
        <w:t>ы</w:t>
      </w:r>
      <w:r w:rsidRPr="00F0736F">
        <w:rPr>
          <w:rFonts w:ascii="Times New Roman" w:eastAsia="Times New Roman" w:hAnsi="Times New Roman" w:cs="Times New Roman"/>
          <w:color w:val="000000" w:themeColor="text1"/>
        </w:rPr>
        <w:t xml:space="preserve"> по очистки подземных вод</w:t>
      </w:r>
      <w:r w:rsidRPr="00F0736F">
        <w:rPr>
          <w:rFonts w:ascii="Times New Roman" w:eastAsia="Times New Roman" w:hAnsi="Times New Roman" w:cs="Times New Roman"/>
          <w:color w:val="000000" w:themeColor="text1"/>
          <w:lang w:val="kk-KZ"/>
        </w:rPr>
        <w:t xml:space="preserve"> для избежания загрязнение хромом в трансграничном масштабе.  </w:t>
      </w:r>
    </w:p>
    <w:p w14:paraId="422A03E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Общая площадь распространения загрязненных бором подземных вод по имеющимся данным составляет 21,1 км</w:t>
      </w:r>
      <w:r w:rsidRPr="00F0736F">
        <w:rPr>
          <w:rFonts w:ascii="Times New Roman" w:eastAsia="Times New Roman" w:hAnsi="Times New Roman" w:cs="Times New Roman"/>
          <w:color w:val="000000" w:themeColor="text1"/>
          <w:vertAlign w:val="superscript"/>
        </w:rPr>
        <w:t>2</w:t>
      </w:r>
      <w:r w:rsidRPr="00F0736F">
        <w:rPr>
          <w:rFonts w:ascii="Times New Roman" w:eastAsia="Times New Roman" w:hAnsi="Times New Roman" w:cs="Times New Roman"/>
          <w:color w:val="000000" w:themeColor="text1"/>
        </w:rPr>
        <w:t xml:space="preserve">. По данным института «Казводоканалпроект», в подземных горизонтах расположения </w:t>
      </w:r>
      <w:r w:rsidRPr="00F0736F">
        <w:rPr>
          <w:rFonts w:ascii="Times New Roman" w:eastAsia="Times New Roman" w:hAnsi="Times New Roman" w:cs="Times New Roman"/>
          <w:color w:val="000000" w:themeColor="text1"/>
          <w:lang w:val="kk-KZ"/>
        </w:rPr>
        <w:t>шламо</w:t>
      </w:r>
      <w:r w:rsidRPr="00F0736F">
        <w:rPr>
          <w:rFonts w:ascii="Times New Roman" w:eastAsia="Times New Roman" w:hAnsi="Times New Roman" w:cs="Times New Roman"/>
          <w:color w:val="000000" w:themeColor="text1"/>
        </w:rPr>
        <w:t>накопителей</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 xml:space="preserve">накоплено более 890 т. бора. В настоящее время р. Илек по химическому составу вод имеет индекс загрязнения в районе г. Алга 13,7, что соответствует 7 классу качества воды и характеризуется как </w:t>
      </w:r>
      <w:r w:rsidRPr="00F0736F">
        <w:rPr>
          <w:rFonts w:ascii="Times New Roman" w:eastAsia="Times New Roman" w:hAnsi="Times New Roman" w:cs="Times New Roman"/>
          <w:i/>
          <w:color w:val="000000" w:themeColor="text1"/>
        </w:rPr>
        <w:t>«вода чрезвычайно грязная».</w:t>
      </w:r>
    </w:p>
    <w:p w14:paraId="60E3888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2008 году проведены научно-исследовательские и опытно-экспериментальные работы по очистке подземных вод от загрязнения бором в зоне примыкания к реке Илек.</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Разработано ТЭО к инвестиционному проекту очистки подземных вод реки Илек от загрязнения бором. </w:t>
      </w:r>
    </w:p>
    <w:p w14:paraId="13F8BEC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2014 году акиматом области проведена корректировка проекта «Очистка подземных вод бассейна реки Илек от загрязнения бором». </w:t>
      </w:r>
      <w:r w:rsidRPr="00F0736F">
        <w:rPr>
          <w:rFonts w:ascii="Times New Roman" w:eastAsia="Times New Roman" w:hAnsi="Times New Roman" w:cs="Times New Roman"/>
          <w:bCs/>
          <w:color w:val="000000" w:themeColor="text1"/>
        </w:rPr>
        <w:t>С ноября 2014 года проект 4 раза направлялся в РГП «Госэкспертиза». РГП «Госэкспертиза» предлагает разработать новое ТЭО, или провести опытные работы по очистке на экспериментальном участке</w:t>
      </w:r>
      <w:r w:rsidRPr="00F0736F">
        <w:rPr>
          <w:rFonts w:ascii="Times New Roman" w:eastAsia="Times New Roman" w:hAnsi="Times New Roman" w:cs="Times New Roman"/>
          <w:bCs/>
          <w:color w:val="000000" w:themeColor="text1"/>
          <w:lang w:val="kk-KZ"/>
        </w:rPr>
        <w:t xml:space="preserve">. </w:t>
      </w:r>
      <w:r w:rsidRPr="00F0736F">
        <w:rPr>
          <w:rFonts w:ascii="Times New Roman" w:eastAsia="Times New Roman" w:hAnsi="Times New Roman" w:cs="Times New Roman"/>
          <w:color w:val="000000" w:themeColor="text1"/>
        </w:rPr>
        <w:t>На сегодняшний день финансирование по ликвидации источника загрязнения р. Илек остается открытым. Для ликвидации источника загрязнения р. Илек бором потребуется свыше 10 млрд. тенге.</w:t>
      </w:r>
      <w:r w:rsidRPr="00F0736F">
        <w:rPr>
          <w:rFonts w:ascii="Times New Roman" w:eastAsia="Times New Roman" w:hAnsi="Times New Roman" w:cs="Times New Roman"/>
          <w:color w:val="000000" w:themeColor="text1"/>
          <w:lang w:val="kk-KZ"/>
        </w:rPr>
        <w:t xml:space="preserve">  </w:t>
      </w:r>
    </w:p>
    <w:p w14:paraId="48BC23DF"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На участке загрязнения подземных вод бором ведется постоянный государственный мониторинг предприятием ТОО «АКПАН» по 92-</w:t>
      </w:r>
      <w:r w:rsidRPr="00F0736F">
        <w:rPr>
          <w:rFonts w:ascii="Times New Roman" w:eastAsia="Times New Roman" w:hAnsi="Times New Roman" w:cs="Times New Roman"/>
          <w:color w:val="000000" w:themeColor="text1"/>
        </w:rPr>
        <w:t>м</w:t>
      </w:r>
      <w:r w:rsidRPr="00F0736F">
        <w:rPr>
          <w:rFonts w:ascii="Times New Roman" w:eastAsia="Times New Roman" w:hAnsi="Times New Roman" w:cs="Times New Roman"/>
          <w:color w:val="000000" w:themeColor="text1"/>
          <w:lang w:val="kk-KZ"/>
        </w:rPr>
        <w:t xml:space="preserve"> режимным скважинам. Также постоянный (ежемесячный) мониторинг р.Илек проводится департаментом экологии, где среднегодовая кратность превышение бора за 2018 г. на №2 точке (г.Алга) составляет 14,6 ПДК,  с. Целинное – 10,4 ПДК, с. Георгиевка 10,4 ПДК.</w:t>
      </w:r>
      <w:r w:rsidRPr="00F0736F">
        <w:rPr>
          <w:rFonts w:ascii="Times New Roman" w:eastAsia="Times New Roman" w:hAnsi="Times New Roman" w:cs="Times New Roman"/>
          <w:b/>
          <w:color w:val="000000" w:themeColor="text1"/>
          <w:lang w:val="kk-KZ"/>
        </w:rPr>
        <w:t xml:space="preserve"> </w:t>
      </w:r>
      <w:r w:rsidRPr="00F0736F">
        <w:rPr>
          <w:rFonts w:ascii="Times New Roman" w:eastAsia="Times New Roman" w:hAnsi="Times New Roman" w:cs="Times New Roman"/>
          <w:color w:val="000000" w:themeColor="text1"/>
          <w:lang w:val="kk-KZ"/>
        </w:rPr>
        <w:t>В этой связи, н</w:t>
      </w:r>
      <w:r w:rsidRPr="00F0736F">
        <w:rPr>
          <w:rFonts w:ascii="Times New Roman" w:eastAsia="Times New Roman" w:hAnsi="Times New Roman" w:cs="Times New Roman"/>
          <w:color w:val="000000" w:themeColor="text1"/>
        </w:rPr>
        <w:t>еобходимо возобновить финансирование работ по ликвидации источника загрязнения бором</w:t>
      </w:r>
      <w:r w:rsidRPr="00F0736F">
        <w:rPr>
          <w:rFonts w:ascii="Times New Roman" w:eastAsia="Times New Roman" w:hAnsi="Times New Roman" w:cs="Times New Roman"/>
          <w:color w:val="000000" w:themeColor="text1"/>
          <w:lang w:val="kk-KZ"/>
        </w:rPr>
        <w:t>, кроме того,</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kk-KZ"/>
        </w:rPr>
        <w:t xml:space="preserve"> необходимо:  </w:t>
      </w:r>
    </w:p>
    <w:p w14:paraId="74B90FB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усилить государственный контроль на водоемах Актюбинской области;</w:t>
      </w:r>
    </w:p>
    <w:p w14:paraId="7A9C699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организовать дополнительные гидропосты РГП «Казгидромета» для отбора проб поверхностных  вод на реке Илек с целью получения фоновых показателей и определения более точного влияния объектов исторического загрязнения бором.</w:t>
      </w:r>
    </w:p>
    <w:p w14:paraId="5D8BDA2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Плана мероприятий по улучшению экологической ситуации Актюбинской области на 2018 - 2020 годы:</w:t>
      </w:r>
    </w:p>
    <w:p w14:paraId="593C5C8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 2018 году начата разработка ПСД модернизации комплекса очистных сооружений для г.Актобе. Срок разработки 2018 - 2020 годы, стоимость 348,0 млн.тенге;</w:t>
      </w:r>
    </w:p>
    <w:p w14:paraId="7BB6DC3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з</w:t>
      </w:r>
      <w:r w:rsidRPr="00F0736F">
        <w:rPr>
          <w:rFonts w:ascii="Times New Roman" w:hAnsi="Times New Roman" w:cs="Times New Roman"/>
          <w:color w:val="000000" w:themeColor="text1"/>
          <w:lang w:val="kk-KZ"/>
        </w:rPr>
        <w:t>а счет кредитных ресурсов ЕБРР проведены строительно-монтажные работы по объекту «Реконструкция самотечной канализации района Жилгородок»;</w:t>
      </w:r>
    </w:p>
    <w:p w14:paraId="312B322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проведение работы с хозяйствующими субъектами по установке на предприятиях города локальных установок для очистки стоков. В результате на 85 промышленных предприятиях установлено оборудование для очистки сточных вод, на 136 предприятиях общественного питания установлены жироуловители.</w:t>
      </w:r>
    </w:p>
    <w:p w14:paraId="612ED11C"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5C1917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2018 год в Актюбинской области образовано 55 174,93 тыс. т </w:t>
      </w:r>
      <w:r w:rsidRPr="00F0736F">
        <w:rPr>
          <w:rFonts w:ascii="Times New Roman" w:hAnsi="Times New Roman" w:cs="Times New Roman"/>
          <w:b/>
          <w:bCs/>
          <w:color w:val="000000" w:themeColor="text1"/>
        </w:rPr>
        <w:t>промышленных отходов</w:t>
      </w:r>
      <w:r w:rsidRPr="00F0736F">
        <w:rPr>
          <w:rFonts w:ascii="Times New Roman" w:hAnsi="Times New Roman" w:cs="Times New Roman"/>
          <w:color w:val="000000" w:themeColor="text1"/>
        </w:rPr>
        <w:t xml:space="preserve"> (в 2017 г - 62 774,94 тыс. т), из них по горнодобывающей отрасли 54 549,034 (98,8%), химической промышленности 446,143 (0,80%), нефтяной отрасли 179,76 (0,3%). В целом объем образования промышленных отходов по сравнению с 2017 г. снизился на 12,1%. </w:t>
      </w:r>
    </w:p>
    <w:p w14:paraId="499665E7" w14:textId="3B9DB968"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области переработано и использовано 8070,77 тыс. т отходов что составляет 14,6%. Объем образования отходов нефтяной промышленности составил 179,76 тыс. т, их них переработано 109,8 тыс. т отходов что составляет 61%. Так, АО «СНПС – АМГ» образовано 69,2 тыс. т. серы, из которого 58,0 тыс. т передано на экспорт в качестве готовой продукции. </w:t>
      </w:r>
    </w:p>
    <w:p w14:paraId="29D0256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Практически на всех горнодобывающих предприятиях действует система управления отходами, которая включает в себя все этапы технологического цикла управления отходами, такие как предупреждение и минимизация образования отходов, учет и контроль, накопление, а также сбор, переработка, утилизация, транспортировка, хранение и удаление отходов производства.  </w:t>
      </w:r>
    </w:p>
    <w:p w14:paraId="313711F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 в целях уменьшения негативного воздействия на окружающую среду, отходы вскрышных и вмещающих пород Донского ГОКа ф-ла АО «ТНК Казхром» размещаются (используются) в выработанном пространстве карьеров, что позволяет в свою очередь уменьшить складирование отходов на отвалах. </w:t>
      </w:r>
      <w:r w:rsidRPr="00F0736F">
        <w:rPr>
          <w:rFonts w:ascii="Times New Roman" w:eastAsia="Times New Roman" w:hAnsi="Times New Roman" w:cs="Times New Roman"/>
          <w:color w:val="000000" w:themeColor="text1"/>
          <w:lang w:eastAsia="ru-RU"/>
        </w:rPr>
        <w:t>Данные породы не представляют коммерческого интереса как вторичное сырье и складируются на земле.</w:t>
      </w:r>
    </w:p>
    <w:p w14:paraId="28B92A1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Актюбинской области актуальной остается проблема деградации и опустынивания земель. Население поднимает вопросы деградации земель из-за передвижения песков, вызванных экологической катастрофой Аральского моря. Основным способствующим фактором для опустынивания является слабая сформированность почвенно-растительного покрова и его динамичность. </w:t>
      </w:r>
    </w:p>
    <w:p w14:paraId="62917E4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образовано 298,6 тыс.т.</w:t>
      </w:r>
      <w:r w:rsidRPr="00F0736F">
        <w:rPr>
          <w:rFonts w:ascii="Times New Roman" w:hAnsi="Times New Roman" w:cs="Times New Roman"/>
          <w:bCs/>
          <w:color w:val="000000" w:themeColor="text1"/>
        </w:rPr>
        <w:t xml:space="preserve"> ТБО</w:t>
      </w:r>
      <w:r w:rsidRPr="00F0736F">
        <w:rPr>
          <w:rFonts w:ascii="Times New Roman" w:hAnsi="Times New Roman" w:cs="Times New Roman"/>
          <w:color w:val="000000" w:themeColor="text1"/>
        </w:rPr>
        <w:t>, из них переработано 11,69%. В 2017 году объем образованных ТБО составило 300 тыс. т.., из них переработано 3,51%. И</w:t>
      </w:r>
      <w:r w:rsidRPr="00F0736F">
        <w:rPr>
          <w:rFonts w:ascii="Times New Roman" w:hAnsi="Times New Roman" w:cs="Times New Roman"/>
          <w:color w:val="000000" w:themeColor="text1"/>
          <w:lang w:val="kk-KZ"/>
        </w:rPr>
        <w:t>з 357 объектов размещения ТБО всего лишь 13 соответствуют экологическим и санитарным требованиям и нормам, что составляет 3,47</w:t>
      </w:r>
      <w:r w:rsidRPr="00F0736F">
        <w:rPr>
          <w:rFonts w:ascii="Times New Roman" w:hAnsi="Times New Roman" w:cs="Times New Roman"/>
          <w:color w:val="000000" w:themeColor="text1"/>
        </w:rPr>
        <w:t xml:space="preserve">%. </w:t>
      </w:r>
    </w:p>
    <w:p w14:paraId="02A5C77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Регулярным сбором и вывозом ТБО охвачено 74% населения, проживающего в городах, районных центрах и крупных населенных пунктах. В г.Актобе этот показатель составляет 100%. Вместе с тем только 60% населения, зарегистрированного в базе мусоровывозящих компаний, оплачивают услуги по вывозу мусора, остальные уклоняются от оплаты. </w:t>
      </w:r>
    </w:p>
    <w:p w14:paraId="2CE265D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стимулирования мусоровывозящих компаний в части развития сортировки отходов, внедрена система Единого Платежного Документа, где оплата за вывоз мусора находится в одной платежке с другими комуслугами. В настоящее время тариф за сбор и вывоз ТБО составляет 104 тенге, один из низких по Казахстану. </w:t>
      </w:r>
    </w:p>
    <w:p w14:paraId="0468DC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имеется 14 санкционированных полигонов для приема и размещения ТБО. Из них:</w:t>
      </w:r>
    </w:p>
    <w:p w14:paraId="45D614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- 7 коммунальных: ТОО «Neo Plus» (г. Актобе), ИП «Трумова» (Алгинский район), ИП «Бимаханов» (Шалкарский р-н), ТОО «Нур Сапар» (Хромтауский р-н), КГП СК «Кенкияк» и ТОО «Темир Тазалык» (Темирский р-н), ТОО «Тазалык КОС» (Айтекебиский р-н);</w:t>
      </w:r>
    </w:p>
    <w:p w14:paraId="40E829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- 7 частных: ТОО «Экологические технологии» (Байганинский район), ТОО «ЖЕС» (Мугалжарский р-н), ТОО «Реал Ракурс» (г. Эмба), АО «СНПС-Актобемунайгаз», ТОО «КазахОйл Актобе» и ТОО «Актобе НГС» (Мугалжарский р-н), ТОО «Таза Дала Ком» (Темирский р-н).</w:t>
      </w:r>
    </w:p>
    <w:p w14:paraId="2599767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др</w:t>
      </w:r>
      <w:r w:rsidRPr="00F0736F">
        <w:rPr>
          <w:rFonts w:ascii="Times New Roman" w:hAnsi="Times New Roman" w:cs="Times New Roman"/>
          <w:color w:val="000000" w:themeColor="text1"/>
          <w:lang w:val="kk-KZ"/>
        </w:rPr>
        <w:t>у</w:t>
      </w:r>
      <w:r w:rsidRPr="00F0736F">
        <w:rPr>
          <w:rFonts w:ascii="Times New Roman" w:hAnsi="Times New Roman" w:cs="Times New Roman"/>
          <w:color w:val="000000" w:themeColor="text1"/>
        </w:rPr>
        <w:t xml:space="preserve">гих населенных пунктах определены специальные места хранения ТБО. </w:t>
      </w:r>
    </w:p>
    <w:p w14:paraId="0B61B1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Доля объектов размещения твердых бытовых отходов, соответствующих экологическим требованиям и санитарным правилам, в 2018 году составила 3,46%.</w:t>
      </w:r>
    </w:p>
    <w:p w14:paraId="3DDEB8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разработана ПСД на строительство полигонов в Мартуке, Хобде и Караулкелды, а также ТЭО для полигонов для п. Шубаркудук и п. Бадамша. </w:t>
      </w:r>
    </w:p>
    <w:p w14:paraId="2454D29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настоящее время коммунальные полигоны ТБО переданы в доверительное управление, при этом деятельность полигонов остается без должного контроля со стороны местных исполнительных органов. К примеру, действующие ранее ТОО «Темир-Тазалык» и ТОО «Тазалык Кос» в настоящее время не работают.</w:t>
      </w:r>
    </w:p>
    <w:p w14:paraId="651F7A7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сфере сортировки и переработки отходов задействовано более 20 предприятий и структур малого бизнеса. Мусоросортировочный комплекс ТОО «Союзгранд» на сегодня извлекает до 15% утильных компонентов из отходов, поступающих на городской полигон. Доля утилизации ТБО по области составляет около 7% от объема образованных отходов.</w:t>
      </w:r>
    </w:p>
    <w:p w14:paraId="03A912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13 августа 2018 года постановлением акимата области №372 принят «Комплекс мер по современной утилизации и переработке твердых бытовых отходов с широким вовлечением субъектов малого и среднего бизнеса на 2018 - 2022 годы по Актюбинской области», в рамках которого будет продолжена работа по решению вопросов ТБО с участием бизнеса.</w:t>
      </w:r>
    </w:p>
    <w:p w14:paraId="08377C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областном центре полностью реформирован подход к системе обращения ТБО и санитарной очистке города. Созданы 19 управляющих компаний, в работах по санитарной очистке города задействовано более 350 человек.</w:t>
      </w:r>
    </w:p>
    <w:p w14:paraId="53C2AA2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приобретено и установлено 345 современных евроконтейнеров, в 2018 г. - 321. На контейнерных площадках города имеются 310 сетчатых контейнеров для сбора пластиковой тары. В областном центре в местах общественного пользования установлены 88 тройных урн для раздельного сбора пластика, бумаги и стекла. В рамках механизма расширенных обязательств производителей (импортеров) на безвозмездной основе переданы г. Актобе 133 контейнера для сбора ртутьсодержащих ламп и батареек.</w:t>
      </w:r>
    </w:p>
    <w:p w14:paraId="6E05CB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рамках пилотного проекта компанией ТОО «Neo Plus» приобретены и установлены 3 заглубленных контейнера ТБО (планируется приобретение и установка 60), открыт пункт приема вторсырья.</w:t>
      </w:r>
    </w:p>
    <w:p w14:paraId="6F56C58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бюджете 2020 года предусмотрены средства на приобретение 800 контейнеров и устновку 60 контейнерных площадок. </w:t>
      </w:r>
    </w:p>
    <w:p w14:paraId="6EE404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совместно с «СПК Актобе» запущен мусоросортировочный комплекс (инвестор ТОО «СоюзГранд» с объемом инвестиций 600 млн. тенге). Однако по разным причинам данный МСК был приостановлен с октября 2018 г. до 2 квартала 2019 г. </w:t>
      </w:r>
      <w:r w:rsidRPr="00F0736F">
        <w:rPr>
          <w:rFonts w:ascii="Times New Roman" w:hAnsi="Times New Roman" w:cs="Times New Roman"/>
          <w:color w:val="000000" w:themeColor="text1"/>
          <w:lang w:val="kk-KZ"/>
        </w:rPr>
        <w:t>На сегодня  мусоросортировочный комплекс извлекает до 20% утильных компонентов из отходов, поступающих на городской полигон.</w:t>
      </w:r>
    </w:p>
    <w:p w14:paraId="3C92B72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Планируется расширение производства, запуск второй сортировочной линии.</w:t>
      </w:r>
    </w:p>
    <w:p w14:paraId="6389608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Актобе открыт пункт приема вторичного сырья, выделены земельные участки для еще 3-х пунктов приема.</w:t>
      </w:r>
    </w:p>
    <w:p w14:paraId="284A1E6D" w14:textId="77777777" w:rsidR="00AC1D5B" w:rsidRPr="00F0736F" w:rsidRDefault="00AC1D5B" w:rsidP="00AC1D5B">
      <w:pPr>
        <w:suppressLineNumbers/>
        <w:ind w:firstLine="709"/>
        <w:jc w:val="both"/>
        <w:rPr>
          <w:i/>
          <w:iCs/>
          <w:color w:val="000000" w:themeColor="text1"/>
        </w:rPr>
      </w:pPr>
      <w:r w:rsidRPr="00F0736F">
        <w:rPr>
          <w:rFonts w:ascii="Times New Roman" w:eastAsia="Times New Roman" w:hAnsi="Times New Roman" w:cs="Times New Roman"/>
          <w:color w:val="000000" w:themeColor="text1"/>
          <w:lang w:val="kk-KZ" w:eastAsia="ru-RU"/>
        </w:rPr>
        <w:t xml:space="preserve">В рамках областного бюджета на 2020 год выделены средства в размере 450 млн. тенге на начало строительства 3 полигонов твердых бытовых отходов в селах Кобда Кобдинского района, Карауылкельды Байганинского района и Мартук Мартукского района. </w:t>
      </w:r>
      <w:r w:rsidRPr="00F0736F">
        <w:rPr>
          <w:rFonts w:ascii="Times New Roman" w:hAnsi="Times New Roman" w:cs="Times New Roman"/>
          <w:color w:val="000000" w:themeColor="text1"/>
        </w:rPr>
        <w:t>Реализация проектов позволит увеличить долю объектов размещения твердых бытовых отходов, соответствующих экологическим требованиям и санитарным правилам. Вместе с этим в плановом порядке рассматривается вопрос по строительству полигонов ТБО в селах Уил, Иргиз, Комсомольское и Карабутак.</w:t>
      </w:r>
    </w:p>
    <w:p w14:paraId="3E7DF239"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iCs/>
          <w:color w:val="000000" w:themeColor="text1"/>
          <w:lang w:val="kk-KZ" w:eastAsia="en-US"/>
        </w:rPr>
        <w:t xml:space="preserve">Состояние биологических ресурсов и развитие лесного, рыбного и охотничьего хозяйств, </w:t>
      </w:r>
      <w:r w:rsidRPr="00F0736F">
        <w:rPr>
          <w:rFonts w:ascii="Times New Roman" w:eastAsia="Times New Roman" w:hAnsi="Times New Roman" w:cs="Times New Roman"/>
          <w:b/>
          <w:bCs/>
          <w:i/>
          <w:iCs/>
          <w:color w:val="000000" w:themeColor="text1"/>
          <w:lang w:val="kk-KZ" w:eastAsia="ru-RU" w:bidi="ru-RU"/>
        </w:rPr>
        <w:t xml:space="preserve">ООПТ </w:t>
      </w:r>
      <w:r w:rsidRPr="00F0736F">
        <w:rPr>
          <w:rFonts w:ascii="Times New Roman" w:eastAsia="Calibri" w:hAnsi="Times New Roman" w:cs="Times New Roman"/>
          <w:b/>
          <w:bCs/>
          <w:i/>
          <w:iCs/>
          <w:color w:val="000000" w:themeColor="text1"/>
          <w:lang w:val="kk-KZ" w:eastAsia="en-US"/>
        </w:rPr>
        <w:t>и экологического туризма</w:t>
      </w:r>
    </w:p>
    <w:p w14:paraId="00C2382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Актюбинская область является одной из наименее лесистых областей Республики Казахстан. </w:t>
      </w:r>
      <w:r w:rsidRPr="00F0736F">
        <w:rPr>
          <w:rFonts w:ascii="Times New Roman" w:eastAsia="Times New Roman" w:hAnsi="Times New Roman" w:cs="Times New Roman"/>
          <w:b/>
          <w:bCs/>
          <w:color w:val="000000" w:themeColor="text1"/>
          <w:lang w:eastAsia="ru-RU"/>
        </w:rPr>
        <w:t>Лесные ресурсы</w:t>
      </w:r>
      <w:r w:rsidRPr="00F0736F">
        <w:rPr>
          <w:rFonts w:ascii="Times New Roman" w:eastAsia="Times New Roman" w:hAnsi="Times New Roman" w:cs="Times New Roman"/>
          <w:color w:val="000000" w:themeColor="text1"/>
          <w:lang w:eastAsia="ru-RU"/>
        </w:rPr>
        <w:t xml:space="preserve"> области представляют собой отдельные березово-осиновые колки, пойменные леса вдоль наиболее крупных рек – Илек, Каргала, Урал, Кобда, Уил, Темир и их притоков. Кроме того, имеются насаждения вдоль железных и автомобильных дорог.</w:t>
      </w:r>
    </w:p>
    <w:p w14:paraId="35F0A933"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val="kk-KZ" w:eastAsia="en-US"/>
        </w:rPr>
        <w:t xml:space="preserve">Общая площадь государственного лесного фонда Актюбинской области составляет 1,4 млн.га, в том числе лесных земель 95,4 тыс. га, лесопокрытая площадь составляет 52,8 тыс. га. В 2019 году посажены лесные культуры на площади 925 га. Выращено стандартного посадочного материала 3500 штук. Для закрепления движущихся песков в с. Жалтыр проведены лесопосадки на площади 24 га. Реализуется план реконструкции санитарно-защитной зеленой зоны вокруг города Актобе. </w:t>
      </w:r>
    </w:p>
    <w:p w14:paraId="6C97E77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области встречаются 62 вида млекопитающих и 214 видов птиц, из них 35 видов млекопитающих и 80 видов птиц являются охотничье-промысловыми, 10 видов зверей и 35 видов птиц занесены в Красную Книгу РК. Современное состояние большинства видов диких животных стабильное и особых опасений не вызывает. В настоящее время промысловая охота не ведется. Основное направление ведения охотничьего хозяйства – организация любительской охоты на водоплавающую дичь, зайцев и в незначительном количестве, лицензионной добычи косули и кабана. </w:t>
      </w:r>
    </w:p>
    <w:p w14:paraId="1A98832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области имеется 100 </w:t>
      </w:r>
      <w:r w:rsidRPr="00F0736F">
        <w:rPr>
          <w:rFonts w:ascii="Times New Roman" w:eastAsia="Times New Roman" w:hAnsi="Times New Roman" w:cs="Times New Roman"/>
          <w:b/>
          <w:bCs/>
          <w:color w:val="000000" w:themeColor="text1"/>
          <w:lang w:eastAsia="ru-RU"/>
        </w:rPr>
        <w:t>рыбохозяйственных водоемов</w:t>
      </w:r>
      <w:r w:rsidRPr="00F0736F">
        <w:rPr>
          <w:rFonts w:ascii="Times New Roman" w:eastAsia="Times New Roman" w:hAnsi="Times New Roman" w:cs="Times New Roman"/>
          <w:color w:val="000000" w:themeColor="text1"/>
          <w:lang w:eastAsia="ru-RU"/>
        </w:rPr>
        <w:t>, в том числе 13 рек с притоками, 48 озер, 8 водохранилищ и 31 прудов. Фонд рыбохозяйственных водоемов относится к двум крупным водным бассейнам: Тобол-Торгайскому и Урало-Каспийскому. Основными рыбопромысловыми зонами являются: водоемы Иргиз-Тургайской озерно-речной системы, а также крупные Актюбинское, Каргалинское, Магаджановское водохранилища.</w:t>
      </w:r>
    </w:p>
    <w:p w14:paraId="67ED0407"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На 201</w:t>
      </w:r>
      <w:r w:rsidRPr="00F0736F">
        <w:rPr>
          <w:rFonts w:ascii="Times New Roman" w:eastAsia="Times New Roman" w:hAnsi="Times New Roman" w:cs="Times New Roman"/>
          <w:color w:val="000000" w:themeColor="text1"/>
          <w:lang w:val="kk-KZ" w:eastAsia="ru-RU"/>
        </w:rPr>
        <w:t>8</w:t>
      </w:r>
      <w:r w:rsidRPr="00F0736F">
        <w:rPr>
          <w:rFonts w:ascii="Times New Roman" w:eastAsia="Times New Roman" w:hAnsi="Times New Roman" w:cs="Times New Roman"/>
          <w:color w:val="000000" w:themeColor="text1"/>
          <w:lang w:eastAsia="ru-RU"/>
        </w:rPr>
        <w:t xml:space="preserve"> год, на основании проведенных Западно-Казахстанским филиалом ТОО «Казахский научно - исследовательский институт рыбного хозяйства» научных биологических обследований приказом Министра сельского хозяйства, утвержден </w:t>
      </w:r>
      <w:r w:rsidRPr="00F0736F">
        <w:rPr>
          <w:rFonts w:ascii="Times New Roman" w:eastAsia="Times New Roman" w:hAnsi="Times New Roman" w:cs="Times New Roman"/>
          <w:b/>
          <w:bCs/>
          <w:color w:val="000000" w:themeColor="text1"/>
          <w:lang w:eastAsia="ru-RU"/>
        </w:rPr>
        <w:t>лимит вылова рыбы</w:t>
      </w:r>
      <w:r w:rsidRPr="00F0736F">
        <w:rPr>
          <w:rFonts w:ascii="Times New Roman" w:eastAsia="Times New Roman" w:hAnsi="Times New Roman" w:cs="Times New Roman"/>
          <w:color w:val="000000" w:themeColor="text1"/>
          <w:lang w:eastAsia="ru-RU"/>
        </w:rPr>
        <w:t xml:space="preserve"> в размере </w:t>
      </w:r>
      <w:r w:rsidRPr="00F0736F">
        <w:rPr>
          <w:rFonts w:ascii="Times New Roman" w:eastAsia="Times New Roman" w:hAnsi="Times New Roman" w:cs="Times New Roman"/>
          <w:color w:val="000000" w:themeColor="text1"/>
          <w:lang w:val="kk-KZ" w:eastAsia="ru-RU"/>
        </w:rPr>
        <w:t xml:space="preserve">365 т. </w:t>
      </w:r>
      <w:r w:rsidRPr="00F0736F">
        <w:rPr>
          <w:rFonts w:ascii="Times New Roman" w:eastAsia="Times New Roman" w:hAnsi="Times New Roman" w:cs="Times New Roman"/>
          <w:color w:val="000000" w:themeColor="text1"/>
          <w:lang w:eastAsia="ru-RU"/>
        </w:rPr>
        <w:t>на водоемы Актюбинской области.</w:t>
      </w:r>
      <w:r w:rsidRPr="00F0736F">
        <w:rPr>
          <w:rFonts w:ascii="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eastAsia="ru-RU"/>
        </w:rPr>
        <w:t xml:space="preserve">Выдача разрешения для пользователей на лов рыбы, согласно утвержденному лимиту, выдается Управлением природных ресурсов и регулирования природопользования области. </w:t>
      </w:r>
      <w:r w:rsidRPr="00F0736F">
        <w:rPr>
          <w:rFonts w:ascii="Times New Roman" w:hAnsi="Times New Roman" w:cs="Times New Roman"/>
          <w:color w:val="000000" w:themeColor="text1"/>
        </w:rPr>
        <w:t>Так, в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году было выдано </w:t>
      </w:r>
      <w:r w:rsidRPr="00F0736F">
        <w:rPr>
          <w:rFonts w:ascii="Times New Roman" w:hAnsi="Times New Roman" w:cs="Times New Roman"/>
          <w:color w:val="000000" w:themeColor="text1"/>
          <w:lang w:val="kk-KZ"/>
        </w:rPr>
        <w:t>95</w:t>
      </w:r>
      <w:r w:rsidRPr="00F0736F">
        <w:rPr>
          <w:rFonts w:ascii="Times New Roman" w:hAnsi="Times New Roman" w:cs="Times New Roman"/>
          <w:color w:val="000000" w:themeColor="text1"/>
        </w:rPr>
        <w:t xml:space="preserve"> разрешений на </w:t>
      </w:r>
      <w:r w:rsidRPr="00F0736F">
        <w:rPr>
          <w:rFonts w:ascii="Times New Roman" w:hAnsi="Times New Roman" w:cs="Times New Roman"/>
          <w:color w:val="000000" w:themeColor="text1"/>
          <w:lang w:val="kk-KZ"/>
        </w:rPr>
        <w:t>330</w:t>
      </w:r>
      <w:r w:rsidRPr="00F0736F">
        <w:rPr>
          <w:rFonts w:ascii="Times New Roman" w:hAnsi="Times New Roman" w:cs="Times New Roman"/>
          <w:color w:val="000000" w:themeColor="text1"/>
        </w:rPr>
        <w:t xml:space="preserve"> т., </w:t>
      </w:r>
      <w:r w:rsidRPr="00F0736F">
        <w:rPr>
          <w:rFonts w:ascii="Times New Roman" w:hAnsi="Times New Roman" w:cs="Times New Roman"/>
          <w:color w:val="000000" w:themeColor="text1"/>
          <w:lang w:val="kk-KZ"/>
        </w:rPr>
        <w:t xml:space="preserve">а также 1 </w:t>
      </w:r>
      <w:r w:rsidRPr="00F0736F">
        <w:rPr>
          <w:rFonts w:ascii="Times New Roman" w:hAnsi="Times New Roman" w:cs="Times New Roman"/>
          <w:color w:val="000000" w:themeColor="text1"/>
        </w:rPr>
        <w:t>разрешение</w:t>
      </w:r>
      <w:r w:rsidRPr="00F0736F">
        <w:rPr>
          <w:rFonts w:ascii="Times New Roman" w:hAnsi="Times New Roman" w:cs="Times New Roman"/>
          <w:color w:val="000000" w:themeColor="text1"/>
          <w:lang w:val="kk-KZ"/>
        </w:rPr>
        <w:t xml:space="preserve"> на 19 т. на вылов цисты артемии, </w:t>
      </w:r>
      <w:r w:rsidRPr="00F0736F">
        <w:rPr>
          <w:rFonts w:ascii="Times New Roman" w:hAnsi="Times New Roman" w:cs="Times New Roman"/>
          <w:color w:val="000000" w:themeColor="text1"/>
        </w:rPr>
        <w:t xml:space="preserve">поступление в бюджет составило </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млн. тенге</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Фактический вылов рыбы по состоянию на</w:t>
      </w:r>
      <w:r w:rsidRPr="00F0736F">
        <w:rPr>
          <w:rFonts w:ascii="Times New Roman" w:hAnsi="Times New Roman" w:cs="Times New Roman"/>
          <w:color w:val="000000" w:themeColor="text1"/>
          <w:lang w:val="kk-KZ"/>
        </w:rPr>
        <w:t xml:space="preserve"> 1 января 2019 года</w:t>
      </w:r>
      <w:r w:rsidRPr="00F0736F">
        <w:rPr>
          <w:rFonts w:ascii="Times New Roman" w:hAnsi="Times New Roman" w:cs="Times New Roman"/>
          <w:color w:val="000000" w:themeColor="text1"/>
        </w:rPr>
        <w:t xml:space="preserve"> со</w:t>
      </w:r>
      <w:r w:rsidRPr="00F0736F">
        <w:rPr>
          <w:rFonts w:ascii="Times New Roman" w:hAnsi="Times New Roman" w:cs="Times New Roman"/>
          <w:color w:val="000000" w:themeColor="text1"/>
          <w:lang w:val="kk-KZ"/>
        </w:rPr>
        <w:t>с</w:t>
      </w:r>
      <w:r w:rsidRPr="00F0736F">
        <w:rPr>
          <w:rFonts w:ascii="Times New Roman" w:hAnsi="Times New Roman" w:cs="Times New Roman"/>
          <w:color w:val="000000" w:themeColor="text1"/>
        </w:rPr>
        <w:t xml:space="preserve">тавил </w:t>
      </w:r>
      <w:r w:rsidRPr="00F0736F">
        <w:rPr>
          <w:rFonts w:ascii="Times New Roman" w:hAnsi="Times New Roman" w:cs="Times New Roman"/>
          <w:color w:val="000000" w:themeColor="text1"/>
          <w:lang w:val="kk-KZ"/>
        </w:rPr>
        <w:t>300</w:t>
      </w:r>
      <w:r w:rsidRPr="00F0736F">
        <w:rPr>
          <w:rFonts w:ascii="Times New Roman" w:hAnsi="Times New Roman" w:cs="Times New Roman"/>
          <w:color w:val="000000" w:themeColor="text1"/>
        </w:rPr>
        <w:t xml:space="preserve"> тонн, или 65</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5% от всего лимита приходится на водоемы Иргизского района, расположенные на территории Торгайского заказника, в связи с чем лов рыбы на данных водоемах начинается только с 1 сентября. </w:t>
      </w:r>
    </w:p>
    <w:p w14:paraId="0AC0609B"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настоящее время для ведения рыбного хозяйства </w:t>
      </w:r>
      <w:r w:rsidRPr="00F0736F">
        <w:rPr>
          <w:rFonts w:ascii="Times New Roman" w:hAnsi="Times New Roman" w:cs="Times New Roman"/>
          <w:color w:val="000000" w:themeColor="text1"/>
        </w:rPr>
        <w:t xml:space="preserve">за </w:t>
      </w:r>
      <w:r w:rsidRPr="00F0736F">
        <w:rPr>
          <w:rFonts w:ascii="Times New Roman" w:hAnsi="Times New Roman" w:cs="Times New Roman"/>
          <w:color w:val="000000" w:themeColor="text1"/>
          <w:lang w:val="kk-KZ"/>
        </w:rPr>
        <w:t xml:space="preserve">49 </w:t>
      </w:r>
      <w:r w:rsidRPr="00F0736F">
        <w:rPr>
          <w:rFonts w:ascii="Times New Roman" w:hAnsi="Times New Roman" w:cs="Times New Roman"/>
          <w:color w:val="000000" w:themeColor="text1"/>
        </w:rPr>
        <w:t xml:space="preserve">природопользователями закреплено </w:t>
      </w:r>
      <w:r w:rsidRPr="00F0736F">
        <w:rPr>
          <w:rFonts w:ascii="Times New Roman" w:hAnsi="Times New Roman" w:cs="Times New Roman"/>
          <w:color w:val="000000" w:themeColor="text1"/>
          <w:lang w:val="kk-KZ"/>
        </w:rPr>
        <w:t>67</w:t>
      </w:r>
      <w:r w:rsidRPr="00F0736F">
        <w:rPr>
          <w:rFonts w:ascii="Times New Roman" w:hAnsi="Times New Roman" w:cs="Times New Roman"/>
          <w:color w:val="000000" w:themeColor="text1"/>
        </w:rPr>
        <w:t xml:space="preserve"> водоемов </w:t>
      </w:r>
      <w:r w:rsidRPr="00F0736F">
        <w:rPr>
          <w:rFonts w:ascii="Times New Roman" w:eastAsia="Times New Roman" w:hAnsi="Times New Roman" w:cs="Times New Roman"/>
          <w:color w:val="000000" w:themeColor="text1"/>
          <w:lang w:eastAsia="ru-RU"/>
        </w:rPr>
        <w:t>с участками рек</w:t>
      </w:r>
      <w:r w:rsidRPr="00F0736F">
        <w:rPr>
          <w:rFonts w:ascii="Times New Roman" w:hAnsi="Times New Roman" w:cs="Times New Roman"/>
          <w:color w:val="000000" w:themeColor="text1"/>
        </w:rPr>
        <w:t xml:space="preserve"> (в 2015 году количество закрепленных составляло 26 водоемов, в 2016 году было закреплено еще 16 водоемов, в 2017 году - еще 13 водоемов).</w:t>
      </w:r>
      <w:r w:rsidRPr="00F0736F">
        <w:rPr>
          <w:rFonts w:ascii="Times New Roman" w:eastAsia="Times New Roman" w:hAnsi="Times New Roman" w:cs="Times New Roman"/>
          <w:color w:val="000000" w:themeColor="text1"/>
          <w:lang w:eastAsia="ru-RU"/>
        </w:rPr>
        <w:t xml:space="preserve"> </w:t>
      </w:r>
    </w:p>
    <w:p w14:paraId="1146C88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Основными обязательствами пользователей при ведении рыбного хозяйства являются ежегодные зарыбления, научное обследование, материально-техническое оснащение и содержание егерской службы для охраны   закрепленных водоемов.</w:t>
      </w:r>
    </w:p>
    <w:p w14:paraId="638832B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Всего в водоемы области </w:t>
      </w:r>
      <w:r w:rsidRPr="00F0736F">
        <w:rPr>
          <w:rFonts w:ascii="Times New Roman" w:hAnsi="Times New Roman" w:cs="Times New Roman"/>
          <w:color w:val="000000" w:themeColor="text1"/>
          <w:lang w:val="kk-KZ"/>
        </w:rPr>
        <w:t>в 2018</w:t>
      </w:r>
      <w:r w:rsidRPr="00F0736F">
        <w:rPr>
          <w:rFonts w:ascii="Times New Roman" w:hAnsi="Times New Roman" w:cs="Times New Roman"/>
          <w:color w:val="000000" w:themeColor="text1"/>
        </w:rPr>
        <w:t xml:space="preserve"> год</w:t>
      </w:r>
      <w:r w:rsidRPr="00F0736F">
        <w:rPr>
          <w:rFonts w:ascii="Times New Roman" w:hAnsi="Times New Roman" w:cs="Times New Roman"/>
          <w:color w:val="000000" w:themeColor="text1"/>
          <w:lang w:val="kk-KZ"/>
        </w:rPr>
        <w:t>у</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было </w:t>
      </w:r>
      <w:r w:rsidRPr="00F0736F">
        <w:rPr>
          <w:rFonts w:ascii="Times New Roman" w:hAnsi="Times New Roman" w:cs="Times New Roman"/>
          <w:color w:val="000000" w:themeColor="text1"/>
        </w:rPr>
        <w:t xml:space="preserve">выпущено </w:t>
      </w:r>
      <w:r w:rsidRPr="00F0736F">
        <w:rPr>
          <w:rFonts w:ascii="Times New Roman" w:hAnsi="Times New Roman" w:cs="Times New Roman"/>
          <w:color w:val="000000" w:themeColor="text1"/>
          <w:lang w:val="kk-KZ"/>
        </w:rPr>
        <w:t>1047</w:t>
      </w:r>
      <w:r w:rsidRPr="00F0736F">
        <w:rPr>
          <w:rFonts w:ascii="Times New Roman" w:hAnsi="Times New Roman" w:cs="Times New Roman"/>
          <w:color w:val="000000" w:themeColor="text1"/>
        </w:rPr>
        <w:t xml:space="preserve"> тысяч штук молоди рыб. Вместе с тем, ТОО «</w:t>
      </w:r>
      <w:r w:rsidRPr="00F0736F">
        <w:rPr>
          <w:rFonts w:ascii="Times New Roman" w:hAnsi="Times New Roman" w:cs="Times New Roman"/>
          <w:color w:val="000000" w:themeColor="text1"/>
          <w:lang w:val="kk-KZ"/>
        </w:rPr>
        <w:t>Пригородный</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ТОО «Рад Агро»</w:t>
      </w:r>
      <w:r w:rsidRPr="00F0736F">
        <w:rPr>
          <w:rFonts w:ascii="Times New Roman" w:hAnsi="Times New Roman" w:cs="Times New Roman"/>
          <w:color w:val="000000" w:themeColor="text1"/>
          <w:lang w:val="kk-KZ"/>
        </w:rPr>
        <w:t xml:space="preserve">, ТОО «Айс» </w:t>
      </w:r>
      <w:r w:rsidRPr="00F0736F">
        <w:rPr>
          <w:rFonts w:ascii="Times New Roman" w:hAnsi="Times New Roman" w:cs="Times New Roman"/>
          <w:color w:val="000000" w:themeColor="text1"/>
        </w:rPr>
        <w:t>были проведены работы по возмещению вреда рыбным ресурсам, зарыблена река Илек сеголеткой карпа в количестве 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тысяч штук.</w:t>
      </w:r>
    </w:p>
    <w:p w14:paraId="7B0F9057"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Из </w:t>
      </w:r>
      <w:r w:rsidRPr="00F0736F">
        <w:rPr>
          <w:rFonts w:ascii="Times New Roman" w:eastAsia="Times New Roman" w:hAnsi="Times New Roman" w:cs="Times New Roman"/>
          <w:b/>
          <w:bCs/>
          <w:color w:val="000000" w:themeColor="text1"/>
          <w:lang w:eastAsia="ru-RU"/>
        </w:rPr>
        <w:t>особо охраняемых природных территорий</w:t>
      </w:r>
      <w:r w:rsidRPr="00F0736F">
        <w:rPr>
          <w:rFonts w:ascii="Times New Roman" w:eastAsia="Times New Roman" w:hAnsi="Times New Roman" w:cs="Times New Roman"/>
          <w:color w:val="000000" w:themeColor="text1"/>
          <w:lang w:eastAsia="ru-RU"/>
        </w:rPr>
        <w:t xml:space="preserve"> в области имеется Иргиз-Тургайский государственный природный резерват, созданный в 2007 году на площади 763,5 тыс. га и Тургайский государственный заказник на площади 296 тыс. га.</w:t>
      </w:r>
    </w:p>
    <w:p w14:paraId="1F215A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Территория резервата граничит с Кызылординской, Карагандинской и Костанайской областями. В соответствии с приказом Комитета от 6 июля 2007 года №224, охрана Иргиз-Тургайского государственного природного заказника возложена на Резерват. С учетом территорий заказника площадь охраняемой территории Резерватом составляет 1 060 тыс. гектаров. Наличие видов флоры и фауны: растительного мира - 390, млекопитающих - 42 (в т.ч. занесенных в Красную Книгу РК - 2), птиц - 250 (в т.ч. занесенных в Красную Книгу РК - 32), земноводных - 4 и пресмыкающихся - 14 видов.</w:t>
      </w:r>
    </w:p>
    <w:p w14:paraId="5D934B1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Постановлением акимата Актюбинской области от 19.02.2010 года №51, на территории Каргалинского района Актюбинской области создан государственный природный заказник местного значения «Эбита» площадью 83 770 га.           </w:t>
      </w:r>
    </w:p>
    <w:p w14:paraId="76B5886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Постановлением акимата Актюбинской области от 12.12.2012 года №451 создан государственный природный заказник местного значения «Оркаш» площадью 33 395 га.</w:t>
      </w:r>
    </w:p>
    <w:p w14:paraId="2D3DB9D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Постановлением акимата Актюбинской области от 06.12.2017 года №424, на территории Мартукского района Актюбинской области создан государственный природный заказник местного значения «Мартук» площадью 133 796 га и постановлением акимата Актюбинской области от 06.12.2017 года №425, на территории Кобдинского района Актюбинской области  создан государственный природный заказник местного значения «Кобда» площадью 34 655 га</w:t>
      </w:r>
      <w:r w:rsidRPr="00F0736F">
        <w:rPr>
          <w:rFonts w:ascii="Times New Roman" w:eastAsia="Times New Roman" w:hAnsi="Times New Roman" w:cs="Times New Roman"/>
          <w:color w:val="000000" w:themeColor="text1"/>
          <w:lang w:val="kk-KZ" w:eastAsia="ru-RU"/>
        </w:rPr>
        <w:t>.</w:t>
      </w:r>
    </w:p>
    <w:p w14:paraId="340F6D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сохранения Кокжиде в 2019 году создана особо охраняемая природная территория «Кокжиде – Кумжарган», где на постоянной основе проводится мониторинг подземных и поверхностных вод. </w:t>
      </w:r>
      <w:r w:rsidRPr="00F0736F">
        <w:rPr>
          <w:rFonts w:ascii="Times New Roman" w:hAnsi="Times New Roman" w:cs="Times New Roman"/>
          <w:color w:val="000000" w:themeColor="text1"/>
        </w:rPr>
        <w:tab/>
      </w:r>
    </w:p>
    <w:p w14:paraId="4EF2809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lang w:val="kk-KZ"/>
        </w:rPr>
        <w:t>Поток туристов,</w:t>
      </w:r>
      <w:r w:rsidRPr="00F0736F">
        <w:rPr>
          <w:rFonts w:ascii="Times New Roman" w:hAnsi="Times New Roman" w:cs="Times New Roman"/>
          <w:color w:val="000000" w:themeColor="text1"/>
          <w:lang w:val="kk-KZ"/>
        </w:rPr>
        <w:t xml:space="preserve"> прибывающих в Актюбинскую область, стабильно растет. Так, по итогам 9 месяцев 2018 года местами размещения Актюбинской области было обслужено 81,7 тыс. туристов из других областей (рост на 17,1%) и 8,7 тыс. туристов из других стран (рост на 15,4%). Также за 9 месяцев 2018 года местами размещения предоставлено 235,1 тыс. койко-суток (рост на 13,7%).</w:t>
      </w:r>
    </w:p>
    <w:p w14:paraId="483C2E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Актюбинской области имеются различные достопримечательности, уникальные памятники истории, природы и архитектуры, религиозные объекты, которые представляют интерес для туристов. Например, Родина Батыров - памятник периода Золотой Орды некрополь Абат-Байтак, мавзолей Кобыланды батыра в Кобдинском районе, Хан моласы великого Хана Абилкайыра, полководца, правителя и политика </w:t>
      </w:r>
      <w:r w:rsidRPr="00F0736F">
        <w:rPr>
          <w:rFonts w:ascii="Times New Roman" w:hAnsi="Times New Roman" w:cs="Times New Roman"/>
          <w:color w:val="000000" w:themeColor="text1"/>
          <w:lang w:val="en-US"/>
        </w:rPr>
        <w:t>XIII</w:t>
      </w:r>
      <w:r w:rsidRPr="00F0736F">
        <w:rPr>
          <w:rFonts w:ascii="Times New Roman" w:hAnsi="Times New Roman" w:cs="Times New Roman"/>
          <w:color w:val="000000" w:themeColor="text1"/>
        </w:rPr>
        <w:t xml:space="preserve"> века в Айтекебийском районе, Муголжары – родина древних вулканов, агатовые и яшмовые долины в Мугалжарском районе</w:t>
      </w:r>
      <w:r w:rsidRPr="00F0736F">
        <w:rPr>
          <w:rFonts w:ascii="Times New Roman" w:hAnsi="Times New Roman" w:cs="Times New Roman"/>
          <w:color w:val="000000" w:themeColor="text1"/>
          <w:lang w:val="kk-KZ"/>
        </w:rPr>
        <w:t>, Айдарлыаша международный разрез – эталон карбона и перми в Хромтауском районе.</w:t>
      </w:r>
    </w:p>
    <w:p w14:paraId="47C6F7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Функционирует Иргиз-Тургайский государственный природный резерват, созданный в 2007 году. Естественно-научное обоснование создания резервата предусматривает организацию экологических троп, туристских маршрутов и гостевых домов, создание музея природы; Тургайский государственный природный заказник (зоологический) – передан в ведение Иргиз-Тургайского государственного природного резервата и вопросы создания инфраструктуры Тургайского заказника должны решаться в комплексе с резерватом.</w:t>
      </w:r>
      <w:r w:rsidRPr="00F0736F">
        <w:rPr>
          <w:rFonts w:ascii="Times New Roman" w:hAnsi="Times New Roman" w:cs="Times New Roman"/>
          <w:color w:val="000000" w:themeColor="text1"/>
          <w:lang w:val="kk-KZ"/>
        </w:rPr>
        <w:t xml:space="preserve"> В резервате развиты бердвочинг – наблюдение за розовым фламинго и др. разновидностей птиц, наблюдение за дикими животными.</w:t>
      </w:r>
    </w:p>
    <w:p w14:paraId="370C61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Одним из замечательных достижений древних цивилизаций и культурным наследием по праву считается Великий Шелковый Путь. Это прекрасная платформа для развития туризма в приграничных районах Актюбинской и Оренбургской областей. Есть все предпосылки и возможности для взаимовыгодного сотрудничества. Это обмен школьными и студенческими группами, это туры выходного дня, паломнические туры и туры на места Силы, знакомство с ООПТ, геологическими и археологическими памятниками, посещение различных выставок и ярмарок. Сотрудничество возможно, поскольку мы ближайшие соседи и у нас есть общее прошлое, есть Великий Шелковый Путь, который объединяет нас и дает новый импульс нашим отношениям и развитию туризма без границ.</w:t>
      </w:r>
    </w:p>
    <w:p w14:paraId="7101BC9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информационного обеспечения на официальном сайте управления внешних связей и туризма Актюбинской области работает и обновляется раздел «Туризм». Мощной предпосылкой для развития внутреннего туризма является функционирование международного транзитного коридора «Западная Европа - Западный Китай», в том числе посредством развития объектов придорожного сервиса. </w:t>
      </w:r>
    </w:p>
    <w:p w14:paraId="6AAC65E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Вместе с тем, </w:t>
      </w:r>
      <w:r w:rsidRPr="00F0736F">
        <w:rPr>
          <w:rFonts w:ascii="Times New Roman" w:hAnsi="Times New Roman" w:cs="Times New Roman"/>
          <w:color w:val="000000" w:themeColor="text1"/>
          <w:lang w:val="kk-KZ"/>
        </w:rPr>
        <w:t>разработана и утверждена Программа развития туризма Актюбинской области на 2016 - 2020 гг., в которой определены основные мероприятия для развития туризма.</w:t>
      </w:r>
    </w:p>
    <w:p w14:paraId="72CD937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Основной проблемой развития туристской отрасли в Актюбинской области является качество туристской и транспортной инфраструктуры, в особенности в отдаленных районах области. Так, более 90% объема оказанных услуг приходится на город Актобе. Вклад остальных районов области в туристскую отрасль мал. Это частично вызвано недоступностью некрополей, мавзолеев и иных достопримечательностей области из-за плохого состояния дорог и отсутствия подъездных путей. Также отмечается отсутствие достаточного количества и высокого качества гостевых домов, придорожных кафе и других объектов туристской инфраструктуры.</w:t>
      </w:r>
    </w:p>
    <w:p w14:paraId="53A06DC4" w14:textId="77777777" w:rsidR="00AC1D5B" w:rsidRPr="00F0736F" w:rsidRDefault="00AC1D5B" w:rsidP="00AC1D5B">
      <w:pPr>
        <w:ind w:firstLine="709"/>
        <w:jc w:val="both"/>
        <w:rPr>
          <w:rFonts w:ascii="Times New Roman" w:hAnsi="Times New Roman" w:cs="Times New Roman"/>
          <w:color w:val="000000" w:themeColor="text1"/>
        </w:rPr>
      </w:pPr>
    </w:p>
    <w:p w14:paraId="4C9FD124" w14:textId="77777777" w:rsidR="00AC1D5B" w:rsidRPr="00F0736F" w:rsidRDefault="00AC1D5B" w:rsidP="00AC1D5B">
      <w:pPr>
        <w:ind w:firstLine="709"/>
        <w:jc w:val="both"/>
        <w:rPr>
          <w:rFonts w:ascii="Times New Roman" w:hAnsi="Times New Roman" w:cs="Times New Roman"/>
          <w:color w:val="000000" w:themeColor="text1"/>
        </w:rPr>
      </w:pPr>
    </w:p>
    <w:p w14:paraId="2A274339"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5" w:name="_Toc57818737"/>
      <w:r w:rsidRPr="007272FB">
        <w:rPr>
          <w:rFonts w:ascii="Times New Roman" w:eastAsia="Times New Roman" w:hAnsi="Times New Roman" w:cs="Times New Roman"/>
          <w:color w:val="000000" w:themeColor="text1"/>
          <w:sz w:val="24"/>
          <w:szCs w:val="24"/>
        </w:rPr>
        <w:t>2.3. Алматинская область</w:t>
      </w:r>
      <w:bookmarkEnd w:id="45"/>
    </w:p>
    <w:p w14:paraId="3F4A9FD3" w14:textId="77777777" w:rsidR="00AC1D5B" w:rsidRPr="00F0736F" w:rsidRDefault="00AC1D5B" w:rsidP="00AC1D5B">
      <w:pPr>
        <w:ind w:firstLine="709"/>
        <w:jc w:val="both"/>
        <w:rPr>
          <w:rFonts w:ascii="Times New Roman" w:hAnsi="Times New Roman" w:cs="Times New Roman"/>
          <w:color w:val="000000" w:themeColor="text1"/>
        </w:rPr>
      </w:pPr>
    </w:p>
    <w:p w14:paraId="2CE22B62"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7BA71E3F" w14:textId="19A720B0"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Площадь территории области составляет 223,6 тыс.кв.км. В области на 1 января 2018 года численность населения составила 2017,3 тыс. человек, или 11,1% населения страны. 77% населения проживает в сельской местности, 23% - в городской, против 57% в среднем по республике. На 1 января 2020 года численность населения составила 2055,7 тыс. человек.</w:t>
      </w:r>
    </w:p>
    <w:p w14:paraId="55405A4F" w14:textId="7773343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4"/>
        </w:rPr>
        <w:t xml:space="preserve">По данным Комитета по статистике, валовой региональный продукт области в 2017 году составил 2472,0 млрд. тенге, индекс физического объема 104%, на душу населения – 1235,8 тыс. тенге. За 2018 год ВРП области составил 2795,1 млрд. тенге, индекс физического объема – </w:t>
      </w:r>
      <w:r w:rsidRPr="00F0736F">
        <w:rPr>
          <w:rFonts w:ascii="Times New Roman" w:hAnsi="Times New Roman" w:cs="Times New Roman"/>
          <w:color w:val="000000" w:themeColor="text1"/>
          <w:spacing w:val="-4"/>
          <w:lang w:val="kk-KZ"/>
        </w:rPr>
        <w:t>103,</w:t>
      </w:r>
      <w:r w:rsidRPr="00F0736F">
        <w:rPr>
          <w:rFonts w:ascii="Times New Roman" w:hAnsi="Times New Roman" w:cs="Times New Roman"/>
          <w:color w:val="000000" w:themeColor="text1"/>
          <w:spacing w:val="-4"/>
        </w:rPr>
        <w:t>1%, на душу населения – 1378,2 тыс. тенге. За 2019 год ВРП — 3246,1 млрд. тенге, на душу населения — 1585,5 тыс. тенге, ИФО — 105,1%.</w:t>
      </w:r>
    </w:p>
    <w:p w14:paraId="20D5799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В области действует 1 313 промышленных предприятий, среди них 99 крупные и средние, на долю которых приходится около 80% объема производимой продукции. </w:t>
      </w:r>
    </w:p>
    <w:p w14:paraId="38A771F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4"/>
        </w:rPr>
        <w:t xml:space="preserve">По данным Комитета по статистике объем производства </w:t>
      </w:r>
      <w:r w:rsidRPr="00F0736F">
        <w:rPr>
          <w:rFonts w:ascii="Times New Roman" w:hAnsi="Times New Roman" w:cs="Times New Roman"/>
          <w:b/>
          <w:color w:val="000000" w:themeColor="text1"/>
          <w:spacing w:val="-4"/>
        </w:rPr>
        <w:t>промышленной продукции</w:t>
      </w:r>
      <w:r w:rsidRPr="00F0736F">
        <w:rPr>
          <w:rFonts w:ascii="Times New Roman" w:hAnsi="Times New Roman" w:cs="Times New Roman"/>
          <w:color w:val="000000" w:themeColor="text1"/>
          <w:spacing w:val="-4"/>
        </w:rPr>
        <w:t xml:space="preserve"> (товаров, услуг) за 2017 год составил 795,7 млрд. тенге, за 2018 год — 892,8 млрд. тенге, за 2019 год —1 009,8 млрд. тенге, в том числе объем производства </w:t>
      </w:r>
      <w:r w:rsidRPr="00F0736F">
        <w:rPr>
          <w:rFonts w:ascii="Times New Roman" w:hAnsi="Times New Roman" w:cs="Times New Roman"/>
          <w:b/>
          <w:color w:val="000000" w:themeColor="text1"/>
          <w:spacing w:val="-4"/>
        </w:rPr>
        <w:t>в обрабатывающей промышленности</w:t>
      </w:r>
      <w:r w:rsidRPr="00F0736F">
        <w:rPr>
          <w:rFonts w:ascii="Times New Roman" w:hAnsi="Times New Roman" w:cs="Times New Roman"/>
          <w:color w:val="000000" w:themeColor="text1"/>
          <w:spacing w:val="-4"/>
        </w:rPr>
        <w:t xml:space="preserve"> за 2017 год — 677,4 млрд. тенге, за 2018 год — 770,3 млрд. тенге (103,5% к 2017 году), за 2019 год —</w:t>
      </w:r>
      <w:r w:rsidRPr="00F0736F">
        <w:rPr>
          <w:color w:val="000000" w:themeColor="text1"/>
        </w:rPr>
        <w:t xml:space="preserve">883,0 млрд. тенге. </w:t>
      </w:r>
      <w:r w:rsidRPr="00F0736F">
        <w:rPr>
          <w:rFonts w:ascii="Times New Roman" w:hAnsi="Times New Roman" w:cs="Times New Roman"/>
          <w:color w:val="000000" w:themeColor="text1"/>
        </w:rPr>
        <w:t>Индекс промышленного производства, 2019 г. в % к 2018 г. в обрабатывающей промышленности составил 111,0%.</w:t>
      </w:r>
      <w:r w:rsidRPr="00F0736F">
        <w:rPr>
          <w:rFonts w:ascii="Times New Roman" w:hAnsi="Times New Roman" w:cs="Times New Roman"/>
          <w:color w:val="000000" w:themeColor="text1"/>
          <w:spacing w:val="-4"/>
        </w:rPr>
        <w:t xml:space="preserve"> </w:t>
      </w:r>
      <w:r w:rsidRPr="00F0736F">
        <w:rPr>
          <w:rFonts w:ascii="Times New Roman" w:eastAsia="Times New Roman" w:hAnsi="Times New Roman" w:cs="Times New Roman"/>
          <w:color w:val="000000" w:themeColor="text1"/>
        </w:rPr>
        <w:t>Производительность труда в обрабатывающей промышленности в 2017 году составила 29,4 тыс. долларов США/чел. и повысилась по отношению к 2016 году на 10,4% (26,6 тыс. долларов США/чел). Производительность труда в обрабатывающей промышленности в 2019 году составила 32,9 тыс. долларов США/чел.</w:t>
      </w:r>
    </w:p>
    <w:p w14:paraId="0ACC338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bCs/>
          <w:color w:val="000000" w:themeColor="text1"/>
        </w:rPr>
        <w:t>Аграрный сектор</w:t>
      </w:r>
      <w:r w:rsidRPr="00F0736F">
        <w:rPr>
          <w:rFonts w:ascii="Times New Roman" w:eastAsia="Times New Roman" w:hAnsi="Times New Roman" w:cs="Times New Roman"/>
          <w:color w:val="000000" w:themeColor="text1"/>
        </w:rPr>
        <w:t xml:space="preserve"> области - многопрофильный, в структуре валового производства продукция растениеводства занимает 53,1%, животноводства – 46,6% и услуги – 0,3%.</w:t>
      </w:r>
      <w:r w:rsidRPr="00F0736F">
        <w:rPr>
          <w:rFonts w:ascii="Times New Roman" w:eastAsia="Times New Roman" w:hAnsi="Times New Roman" w:cs="Times New Roman"/>
          <w:color w:val="000000" w:themeColor="text1"/>
          <w:lang w:val="kk-KZ"/>
        </w:rPr>
        <w:t xml:space="preserve"> Валовой выпуск продукции сельского </w:t>
      </w:r>
      <w:r w:rsidRPr="00F0736F">
        <w:rPr>
          <w:rFonts w:ascii="Times New Roman" w:eastAsia="Times New Roman" w:hAnsi="Times New Roman" w:cs="Times New Roman"/>
          <w:color w:val="000000" w:themeColor="text1"/>
        </w:rPr>
        <w:t xml:space="preserve">хозяйства по данным Комитета по статистике в 2017 году </w:t>
      </w:r>
      <w:r w:rsidRPr="00F0736F">
        <w:rPr>
          <w:rFonts w:ascii="Times New Roman" w:eastAsia="Times New Roman" w:hAnsi="Times New Roman" w:cs="Times New Roman"/>
          <w:color w:val="000000" w:themeColor="text1"/>
          <w:lang w:val="kk-KZ"/>
        </w:rPr>
        <w:t xml:space="preserve">составил 630,9 млрд. тенге, в 2018 году – 734 млрд. </w:t>
      </w:r>
      <w:r w:rsidRPr="00F0736F">
        <w:rPr>
          <w:rFonts w:ascii="Times New Roman" w:eastAsia="Times New Roman" w:hAnsi="Times New Roman" w:cs="Times New Roman"/>
          <w:color w:val="000000" w:themeColor="text1"/>
        </w:rPr>
        <w:t>т</w:t>
      </w:r>
      <w:r w:rsidRPr="00F0736F">
        <w:rPr>
          <w:rFonts w:ascii="Times New Roman" w:eastAsia="Times New Roman" w:hAnsi="Times New Roman" w:cs="Times New Roman"/>
          <w:color w:val="000000" w:themeColor="text1"/>
          <w:lang w:val="kk-KZ"/>
        </w:rPr>
        <w:t xml:space="preserve">енге, </w:t>
      </w:r>
      <w:r w:rsidRPr="00F0736F">
        <w:rPr>
          <w:rFonts w:ascii="Times New Roman" w:eastAsia="Times New Roman" w:hAnsi="Times New Roman" w:cs="Times New Roman"/>
          <w:color w:val="000000" w:themeColor="text1"/>
        </w:rPr>
        <w:t>а в 2019 году — 846,6 млрд. тенге, с преимуществом растениеводства (54,8%).</w:t>
      </w:r>
    </w:p>
    <w:p w14:paraId="56E276B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Агропромышленном комплексе в 2017 - 2018 годах </w:t>
      </w:r>
      <w:r w:rsidRPr="00F0736F">
        <w:rPr>
          <w:rFonts w:ascii="Times New Roman" w:hAnsi="Times New Roman" w:cs="Times New Roman"/>
          <w:iCs/>
          <w:color w:val="000000" w:themeColor="text1"/>
          <w:spacing w:val="-8"/>
        </w:rPr>
        <w:t>в</w:t>
      </w:r>
      <w:r w:rsidRPr="00F0736F">
        <w:rPr>
          <w:rFonts w:ascii="Times New Roman" w:hAnsi="Times New Roman" w:cs="Times New Roman"/>
          <w:iCs/>
          <w:color w:val="000000" w:themeColor="text1"/>
        </w:rPr>
        <w:t>ведены в эксплуатацию 41 инвестиционный проект на сумму 17,4 млрд. тенге, в том числе 13 объектов – по переработке сельскохозяйственного сырья.</w:t>
      </w:r>
    </w:p>
    <w:p w14:paraId="48F26503"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Производительность труда в сельском хозяйстве за 2019 год</w:t>
      </w:r>
      <w:r w:rsidRPr="00F0736F">
        <w:rPr>
          <w:rFonts w:ascii="Times New Roman" w:hAnsi="Times New Roman" w:cs="Times New Roman"/>
          <w:strike/>
          <w:color w:val="000000" w:themeColor="text1"/>
        </w:rPr>
        <w:t>а</w:t>
      </w:r>
      <w:r w:rsidRPr="00F0736F">
        <w:rPr>
          <w:rFonts w:ascii="Times New Roman" w:hAnsi="Times New Roman" w:cs="Times New Roman"/>
          <w:color w:val="000000" w:themeColor="text1"/>
        </w:rPr>
        <w:t xml:space="preserve"> составила 2 413,2 тыс. тенге при ИФО – 102,1%. Оцифрованы 97% земель сельхозназначения. </w:t>
      </w:r>
    </w:p>
    <w:p w14:paraId="161A05F3"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spacing w:val="-6"/>
        </w:rPr>
        <w:t>Посевная площадь сель</w:t>
      </w:r>
      <w:r w:rsidRPr="00F0736F">
        <w:rPr>
          <w:rFonts w:ascii="Times New Roman" w:hAnsi="Times New Roman" w:cs="Times New Roman"/>
          <w:color w:val="000000" w:themeColor="text1"/>
          <w:spacing w:val="-6"/>
          <w:lang w:val="en-US"/>
        </w:rPr>
        <w:t>c</w:t>
      </w:r>
      <w:r w:rsidRPr="00F0736F">
        <w:rPr>
          <w:rFonts w:ascii="Times New Roman" w:hAnsi="Times New Roman" w:cs="Times New Roman"/>
          <w:color w:val="000000" w:themeColor="text1"/>
          <w:spacing w:val="-6"/>
        </w:rPr>
        <w:t xml:space="preserve">кохозяйственных культур составляла в 2017 г. – 947,9 тыс. га, а в 2019 году доведена до 961,6 тыс. га. </w:t>
      </w:r>
      <w:r w:rsidRPr="00F0736F">
        <w:rPr>
          <w:rFonts w:ascii="Times New Roman" w:hAnsi="Times New Roman" w:cs="Times New Roman"/>
          <w:color w:val="000000" w:themeColor="text1"/>
        </w:rPr>
        <w:t xml:space="preserve">Посажены саженцы многолетних культур на 1 741 га, общая площадь садов занимают 23,5 тыс. га (в 2018 году — 18,1 тыс. га), в том числе интенсивные – 2,4 тыс. га, под Апорт – 1,6 тыс. га. </w:t>
      </w:r>
    </w:p>
    <w:p w14:paraId="7F62F74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зерновые колосовые намолочены в объеме 1 412,8 тыс.т, что больше уровня 2018 года на 2,1% при средней урожайности 31,0 ц/га (в 2018 г. – 22,3 ц/га). Собрано 995,4 тыс.т овощей и 120,6 тыс.т бахчевых культур, по сравнению с 2018 годом рост урожайности на уровне 1,6%, также произведено 129,5 тыс.т. фруктов, что больше показателя 2018 года на 4,3 тыс.т. Объем урожая масличных составила 316,2 тыс.т. или больше на 4,1%</w:t>
      </w:r>
      <w:r w:rsidRPr="00F0736F">
        <w:rPr>
          <w:rFonts w:ascii="Times New Roman" w:hAnsi="Times New Roman" w:cs="Times New Roman"/>
          <w:color w:val="000000" w:themeColor="text1"/>
          <w:vertAlign w:val="superscript"/>
        </w:rPr>
        <w:footnoteReference w:id="139"/>
      </w:r>
      <w:r w:rsidRPr="00F0736F">
        <w:rPr>
          <w:rFonts w:ascii="Times New Roman" w:hAnsi="Times New Roman" w:cs="Times New Roman"/>
          <w:color w:val="000000" w:themeColor="text1"/>
        </w:rPr>
        <w:t xml:space="preserve">. </w:t>
      </w:r>
    </w:p>
    <w:p w14:paraId="12B5E50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диверсификации за трехлетний период уменьшены посевы пшеницы на 10 тыс.га, расширены площади кукурузы на зерно - на 6,6 тыс.га, масличных культур - на 9,5 тыс.га, сахарной свеклы - на 7,8 тыс.га.</w:t>
      </w:r>
    </w:p>
    <w:p w14:paraId="6720A6F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6AB1647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Доля севооборотов в составе пахотных земель составляет 60,5%. </w:t>
      </w:r>
      <w:r w:rsidRPr="00F0736F">
        <w:rPr>
          <w:rFonts w:ascii="Times New Roman" w:hAnsi="Times New Roman" w:cs="Times New Roman"/>
          <w:color w:val="000000" w:themeColor="text1"/>
          <w:spacing w:val="-6"/>
        </w:rPr>
        <w:t>В растениеводстве площади, на которых применяются влагосберегающие технологии, в 2018 году доведены до 147,5 тыс.га (2017 г. – 145,8 тыс. га) и водосберегающие технологии, до 16,2 тыс. га (2017 г. – 15,3 тыс. га). В 2018 году з</w:t>
      </w:r>
      <w:r w:rsidRPr="00F0736F">
        <w:rPr>
          <w:rFonts w:ascii="Times New Roman" w:hAnsi="Times New Roman" w:cs="Times New Roman"/>
          <w:color w:val="000000" w:themeColor="text1"/>
        </w:rPr>
        <w:t xml:space="preserve">авершен капитальный ремонт 4-х объектов, восстановлено 1 070 га и улучшилось водообеспеченность на 7 192 га. В 2019 году реконструкция оросительных сетей за счет средств Исламского банка развития ведется в Ескельдинском (1,5 млрд. тенге) и в Аксуском районе (5,3 млрд. тенге), разработаны ПСД по Панфиловскому, Уйгурскому, Карасайскому районам и г.Талдыкорган. Кроме того, разрабатываются проекты по 7-и районам (Балхашский, Жамбылский, Илийский, Каратальский, Райымбекский, Сарканский, Талгарский). </w:t>
      </w:r>
      <w:r w:rsidRPr="00F0736F">
        <w:rPr>
          <w:rFonts w:ascii="Times New Roman" w:eastAsia="Consolas" w:hAnsi="Times New Roman" w:cs="Times New Roman"/>
          <w:color w:val="000000" w:themeColor="text1"/>
        </w:rPr>
        <w:t>Всего за счет средств международных финансовых организаций восстановлено 137,8 тыс. га земель. В целях вовлечения в оборот новых орошаемых земель площадью 81,8 тысяч гектар планируется реконструкция и строительство новых оросительных сетей, строительство новых водохранинилищ (вдхр. Биен Аксуский р-н, вдхр. Покатиловское Сарканский р-н, вдхр. Малый Дихан и Тигермень Уйгурский район) и восстановление аварийных водохранилищ (вдхр. Кызылагаш Аксуский р-н) и прудов.</w:t>
      </w:r>
    </w:p>
    <w:p w14:paraId="3268C9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ресурсосберегающая технология применена на 166 тыс.га. С начала года закуплено 760 единиц сельхозтехники на 9,2 млрд. тенге, уровень обновления машинно-тракторного парка доведен до 6,4%. Создано 6 СЗЦ с передачей 164 единиц спецтехники (5 по сахсвекле, 1 по картофелю). Функционируют теплицы общей площадью 96 га ( </w:t>
      </w:r>
      <w:r w:rsidRPr="00F0736F">
        <w:rPr>
          <w:rFonts w:ascii="Times New Roman" w:hAnsi="Times New Roman" w:cs="Times New Roman"/>
          <w:iCs/>
          <w:color w:val="000000" w:themeColor="text1"/>
          <w:spacing w:val="-6"/>
        </w:rPr>
        <w:t xml:space="preserve">(в 2015 г. – 53,5 га, </w:t>
      </w:r>
      <w:r w:rsidRPr="00F0736F">
        <w:rPr>
          <w:rFonts w:ascii="Times New Roman" w:hAnsi="Times New Roman" w:cs="Times New Roman"/>
          <w:color w:val="000000" w:themeColor="text1"/>
        </w:rPr>
        <w:t xml:space="preserve">в 2017 году — 89,2 га), введены в эксплуатацию 3 теплицы на 2,7 га. </w:t>
      </w:r>
    </w:p>
    <w:p w14:paraId="7900850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6"/>
        </w:rPr>
        <w:t xml:space="preserve">В области общая площадь орошаемых земель составляет 579,9 тыс. га, в том числе пашни – 473,6 тыс. га. </w:t>
      </w:r>
      <w:r w:rsidRPr="00F0736F">
        <w:rPr>
          <w:rFonts w:ascii="Times New Roman" w:hAnsi="Times New Roman" w:cs="Times New Roman"/>
          <w:color w:val="000000" w:themeColor="text1"/>
        </w:rPr>
        <w:t>Забор воды из источников орошения, подача ее в хозяйства производится 356 гидротехническими сооружениями. В целом в результате проведенных работ ежегодно восстанавливается порядка 2,0 тысяч гектар орошаемых земель.</w:t>
      </w:r>
    </w:p>
    <w:p w14:paraId="23FBBAB4" w14:textId="10D1CD25"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4"/>
        </w:rPr>
        <w:t xml:space="preserve">За счет областного бюджета проведена паспортизация оросительных сетей. </w:t>
      </w:r>
      <w:r w:rsidRPr="00F0736F">
        <w:rPr>
          <w:rFonts w:ascii="Times New Roman" w:hAnsi="Times New Roman" w:cs="Times New Roman"/>
          <w:color w:val="000000" w:themeColor="text1"/>
        </w:rPr>
        <w:t>Протяженность всех ирригационных сетей 16</w:t>
      </w:r>
      <w:r w:rsidR="005F0B8A"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780 км (в республиканской собственности – 6781 км, в коммунальной собственности – 4345 км, в частной собственности – 5653 км). За последние два года приняты в коммунальную собственность более 8,1 тыс. км бесхозных оросительных каналов. </w:t>
      </w:r>
    </w:p>
    <w:p w14:paraId="0B36538D"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spacing w:val="-6"/>
        </w:rPr>
        <w:t xml:space="preserve">Животноводческая специализация представлена мясомолочным скотоводством, овцеводством, коневодством, верблюдоводством, промышленным птицеводством. </w:t>
      </w:r>
      <w:r w:rsidRPr="00F0736F">
        <w:rPr>
          <w:rFonts w:ascii="Times New Roman" w:hAnsi="Times New Roman" w:cs="Times New Roman"/>
          <w:bCs/>
          <w:color w:val="000000" w:themeColor="text1"/>
        </w:rPr>
        <w:t>Доля племенного поголовья КРС в 2018 году увеличилась до 18,8% (в 2017г. – 18,5%), овец – до 22,9 (22,7%), лошадей – до 15,4% (15,3%).</w:t>
      </w:r>
      <w:r w:rsidRPr="00F0736F">
        <w:rPr>
          <w:rFonts w:ascii="Times New Roman" w:hAnsi="Times New Roman" w:cs="Times New Roman"/>
          <w:color w:val="000000" w:themeColor="text1"/>
        </w:rPr>
        <w:t xml:space="preserve"> В 2019 году породным преобразованием охвачено 37,4% маточного поголовья КРС. </w:t>
      </w:r>
    </w:p>
    <w:p w14:paraId="3E2FF8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Основу кормовой базы области составляют пастбища и сенокосы, полевое кормопроизводство. В 2017 году посевы кормовых культур расширены до 244,6 тыс. га). Площадь пастбищ составляет 7113,6 тыс. га, из них улучшенных – 33,6 тыс. га, обводненных – 5857,7 тыс. га. Доля пастбищеоборота в составе естественных пастбищных угодий составила 28,8%. Для обводнения пастбищ проводятся строительно-восстановительные работы. </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В рамках плана мероприятий по обводнению пастбищ на 2017 год построено 150 колодцев (скважин), или 103% к плану. В 2019 году модернизировано 286 колодцев.</w:t>
      </w:r>
    </w:p>
    <w:p w14:paraId="5161F900" w14:textId="77777777" w:rsidR="00AC1D5B" w:rsidRPr="00F0736F" w:rsidRDefault="00AC1D5B" w:rsidP="00AC1D5B">
      <w:pPr>
        <w:ind w:firstLine="709"/>
        <w:contextualSpacing/>
        <w:jc w:val="both"/>
        <w:rPr>
          <w:color w:val="000000" w:themeColor="text1"/>
        </w:rPr>
      </w:pPr>
      <w:r w:rsidRPr="00F0736F">
        <w:rPr>
          <w:rFonts w:ascii="Times New Roman" w:eastAsia="Calibri" w:hAnsi="Times New Roman" w:cs="Times New Roman"/>
          <w:color w:val="000000" w:themeColor="text1"/>
          <w:lang w:val="kk-KZ" w:eastAsia="en-US"/>
        </w:rPr>
        <w:t xml:space="preserve">По области </w:t>
      </w:r>
      <w:r w:rsidRPr="00F0736F">
        <w:rPr>
          <w:rFonts w:ascii="Times New Roman" w:eastAsia="Calibri" w:hAnsi="Times New Roman" w:cs="Times New Roman"/>
          <w:color w:val="000000" w:themeColor="text1"/>
          <w:lang w:eastAsia="en-US"/>
        </w:rPr>
        <w:t xml:space="preserve">за </w:t>
      </w:r>
      <w:r w:rsidRPr="00F0736F">
        <w:rPr>
          <w:rFonts w:ascii="Times New Roman" w:eastAsia="Calibri" w:hAnsi="Times New Roman" w:cs="Times New Roman"/>
          <w:color w:val="000000" w:themeColor="text1"/>
          <w:lang w:val="kk-KZ" w:eastAsia="en-US"/>
        </w:rPr>
        <w:t xml:space="preserve">2018 - 2019 годы проведен </w:t>
      </w:r>
      <w:r w:rsidRPr="00F0736F">
        <w:rPr>
          <w:rFonts w:ascii="Times New Roman" w:eastAsia="Calibri" w:hAnsi="Times New Roman" w:cs="Times New Roman"/>
          <w:b/>
          <w:bCs/>
          <w:color w:val="000000" w:themeColor="text1"/>
          <w:lang w:val="kk-KZ" w:eastAsia="en-US"/>
        </w:rPr>
        <w:t>аудит всех сельскохозяйственных земель</w:t>
      </w:r>
      <w:r w:rsidRPr="00F0736F">
        <w:rPr>
          <w:rFonts w:ascii="Times New Roman" w:eastAsia="Calibri" w:hAnsi="Times New Roman" w:cs="Times New Roman"/>
          <w:color w:val="000000" w:themeColor="text1"/>
          <w:lang w:val="kk-KZ" w:eastAsia="en-US"/>
        </w:rPr>
        <w:t xml:space="preserve">, в результате местными исполнительными органами районов и городов совместно с органами прокуратуры установлено 808,7 тыс. га (в том числе, пашни 39,5 тыс. га, многолетних насаждений 0,5 тыс. га, сенокосы 7,6 тыс. га, пастбищ 760,7 тыс. га, прочие 0,4 тыс. га) неиспользуемых земель сельскохозяйственного назначения. </w:t>
      </w:r>
    </w:p>
    <w:p w14:paraId="369A5DE7" w14:textId="77777777" w:rsidR="00AC1D5B" w:rsidRPr="00F0736F" w:rsidRDefault="00AC1D5B" w:rsidP="00AC1D5B">
      <w:pPr>
        <w:ind w:firstLine="709"/>
        <w:contextualSpacing/>
        <w:jc w:val="both"/>
        <w:rPr>
          <w:color w:val="000000" w:themeColor="text1"/>
        </w:rPr>
      </w:pPr>
      <w:r w:rsidRPr="00F0736F">
        <w:rPr>
          <w:rFonts w:ascii="Times New Roman" w:eastAsia="Calibri" w:hAnsi="Times New Roman" w:cs="Times New Roman"/>
          <w:color w:val="000000" w:themeColor="text1"/>
          <w:lang w:val="kk-KZ" w:eastAsia="en-US"/>
        </w:rPr>
        <w:t>В результате принятых мер: 94,9 тыс. га возвращено в государственную собственность, 47,6 тыс. га поставлено на учет как бесхозяйное имущество, 504,4 тыс. га после принятых мер приступили к использованию земель и вовлечению в сельскохозяйственный оборот - 129,8 тыс.га. Материалы находятся на рассмотрении местных исполнительных органов районов и городов.</w:t>
      </w:r>
    </w:p>
    <w:p w14:paraId="5B1125C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3BE352B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Потребность области в </w:t>
      </w:r>
      <w:r w:rsidRPr="00F0736F">
        <w:rPr>
          <w:rFonts w:ascii="Times New Roman" w:hAnsi="Times New Roman" w:cs="Times New Roman"/>
          <w:b/>
          <w:bCs/>
          <w:color w:val="000000" w:themeColor="text1"/>
        </w:rPr>
        <w:t>электроэнергии</w:t>
      </w:r>
      <w:r w:rsidRPr="00F0736F">
        <w:rPr>
          <w:rFonts w:ascii="Times New Roman" w:hAnsi="Times New Roman" w:cs="Times New Roman"/>
          <w:color w:val="000000" w:themeColor="text1"/>
        </w:rPr>
        <w:t xml:space="preserve"> закрывается собственным производством только на 62%, остальное закупается с северных областей, Жамбылской ГРЭС и Кыргызстана. Объем потребления электроэнергии по итогам 2017 года составил </w:t>
      </w:r>
      <w:r w:rsidRPr="00F0736F">
        <w:rPr>
          <w:rFonts w:ascii="Times New Roman" w:hAnsi="Times New Roman" w:cs="Times New Roman"/>
          <w:bCs/>
          <w:color w:val="000000" w:themeColor="text1"/>
        </w:rPr>
        <w:t>3,1</w:t>
      </w:r>
      <w:r w:rsidRPr="00F0736F">
        <w:rPr>
          <w:rFonts w:ascii="Times New Roman" w:hAnsi="Times New Roman" w:cs="Times New Roman"/>
          <w:color w:val="000000" w:themeColor="text1"/>
        </w:rPr>
        <w:t xml:space="preserve"> млрд. кВт*ч (в том числе от внешних источников – </w:t>
      </w:r>
      <w:r w:rsidRPr="00F0736F">
        <w:rPr>
          <w:rFonts w:ascii="Times New Roman" w:hAnsi="Times New Roman" w:cs="Times New Roman"/>
          <w:bCs/>
          <w:color w:val="000000" w:themeColor="text1"/>
        </w:rPr>
        <w:t>1,2</w:t>
      </w:r>
      <w:r w:rsidRPr="00F0736F">
        <w:rPr>
          <w:rFonts w:ascii="Times New Roman" w:hAnsi="Times New Roman" w:cs="Times New Roman"/>
          <w:color w:val="000000" w:themeColor="text1"/>
        </w:rPr>
        <w:t xml:space="preserve"> млрд. кВт*ч). По сравнению с 2015 годом рост 0,54 млрд. кВт*ч, или 17,2%. В региональном разрезе 95% (1111,6 МВт) генерирующих мощностей области расположены в Алматинском регионе, в том числе Карасайском (48,1%), Илийском районах (15,4%) и г. Капшагай (31,2%). В Талдыкорганском регионе размещено всего 4,7% (52 МВт*ч) энергопроизводящих мощностей области, которые покрывают лишь 20% потребностей территорий в электроэнергии. Наиболее крупный производитель - ТОО «КазЦинкТЭК» г. Текели (2,91% мощностей области).</w:t>
      </w:r>
      <w:r w:rsidRPr="00F0736F">
        <w:rPr>
          <w:rFonts w:ascii="Times New Roman" w:hAnsi="Times New Roman" w:cs="Times New Roman"/>
          <w:color w:val="000000" w:themeColor="text1"/>
          <w:sz w:val="28"/>
          <w:szCs w:val="28"/>
        </w:rPr>
        <w:t xml:space="preserve"> </w:t>
      </w:r>
      <w:r w:rsidRPr="00F0736F">
        <w:rPr>
          <w:rFonts w:ascii="Times New Roman" w:hAnsi="Times New Roman" w:cs="Times New Roman"/>
          <w:color w:val="000000" w:themeColor="text1"/>
          <w:lang w:eastAsia="en-US"/>
        </w:rPr>
        <w:t xml:space="preserve">Общая протяженность линий электропередач составляет 34,2 тыс. км, подстанций – 7,7 тыс. единиц. </w:t>
      </w:r>
      <w:r w:rsidRPr="00F0736F">
        <w:rPr>
          <w:rFonts w:ascii="Times New Roman" w:hAnsi="Times New Roman" w:cs="Times New Roman"/>
          <w:color w:val="000000" w:themeColor="text1"/>
          <w:spacing w:val="-6"/>
          <w:lang w:eastAsia="en-US"/>
        </w:rPr>
        <w:t>Техническое состояние энергетических сетей неудовлетворительное.</w:t>
      </w:r>
    </w:p>
    <w:p w14:paraId="1AE8B6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6"/>
        </w:rPr>
        <w:t xml:space="preserve">В области действуют </w:t>
      </w:r>
      <w:r w:rsidRPr="00F0736F">
        <w:rPr>
          <w:rFonts w:ascii="Times New Roman" w:hAnsi="Times New Roman" w:cs="Times New Roman"/>
          <w:bCs/>
          <w:color w:val="000000" w:themeColor="text1"/>
          <w:spacing w:val="-6"/>
        </w:rPr>
        <w:t>21</w:t>
      </w:r>
      <w:r w:rsidRPr="00F0736F">
        <w:rPr>
          <w:rFonts w:ascii="Times New Roman" w:hAnsi="Times New Roman" w:cs="Times New Roman"/>
          <w:color w:val="000000" w:themeColor="text1"/>
          <w:spacing w:val="-6"/>
        </w:rPr>
        <w:t xml:space="preserve"> ГЭС</w:t>
      </w:r>
      <w:r w:rsidRPr="00F0736F">
        <w:rPr>
          <w:rFonts w:ascii="Times New Roman" w:hAnsi="Times New Roman" w:cs="Times New Roman"/>
          <w:bCs/>
          <w:color w:val="000000" w:themeColor="text1"/>
          <w:spacing w:val="-6"/>
        </w:rPr>
        <w:t xml:space="preserve"> с установленной мощностью 798,2 МВт</w:t>
      </w:r>
      <w:r w:rsidRPr="00F0736F">
        <w:rPr>
          <w:rFonts w:ascii="Times New Roman" w:hAnsi="Times New Roman" w:cs="Times New Roman"/>
          <w:color w:val="000000" w:themeColor="text1"/>
          <w:spacing w:val="-6"/>
        </w:rPr>
        <w:t>, 2 ВЭС</w:t>
      </w:r>
      <w:r w:rsidRPr="00F0736F">
        <w:rPr>
          <w:rFonts w:ascii="Times New Roman" w:hAnsi="Times New Roman" w:cs="Times New Roman"/>
          <w:bCs/>
          <w:color w:val="000000" w:themeColor="text1"/>
          <w:spacing w:val="-6"/>
        </w:rPr>
        <w:t xml:space="preserve"> с мощностью 9 МВт</w:t>
      </w:r>
      <w:r w:rsidRPr="00F0736F">
        <w:rPr>
          <w:rFonts w:ascii="Times New Roman" w:hAnsi="Times New Roman" w:cs="Times New Roman"/>
          <w:color w:val="000000" w:themeColor="text1"/>
          <w:spacing w:val="-6"/>
        </w:rPr>
        <w:t xml:space="preserve"> и одна солнечная электростанция с мощностью 2 МВт. </w:t>
      </w:r>
    </w:p>
    <w:p w14:paraId="6CB0466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развития возобновляемых источников энергии в 2017 году введена в эксплуатацию Коринская ГЭС-1 мощность 28,5 МВт на р. Кора.</w:t>
      </w:r>
    </w:p>
    <w:p w14:paraId="41895E3E"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lang w:val="kk-KZ"/>
        </w:rPr>
        <w:t>Алматинская область</w:t>
      </w:r>
      <w:r w:rsidRPr="00F0736F">
        <w:rPr>
          <w:rFonts w:ascii="Times New Roman" w:hAnsi="Times New Roman" w:cs="Times New Roman"/>
          <w:color w:val="000000" w:themeColor="text1"/>
          <w:lang w:val="kk-KZ"/>
        </w:rPr>
        <w:t xml:space="preserve"> имеет большой потенциал для развития источников возобновляемой электроэнергии. </w:t>
      </w:r>
      <w:r w:rsidRPr="00F0736F">
        <w:rPr>
          <w:rFonts w:ascii="Times New Roman" w:hAnsi="Times New Roman" w:cs="Times New Roman"/>
          <w:color w:val="000000" w:themeColor="text1"/>
        </w:rPr>
        <w:t>Всего в области работает</w:t>
      </w:r>
      <w:r w:rsidRPr="00F0736F">
        <w:rPr>
          <w:rFonts w:ascii="Times New Roman" w:hAnsi="Times New Roman" w:cs="Times New Roman"/>
          <w:color w:val="000000" w:themeColor="text1"/>
          <w:lang w:val="kk-KZ"/>
        </w:rPr>
        <w:t xml:space="preserve"> 20 ГЭС, 2 </w:t>
      </w:r>
      <w:r w:rsidRPr="00F0736F">
        <w:rPr>
          <w:rFonts w:ascii="Times New Roman" w:hAnsi="Times New Roman" w:cs="Times New Roman"/>
          <w:color w:val="000000" w:themeColor="text1"/>
        </w:rPr>
        <w:t>ветровых</w:t>
      </w:r>
      <w:r w:rsidRPr="00F0736F">
        <w:rPr>
          <w:rFonts w:ascii="Times New Roman" w:hAnsi="Times New Roman" w:cs="Times New Roman"/>
          <w:color w:val="000000" w:themeColor="text1"/>
          <w:lang w:val="kk-KZ"/>
        </w:rPr>
        <w:t xml:space="preserve"> и 1 </w:t>
      </w:r>
      <w:r w:rsidRPr="00F0736F">
        <w:rPr>
          <w:rFonts w:ascii="Times New Roman" w:hAnsi="Times New Roman" w:cs="Times New Roman"/>
          <w:color w:val="000000" w:themeColor="text1"/>
        </w:rPr>
        <w:t>солнечная</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электростанция</w:t>
      </w:r>
      <w:r w:rsidRPr="00F0736F">
        <w:rPr>
          <w:rFonts w:ascii="Times New Roman" w:hAnsi="Times New Roman" w:cs="Times New Roman"/>
          <w:color w:val="000000" w:themeColor="text1"/>
          <w:lang w:val="kk-KZ"/>
        </w:rPr>
        <w:t xml:space="preserve">. Крупные ГЭС в области - это Капчагайская (362 МВт) и Мойнакская (300 МВт). С вводом новых мощностей доля «зеленой» электроэнергии в общем объеме потребления выросла с 13,4% в 2011 году до 35,2% в 2017 году. </w:t>
      </w:r>
    </w:p>
    <w:p w14:paraId="4DF14A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Дальнейшее развитие ВИЭ запланировано в рамках программы развития возобновляемых источников энергии Алматинской области на 2017 - 2025 годы. Реализация проектов ВИЭ по области делится на 2 этапа.</w:t>
      </w:r>
    </w:p>
    <w:p w14:paraId="3CBEA3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Первый этап реализации программы (2017 – 2020 годы) предусматривает ввод 32 первоочередных объектов ВИЭ общей мощностью 829,2 МВт, имеющих реальных исполнителей, ТЭО, ПСД и в основном решенны вопросы с источниками финансирования. Это 17 ГЭС, 11 ВЭС, 3 СЭС и 1 – БиоЭС. </w:t>
      </w:r>
    </w:p>
    <w:p w14:paraId="789198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Второй этап реализации программы (2020 – 2025 годы) предусматривает ввод 46 перспективных проектов ВИЭ, по которым не решены вопросы с источниками финансирования.</w:t>
      </w:r>
    </w:p>
    <w:p w14:paraId="04A3576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Всего в рамках программы развития ВИЭ на 2017 - 2025 годы в общем объеме выработанной электроэнергии объектами ВИЭ запланировано обеспечение 811,3 млн. кВт*ч, или 37,8%. </w:t>
      </w:r>
    </w:p>
    <w:p w14:paraId="095D6F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 в августе 2019 года </w:t>
      </w:r>
      <w:r w:rsidRPr="00F0736F">
        <w:rPr>
          <w:rFonts w:ascii="Times New Roman" w:hAnsi="Times New Roman" w:cs="Times New Roman"/>
          <w:bCs/>
          <w:color w:val="000000" w:themeColor="text1"/>
          <w:kern w:val="0"/>
          <w:lang w:eastAsia="ru-RU" w:bidi="ar-SA"/>
        </w:rPr>
        <w:t>в Алматинской области близ города Капшагай ввели в эксплуатацию солнечную электростанцию мощностью 100 МВт, сообщили в компании Eneverse KunKuat (ЕКК), которая реализовала этот проект</w:t>
      </w:r>
      <w:r w:rsidRPr="00F0736F">
        <w:rPr>
          <w:rFonts w:ascii="Times New Roman" w:hAnsi="Times New Roman" w:cs="Times New Roman"/>
          <w:color w:val="000000" w:themeColor="text1"/>
          <w:vertAlign w:val="superscript"/>
        </w:rPr>
        <w:footnoteReference w:id="140"/>
      </w:r>
      <w:r w:rsidRPr="00F0736F">
        <w:rPr>
          <w:rFonts w:ascii="Times New Roman" w:hAnsi="Times New Roman" w:cs="Times New Roman"/>
          <w:bCs/>
          <w:color w:val="000000" w:themeColor="text1"/>
          <w:kern w:val="0"/>
          <w:lang w:eastAsia="ru-RU" w:bidi="ar-SA"/>
        </w:rPr>
        <w:t xml:space="preserve">. </w:t>
      </w:r>
      <w:r w:rsidRPr="00F0736F">
        <w:rPr>
          <w:rFonts w:ascii="Times New Roman" w:hAnsi="Times New Roman" w:cs="Times New Roman"/>
          <w:color w:val="000000" w:themeColor="text1"/>
          <w:kern w:val="0"/>
          <w:lang w:eastAsia="ru-RU" w:bidi="ar-SA"/>
        </w:rPr>
        <w:t>Реализованный проект включает строительство солнечного парка на участке площадью 270 га, подстанции 220 кВ и высоковольтной линий 220 кВ. Строительство объектов солнечной электростанции началось в сентябре 2018 года. Общая проектная стоимость СЭС составила 27,7 млрд. тенге, из них ЕКК инвестировала в проект 10,4 млрд. тенге. Также для финансирования были привлечены заемные средства АО «Банк Развития Казахстана» (10,8 млрд. тенге) и финансовый лизинг АО «БРК-Лизинг» (6,5 млрд. тенге). Из областного бюджета было профинансировано строительство высоковольтной линий 220 кВ на сумму 233 млн. тенге. По проекту СЭС будет ежегодно вырабатывать около 160 млн. кВт часов электроэнергии и условно сократит выбросы СО</w:t>
      </w:r>
      <w:r w:rsidRPr="00F0736F">
        <w:rPr>
          <w:rFonts w:ascii="Times New Roman" w:hAnsi="Times New Roman" w:cs="Times New Roman"/>
          <w:color w:val="000000" w:themeColor="text1"/>
          <w:kern w:val="0"/>
          <w:vertAlign w:val="subscript"/>
          <w:lang w:eastAsia="ru-RU" w:bidi="ar-SA"/>
        </w:rPr>
        <w:t>2</w:t>
      </w:r>
      <w:r w:rsidRPr="00F0736F">
        <w:rPr>
          <w:rFonts w:ascii="Times New Roman" w:hAnsi="Times New Roman" w:cs="Times New Roman"/>
          <w:color w:val="000000" w:themeColor="text1"/>
          <w:kern w:val="0"/>
          <w:lang w:eastAsia="ru-RU" w:bidi="ar-SA"/>
        </w:rPr>
        <w:t xml:space="preserve"> в атмосферу на 150 тыс. т. в год.</w:t>
      </w:r>
    </w:p>
    <w:p w14:paraId="609019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«Eneverse KunKuat» - это дочернее предприятие сингапурской компании Eneverse KunKuat PTE. Ltd. Конечным контрольным владельцем ЕКК является Universal Energy Co., Ltd (UE). Деятельность UE сосредоточена на солнечной и ветряной энергетике, с офисами в Шанхае, Гонконге, Сингапуре, Алматы, а общая мощность реализуемых ВИЭ проектов в Казахстане – 380 МВт. В октябре 2017 года министерство энергетики Казахстана включило ЕКК в список энергопроизводящих компаний по возобновляемым источникам энергии.</w:t>
      </w:r>
    </w:p>
    <w:p w14:paraId="131FDB5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spacing w:val="-4"/>
        </w:rPr>
        <w:t>Теплоснабжение</w:t>
      </w:r>
      <w:r w:rsidRPr="00F0736F">
        <w:rPr>
          <w:rFonts w:ascii="Times New Roman" w:hAnsi="Times New Roman" w:cs="Times New Roman"/>
          <w:color w:val="000000" w:themeColor="text1"/>
          <w:spacing w:val="-4"/>
        </w:rPr>
        <w:t xml:space="preserve"> осуществляют 34 котельные, общей мощностью 728 Гкал. Протяженность тепловых сетей в 2019 году составляла 661,2 км, а в 2017 году - 624,4 км, потери на тепловых сетях более 30%. Уровень обеспечения централизованным теплоснабжением 26% населения, уровень обеспеченности населенных пунктов 3% (ГНП - 100%, СНП — 1,4%). </w:t>
      </w:r>
    </w:p>
    <w:p w14:paraId="482DFA0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 конца 2017 года </w:t>
      </w:r>
      <w:r w:rsidRPr="00F0736F">
        <w:rPr>
          <w:rFonts w:ascii="Times New Roman" w:hAnsi="Times New Roman" w:cs="Times New Roman"/>
          <w:b/>
          <w:bCs/>
          <w:color w:val="000000" w:themeColor="text1"/>
        </w:rPr>
        <w:t>газифицировано</w:t>
      </w:r>
      <w:r w:rsidRPr="00F0736F">
        <w:rPr>
          <w:rFonts w:ascii="Times New Roman" w:hAnsi="Times New Roman" w:cs="Times New Roman"/>
          <w:color w:val="000000" w:themeColor="text1"/>
        </w:rPr>
        <w:t xml:space="preserve"> 123 населенных пункта с населением 718,5 тыс. человек, уровень газификации составил в 2017 году 26,2%. По сравнению с 2015 годом количество газифицированных населенных пунктов увеличилось на 27, уровень газификации возрос на 5,9%. В 2018 году за счет газификации 19 населенных пунктов уровень газификации повышен до 30,1%. В 2019 году на газификацию области выделено 6,6 млрд. тенге бюджетных средств, привлечено частных инвестиций на сумму 32,8 млрд. тенге. Всего в настоящее время в области газифицировано 144 населенных пункта, где проживает 1,1 млн. человек.</w:t>
      </w:r>
    </w:p>
    <w:p w14:paraId="26DE00EA"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2DD5DC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из 741 населенного пункта </w:t>
      </w:r>
      <w:r w:rsidRPr="00F0736F">
        <w:rPr>
          <w:rFonts w:ascii="Times New Roman" w:hAnsi="Times New Roman" w:cs="Times New Roman"/>
          <w:b/>
          <w:bCs/>
          <w:color w:val="000000" w:themeColor="text1"/>
        </w:rPr>
        <w:t>централизованным водоснабжением</w:t>
      </w:r>
      <w:r w:rsidRPr="00F0736F">
        <w:rPr>
          <w:rFonts w:ascii="Times New Roman" w:hAnsi="Times New Roman" w:cs="Times New Roman"/>
          <w:color w:val="000000" w:themeColor="text1"/>
        </w:rPr>
        <w:t xml:space="preserve"> были обеспечены 647 (87,3%), что по сравнению с 2015 годом выше на 6,5%. Н</w:t>
      </w:r>
      <w:r w:rsidRPr="00F0736F">
        <w:rPr>
          <w:rFonts w:ascii="Times New Roman" w:hAnsi="Times New Roman" w:cs="Times New Roman"/>
          <w:iCs/>
          <w:color w:val="000000" w:themeColor="text1"/>
          <w:lang w:val="kk-KZ"/>
        </w:rPr>
        <w:t>а строительство, реконструкцию, капитальный и текущий ремонт систем водоснабжения и водоотведения 105 населенных пунктов выделено и освоено 9,4 млрд. тенге.</w:t>
      </w:r>
      <w:r w:rsidRPr="00F0736F">
        <w:rPr>
          <w:rFonts w:ascii="Times New Roman" w:eastAsia="Times New Roman" w:hAnsi="Times New Roman" w:cs="Times New Roman"/>
          <w:color w:val="000000" w:themeColor="text1"/>
          <w:lang w:eastAsia="ru-RU"/>
        </w:rPr>
        <w:t xml:space="preserve"> Завершены строительно-монтажные работы по 93 объектам </w:t>
      </w:r>
      <w:r w:rsidRPr="00F0736F">
        <w:rPr>
          <w:rFonts w:ascii="Times New Roman" w:eastAsia="Times New Roman" w:hAnsi="Times New Roman" w:cs="Times New Roman"/>
          <w:iCs/>
          <w:color w:val="000000" w:themeColor="text1"/>
          <w:lang w:eastAsia="ru-RU"/>
        </w:rPr>
        <w:t>(водоснабжение - 88, водоотведение - 5), 12 объектов переходящие на 2018 год.</w:t>
      </w:r>
      <w:r w:rsidRPr="00F0736F">
        <w:rPr>
          <w:rFonts w:ascii="Times New Roman" w:hAnsi="Times New Roman" w:cs="Times New Roman"/>
          <w:color w:val="000000" w:themeColor="text1"/>
        </w:rPr>
        <w:t xml:space="preserve"> </w:t>
      </w:r>
    </w:p>
    <w:p w14:paraId="006911FC"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В 2018 году по данным акимата области в</w:t>
      </w:r>
      <w:r w:rsidRPr="00F0736F">
        <w:rPr>
          <w:rFonts w:ascii="Times New Roman" w:eastAsia="SimSun" w:hAnsi="Times New Roman" w:cs="Times New Roman"/>
          <w:iCs/>
          <w:color w:val="000000" w:themeColor="text1"/>
          <w:lang w:val="kk-KZ"/>
        </w:rPr>
        <w:t xml:space="preserve"> рамках программ «Развитие регионов» и «Нұрлы жол» на реализацию 67 проектов по строительству и реконструкции объектов водоснабжения и водоотведения выделено 10,6 млрд. тенге, из них завершены 29 проектов. </w:t>
      </w:r>
      <w:r w:rsidRPr="00F0736F">
        <w:rPr>
          <w:rFonts w:ascii="Times New Roman" w:eastAsia="SimSun" w:hAnsi="Times New Roman" w:cs="Times New Roman"/>
          <w:color w:val="000000" w:themeColor="text1"/>
        </w:rPr>
        <w:t>В результате доступ к питьевой воде дополнительно получили 17 населенных пунктов, в 10 селах улучшено качество питьевой воды.</w:t>
      </w:r>
      <w:r w:rsidRPr="00F0736F">
        <w:rPr>
          <w:rFonts w:ascii="Times New Roman" w:eastAsia="SimSun" w:hAnsi="Times New Roman" w:cs="Times New Roman"/>
          <w:iCs/>
          <w:color w:val="000000" w:themeColor="text1"/>
          <w:sz w:val="28"/>
          <w:szCs w:val="28"/>
        </w:rPr>
        <w:t xml:space="preserve"> </w:t>
      </w:r>
      <w:r w:rsidRPr="00F0736F">
        <w:rPr>
          <w:rFonts w:ascii="Times New Roman" w:hAnsi="Times New Roman" w:cs="Times New Roman"/>
          <w:bCs/>
          <w:iCs/>
          <w:color w:val="000000" w:themeColor="text1"/>
        </w:rPr>
        <w:t xml:space="preserve">Уровень обеспеченности населенных пунктов централизованным водоснабжением доведен до 89,6% (665 населенных пунктов из 742), децентрализованным - 11,5% и привозной водой — 1,2%. </w:t>
      </w:r>
    </w:p>
    <w:p w14:paraId="59E3A9CA" w14:textId="5D729BD9"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водопроводных сетей в 2018 году составила 6918,3 км в 2019 году — 6924,6 км, из них 1298 км нуждалось в замене в 2018 году, и 1212 км — в 2019 году (</w:t>
      </w:r>
      <w:r w:rsidRPr="00F0736F">
        <w:rPr>
          <w:rFonts w:ascii="Times New Roman" w:hAnsi="Times New Roman" w:cs="Times New Roman"/>
          <w:i/>
          <w:color w:val="000000" w:themeColor="text1"/>
        </w:rPr>
        <w:t>данные Комитета по статистике</w:t>
      </w:r>
      <w:r w:rsidRPr="00F0736F">
        <w:rPr>
          <w:rFonts w:ascii="Times New Roman" w:hAnsi="Times New Roman" w:cs="Times New Roman"/>
          <w:color w:val="000000" w:themeColor="text1"/>
        </w:rPr>
        <w:t xml:space="preserve">). </w:t>
      </w:r>
    </w:p>
    <w:p w14:paraId="0DF5A1E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Доступ городского населения к централизованному водоснабжению в 2018 году достиг 96,8%, сельского — 89,5%. В области централизованным водоснабжением были обеспечены 665 населенных пунктов (89,6%), 68 населенных пунктов являются децентрализованными и 9 (1,2%) населенных пунктов обеспечиваются привозной водой. </w:t>
      </w:r>
    </w:p>
    <w:p w14:paraId="2350AB8E"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В 2019 году в рамках программы «Развития регионов до 2020 года» на реализацию 53 проектов (10 новые, 43 переходящие с 2018 года) выделено 10,2 млрд. тенге (РБ – 6,3 млрд. тенге, МБ – 3,9 млрд. тенге). Дополнительно обеспечены 10 населенных пунктов области с численностью населения 14 300 человек. Обеспеченность централизованным водоснабжением по сравнению с 2018 годом увеличилась на 1,4%, что составило 91% или 675 населенных пунктов. Ведутся работы по утверждению запасов подземных вод 40 населенных пунктов области. На эти цели для реализации 3 проектов из областного бюджета выделено 345,160 млн. тенге, освоение на 1.10.2019г. составляет 311,770 млн. тенге. Завершение работ по договору планируется в 2020 году. </w:t>
      </w:r>
    </w:p>
    <w:p w14:paraId="68D2267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Cs/>
          <w:color w:val="000000" w:themeColor="text1"/>
          <w:lang w:val="kk-KZ"/>
        </w:rPr>
        <w:t>Канализационные системы</w:t>
      </w:r>
      <w:r w:rsidRPr="00F0736F">
        <w:rPr>
          <w:rFonts w:ascii="Times New Roman" w:hAnsi="Times New Roman" w:cs="Times New Roman"/>
          <w:iCs/>
          <w:color w:val="000000" w:themeColor="text1"/>
          <w:lang w:val="kk-KZ"/>
        </w:rPr>
        <w:t xml:space="preserve"> имеются в 57 населенных пунктах области, что составляет 7,6% от общего количества населенных пунктов. Протяженность канализационных сетей составляет 1238 км (износ сетей - 58,5%). Доля обеспеченности сельских населенных пунктов области водоотведением составляет 6,6% от общего количества сельских населенных</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iCs/>
          <w:color w:val="000000" w:themeColor="text1"/>
          <w:lang w:val="kk-KZ"/>
        </w:rPr>
        <w:t xml:space="preserve">пунктов (731). </w:t>
      </w:r>
      <w:r w:rsidRPr="00F0736F">
        <w:rPr>
          <w:rFonts w:ascii="Times New Roman" w:hAnsi="Times New Roman" w:cs="Times New Roman"/>
          <w:iCs/>
          <w:color w:val="000000" w:themeColor="text1"/>
        </w:rPr>
        <w:t>Доступ городского населения к водоотведению составил в 2018 году 45%, сельского - 7,2%.</w:t>
      </w:r>
    </w:p>
    <w:p w14:paraId="611BD404" w14:textId="02F790ED"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канализационных сетей достигла в 2018 году 1407,8 км и 1463,4 км в 2019 году, из них 449,4 км нуждается в замене в 2018 году и 455,3 км в 2019 году (данные Комитета по статистике).</w:t>
      </w:r>
    </w:p>
    <w:p w14:paraId="03A17D4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Канализационные очистные сооружения полной и механической биологической очистки имеются в городах Талдыкорган (мощность 36 тыс. м³/сут.), Капшагай (мощностью 25,4 тыс.м³/сут.) Ушарал (мощностью 7,0 тыс. м³/сут.), Жаркент (мощностью 7,0 тыс. м³/сут.), Текели (мощность 11 тыс. м³/сут.), Саркан Сарканского района (мощностью 0,8 тыс. м³/сут.), Талгар Талгарского района (мощностью 1200 м³/сут.), Каскелен Карасайского района (мощностью 600 м³/сут.), поселке Балпык би Коксуского района (КОС мощностью 1400 м³/сут.) и с.Чунджа Уйгурского района. </w:t>
      </w:r>
    </w:p>
    <w:p w14:paraId="65503F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Города Талгар, Каскелен частично и п.Отеген батыр Илийского района сбрасывают сточные воды в коллектор г. Алматы (Сорбулак). Остальные населенные пункты производят сброс через очистные сооружения механической очистки или на поля фильтрации.</w:t>
      </w:r>
    </w:p>
    <w:p w14:paraId="52A3AD03"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lang w:val="kk-KZ"/>
        </w:rPr>
        <w:t>В целях более стабильной и безаварийной работы существующих очистных сооружений, улучшения экологической ситуации необходима их реконструкция, что даст положительный эффект в плане максимального использования существующих объемов сооружений и повышении эффективности систем водоотведения при значительном увеличении объемов водопотребления.</w:t>
      </w:r>
      <w:r w:rsidRPr="00F0736F">
        <w:rPr>
          <w:rFonts w:ascii="Times New Roman" w:hAnsi="Times New Roman" w:cs="Times New Roman"/>
          <w:bCs/>
          <w:iCs/>
          <w:color w:val="000000" w:themeColor="text1"/>
          <w:sz w:val="28"/>
          <w:szCs w:val="28"/>
          <w:lang w:val="kk-KZ"/>
        </w:rPr>
        <w:t xml:space="preserve"> </w:t>
      </w:r>
    </w:p>
    <w:p w14:paraId="6C313849"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lang w:val="kk-KZ"/>
        </w:rPr>
        <w:t>В 2019 году в рамках Программы «Развитие регионов до 2020 года» на реализацию 7 проектов по водоотведению выделено - 2,3 млрд. тенге. Разработан проект по строительству КОС на - 6,5 тыс. м3/сут побережье оз. Алаколь Алакольского района. Предварительная стоимость проекта составляет 5,5 млрд. тенге.</w:t>
      </w:r>
    </w:p>
    <w:p w14:paraId="37492D7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механизма ГЧП намечена реализация проекта «Реконструкция и строительство очистных сооружений г. Капшагай Алматинской области». Стоимость проекта составляет 5,8 млрд. тенге. </w:t>
      </w:r>
    </w:p>
    <w:p w14:paraId="0D61620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6BFA8AC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отмечается низкий уровень экологического загрязнения. Однако на экологию значительно влияет г. Алматы, как один из основных источников техногенного загрязнения воздушного бассейна и деградации сельскохозяйственных площадей в прилегающих регионах.</w:t>
      </w:r>
    </w:p>
    <w:p w14:paraId="05AB8F4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w:t>
      </w:r>
      <w:r w:rsidRPr="00F0736F">
        <w:rPr>
          <w:rFonts w:ascii="Times New Roman" w:hAnsi="Times New Roman" w:cs="Times New Roman"/>
          <w:b/>
          <w:bCs/>
          <w:color w:val="000000" w:themeColor="text1"/>
        </w:rPr>
        <w:t>объем выбросов загрязняющих веществ в атмосферу</w:t>
      </w:r>
      <w:r w:rsidRPr="00F0736F">
        <w:rPr>
          <w:rFonts w:ascii="Times New Roman" w:hAnsi="Times New Roman" w:cs="Times New Roman"/>
          <w:color w:val="000000" w:themeColor="text1"/>
        </w:rPr>
        <w:t xml:space="preserve"> снизился к уровню 2015 года на 21,2%, в том числе жидкие и газообразные вещества снизились на 26,8%, однако твердые вещества увеличились на </w:t>
      </w:r>
      <w:r w:rsidRPr="00F0736F">
        <w:rPr>
          <w:rFonts w:ascii="Times New Roman" w:hAnsi="Times New Roman" w:cs="Times New Roman"/>
          <w:color w:val="000000" w:themeColor="text1"/>
          <w:lang w:val="kk-KZ"/>
        </w:rPr>
        <w:t>0,89</w:t>
      </w:r>
      <w:r w:rsidRPr="00F0736F">
        <w:rPr>
          <w:rFonts w:ascii="Times New Roman" w:hAnsi="Times New Roman" w:cs="Times New Roman"/>
          <w:color w:val="000000" w:themeColor="text1"/>
        </w:rPr>
        <w:t xml:space="preserve">%, сернистый ангидрид увеличился – на </w:t>
      </w:r>
      <w:r w:rsidRPr="00F0736F">
        <w:rPr>
          <w:rFonts w:ascii="Times New Roman" w:hAnsi="Times New Roman" w:cs="Times New Roman"/>
          <w:color w:val="000000" w:themeColor="text1"/>
          <w:lang w:val="kk-KZ"/>
        </w:rPr>
        <w:t>0,94</w:t>
      </w:r>
      <w:r w:rsidRPr="00F0736F">
        <w:rPr>
          <w:rFonts w:ascii="Times New Roman" w:hAnsi="Times New Roman" w:cs="Times New Roman"/>
          <w:color w:val="000000" w:themeColor="text1"/>
        </w:rPr>
        <w:t xml:space="preserve">% и окись азота – на 13,2%. </w:t>
      </w:r>
      <w:r w:rsidRPr="00F0736F">
        <w:rPr>
          <w:rFonts w:ascii="Times New Roman" w:hAnsi="Times New Roman" w:cs="Times New Roman"/>
          <w:iCs/>
          <w:color w:val="000000" w:themeColor="text1"/>
        </w:rPr>
        <w:t>При этом наиболее загрязненными районами остаются Карасайский и Илийский, где расположены теплоэнергокомплексы АО АПК (ТЭЦ-2, ТЭЦ-3) города Алматы, на долю которых приходится 70% от общего объема выбросов.</w:t>
      </w:r>
    </w:p>
    <w:p w14:paraId="21A532B3"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rPr>
        <w:t xml:space="preserve">В 2018 году количество </w:t>
      </w:r>
      <w:r w:rsidRPr="00F0736F">
        <w:rPr>
          <w:rFonts w:ascii="Times New Roman" w:hAnsi="Times New Roman" w:cs="Times New Roman"/>
          <w:b/>
          <w:iCs/>
          <w:color w:val="000000" w:themeColor="text1"/>
        </w:rPr>
        <w:t>разрешенных выбросов</w:t>
      </w:r>
      <w:r w:rsidRPr="00F0736F">
        <w:rPr>
          <w:rFonts w:ascii="Times New Roman" w:hAnsi="Times New Roman" w:cs="Times New Roman"/>
          <w:iCs/>
          <w:color w:val="000000" w:themeColor="text1"/>
        </w:rPr>
        <w:t xml:space="preserve"> составило 0,129 млн. т. при плане 0,150 млн. т..</w:t>
      </w:r>
    </w:p>
    <w:p w14:paraId="5996B991"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rPr>
        <w:t>В 2019 году общие выбросы снижены до 48,1 тыс. т., за счет учета выбросов ТЭЦ-3 в г. Алматы.</w:t>
      </w:r>
    </w:p>
    <w:p w14:paraId="0659E6E4"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rPr>
        <w:t>Н</w:t>
      </w:r>
      <w:r w:rsidRPr="00F0736F">
        <w:rPr>
          <w:rFonts w:ascii="Times New Roman" w:hAnsi="Times New Roman" w:cs="Times New Roman"/>
          <w:color w:val="000000" w:themeColor="text1"/>
        </w:rPr>
        <w:t>а выделенные в 2017 году из областного бюджета - 9,2 млн. тенге разработаны и утверждены решением областного маслихата №31-163 от 23 мая 2018 года целевые показатели качества окружающей среды по Алматинской области на 2017 - 2021 годы</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(ЦПКОС). </w:t>
      </w:r>
    </w:p>
    <w:p w14:paraId="41FB6BE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поэтапного достижения нормативов качества окружающей среды в регионе, а также в целях снижения экологической опасности на окружающую среду и здоровья населения разработан и утвержден План мероприятий по достижению целевых показателей качества окружающей среды по Алматинской области на 2018 - 2021 годы, который направлен всем заинтересованным органам и предприятиям для исполнения.</w:t>
      </w:r>
    </w:p>
    <w:p w14:paraId="65685EA7" w14:textId="77777777" w:rsidR="00AC1D5B" w:rsidRPr="00F0736F" w:rsidRDefault="00AC1D5B" w:rsidP="00AC1D5B">
      <w:pPr>
        <w:ind w:firstLine="709"/>
        <w:contextualSpacing/>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По Алматинской области в целях достижения ЦПКОС в 2019 году проведены следующие работы:</w:t>
      </w:r>
    </w:p>
    <w:p w14:paraId="70041AA9" w14:textId="77777777" w:rsidR="00AC1D5B" w:rsidRPr="00F0736F" w:rsidRDefault="00AC1D5B" w:rsidP="00AC1D5B">
      <w:pPr>
        <w:ind w:firstLine="709"/>
        <w:contextualSpacing/>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1. Мониторинг качества атмосферного воздуха, поверхностных вод, почвы и гамма-фона в мониторинговых точках, на сумму 5,4 млн. тенге;</w:t>
      </w:r>
    </w:p>
    <w:p w14:paraId="687FB81C" w14:textId="77777777" w:rsidR="00AC1D5B" w:rsidRPr="00F0736F" w:rsidRDefault="00AC1D5B" w:rsidP="00AC1D5B">
      <w:pPr>
        <w:ind w:firstLine="709"/>
        <w:jc w:val="both"/>
        <w:rPr>
          <w:rFonts w:ascii="Times New Roman" w:hAnsi="Times New Roman" w:cs="Times New Roman"/>
          <w:color w:val="000000" w:themeColor="text1"/>
        </w:rPr>
      </w:pPr>
      <w:r w:rsidRPr="00F0736F">
        <w:rPr>
          <w:color w:val="000000" w:themeColor="text1"/>
        </w:rPr>
        <w:t>2. Разработка проекта предельно допустимых выбросов для г.</w:t>
      </w:r>
      <w:r w:rsidRPr="00F0736F">
        <w:rPr>
          <w:rFonts w:asciiTheme="minorHAnsi" w:hAnsiTheme="minorHAnsi"/>
          <w:color w:val="000000" w:themeColor="text1"/>
        </w:rPr>
        <w:t xml:space="preserve"> </w:t>
      </w:r>
      <w:r w:rsidRPr="00F0736F">
        <w:rPr>
          <w:color w:val="000000" w:themeColor="text1"/>
        </w:rPr>
        <w:t>Текели на сумму 1,7 млн. тенге</w:t>
      </w:r>
      <w:r w:rsidRPr="00F0736F">
        <w:rPr>
          <w:rFonts w:ascii="Times New Roman" w:hAnsi="Times New Roman" w:cs="Times New Roman"/>
          <w:color w:val="000000" w:themeColor="text1"/>
        </w:rPr>
        <w:t>.</w:t>
      </w:r>
    </w:p>
    <w:p w14:paraId="06C6E79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результатам проведенных измерений (2 раза в летний и осенний периоды) по данным анализа почвенно-растительного покрова в г. Текели установлено превышение показателя предельно допустимой концентрации цинка в 2 раза над нормативным показателем. В г. Текели с 1965 года функционировало хвостохранилище отходов свинцово-цинковых руд, которое ранее принадлежало Текелийскому свинцово-цинковому комбинату, в связи с чем произошло превышение показателя цинка. В настоящее время в связи с техническим перевооружением производственной деятельности с ТОО «Текелийский горно-перерабатывающий комплекс» производственные отходы в хвостохранилище не допускаются. В целях решения данной экологической проблемы акиматом области реализуются мероприятия по восстановлению плодородия почв Текелийского хвостохранилища.</w:t>
      </w:r>
    </w:p>
    <w:p w14:paraId="17B012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Наблюдения за загрязнением поверхностных вод в 2017, 2018 и 2019 годах на территории Алматинской области проводились на 33 водных объектах.</w:t>
      </w:r>
    </w:p>
    <w:p w14:paraId="58C4A4F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4"/>
        </w:rPr>
        <w:t>Основными загрязнителями поверхностных вод являются промышленные и производственные коммунальные предприятия, наблюдается рост сточных вод.</w:t>
      </w:r>
    </w:p>
    <w:p w14:paraId="0AFA11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количество разрешенных сбросов составило 0,170 млн. т. при таком же плане.</w:t>
      </w:r>
    </w:p>
    <w:p w14:paraId="367A0BD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поддержания водных объектов и водохозяйственных сооружений в состоянии, соответствующие санитарно-гигиеническим и экологическим требованиям, устанавливаются водоохранные зоны и полосы водных объектов и водохозяйственных сооружений. В 2018 году разработана проектно-сметная документация водоохранных зон и полос 5 рек области. </w:t>
      </w:r>
      <w:r w:rsidRPr="00F0736F">
        <w:rPr>
          <w:rFonts w:ascii="Times New Roman" w:hAnsi="Times New Roman" w:cs="Times New Roman"/>
          <w:color w:val="000000" w:themeColor="text1"/>
          <w:spacing w:val="-4"/>
        </w:rPr>
        <w:t>Для обеспечения нормальной работы протоков до озера Балхаш проведена механизированная очистка протоки Топар дельты реки Или и устройство дамбы протоки Муздыбай в связи с угрозой подтопления села Карой Балхашского района.</w:t>
      </w:r>
    </w:p>
    <w:p w14:paraId="0325CB4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соответствии с пунктом 7 статьи 20 Экологического кодекса Республики Казахстан на выделенные в 2017 году из областного бюджета - 9,2 млн. тенге разработаны и утверждены решением областного маслихата № 31-163 от 23 мая 2018 года целевые показатели качества окружающей среды по Алматинской области на 2017 - 2021 годы</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(ЦПКОС).  </w:t>
      </w:r>
    </w:p>
    <w:p w14:paraId="5BF4C3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поэтапного достижения нормативов качества окружающей среды в регионе, а также в целях снижения экологической опасности на окружающую среду и для здоровья населения разработан и утвержден План мероприятий по достижению целевых показателей качества окружающей среды по Алматинской области на 2018 - 2021 годы, который направлен всем заинтересованным органам и предприятиям для исполнения.</w:t>
      </w:r>
    </w:p>
    <w:p w14:paraId="580E3AF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Получено положительное заключение государственной экологической экспертизы на</w:t>
      </w:r>
      <w:r w:rsidRPr="00F0736F">
        <w:rPr>
          <w:rFonts w:ascii="Times New Roman" w:hAnsi="Times New Roman" w:cs="Times New Roman"/>
          <w:color w:val="000000" w:themeColor="text1"/>
        </w:rPr>
        <w:t xml:space="preserve"> проект «Разработка целевых показателей качества окружающей среды Алматинской области» на 2017</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2021 </w:t>
      </w:r>
      <w:r w:rsidRPr="00F0736F">
        <w:rPr>
          <w:rFonts w:ascii="Times New Roman" w:hAnsi="Times New Roman" w:cs="Times New Roman"/>
          <w:color w:val="000000" w:themeColor="text1"/>
          <w:lang w:val="kk-KZ"/>
        </w:rPr>
        <w:t>годы от 29 декабря 2018 года №KZ61VCY00146038</w:t>
      </w:r>
      <w:r w:rsidRPr="00F0736F">
        <w:rPr>
          <w:rFonts w:ascii="Times New Roman" w:hAnsi="Times New Roman" w:cs="Times New Roman"/>
          <w:color w:val="000000" w:themeColor="text1"/>
        </w:rPr>
        <w:t>.</w:t>
      </w:r>
    </w:p>
    <w:p w14:paraId="34F8DF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реализации мероприятий по достижению ЦПКОС по Алматинской области на 2018-2021 годы в рамках плана природоохранных мероприятий области в текущем году реализуются следующие мероприятия: </w:t>
      </w:r>
    </w:p>
    <w:p w14:paraId="4AA741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1) Мониторинг качества атмосферного воздуха, поверхностных водоемов, почвы и гамма-фона в определенных программой мониторинговых точках;</w:t>
      </w:r>
    </w:p>
    <w:p w14:paraId="0D7F55C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2) Разработка проекта предельно допустимых выбросов для города Текели.</w:t>
      </w:r>
    </w:p>
    <w:p w14:paraId="690B3E4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6F60714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Общий объем накопленных </w:t>
      </w:r>
      <w:r w:rsidRPr="00F0736F">
        <w:rPr>
          <w:rFonts w:ascii="Times New Roman" w:hAnsi="Times New Roman" w:cs="Times New Roman"/>
          <w:b/>
          <w:bCs/>
          <w:color w:val="000000" w:themeColor="text1"/>
        </w:rPr>
        <w:t>ТБО</w:t>
      </w:r>
      <w:r w:rsidRPr="00F0736F">
        <w:rPr>
          <w:rFonts w:ascii="Times New Roman" w:hAnsi="Times New Roman" w:cs="Times New Roman"/>
          <w:color w:val="000000" w:themeColor="text1"/>
        </w:rPr>
        <w:t xml:space="preserve"> в Алматинской области составляет около 9,0 млн. т., при этом ежегодно образуется уже порядка 1,8 млн. т. ТБО, в том числе 440 тыс. т. образуются и поступают с территории города Алматы. При этом образующиеся отходы размещаются на полигонах без предварительной сортировки и обезвреживания. В области имеются 742 населенных пункта. Сбор и вывоз ТБО обеспечивают 72 предприятия. Охват населения области вывозом ТБО в 2018 году составил 75%. Все города, районные центры и крупные населенные пункты охвачены полностью (100%).</w:t>
      </w:r>
    </w:p>
    <w:p w14:paraId="61E74C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маслихатом утверждена «Программа по управлению отходами Алматинской области» на 2017 - 2025 года (решение маслихата от 20.02.2018 г. №27-137), а также акиматом области разработано ТЭО проекта «Региональная система управления отходами Алматинской области» (ГЭ от 18.06.2018 г. №01-0216/18). </w:t>
      </w:r>
      <w:r w:rsidRPr="00F0736F">
        <w:rPr>
          <w:rFonts w:ascii="Times New Roman" w:hAnsi="Times New Roman" w:cs="Times New Roman"/>
          <w:color w:val="000000" w:themeColor="text1"/>
          <w:spacing w:val="2"/>
        </w:rPr>
        <w:t>Так, о</w:t>
      </w:r>
      <w:r w:rsidRPr="00F0736F">
        <w:rPr>
          <w:rFonts w:ascii="Times New Roman" w:hAnsi="Times New Roman" w:cs="Times New Roman"/>
          <w:color w:val="000000" w:themeColor="text1"/>
        </w:rPr>
        <w:t xml:space="preserve">хват населенных пунктов вывозом ТБО – запланирован на уровне </w:t>
      </w:r>
      <w:r w:rsidRPr="00F0736F">
        <w:rPr>
          <w:rFonts w:ascii="Times New Roman" w:hAnsi="Times New Roman" w:cs="Times New Roman"/>
          <w:bCs/>
          <w:color w:val="000000" w:themeColor="text1"/>
        </w:rPr>
        <w:t>77% и</w:t>
      </w:r>
      <w:r w:rsidRPr="00F0736F">
        <w:rPr>
          <w:rFonts w:ascii="Times New Roman" w:hAnsi="Times New Roman" w:cs="Times New Roman"/>
          <w:color w:val="000000" w:themeColor="text1"/>
        </w:rPr>
        <w:t xml:space="preserve"> доля переработки ТБО - 24% от их образования. </w:t>
      </w:r>
      <w:r w:rsidRPr="00F0736F">
        <w:rPr>
          <w:rFonts w:ascii="Times New Roman" w:hAnsi="Times New Roman" w:cs="Times New Roman"/>
          <w:color w:val="000000" w:themeColor="text1"/>
          <w:spacing w:val="-4"/>
        </w:rPr>
        <w:t>В связи с этим, основной задачей является повышение объема переработки и утилизации отходов путем строительства мусоперерабатывающих предприятий.</w:t>
      </w:r>
    </w:p>
    <w:p w14:paraId="015F2CA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объем образованных ТБО составил 629 тыс. т., из них переработано 24,77%. В 2018 г. образовано 628,7 тыс. т. ТБО, из них переработано 27,55%. В 2017 году из 354 мест складирования и захоронения ТБО 9 соответствовали экологическим требованиям РК. В 2018 году и</w:t>
      </w:r>
      <w:r w:rsidRPr="00F0736F">
        <w:rPr>
          <w:rFonts w:ascii="Times New Roman" w:hAnsi="Times New Roman" w:cs="Times New Roman"/>
          <w:color w:val="000000" w:themeColor="text1"/>
          <w:lang w:val="kk-KZ"/>
        </w:rPr>
        <w:t>з 357 объектов размещения ТБО всего лишь 13 соответствуют экологическим и санитарным требованиям и нормам, что составляет 3,47</w:t>
      </w:r>
      <w:r w:rsidRPr="00F0736F">
        <w:rPr>
          <w:rFonts w:ascii="Times New Roman" w:hAnsi="Times New Roman" w:cs="Times New Roman"/>
          <w:color w:val="000000" w:themeColor="text1"/>
        </w:rPr>
        <w:t xml:space="preserve">%. </w:t>
      </w:r>
    </w:p>
    <w:p w14:paraId="3B41E1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Сбор и вызов ТБО обеспечивают 72 предприятия различной формы собственности, в наличии которых имеется 460 единиц специализированной техники, 19 тыс. контейнеров. Однако износ специализированной техники составляет 75 - 80%. </w:t>
      </w:r>
    </w:p>
    <w:p w14:paraId="6979D6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Алматинской области 11 предприятий занимаются переработкой вторичных материальных ресурсов (АО «ҚазақстанҚағазы», ТОО «KagazyRecycling» переработка макулатуры, АО «САФ» стеклобой, ТОО «Кайнар АКБ» отработанные аккумуляторы, ТОО «УтильЭкосервис», ТОО «ЭкосервисАрман», ТОО «Q-recycling» переработка автомобильных шин, ТОО «КазПетПолимер» переработка полимерных отходов, ТОО «ИнтерМед групп» спецобработка медицинских отходов, ТОО «Таза Жер МПК», ТОО «ADAL DAMU CAPITAL» сортировкой ТБО).</w:t>
      </w:r>
    </w:p>
    <w:p w14:paraId="021B3960" w14:textId="4E0E4AE4"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При участии Оператора РОП в области внедряется раздельный сбор ТБО, в первую </w:t>
      </w:r>
      <w:r w:rsidR="005F0B8A" w:rsidRPr="00F0736F">
        <w:rPr>
          <w:rFonts w:ascii="Times New Roman" w:hAnsi="Times New Roman" w:cs="Times New Roman"/>
          <w:color w:val="000000" w:themeColor="text1"/>
        </w:rPr>
        <w:t>очередь,</w:t>
      </w:r>
      <w:r w:rsidRPr="00F0736F">
        <w:rPr>
          <w:rFonts w:ascii="Times New Roman" w:hAnsi="Times New Roman" w:cs="Times New Roman"/>
          <w:color w:val="000000" w:themeColor="text1"/>
        </w:rPr>
        <w:t xml:space="preserve"> где уже действуют сортировочные комплексы (г. Талдыкорган, Илийский район, г. Капшагай). В области установлено 190 контейнеров для утилизации особо опасных отходов, электронной и бытовой техники. В целях популяризации раздельного сбора бытовых отходов в г. Талдыкорган установлено 270 шт. подземных контейнеров с разделением на сухой и мокрый виды бытовых отходов. Для обслуживания данных контейнеров приобретены 7 единиц специализированной техники. Также установлено 200 сетчатых контейнеров для сбора макулатуры, картона и алюминиевых банок. </w:t>
      </w:r>
    </w:p>
    <w:p w14:paraId="6974B8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территории области действуют 3 комплекса: в областном центре мусоросортировочный комплекс мощностью 100 тыс. т./год (инициатор ТОО «ADALDAMU», объем инвестиций 180 млн. тенге); в Панфиловском районе - мусороперерабатывающий комплекс мощностью 10 тыс. т./год (ТОО «МПК Аулет», объем инвестиции – 180 млн. тенге); в 2019 г. в Илийском районе запущен мусороперерабатывающий комплекс с мощностью 200 тыс. т./год (инициатор ТОО «Таза Жер МПК», объем инвестиции 180 млн. тенге).</w:t>
      </w:r>
    </w:p>
    <w:p w14:paraId="3DE9CD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в г.</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Жаркент введен в эксплуатацию мусороперерабатывающий завод методом пиролиза мощностью 10 тыс. т. с мусоросортировочной линией. </w:t>
      </w:r>
      <w:r w:rsidRPr="00F0736F">
        <w:rPr>
          <w:rFonts w:ascii="Times New Roman" w:hAnsi="Times New Roman" w:cs="Times New Roman"/>
          <w:color w:val="000000" w:themeColor="text1"/>
          <w:spacing w:val="-4"/>
        </w:rPr>
        <w:t xml:space="preserve">Также </w:t>
      </w:r>
      <w:r w:rsidRPr="00F0736F">
        <w:rPr>
          <w:rFonts w:ascii="Times New Roman" w:hAnsi="Times New Roman" w:cs="Times New Roman"/>
          <w:color w:val="000000" w:themeColor="text1"/>
        </w:rPr>
        <w:t xml:space="preserve">планируется внедрение раздельного сбора в Талгарском, Енбекшиказахском, Карасайском, Жамбылском, Панфиловском районах. </w:t>
      </w:r>
      <w:r w:rsidRPr="00F0736F">
        <w:rPr>
          <w:rFonts w:ascii="Times New Roman" w:hAnsi="Times New Roman" w:cs="Times New Roman"/>
          <w:color w:val="000000" w:themeColor="text1"/>
          <w:lang w:eastAsia="ru-RU"/>
        </w:rPr>
        <w:t>В Илийском районе планируется совместно с Казахстанско-Испанской компанией ТОО «WasteEnergyKazakhstan» строительство мусороперерабатывающего завода полного цикла мощностью 120 тыс. т. в год, а также мусороперерабатывающего завода ТОО «ZOR BIO» мощностью 100 тыс. т. в год, в которых предусмотрена технология полной переработки ТБО с получением биогаза с последующим его сжиганием с целью получения и реализации электроэнергии, а также биокарбона и удобрений. Предполагаемая мощность первого проекта ТОО «WasteEnergyKazakhstan» - 8 МВт (первая очередь на 4 МВт), а второго проекта ТОО «ZOR BIO» - 4 МВт.</w:t>
      </w:r>
    </w:p>
    <w:p w14:paraId="4D6C68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разработанного ТЭО проекта «Региональная система управления отходами Алматинской области» планируется:</w:t>
      </w:r>
    </w:p>
    <w:p w14:paraId="52EB3A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создание оператора для 14 территориальных комплексов (3 являются межрайонными и 11 районными комплексами);</w:t>
      </w:r>
    </w:p>
    <w:p w14:paraId="254268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16 полигонов (3 существующих – реконструкция и расширение, 2 существующих – модернизация, 11 – новое строительство), 16 мусоросортировочных комплексов 15 мусороперегрузочных станций, 3 мусороперерабатывающих завода (в регионе города Алматы - 2, г. Талдыкорган - 1).</w:t>
      </w:r>
    </w:p>
    <w:p w14:paraId="7FA4757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Территориальным оператором определено ТОО «АлатауТазалыкСервис», ведется разработка проектов 11 комплексов, в том числе: 4 мусоросортировочных, 6 мусороперегрузочных и строительство 1 полигона ТБО в соответствии с новым законодательством. Ведется поиск инвесторов на строительство данных комплексов. Реализация проектов планируется через механизм государственно-частного партнерства, с участием Оператора РОП.</w:t>
      </w:r>
    </w:p>
    <w:p w14:paraId="633C647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разрабатывается ПСД двух закрытых полигонов ТБО г. Жаркент и Текели на сумму 40 млн. тенге. В Илийском районе планируется строительство мусороперерабатывающего завода полного цикла с мощностью 120 тыс. т./год (инвестор ТОО «WasteEnergyKazakhstan»). Здесь же планируется строительство завода по переработке органических отходов с мощностью 100 тыс. т./ год и производством 10 тыс. т. твердых удобрений и электроэнергии до 9,4 МВ т/ч в год (инвестор ТОО «ZorBiogas», общий объем инвестиций – 17,7 млн. евро, срок окупаемости – 5 лет).</w:t>
      </w:r>
    </w:p>
    <w:p w14:paraId="1EE75FF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Акиматом области утвержден </w:t>
      </w:r>
      <w:r w:rsidRPr="00F0736F">
        <w:rPr>
          <w:rFonts w:ascii="Times New Roman" w:hAnsi="Times New Roman" w:cs="Times New Roman"/>
          <w:b/>
          <w:bCs/>
          <w:color w:val="000000" w:themeColor="text1"/>
        </w:rPr>
        <w:t>план мероприятий по решению экологических проблем</w:t>
      </w:r>
      <w:r w:rsidRPr="00F0736F">
        <w:rPr>
          <w:rFonts w:ascii="Times New Roman" w:hAnsi="Times New Roman" w:cs="Times New Roman"/>
          <w:color w:val="000000" w:themeColor="text1"/>
        </w:rPr>
        <w:t xml:space="preserve"> Алматинской области на 2018 - 2021 годы.</w:t>
      </w:r>
    </w:p>
    <w:p w14:paraId="2D59FAD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План мероприятий включены 6 экологических проблем с указанием ответственных лиц и сроков исполнения, в том числе:</w:t>
      </w:r>
    </w:p>
    <w:p w14:paraId="6FF9286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проблемы обращения с отходами</w:t>
      </w:r>
      <w:r w:rsidRPr="00F0736F">
        <w:rPr>
          <w:rFonts w:ascii="Times New Roman" w:hAnsi="Times New Roman" w:cs="Times New Roman"/>
          <w:color w:val="000000" w:themeColor="text1"/>
          <w:lang w:val="kk-KZ"/>
        </w:rPr>
        <w:t xml:space="preserve"> производства и потребления в населенных пунктах области, ликвидация несанкционированных свалок, выявленных посредством системы дистанционного зондирования земли (Геопортал);</w:t>
      </w:r>
    </w:p>
    <w:p w14:paraId="4490D6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снижение отрицательного влияния и экологического риска озера Сорбулак (накопителя сточных вод г. Алматы);</w:t>
      </w:r>
    </w:p>
    <w:p w14:paraId="037D3FF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ликвидация радиоактивных отвалов Панфиловского уранового месторождения;</w:t>
      </w:r>
    </w:p>
    <w:p w14:paraId="770B18A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а</w:t>
      </w:r>
      <w:r w:rsidRPr="00F0736F">
        <w:rPr>
          <w:rFonts w:ascii="Times New Roman" w:hAnsi="Times New Roman" w:cs="Times New Roman"/>
          <w:color w:val="000000" w:themeColor="text1"/>
          <w:lang w:val="kk-KZ"/>
        </w:rPr>
        <w:t>варийное состояние канализационных сетей и очистных сооружений в населенных пунктах: п.Сарыозек Кербулакского района, п. Карабулак Ескельдинского района и с. Заречное г. Капшагай;</w:t>
      </w:r>
    </w:p>
    <w:p w14:paraId="7FBDB48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ликвидация и консервация гидрогеологических самоизливающихся скважин, расположенных в Енбекшиказахском и Панфиловском районах Алматинской области;</w:t>
      </w:r>
    </w:p>
    <w:p w14:paraId="2BC394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л</w:t>
      </w:r>
      <w:r w:rsidRPr="00F0736F">
        <w:rPr>
          <w:rFonts w:ascii="Times New Roman" w:hAnsi="Times New Roman" w:cs="Times New Roman"/>
          <w:color w:val="000000" w:themeColor="text1"/>
        </w:rPr>
        <w:t>иквидация отрицательного влияния хвостохранилища, расположенного в г. Текели.</w:t>
      </w:r>
    </w:p>
    <w:p w14:paraId="0928D800"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iCs/>
          <w:color w:val="000000" w:themeColor="text1"/>
          <w:spacing w:val="-4"/>
          <w:lang w:val="kk-KZ"/>
        </w:rPr>
        <w:t xml:space="preserve">Состояние биологических ресурсов и развитие лесного, рыбного и охотничьего хозяйств, </w:t>
      </w:r>
      <w:r w:rsidRPr="00F0736F">
        <w:rPr>
          <w:rFonts w:ascii="Times New Roman" w:hAnsi="Times New Roman" w:cs="Times New Roman"/>
          <w:b/>
          <w:bCs/>
          <w:i/>
          <w:iCs/>
          <w:color w:val="000000" w:themeColor="text1"/>
          <w:spacing w:val="-4"/>
          <w:lang w:val="kk-KZ" w:eastAsia="ru-RU" w:bidi="ru-RU"/>
        </w:rPr>
        <w:t xml:space="preserve">ООПТ </w:t>
      </w:r>
      <w:r w:rsidRPr="00F0736F">
        <w:rPr>
          <w:rFonts w:ascii="Times New Roman" w:eastAsia="Calibri" w:hAnsi="Times New Roman" w:cs="Times New Roman"/>
          <w:b/>
          <w:bCs/>
          <w:i/>
          <w:iCs/>
          <w:color w:val="000000" w:themeColor="text1"/>
          <w:spacing w:val="-4"/>
          <w:lang w:val="kk-KZ"/>
        </w:rPr>
        <w:t>и экологического туризма</w:t>
      </w:r>
    </w:p>
    <w:p w14:paraId="7EF33BBB" w14:textId="77777777" w:rsidR="00AC1D5B" w:rsidRPr="00F0736F" w:rsidRDefault="00AC1D5B" w:rsidP="00AC1D5B">
      <w:pPr>
        <w:suppressLineNumbers/>
        <w:ind w:firstLine="709"/>
        <w:jc w:val="both"/>
        <w:rPr>
          <w:iCs/>
          <w:color w:val="000000" w:themeColor="text1"/>
        </w:rPr>
      </w:pPr>
      <w:r w:rsidRPr="00F0736F">
        <w:rPr>
          <w:rFonts w:ascii="Times New Roman" w:eastAsia="Calibri" w:hAnsi="Times New Roman" w:cs="Times New Roman"/>
          <w:iCs/>
          <w:color w:val="000000" w:themeColor="text1"/>
          <w:spacing w:val="-4"/>
          <w:lang w:val="kk-KZ"/>
        </w:rPr>
        <w:t xml:space="preserve">Общая площадь </w:t>
      </w:r>
      <w:r w:rsidRPr="00F0736F">
        <w:rPr>
          <w:rFonts w:ascii="Times New Roman" w:eastAsia="Calibri" w:hAnsi="Times New Roman" w:cs="Times New Roman"/>
          <w:b/>
          <w:bCs/>
          <w:iCs/>
          <w:color w:val="000000" w:themeColor="text1"/>
          <w:spacing w:val="-4"/>
          <w:lang w:val="kk-KZ"/>
        </w:rPr>
        <w:t>государственного лесного фонда</w:t>
      </w:r>
      <w:r w:rsidRPr="00F0736F">
        <w:rPr>
          <w:rFonts w:ascii="Times New Roman" w:eastAsia="Calibri" w:hAnsi="Times New Roman" w:cs="Times New Roman"/>
          <w:iCs/>
          <w:color w:val="000000" w:themeColor="text1"/>
          <w:spacing w:val="-4"/>
          <w:lang w:val="kk-KZ"/>
        </w:rPr>
        <w:t xml:space="preserve"> Алматинской области 5,3 млн. га, в том числе покрытые лесом угодья 1,9 млн. га. </w:t>
      </w:r>
    </w:p>
    <w:p w14:paraId="54477CED" w14:textId="5590D239"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Охрану, защиту, лесопользование и воспроизводство лесов государственного лесного фонда осуществляют 14 коммунальных государственных учреждений лесного хозяйства, с общим штатом 1026 специалистов и работников. На 2019 год лесосечный фонд утвержден в объеме 5850,2 м</w:t>
      </w:r>
      <w:r w:rsidRPr="00F0736F">
        <w:rPr>
          <w:rFonts w:ascii="Times New Roman" w:hAnsi="Times New Roman" w:cs="Times New Roman"/>
          <w:color w:val="000000" w:themeColor="text1"/>
          <w:position w:val="2"/>
          <w:sz w:val="19"/>
        </w:rPr>
        <w:t>3,</w:t>
      </w:r>
      <w:r w:rsidRPr="00F0736F">
        <w:rPr>
          <w:rFonts w:ascii="Times New Roman" w:hAnsi="Times New Roman" w:cs="Times New Roman"/>
          <w:color w:val="000000" w:themeColor="text1"/>
        </w:rPr>
        <w:t xml:space="preserve"> в том числе уборка внелесосечной захламленности 700 м</w:t>
      </w:r>
      <w:r w:rsidRPr="00F0736F">
        <w:rPr>
          <w:rFonts w:ascii="Times New Roman" w:hAnsi="Times New Roman" w:cs="Times New Roman"/>
          <w:color w:val="000000" w:themeColor="text1"/>
          <w:position w:val="2"/>
          <w:sz w:val="19"/>
        </w:rPr>
        <w:t>3</w:t>
      </w:r>
      <w:r w:rsidRPr="00F0736F">
        <w:rPr>
          <w:rFonts w:ascii="Times New Roman" w:hAnsi="Times New Roman" w:cs="Times New Roman"/>
          <w:color w:val="000000" w:themeColor="text1"/>
        </w:rPr>
        <w:t>. Заготовлено 5820,9 м</w:t>
      </w:r>
      <w:r w:rsidRPr="00F0736F">
        <w:rPr>
          <w:rFonts w:ascii="Times New Roman" w:hAnsi="Times New Roman" w:cs="Times New Roman"/>
          <w:color w:val="000000" w:themeColor="text1"/>
          <w:position w:val="2"/>
          <w:sz w:val="19"/>
        </w:rPr>
        <w:t xml:space="preserve">3, </w:t>
      </w:r>
      <w:r w:rsidRPr="00F0736F">
        <w:rPr>
          <w:rFonts w:ascii="Times New Roman" w:hAnsi="Times New Roman" w:cs="Times New Roman"/>
          <w:color w:val="000000" w:themeColor="text1"/>
        </w:rPr>
        <w:t xml:space="preserve">или 99%. </w:t>
      </w:r>
    </w:p>
    <w:p w14:paraId="5590840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произведена весенняя посадка лесных культур на площади 123,5 га (ель, абрикос, яблоня, лох, вяз). Дополнение лесных культур проведено на площади 170,2 га</w:t>
      </w:r>
      <w:r w:rsidRPr="00F0736F">
        <w:rPr>
          <w:rFonts w:ascii="Times New Roman" w:hAnsi="Times New Roman" w:cs="Times New Roman"/>
          <w:color w:val="000000" w:themeColor="text1"/>
          <w:vertAlign w:val="superscript"/>
        </w:rPr>
        <w:footnoteReference w:id="141"/>
      </w:r>
      <w:r w:rsidRPr="00F0736F">
        <w:rPr>
          <w:rFonts w:ascii="Times New Roman" w:hAnsi="Times New Roman" w:cs="Times New Roman"/>
          <w:color w:val="000000" w:themeColor="text1"/>
        </w:rPr>
        <w:t xml:space="preserve">. Произведена осенняя посадка и лесных культур, посев на площади 316,5 га (КГУ Алакольское – 21 га, Баканасское посадка – 20 га и посев – 100 га, Жаркентское – 50 га, Каскеленское – 15 га, Ұйғыр – 10,5 га, Үштөбе – 100 га). Всего собрано 2,1 т семян саксаула черного для посева в гослесфонде и питомнике. (Баканас – 1 000 кг, Жаркент - 700 кг, Уштобе - 400 кг). </w:t>
      </w:r>
    </w:p>
    <w:p w14:paraId="242540D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произведена весенняя посадка лесных культур на площади 91,3 га, высажено - 327,8 тыс. сеянцев и саженцев (ель, абрикос, яблоня, лох, береза, вяз). Произведена осенняя посадка лесных культур на площади 119,6 га.(вяз, саксаул черный) и посев семян саксаула черного на площади 213,5 га. Дополнение лесных культур проведено на площади 205,2 га. В лесных питомниках весной высеяно семян древесных пород на площади 2,0 га. Заложены школки на площади 9,2 га, где высажено 208,4 тыс. шт. сеянцев можжевельника, пихты, ели Шренка, ели голубой, сосны Крымской, туи восточной, тополя, березы, ясеня, дуба, ивы, бирючины, катальпы, сирени, ореха грецкого и яблони Сиверса. Для озеленения населенных пунктов области реализовано 137,2 тыс. штук посадочного материала на сумму 23,8 млн. тенге (В 2018 году реализовано 123,8 тыс. штук посадочного материала на сумму 17,1 млн. тенге). </w:t>
      </w:r>
    </w:p>
    <w:p w14:paraId="4435DC43" w14:textId="658FB7F3"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 начала 2018 года проведено 1128 рейдов по соблюдению природоохранного законодательства. Выявлен 31 случай незаконной порубки деревьев, с общей массой 242,8 кубометров. Ущерб составил 2140,0 тыс. тенге, взыскано 325,4 тыс. тенге. Материалы по 31 случаяю незаконной порубки переданы в правоохранительные органы. </w:t>
      </w:r>
    </w:p>
    <w:p w14:paraId="614FD3D9" w14:textId="2F8B6F58"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 начала 2019 года проведено 934 рейда по соблюдению природоохранного законодательства. Выявлены 37 случаев незаконной порубки деревьев, с общей массой 118,93 кубометров. Ущерб составил 3421,7 тыс. тенге, из них взыскано 1238,0 тыс. тенге. В целях противопожарной пропаганды и профилактики возникновения лесных пожаров коммунальными учреждениями лесного хозяйства запланировано устройство минерализованных противопожарных полос на 59 км, выполнено полностью все 59 км, уход за минерализованными полосами запланировано - 2085 км, из них выполнено все 2085 км, установлено аншлагов, панно, билбордов - 880 штук, физическим и юридическим лицам, фермерским хозяйствам, земли которых граничат с территорией гослесфонда, выдано 1 726 предупреждений и обязательств, распространено 2452 штуки листовок, проведено семинаров, лекции, бесед - 270, в печатных изданиях опубликовано 203 статьи, дано 4 выступления на телевидении. Кроме того, через областной телеканал «Жетісу» ежедневно транслируются видео ролики на тему профилактики и тушения лесных пожаров, незаконной порубки леса и охраны животного мира от браконьерства. На территории государственного лесного фонда зарегистрировано 11 лесных пожаров. Общая площадь 465,91 га, в том числе лесная площадь 303,71 га из них лесопокрытая площадь 280,31 га, не лесная 162,2 га. Ущерб – 9635,7 тыс. тенге. </w:t>
      </w:r>
    </w:p>
    <w:p w14:paraId="4E7F200C" w14:textId="054B3F0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Авиационная и наземная химическая обработка проведена на площади 2 513,7 га, из них: КГУ «Талдыкорганское лесное хозяйство» на площади – 400,0 га, КГУ «Уйгурское лесное хозяйство» –13,7 га (трехкратно), КГУ «Уйгентасское лесное хозяйство» – 2000,0 га (авиа), КГУ «Алакольское лесное хозяйство» – 100,0 га. </w:t>
      </w:r>
    </w:p>
    <w:p w14:paraId="7DFD3BA1"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На территории Алматинской области существует 123 </w:t>
      </w:r>
      <w:r w:rsidRPr="00F0736F">
        <w:rPr>
          <w:rFonts w:ascii="Times New Roman" w:hAnsi="Times New Roman" w:cs="Times New Roman"/>
          <w:b/>
          <w:bCs/>
          <w:color w:val="000000" w:themeColor="text1"/>
        </w:rPr>
        <w:t>охотничьих хозяйства</w:t>
      </w:r>
      <w:r w:rsidRPr="00F0736F">
        <w:rPr>
          <w:rFonts w:ascii="Times New Roman" w:hAnsi="Times New Roman" w:cs="Times New Roman"/>
          <w:color w:val="000000" w:themeColor="text1"/>
        </w:rPr>
        <w:t xml:space="preserve">, которые закреплены за 83 охотпользователями. Общая площадь закрепленных охотничьих угодий составляет 5 099 166 га, в том числе государственный лесной фонд 1 046 842 га. </w:t>
      </w:r>
    </w:p>
    <w:p w14:paraId="76E5966E" w14:textId="678C1D41"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За 2019 год по заявкам охотпользователей выдано 1612 разрешений на добычу диких животных на общую сумму 53,7 млн. тенге (за 2018 год - выдано 943 разрешения на общую сумму 42,6 млн. тенге). На 2019 год из областного бюджета на отстрел вредных хищников выделено 9,27 млн. тенге. Коммунальными государственными учреждениями лесного хозяйства уничтожен 581 вредный хищник, в том числе 349 волков и 232 шакала, выделенные средства освоены в полном объеме (за 2018 год - уничтожено 496 вредных хищников, в том числе 319 волков и 177 шакалов, освоено 8,1 млн. тенге). </w:t>
      </w:r>
    </w:p>
    <w:p w14:paraId="60C8FF68" w14:textId="34DB9912"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Алматинской области находятся 135 </w:t>
      </w:r>
      <w:r w:rsidRPr="00F0736F">
        <w:rPr>
          <w:rFonts w:ascii="Times New Roman" w:hAnsi="Times New Roman" w:cs="Times New Roman"/>
          <w:b/>
          <w:bCs/>
          <w:color w:val="000000" w:themeColor="text1"/>
        </w:rPr>
        <w:t>рыбохозяйственных участков</w:t>
      </w:r>
      <w:r w:rsidRPr="00F0736F">
        <w:rPr>
          <w:rFonts w:ascii="Times New Roman" w:hAnsi="Times New Roman" w:cs="Times New Roman"/>
          <w:color w:val="000000" w:themeColor="text1"/>
        </w:rPr>
        <w:t xml:space="preserve"> из них закреплено 89 рыбохозяйственных участков за 41 субъектом рыбного хозяйства для ведения рыбного хозяйства, остальные 46 участков остаются в резерве. Согласно приказа Министерства сельского хозяйства РК №58 от 01.02.2018 года «Об утверждении лимитов изъятия объектов животного мира с 15 февраля 2018 года по 15 февраля 2019 года» по Алматинской области был выделен общий лимит 4965,5 т. рыбы. Из них по озеру Балхаш и дельте реки Иле 4095,2 т., по Алакольской озерной системе 195,6 т., по Капшагайскому водохранилищу 639,7 т. и по водоемам местного значения 35,075 т. Согласно приказа министерства сельского хозяйства РК №59 от 11.02.2019 года «Об утверждении лимитов изъятия объектов животного мира с 15 февраля 2019 года по 15 февраля 2020 года» по Алматинской области был выделен общий лимит 7495,592 т. рыбы. Из них по озеру Балхаш 5 975,729 т., дельте реки Иле и реке Иле 101,923 т., по Алакольской озерной системе 509,078 т., по Капшагайскому водохранилищу 890,741 т. и по водоемам местного значения 15,121 т. </w:t>
      </w:r>
    </w:p>
    <w:p w14:paraId="19FB25F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Алматинская область является одной из самых перспективных с точки зрения </w:t>
      </w:r>
      <w:r w:rsidRPr="00F0736F">
        <w:rPr>
          <w:rFonts w:ascii="Times New Roman" w:hAnsi="Times New Roman" w:cs="Times New Roman"/>
          <w:b/>
          <w:bCs/>
          <w:color w:val="000000" w:themeColor="text1"/>
        </w:rPr>
        <w:t>экологического туризма.</w:t>
      </w:r>
      <w:r w:rsidRPr="00F0736F">
        <w:rPr>
          <w:rFonts w:ascii="Times New Roman" w:hAnsi="Times New Roman" w:cs="Times New Roman"/>
          <w:color w:val="000000" w:themeColor="text1"/>
        </w:rPr>
        <w:t xml:space="preserve"> Здесь имеется 2 государственных природных заповедника Алматинский и Алакольский, 6 государственных национальных природных парков – Иле-Алатауский, Алтын - Эмель, Чарынский, Кольсайские озера, Жонгар - Алатауский, созданный в 2017 году государственный природный резерват Иле - Балхаш, 7 государственных заказников: Лепсинский, Тотинский, Куканский, Верхнекоксуйский, Прибалхашский, Караойский, Алматинский, 3 государственных памятника природы – «Чарынская ясеневая лесная дача», «Чинтургенские ельники», «Поющие барханы», Илийский ботанический сад и Иссыкский государственный дендрологический парк.</w:t>
      </w:r>
    </w:p>
    <w:p w14:paraId="52EBCE11" w14:textId="19B58BD0"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имеется 23</w:t>
      </w:r>
      <w:r w:rsidRPr="00F0736F">
        <w:rPr>
          <w:rFonts w:ascii="Times New Roman" w:hAnsi="Times New Roman" w:cs="Times New Roman"/>
          <w:color w:val="000000" w:themeColor="text1"/>
          <w:lang w:val="kk-KZ"/>
        </w:rPr>
        <w:t>43</w:t>
      </w:r>
      <w:r w:rsidRPr="00F0736F">
        <w:rPr>
          <w:rFonts w:ascii="Times New Roman" w:hAnsi="Times New Roman" w:cs="Times New Roman"/>
          <w:color w:val="000000" w:themeColor="text1"/>
        </w:rPr>
        <w:t xml:space="preserve"> памятника истории, в том числе 454 - архитектуры и градостроительства, 18</w:t>
      </w:r>
      <w:r w:rsidRPr="00F0736F">
        <w:rPr>
          <w:rFonts w:ascii="Times New Roman" w:hAnsi="Times New Roman" w:cs="Times New Roman"/>
          <w:color w:val="000000" w:themeColor="text1"/>
          <w:lang w:val="kk-KZ"/>
        </w:rPr>
        <w:t>62</w:t>
      </w:r>
      <w:r w:rsidRPr="00F0736F">
        <w:rPr>
          <w:rFonts w:ascii="Times New Roman" w:hAnsi="Times New Roman" w:cs="Times New Roman"/>
          <w:color w:val="000000" w:themeColor="text1"/>
        </w:rPr>
        <w:t xml:space="preserve"> – археологии, 7 памятников природы, 4 памятника ЮНЕСКО, </w:t>
      </w:r>
      <w:r w:rsidRPr="00F0736F">
        <w:rPr>
          <w:rFonts w:ascii="Times New Roman" w:hAnsi="Times New Roman" w:cs="Times New Roman"/>
          <w:color w:val="000000" w:themeColor="text1"/>
          <w:lang w:val="kk-KZ"/>
        </w:rPr>
        <w:t>10</w:t>
      </w:r>
      <w:r w:rsidRPr="00F0736F">
        <w:rPr>
          <w:rFonts w:ascii="Times New Roman" w:hAnsi="Times New Roman" w:cs="Times New Roman"/>
          <w:color w:val="000000" w:themeColor="text1"/>
        </w:rPr>
        <w:t xml:space="preserve"> памятников республиканского значения и </w:t>
      </w:r>
      <w:r w:rsidRPr="00F0736F">
        <w:rPr>
          <w:rFonts w:ascii="Times New Roman" w:hAnsi="Times New Roman" w:cs="Times New Roman"/>
          <w:color w:val="000000" w:themeColor="text1"/>
          <w:lang w:val="kk-KZ"/>
        </w:rPr>
        <w:t>10</w:t>
      </w:r>
      <w:r w:rsidRPr="00F0736F">
        <w:rPr>
          <w:rFonts w:ascii="Times New Roman" w:hAnsi="Times New Roman" w:cs="Times New Roman"/>
          <w:color w:val="000000" w:themeColor="text1"/>
        </w:rPr>
        <w:t xml:space="preserve"> новых памятников.  </w:t>
      </w:r>
    </w:p>
    <w:p w14:paraId="3B4D468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год, прошедший с момента создания резервата Или-Балхаш, проделано многое: организованы 2 офиса - в с. Баканас и с. Карой, штат резервата укомплектован квалифицированными кадрами, заложена основа для формирования материально-технической базы, налажена радиосвязь, для обеспечения эффективной охраны территории созданы блок-посты Корс и Карамерген и оборудованы для круглогодичного функционирования, регулярно проводятся рейды и патрулирование территории службой охраны. Проводятся биотехнические мероприятия для увеличения численности копытных животных, научные исследования и ведется мониторинг биоразнообразия, разработан План управления резерватом на 2019-2023 гг. Создан питомник для восстановления тугайной растительности, утраченной под влиянием антропогенных факторов, и за прошедший период на территории резервата проведены посадки аборигенных пород деревьев. Ведется активная эколого-просветительская деятельность.</w:t>
      </w:r>
    </w:p>
    <w:p w14:paraId="1E96A506" w14:textId="77777777" w:rsidR="00AC1D5B" w:rsidRPr="00F0736F" w:rsidRDefault="00AC1D5B" w:rsidP="00AC1D5B">
      <w:pPr>
        <w:ind w:firstLine="709"/>
        <w:jc w:val="both"/>
        <w:rPr>
          <w:color w:val="000000" w:themeColor="text1"/>
        </w:rPr>
      </w:pPr>
      <w:r w:rsidRPr="00F0736F">
        <w:rPr>
          <w:rFonts w:ascii="Times New Roman" w:eastAsia="SimSun" w:hAnsi="Times New Roman" w:cs="Times New Roman"/>
          <w:color w:val="000000" w:themeColor="text1"/>
        </w:rPr>
        <w:t>Развитие туризма в Алматинской области осуществляется в соответствии с Концепцией развития туристкой отрасли Республики Казахстан до 202</w:t>
      </w:r>
      <w:r w:rsidRPr="00F0736F">
        <w:rPr>
          <w:rFonts w:ascii="Times New Roman" w:eastAsia="SimSun" w:hAnsi="Times New Roman" w:cs="Times New Roman"/>
          <w:color w:val="000000" w:themeColor="text1"/>
          <w:lang w:val="kk-KZ"/>
        </w:rPr>
        <w:t>3</w:t>
      </w:r>
      <w:r w:rsidRPr="00F0736F">
        <w:rPr>
          <w:rFonts w:ascii="Times New Roman" w:eastAsia="SimSun" w:hAnsi="Times New Roman" w:cs="Times New Roman"/>
          <w:color w:val="000000" w:themeColor="text1"/>
        </w:rPr>
        <w:t xml:space="preserve"> года, Программы по развитию сферы услуг в Республике Казахстан до 2020 года куда включены ключевые туристские достопримечательности (археологический ландшафт Тамгалы с петроглифами (объект ЮНЕСКО); ГНПП «Алтын-Эмель», включенный в предварительный список ЮНЕСКО; Чарынский каньон на территории Чарынского ГНПП; водохранилище Капшагай; горнолыжные зоны вблизи города Алматы с Иле-Алатауским ГНПП, включенным в предварительный список ЮНЕСКО), международный туристский центр «Акбулак», ГНПП «Жонгар-Алатауский», «</w:t>
      </w:r>
      <w:r w:rsidRPr="00F0736F">
        <w:rPr>
          <w:rFonts w:ascii="Times New Roman" w:eastAsia="SimSun" w:hAnsi="Times New Roman" w:cs="Times New Roman"/>
          <w:color w:val="000000" w:themeColor="text1"/>
          <w:lang w:val="kk-KZ"/>
        </w:rPr>
        <w:t>Көлсай көлдері</w:t>
      </w:r>
      <w:r w:rsidRPr="00F0736F">
        <w:rPr>
          <w:rFonts w:ascii="Times New Roman" w:eastAsia="SimSun" w:hAnsi="Times New Roman" w:cs="Times New Roman"/>
          <w:color w:val="000000" w:themeColor="text1"/>
        </w:rPr>
        <w:t>», пик Хан Тенгри и другие объекты.</w:t>
      </w:r>
    </w:p>
    <w:p w14:paraId="144588B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Туристские возможности области позволяют развивать практически все виды туризма: горный, пеший, водный, экологический, культурно-познавательный и другие. В области разработано 122 туристских маршрута.</w:t>
      </w:r>
    </w:p>
    <w:p w14:paraId="4A9A641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Утвержден Мастер-план развития туризма Алматинской области, в котором определены 5 кластерных направлений: Талгарско-Иссыкский кластер (курорт), Капчагайский кластер (курорт), Карадалинский кластер (курорт), Райымбекский кластер, Алакольско-Жетысуский и Восточно-Балхашский кластер.</w:t>
      </w:r>
    </w:p>
    <w:p w14:paraId="1FFDB1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12"/>
          <w:lang w:val="kk-KZ"/>
        </w:rPr>
        <w:t>По статистическим данным показателей сферы туризма наблюдается стабильный рост. Так, за период 2015 - 2017 годы количество мест размещения выросло на  46,7% и составило на конец 2017 года 449 единиц</w:t>
      </w:r>
      <w:r w:rsidRPr="00F0736F">
        <w:rPr>
          <w:rFonts w:ascii="Times New Roman" w:eastAsia="SimSun" w:hAnsi="Times New Roman" w:cs="Times New Roman"/>
          <w:color w:val="000000" w:themeColor="text1"/>
          <w:spacing w:val="-12"/>
        </w:rPr>
        <w:t xml:space="preserve"> (2015 г. -  306 ед.). В объектах размещения насчитывается 8 204 ед. номеров (2015 г. - 4666 ед.), при этом единовременная </w:t>
      </w:r>
      <w:r w:rsidRPr="00F0736F">
        <w:rPr>
          <w:rFonts w:ascii="Times New Roman" w:eastAsia="SimSun" w:hAnsi="Times New Roman" w:cs="Times New Roman"/>
          <w:color w:val="000000" w:themeColor="text1"/>
        </w:rPr>
        <w:t>вместимость составляет 21 608 койко-мест (2015 г. - 10 890 койко-мест).</w:t>
      </w:r>
    </w:p>
    <w:p w14:paraId="62940B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Основная часть мест размещений (69,5%) сконцентрирована в Алакольском (38,5%), Уйгурском (8,2%), Панфиловском (6,5%) районах, гг. Капшагай (9,6%), Талдыкорган (6,7%).</w:t>
      </w:r>
    </w:p>
    <w:p w14:paraId="648E3A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Количество обслуженных посетителей в 2017 году составило 703 663 человек, рост с аналогичным периодом 2015 года в 2,7 раз (264819 чел.).</w:t>
      </w:r>
    </w:p>
    <w:p w14:paraId="3F5DE6F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период 2015-2017 годы в области наметилась тенденция роста обслуженных посетителей местами размещения по внутреннему туризму (резидентов). В 2017 году данный целевой показатель составил – 701 336 человек, что на 61,7% выше планового показателя, в 1,6 раз – 2016 года (433 325 чел.), в 2,7 раз - 2015 года (264 084 чел.).</w:t>
      </w:r>
    </w:p>
    <w:p w14:paraId="10728EA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Увеличение целевого показателя «Количество обслуженных посетителей-нерезидентов в сравнении с предыдущем годом» в 2017 году составило 21,6% (2327 чел.), или в 3,2 раза больше по сравнению с 2015 годом (735 чел.). </w:t>
      </w:r>
    </w:p>
    <w:p w14:paraId="15D6D53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повышения информированности населения о туристских объектах региона, в области создана система туристской навигации с использованием QR-кодирования. Установлено 255 знаков и указателей на туристские объекты вдоль автодорог, на территории государственных национальных природных парков, на выездах из городов Алматы и Талдыкорган. </w:t>
      </w:r>
    </w:p>
    <w:p w14:paraId="6DBD61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отчетном периоде проводилась работа по продвижению туристского продукта области на внутреннем и международном рынках туристских услуг. Создан туристский информационный интернет-портал, подготовлены видеоролики, открыты страницы в социальных сетях </w:t>
      </w:r>
      <w:r w:rsidRPr="00F0736F">
        <w:rPr>
          <w:rFonts w:ascii="Times New Roman" w:hAnsi="Times New Roman" w:cs="Times New Roman"/>
          <w:color w:val="000000" w:themeColor="text1"/>
          <w:lang w:val="en-US"/>
        </w:rPr>
        <w:t>Facebook</w:t>
      </w:r>
      <w:r w:rsidRPr="00F0736F">
        <w:rPr>
          <w:rFonts w:ascii="Times New Roman" w:hAnsi="Times New Roman" w:cs="Times New Roman"/>
          <w:color w:val="000000" w:themeColor="text1"/>
        </w:rPr>
        <w:t xml:space="preserve"> и </w:t>
      </w:r>
      <w:r w:rsidRPr="00F0736F">
        <w:rPr>
          <w:rFonts w:ascii="Times New Roman" w:hAnsi="Times New Roman" w:cs="Times New Roman"/>
          <w:color w:val="000000" w:themeColor="text1"/>
          <w:lang w:val="en-US"/>
        </w:rPr>
        <w:t>Instagram</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Также по заказу управления туризма телерадиовещательная организация BBC сняла ролик о природе и достопримечательностях Алматинской области.</w:t>
      </w:r>
    </w:p>
    <w:p w14:paraId="154C045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Организованы информационные туры для зарубежных туроператоров, п</w:t>
      </w:r>
      <w:r w:rsidRPr="00F0736F">
        <w:rPr>
          <w:rFonts w:ascii="Times New Roman" w:hAnsi="Times New Roman" w:cs="Times New Roman"/>
          <w:color w:val="000000" w:themeColor="text1"/>
        </w:rPr>
        <w:t>ров</w:t>
      </w:r>
      <w:r w:rsidRPr="00F0736F">
        <w:rPr>
          <w:rFonts w:ascii="Times New Roman" w:hAnsi="Times New Roman" w:cs="Times New Roman"/>
          <w:color w:val="000000" w:themeColor="text1"/>
          <w:lang w:val="kk-KZ"/>
        </w:rPr>
        <w:t xml:space="preserve">едены </w:t>
      </w:r>
      <w:r w:rsidRPr="00F0736F">
        <w:rPr>
          <w:rFonts w:ascii="Times New Roman" w:hAnsi="Times New Roman" w:cs="Times New Roman"/>
          <w:color w:val="000000" w:themeColor="text1"/>
        </w:rPr>
        <w:t xml:space="preserve">презентации </w:t>
      </w:r>
      <w:r w:rsidRPr="00F0736F">
        <w:rPr>
          <w:rFonts w:ascii="Times New Roman" w:hAnsi="Times New Roman" w:cs="Times New Roman"/>
          <w:color w:val="000000" w:themeColor="text1"/>
          <w:lang w:val="kk-KZ"/>
        </w:rPr>
        <w:t xml:space="preserve">туристских объектов области </w:t>
      </w:r>
      <w:r w:rsidRPr="00F0736F">
        <w:rPr>
          <w:rFonts w:ascii="Times New Roman" w:hAnsi="Times New Roman" w:cs="Times New Roman"/>
          <w:color w:val="000000" w:themeColor="text1"/>
        </w:rPr>
        <w:t>в формате воркшоп для</w:t>
      </w:r>
      <w:r w:rsidRPr="00F0736F">
        <w:rPr>
          <w:rFonts w:ascii="Times New Roman" w:hAnsi="Times New Roman" w:cs="Times New Roman"/>
          <w:color w:val="000000" w:themeColor="text1"/>
          <w:lang w:val="kk-KZ"/>
        </w:rPr>
        <w:t xml:space="preserve"> туристических фирм области  и гг. Алматы, </w:t>
      </w:r>
      <w:r w:rsidRPr="00F0736F">
        <w:rPr>
          <w:rFonts w:ascii="Times New Roman" w:hAnsi="Times New Roman" w:cs="Times New Roman"/>
          <w:color w:val="000000" w:themeColor="text1"/>
        </w:rPr>
        <w:t>Нур-Султан</w:t>
      </w:r>
      <w:r w:rsidRPr="00F0736F">
        <w:rPr>
          <w:rFonts w:ascii="Times New Roman" w:hAnsi="Times New Roman" w:cs="Times New Roman"/>
          <w:color w:val="000000" w:themeColor="text1"/>
          <w:lang w:val="kk-KZ"/>
        </w:rPr>
        <w:t>.</w:t>
      </w:r>
    </w:p>
    <w:p w14:paraId="204F9796" w14:textId="77777777" w:rsidR="00AC1D5B" w:rsidRPr="00F0736F" w:rsidRDefault="00AC1D5B" w:rsidP="00AC1D5B">
      <w:pPr>
        <w:ind w:firstLine="709"/>
        <w:jc w:val="both"/>
        <w:rPr>
          <w:rFonts w:ascii="Times New Roman" w:hAnsi="Times New Roman" w:cs="Times New Roman"/>
          <w:color w:val="000000" w:themeColor="text1"/>
        </w:rPr>
      </w:pPr>
    </w:p>
    <w:p w14:paraId="28771362"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6" w:name="_Toc57818738"/>
      <w:r w:rsidRPr="007272FB">
        <w:rPr>
          <w:rFonts w:ascii="Times New Roman" w:eastAsia="Times New Roman" w:hAnsi="Times New Roman" w:cs="Times New Roman"/>
          <w:color w:val="000000" w:themeColor="text1"/>
          <w:sz w:val="24"/>
          <w:szCs w:val="24"/>
        </w:rPr>
        <w:t>2.4. Атырауская область</w:t>
      </w:r>
      <w:bookmarkEnd w:id="46"/>
    </w:p>
    <w:p w14:paraId="7B2F71C9" w14:textId="77777777" w:rsidR="00AC1D5B" w:rsidRPr="00F0736F" w:rsidRDefault="00AC1D5B" w:rsidP="00AC1D5B">
      <w:pPr>
        <w:ind w:firstLine="709"/>
        <w:jc w:val="both"/>
        <w:rPr>
          <w:rFonts w:ascii="Times New Roman" w:hAnsi="Times New Roman" w:cs="Times New Roman"/>
          <w:color w:val="000000" w:themeColor="text1"/>
        </w:rPr>
      </w:pPr>
    </w:p>
    <w:p w14:paraId="662D2E6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6E59B4A0"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rPr>
        <w:t>Террито</w:t>
      </w:r>
      <w:r w:rsidRPr="00F0736F">
        <w:rPr>
          <w:rFonts w:ascii="Times New Roman" w:hAnsi="Times New Roman" w:cs="Times New Roman"/>
          <w:bCs/>
          <w:iCs/>
          <w:color w:val="000000" w:themeColor="text1"/>
          <w:lang w:val="kk-KZ"/>
        </w:rPr>
        <w:t>р</w:t>
      </w:r>
      <w:r w:rsidRPr="00F0736F">
        <w:rPr>
          <w:rFonts w:ascii="Times New Roman" w:hAnsi="Times New Roman" w:cs="Times New Roman"/>
          <w:bCs/>
          <w:iCs/>
          <w:color w:val="000000" w:themeColor="text1"/>
        </w:rPr>
        <w:t>ия области – 118,6 тыс. кв км. По данным Комитета по статистике, численность населения в начале 2018 года составила 620,7 тыс. человек, в начале 2019 года – 633,8 тыс. человек, а в начале 2020 года — 645,3 тыс. человек.</w:t>
      </w:r>
      <w:r w:rsidRPr="00F0736F">
        <w:rPr>
          <w:rFonts w:ascii="Times New Roman" w:hAnsi="Times New Roman" w:cs="Times New Roman"/>
          <w:color w:val="000000" w:themeColor="text1"/>
        </w:rPr>
        <w:t xml:space="preserve">  </w:t>
      </w:r>
    </w:p>
    <w:p w14:paraId="027359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ВРП Атырауской области в 2017 году составил </w:t>
      </w:r>
      <w:r w:rsidRPr="00F0736F">
        <w:rPr>
          <w:rFonts w:ascii="Times New Roman" w:hAnsi="Times New Roman" w:cs="Times New Roman"/>
          <w:color w:val="000000" w:themeColor="text1"/>
          <w:lang w:val="kk-KZ"/>
        </w:rPr>
        <w:t>5947,7</w:t>
      </w:r>
      <w:r w:rsidRPr="00F0736F">
        <w:rPr>
          <w:rFonts w:ascii="Times New Roman" w:hAnsi="Times New Roman" w:cs="Times New Roman"/>
          <w:color w:val="000000" w:themeColor="text1"/>
        </w:rPr>
        <w:t xml:space="preserve"> млрд. тенге, индекс физического объема </w:t>
      </w:r>
      <w:r w:rsidRPr="00F0736F">
        <w:rPr>
          <w:rFonts w:ascii="Times New Roman" w:hAnsi="Times New Roman" w:cs="Times New Roman"/>
          <w:color w:val="000000" w:themeColor="text1"/>
          <w:lang w:val="kk-KZ"/>
        </w:rPr>
        <w:t>116</w:t>
      </w:r>
      <w:r w:rsidRPr="00F0736F">
        <w:rPr>
          <w:rFonts w:ascii="Times New Roman" w:hAnsi="Times New Roman" w:cs="Times New Roman"/>
          <w:color w:val="000000" w:themeColor="text1"/>
        </w:rPr>
        <w:t xml:space="preserve">%. ВРП на душу населения составил </w:t>
      </w:r>
      <w:r w:rsidRPr="00F0736F">
        <w:rPr>
          <w:rFonts w:ascii="Times New Roman" w:hAnsi="Times New Roman" w:cs="Times New Roman"/>
          <w:color w:val="000000" w:themeColor="text1"/>
          <w:lang w:val="kk-KZ"/>
        </w:rPr>
        <w:t xml:space="preserve">9685,1 </w:t>
      </w:r>
      <w:r w:rsidRPr="00F0736F">
        <w:rPr>
          <w:rFonts w:ascii="Times New Roman" w:hAnsi="Times New Roman" w:cs="Times New Roman"/>
          <w:color w:val="000000" w:themeColor="text1"/>
        </w:rPr>
        <w:t xml:space="preserve">тыс. тенге, среди регионов занимает 1-ое место. </w:t>
      </w:r>
      <w:r w:rsidRPr="00F0736F">
        <w:rPr>
          <w:rFonts w:ascii="Times New Roman" w:hAnsi="Times New Roman" w:cs="Times New Roman"/>
          <w:bCs/>
          <w:iCs/>
          <w:color w:val="000000" w:themeColor="text1"/>
        </w:rPr>
        <w:t xml:space="preserve">В объеме республиканского ВВП доля валового регионального продукта области составил </w:t>
      </w:r>
      <w:r w:rsidRPr="00F0736F">
        <w:rPr>
          <w:rFonts w:ascii="Times New Roman" w:hAnsi="Times New Roman" w:cs="Times New Roman"/>
          <w:bCs/>
          <w:iCs/>
          <w:color w:val="000000" w:themeColor="text1"/>
          <w:lang w:val="kk-KZ"/>
        </w:rPr>
        <w:t>10,9</w:t>
      </w:r>
      <w:r w:rsidRPr="00F0736F">
        <w:rPr>
          <w:rFonts w:ascii="Times New Roman" w:hAnsi="Times New Roman" w:cs="Times New Roman"/>
          <w:bCs/>
          <w:iCs/>
          <w:color w:val="000000" w:themeColor="text1"/>
        </w:rPr>
        <w:t>%</w:t>
      </w:r>
      <w:r w:rsidRPr="00F0736F">
        <w:rPr>
          <w:rFonts w:ascii="Times New Roman" w:hAnsi="Times New Roman" w:cs="Times New Roman"/>
          <w:bCs/>
          <w:iCs/>
          <w:color w:val="000000" w:themeColor="text1"/>
          <w:lang w:val="kk-KZ"/>
        </w:rPr>
        <w:t xml:space="preserve">. </w:t>
      </w:r>
      <w:r w:rsidRPr="00F0736F">
        <w:rPr>
          <w:rFonts w:ascii="Times New Roman" w:hAnsi="Times New Roman" w:cs="Times New Roman"/>
          <w:bCs/>
          <w:color w:val="000000" w:themeColor="text1"/>
        </w:rPr>
        <w:t>В</w:t>
      </w:r>
      <w:r w:rsidRPr="00F0736F">
        <w:rPr>
          <w:rFonts w:ascii="Times New Roman" w:hAnsi="Times New Roman" w:cs="Times New Roman"/>
          <w:bCs/>
          <w:color w:val="000000" w:themeColor="text1"/>
          <w:lang w:val="kk-KZ"/>
        </w:rPr>
        <w:t xml:space="preserve"> структуре ВРП: промышленность – 46,9</w:t>
      </w:r>
      <w:r w:rsidRPr="00F0736F">
        <w:rPr>
          <w:rFonts w:ascii="Times New Roman" w:hAnsi="Times New Roman" w:cs="Times New Roman"/>
          <w:bCs/>
          <w:color w:val="000000" w:themeColor="text1"/>
        </w:rPr>
        <w:t>% (</w:t>
      </w:r>
      <w:r w:rsidRPr="00F0736F">
        <w:rPr>
          <w:rFonts w:ascii="Times New Roman" w:hAnsi="Times New Roman" w:cs="Times New Roman"/>
          <w:bCs/>
          <w:color w:val="000000" w:themeColor="text1"/>
          <w:lang w:val="kk-KZ"/>
        </w:rPr>
        <w:t>в том числе горнодобывающая промышленност – 41,7</w:t>
      </w:r>
      <w:r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lang w:val="kk-KZ"/>
        </w:rPr>
        <w:t xml:space="preserve">, обрабатывающая промышленность – 4,5%), сельское хозяйство – 1%, торговля – 7,1%, транспорт и складирование – 6,3%, строительство – 7,8%. За 2018 год ВРП области 7818,8 млрд. тенге, а на душу населения – 12 465,5 тыс. Тенге. </w:t>
      </w:r>
      <w:r w:rsidRPr="00F0736F">
        <w:rPr>
          <w:rFonts w:ascii="Times New Roman" w:hAnsi="Times New Roman" w:cs="Times New Roman"/>
          <w:bCs/>
          <w:color w:val="000000" w:themeColor="text1"/>
        </w:rPr>
        <w:t>За 2019 год ВРП — 9327,3 млрд. тенге, на душу населения — 14 584,4 тыс. тенге ИФО — 107,4%.</w:t>
      </w:r>
    </w:p>
    <w:p w14:paraId="1E3BB6BF" w14:textId="493F3A8A"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rPr>
        <w:t xml:space="preserve">Объем продукции </w:t>
      </w:r>
      <w:r w:rsidRPr="00F0736F">
        <w:rPr>
          <w:rFonts w:ascii="Times New Roman" w:hAnsi="Times New Roman" w:cs="Times New Roman"/>
          <w:b/>
          <w:bCs/>
          <w:iCs/>
          <w:color w:val="000000" w:themeColor="text1"/>
        </w:rPr>
        <w:t>промышленности</w:t>
      </w:r>
      <w:r w:rsidRPr="00F0736F">
        <w:rPr>
          <w:rFonts w:ascii="Times New Roman" w:hAnsi="Times New Roman" w:cs="Times New Roman"/>
          <w:bCs/>
          <w:iCs/>
          <w:color w:val="000000" w:themeColor="text1"/>
        </w:rPr>
        <w:t xml:space="preserve"> в 2017 году составил 5508,2 млрд. тенге, в 2018 году – 7077,5 млрд. тенге, в 2019 году – 7888,1 млрд. тенге. </w:t>
      </w:r>
      <w:r w:rsidRPr="00F0736F">
        <w:rPr>
          <w:rFonts w:ascii="Times New Roman" w:hAnsi="Times New Roman" w:cs="Times New Roman"/>
          <w:bCs/>
          <w:iCs/>
          <w:color w:val="000000" w:themeColor="text1"/>
          <w:lang w:val="kk-KZ"/>
        </w:rPr>
        <w:t xml:space="preserve">В структуре </w:t>
      </w:r>
      <w:r w:rsidRPr="00F0736F">
        <w:rPr>
          <w:rFonts w:ascii="Times New Roman" w:hAnsi="Times New Roman" w:cs="Times New Roman"/>
          <w:iCs/>
          <w:color w:val="000000" w:themeColor="text1"/>
          <w:lang w:val="kk-KZ"/>
        </w:rPr>
        <w:t>промышленного производства</w:t>
      </w:r>
      <w:r w:rsidRPr="00F0736F">
        <w:rPr>
          <w:rFonts w:ascii="Times New Roman" w:hAnsi="Times New Roman" w:cs="Times New Roman"/>
          <w:bCs/>
          <w:iCs/>
          <w:color w:val="000000" w:themeColor="text1"/>
          <w:lang w:val="kk-KZ"/>
        </w:rPr>
        <w:t xml:space="preserve"> наибольший удельный вес занимает добыча сырой нефти и попутного газа, перегонка нефти, производство и распределение электроэнергии. Объем продукции обрабатывающей промышленности в Атырауской области в 2016 году </w:t>
      </w:r>
      <w:r w:rsidRPr="00F0736F">
        <w:rPr>
          <w:rFonts w:ascii="Times New Roman" w:hAnsi="Times New Roman" w:cs="Times New Roman"/>
          <w:bCs/>
          <w:iCs/>
          <w:color w:val="000000" w:themeColor="text1"/>
        </w:rPr>
        <w:t xml:space="preserve">составил </w:t>
      </w:r>
      <w:r w:rsidRPr="00F0736F">
        <w:rPr>
          <w:rFonts w:ascii="Times New Roman" w:hAnsi="Times New Roman" w:cs="Times New Roman"/>
          <w:bCs/>
          <w:iCs/>
          <w:color w:val="000000" w:themeColor="text1"/>
          <w:lang w:val="kk-KZ"/>
        </w:rPr>
        <w:t xml:space="preserve">489,3 млрд. тенге, в 2017 году </w:t>
      </w:r>
      <w:r w:rsidRPr="00F0736F">
        <w:rPr>
          <w:rFonts w:ascii="Times New Roman" w:hAnsi="Times New Roman" w:cs="Times New Roman"/>
          <w:bCs/>
          <w:iCs/>
          <w:color w:val="000000" w:themeColor="text1"/>
        </w:rPr>
        <w:t xml:space="preserve">увеличился </w:t>
      </w:r>
      <w:r w:rsidRPr="00F0736F">
        <w:rPr>
          <w:rFonts w:ascii="Times New Roman" w:hAnsi="Times New Roman" w:cs="Times New Roman"/>
          <w:bCs/>
          <w:iCs/>
          <w:color w:val="000000" w:themeColor="text1"/>
          <w:lang w:val="kk-KZ"/>
        </w:rPr>
        <w:t xml:space="preserve">до 512,5 млрд. тенге, в 2018 году </w:t>
      </w:r>
      <w:r w:rsidRPr="00F0736F">
        <w:rPr>
          <w:rFonts w:ascii="Times New Roman" w:hAnsi="Times New Roman" w:cs="Times New Roman"/>
          <w:bCs/>
          <w:iCs/>
          <w:color w:val="000000" w:themeColor="text1"/>
        </w:rPr>
        <w:t>- до</w:t>
      </w:r>
      <w:r w:rsidRPr="00F0736F">
        <w:rPr>
          <w:rFonts w:ascii="Times New Roman" w:hAnsi="Times New Roman" w:cs="Times New Roman"/>
          <w:bCs/>
          <w:iCs/>
          <w:color w:val="000000" w:themeColor="text1"/>
          <w:lang w:val="kk-KZ"/>
        </w:rPr>
        <w:t xml:space="preserve"> 584,8 млрд. </w:t>
      </w:r>
      <w:r w:rsidRPr="00F0736F">
        <w:rPr>
          <w:rFonts w:ascii="Times New Roman" w:hAnsi="Times New Roman" w:cs="Times New Roman"/>
          <w:bCs/>
          <w:iCs/>
          <w:color w:val="000000" w:themeColor="text1"/>
        </w:rPr>
        <w:t>т</w:t>
      </w:r>
      <w:r w:rsidRPr="00F0736F">
        <w:rPr>
          <w:rFonts w:ascii="Times New Roman" w:hAnsi="Times New Roman" w:cs="Times New Roman"/>
          <w:bCs/>
          <w:iCs/>
          <w:color w:val="000000" w:themeColor="text1"/>
          <w:lang w:val="kk-KZ"/>
        </w:rPr>
        <w:t xml:space="preserve">енге, </w:t>
      </w:r>
      <w:r w:rsidRPr="00F0736F">
        <w:rPr>
          <w:rFonts w:ascii="Times New Roman" w:hAnsi="Times New Roman" w:cs="Times New Roman"/>
          <w:bCs/>
          <w:iCs/>
          <w:color w:val="000000" w:themeColor="text1"/>
        </w:rPr>
        <w:t>а в 2019 году снизился до 525,6 млрд. тенге.</w:t>
      </w:r>
    </w:p>
    <w:p w14:paraId="73DE7DAD"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lang w:val="kk-KZ"/>
        </w:rPr>
        <w:t xml:space="preserve">Производительность труда в обрабатывающей промышленности по сравнению с 2015 годом </w:t>
      </w:r>
      <w:r w:rsidRPr="00F0736F">
        <w:rPr>
          <w:rFonts w:ascii="Times New Roman" w:hAnsi="Times New Roman" w:cs="Times New Roman"/>
          <w:bCs/>
          <w:iCs/>
          <w:color w:val="000000" w:themeColor="text1"/>
        </w:rPr>
        <w:t>увеличилась</w:t>
      </w:r>
      <w:r w:rsidRPr="00F0736F">
        <w:rPr>
          <w:rFonts w:ascii="Times New Roman" w:hAnsi="Times New Roman" w:cs="Times New Roman"/>
          <w:bCs/>
          <w:iCs/>
          <w:color w:val="000000" w:themeColor="text1"/>
          <w:lang w:val="kk-KZ"/>
        </w:rPr>
        <w:t xml:space="preserve"> в 2017 году на 31,7% (69,5 тыс. долл. США/</w:t>
      </w:r>
      <w:r w:rsidRPr="00F0736F">
        <w:rPr>
          <w:rFonts w:ascii="Times New Roman" w:hAnsi="Times New Roman" w:cs="Times New Roman"/>
          <w:bCs/>
          <w:iCs/>
          <w:color w:val="000000" w:themeColor="text1"/>
        </w:rPr>
        <w:t>чел</w:t>
      </w:r>
      <w:r w:rsidRPr="00F0736F">
        <w:rPr>
          <w:rFonts w:ascii="Times New Roman" w:hAnsi="Times New Roman" w:cs="Times New Roman"/>
          <w:bCs/>
          <w:iCs/>
          <w:color w:val="000000" w:themeColor="text1"/>
          <w:lang w:val="kk-KZ"/>
        </w:rPr>
        <w:t>). Производительность труда в обрабатывающей промышленности за 2019 составила 82,1 тыс. долл. США/</w:t>
      </w:r>
      <w:r w:rsidRPr="00F0736F">
        <w:rPr>
          <w:rFonts w:ascii="Times New Roman" w:hAnsi="Times New Roman" w:cs="Times New Roman"/>
          <w:bCs/>
          <w:iCs/>
          <w:color w:val="000000" w:themeColor="text1"/>
        </w:rPr>
        <w:t>чел</w:t>
      </w:r>
      <w:r w:rsidRPr="00F0736F">
        <w:rPr>
          <w:rFonts w:ascii="Times New Roman" w:hAnsi="Times New Roman" w:cs="Times New Roman"/>
          <w:bCs/>
          <w:iCs/>
          <w:color w:val="000000" w:themeColor="text1"/>
          <w:lang w:val="kk-KZ"/>
        </w:rPr>
        <w:t xml:space="preserve">  </w:t>
      </w:r>
    </w:p>
    <w:p w14:paraId="398840D9" w14:textId="77777777" w:rsidR="00AC1D5B" w:rsidRPr="00F0736F" w:rsidRDefault="00AC1D5B" w:rsidP="00AC1D5B">
      <w:pPr>
        <w:ind w:firstLine="709"/>
        <w:jc w:val="both"/>
        <w:rPr>
          <w:color w:val="000000" w:themeColor="text1"/>
        </w:rPr>
      </w:pPr>
      <w:r w:rsidRPr="00F0736F">
        <w:rPr>
          <w:rFonts w:ascii="Times New Roman" w:eastAsia="Arial Unicode MS" w:hAnsi="Times New Roman" w:cs="Times New Roman"/>
          <w:color w:val="000000" w:themeColor="text1"/>
          <w:lang w:val="kk-KZ" w:eastAsia="ar-SA"/>
        </w:rPr>
        <w:t>В рамках карты поддержки предпринимательства (региональный уровень) реализуется 28 проектов на сумму 74,2  млрд. тенге с созданием 1578 рабочих мест</w:t>
      </w:r>
      <w:r w:rsidRPr="00F0736F">
        <w:rPr>
          <w:rFonts w:ascii="Times New Roman" w:eastAsia="Arial Unicode MS" w:hAnsi="Times New Roman" w:cs="Times New Roman"/>
          <w:color w:val="000000" w:themeColor="text1"/>
          <w:vertAlign w:val="superscript"/>
          <w:lang w:val="kk-KZ" w:eastAsia="ar-SA"/>
        </w:rPr>
        <w:footnoteReference w:id="142"/>
      </w:r>
      <w:r w:rsidRPr="00F0736F">
        <w:rPr>
          <w:rFonts w:ascii="Times New Roman" w:eastAsia="Arial Unicode MS" w:hAnsi="Times New Roman" w:cs="Times New Roman"/>
          <w:color w:val="000000" w:themeColor="text1"/>
          <w:lang w:val="kk-KZ" w:eastAsia="ar-SA"/>
        </w:rPr>
        <w:t xml:space="preserve">. </w:t>
      </w:r>
    </w:p>
    <w:p w14:paraId="3B2C86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Территория СЭЗ составляет </w:t>
      </w:r>
      <w:r w:rsidRPr="00F0736F">
        <w:rPr>
          <w:rFonts w:ascii="Times New Roman" w:hAnsi="Times New Roman" w:cs="Times New Roman"/>
          <w:bCs/>
          <w:color w:val="000000" w:themeColor="text1"/>
        </w:rPr>
        <w:t xml:space="preserve">3 475 га, </w:t>
      </w:r>
      <w:r w:rsidRPr="00F0736F">
        <w:rPr>
          <w:rFonts w:ascii="Times New Roman" w:hAnsi="Times New Roman" w:cs="Times New Roman"/>
          <w:color w:val="000000" w:themeColor="text1"/>
        </w:rPr>
        <w:t>которая состоит из 3 участков</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iCs/>
          <w:color w:val="000000" w:themeColor="text1"/>
        </w:rPr>
        <w:t>Карабатан, Тенгиз и г. Атырау</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lang w:val="kk-KZ"/>
        </w:rPr>
        <w:t xml:space="preserve">На </w:t>
      </w:r>
      <w:r w:rsidRPr="00F0736F">
        <w:rPr>
          <w:rFonts w:ascii="Times New Roman" w:hAnsi="Times New Roman" w:cs="Times New Roman"/>
          <w:bCs/>
          <w:color w:val="000000" w:themeColor="text1"/>
        </w:rPr>
        <w:t>территории СЭЗ «НИНТ» зарегистрировано 15 участников, 4 из которых активно развивают свою деятельность:</w:t>
      </w:r>
    </w:p>
    <w:p w14:paraId="3643A706"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 xml:space="preserve">1) </w:t>
      </w:r>
      <w:r w:rsidRPr="00F0736F">
        <w:rPr>
          <w:rFonts w:ascii="Times New Roman" w:hAnsi="Times New Roman" w:cs="Times New Roman"/>
          <w:bCs/>
          <w:color w:val="000000" w:themeColor="text1"/>
          <w:lang w:val="kk-KZ"/>
        </w:rPr>
        <w:t>ТОО «</w:t>
      </w:r>
      <w:r w:rsidRPr="00F0736F">
        <w:rPr>
          <w:rFonts w:ascii="Times New Roman" w:eastAsia="Calibri" w:hAnsi="Times New Roman" w:cs="Times New Roman"/>
          <w:bCs/>
          <w:color w:val="000000" w:themeColor="text1"/>
          <w:lang w:val="kk-KZ"/>
        </w:rPr>
        <w:t>Kazakhstan Petrochemical Industries Inc.</w:t>
      </w:r>
      <w:r w:rsidRPr="00F0736F">
        <w:rPr>
          <w:rFonts w:ascii="Times New Roman" w:hAnsi="Times New Roman" w:cs="Times New Roman"/>
          <w:bCs/>
          <w:color w:val="000000" w:themeColor="text1"/>
          <w:lang w:val="kk-KZ"/>
        </w:rPr>
        <w:t xml:space="preserve">» </w:t>
      </w:r>
      <w:r w:rsidRPr="00F0736F">
        <w:rPr>
          <w:rFonts w:ascii="Times New Roman" w:hAnsi="Times New Roman" w:cs="Times New Roman"/>
          <w:bCs/>
          <w:color w:val="000000" w:themeColor="text1"/>
        </w:rPr>
        <w:t>- проект по производству полипропилена мощностью 500 тыс. т./год – реализуемый;</w:t>
      </w:r>
    </w:p>
    <w:p w14:paraId="5C6B6878"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2)</w:t>
      </w:r>
      <w:r w:rsidRPr="00F0736F">
        <w:rPr>
          <w:rFonts w:ascii="Times New Roman" w:hAnsi="Times New Roman" w:cs="Times New Roman"/>
          <w:bCs/>
          <w:color w:val="000000" w:themeColor="text1"/>
          <w:lang w:val="kk-KZ"/>
        </w:rPr>
        <w:t xml:space="preserve"> ТОО «KLPE» - проект по производству полиэтилена мощностью 1250,0 тыс. т./год – </w:t>
      </w:r>
      <w:r w:rsidRPr="00F0736F">
        <w:rPr>
          <w:rFonts w:ascii="Times New Roman" w:hAnsi="Times New Roman" w:cs="Times New Roman"/>
          <w:bCs/>
          <w:color w:val="000000" w:themeColor="text1"/>
        </w:rPr>
        <w:t xml:space="preserve">совместно с компанией </w:t>
      </w:r>
      <w:r w:rsidRPr="00F0736F">
        <w:rPr>
          <w:rFonts w:ascii="Times New Roman" w:hAnsi="Times New Roman" w:cs="Times New Roman"/>
          <w:bCs/>
          <w:color w:val="000000" w:themeColor="text1"/>
          <w:lang w:val="kk-KZ"/>
        </w:rPr>
        <w:t>Бореалис;</w:t>
      </w:r>
    </w:p>
    <w:p w14:paraId="1F93B4E3"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 xml:space="preserve">3) </w:t>
      </w:r>
      <w:r w:rsidRPr="00F0736F">
        <w:rPr>
          <w:rFonts w:ascii="Times New Roman" w:hAnsi="Times New Roman" w:cs="Times New Roman"/>
          <w:bCs/>
          <w:color w:val="000000" w:themeColor="text1"/>
          <w:lang w:val="kk-KZ"/>
        </w:rPr>
        <w:t>ТОО «</w:t>
      </w:r>
      <w:r w:rsidRPr="00F0736F">
        <w:rPr>
          <w:rFonts w:ascii="Times New Roman" w:eastAsia="Calibri" w:hAnsi="Times New Roman" w:cs="Times New Roman"/>
          <w:color w:val="000000" w:themeColor="text1"/>
          <w:lang w:eastAsia="en-US"/>
        </w:rPr>
        <w:t>Karabatan Utility Solutions</w:t>
      </w:r>
      <w:r w:rsidRPr="00F0736F">
        <w:rPr>
          <w:rFonts w:ascii="Times New Roman" w:hAnsi="Times New Roman" w:cs="Times New Roman"/>
          <w:bCs/>
          <w:color w:val="000000" w:themeColor="text1"/>
          <w:lang w:val="kk-KZ"/>
        </w:rPr>
        <w:t>»</w:t>
      </w:r>
      <w:r w:rsidRPr="00F0736F">
        <w:rPr>
          <w:rFonts w:ascii="Times New Roman" w:hAnsi="Times New Roman" w:cs="Times New Roman"/>
          <w:bCs/>
          <w:color w:val="000000" w:themeColor="text1"/>
        </w:rPr>
        <w:t xml:space="preserve"> - строительство объектов инфраструктуры СЭЗ «НИНТ» (газовая турбинная электростанция мощностью 310 МВт) – реализуемый;</w:t>
      </w:r>
    </w:p>
    <w:p w14:paraId="008F348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4) ТОО «Полимер Продакшн» - проект по производству полимерной продукции, реализованный (октябрь 2015 года).</w:t>
      </w:r>
    </w:p>
    <w:p w14:paraId="10DE93C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привлечения отечественных и иностранных инвестиций в экономику региона, ежегодно в области проводится международный инвестиционный форум «ATYRAU INVEST». Так, в период с 11 по 12 апреля 2017 года в г. Атырау состоялся очередной IV Международный инвестиционный Форум «ATYRAU INVEST - 2017». Основной целью проведения Форума явилось информирование об инвестиционном потенциале Атырауской области, привлечение инвестиций</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в конкретные инвестиционные проекты и экономику области. В рамках Форума были подписаны 9 Меморандумов о сотрудничестве и по реализации ряда инвестиционных проектов на общую сумму 3,3 млрд. долл. США. </w:t>
      </w:r>
    </w:p>
    <w:p w14:paraId="45D9163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Также в области ежегодно проводятся Северо-Каспийские региональные выставки «Global Oil&amp;Gas Atyrau» и строительная выставка «Atyrau Build», на которых акиматом области организуются Выставки инвестиционных проектов, требующих финансовых вложений. В рамках данных мероприятий гостям ближнего и дальнего зарубежья проводятся презентации экспортоориентированных предприятий области, в случае заинтересованности, организуются посещения объектов. </w:t>
      </w:r>
    </w:p>
    <w:p w14:paraId="3436DD51"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Cs/>
          <w:iCs/>
          <w:color w:val="000000" w:themeColor="text1"/>
          <w:lang w:val="kk-KZ" w:eastAsia="en-US"/>
        </w:rPr>
        <w:t xml:space="preserve">Доля </w:t>
      </w:r>
      <w:r w:rsidRPr="00F0736F">
        <w:rPr>
          <w:rFonts w:ascii="Times New Roman" w:eastAsia="Calibri" w:hAnsi="Times New Roman" w:cs="Times New Roman"/>
          <w:b/>
          <w:bCs/>
          <w:iCs/>
          <w:color w:val="000000" w:themeColor="text1"/>
          <w:lang w:val="kk-KZ" w:eastAsia="en-US"/>
        </w:rPr>
        <w:t>сельского хозяйств</w:t>
      </w:r>
      <w:r w:rsidRPr="00F0736F">
        <w:rPr>
          <w:rFonts w:ascii="Times New Roman" w:eastAsia="Calibri" w:hAnsi="Times New Roman" w:cs="Times New Roman"/>
          <w:bCs/>
          <w:iCs/>
          <w:color w:val="000000" w:themeColor="text1"/>
          <w:lang w:val="kk-KZ" w:eastAsia="en-US"/>
        </w:rPr>
        <w:t xml:space="preserve">а в ВРП области составляет </w:t>
      </w:r>
      <w:r w:rsidRPr="00F0736F">
        <w:rPr>
          <w:rFonts w:ascii="Times New Roman" w:eastAsia="Calibri" w:hAnsi="Times New Roman" w:cs="Times New Roman"/>
          <w:bCs/>
          <w:iCs/>
          <w:color w:val="000000" w:themeColor="text1"/>
          <w:lang w:eastAsia="en-US"/>
        </w:rPr>
        <w:t xml:space="preserve">всего </w:t>
      </w:r>
      <w:r w:rsidRPr="00F0736F">
        <w:rPr>
          <w:rFonts w:ascii="Times New Roman" w:eastAsia="Calibri" w:hAnsi="Times New Roman" w:cs="Times New Roman"/>
          <w:bCs/>
          <w:iCs/>
          <w:color w:val="000000" w:themeColor="text1"/>
          <w:lang w:val="kk-KZ" w:eastAsia="en-US"/>
        </w:rPr>
        <w:t>2,3%, в сельском хозяйстве занято 12% трудоспособного населения области. Валовой</w:t>
      </w:r>
      <w:r w:rsidRPr="00F0736F">
        <w:rPr>
          <w:rFonts w:ascii="Times New Roman" w:eastAsia="Calibri" w:hAnsi="Times New Roman" w:cs="Times New Roman"/>
          <w:bCs/>
          <w:iCs/>
          <w:color w:val="000000" w:themeColor="text1"/>
          <w:lang w:eastAsia="en-US"/>
        </w:rPr>
        <w:t xml:space="preserve"> выпуск продукции сельского хозяйства в 2019 году составил 76,7 млрд. тенге, с преимуществом животноводства (58,7%).</w:t>
      </w:r>
    </w:p>
    <w:p w14:paraId="37D5429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земледелии основная ставка сделана на диверсификацию отрасли, увеличение объемов производства сельскохозяйственной продукции путем перехода на научно обоснованные ресурсосберегающие технологии возделывания культур, вовлечения</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в сельскохозяйственный оборот новых и ныне неиспользуемых земель.</w:t>
      </w:r>
    </w:p>
    <w:p w14:paraId="0B6896B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животноводстве главным приоритетом является повышение генетического потенциала животных путем создания крупных и средних ферм и хозяйств семейного типа.</w:t>
      </w:r>
    </w:p>
    <w:p w14:paraId="466AA79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сфере переработки сельхозпродукции главным ориентиром остаются техническая и технологическая модернизация отрасли, внедрение в производство международных стандартов качества, выход отечественных товаров на внешние рынки.</w:t>
      </w:r>
    </w:p>
    <w:p w14:paraId="04AD60F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0A6ECF2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состоянию на 1 ноября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года площадь территории Атырауской области составляет 11 863,1 тыс. га, из них площадь земель сельхозназначения составляет 21,2%.</w:t>
      </w:r>
    </w:p>
    <w:p w14:paraId="580D238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Земли сельскохозяйственного назначения</w:t>
      </w:r>
      <w:r w:rsidRPr="00F0736F">
        <w:rPr>
          <w:rFonts w:ascii="Times New Roman" w:hAnsi="Times New Roman" w:cs="Times New Roman"/>
          <w:color w:val="000000" w:themeColor="text1"/>
        </w:rPr>
        <w:t xml:space="preserve"> за 20</w:t>
      </w:r>
      <w:r w:rsidRPr="00F0736F">
        <w:rPr>
          <w:rFonts w:ascii="Times New Roman" w:hAnsi="Times New Roman" w:cs="Times New Roman"/>
          <w:color w:val="000000" w:themeColor="text1"/>
          <w:lang w:val="kk-KZ"/>
        </w:rPr>
        <w:t xml:space="preserve">15 </w:t>
      </w:r>
      <w:r w:rsidRPr="00F0736F">
        <w:rPr>
          <w:rFonts w:ascii="Times New Roman" w:hAnsi="Times New Roman" w:cs="Times New Roman"/>
          <w:color w:val="000000" w:themeColor="text1"/>
        </w:rPr>
        <w:t>- 201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годы увеличились на </w:t>
      </w:r>
      <w:r w:rsidRPr="00F0736F">
        <w:rPr>
          <w:rFonts w:ascii="Times New Roman" w:hAnsi="Times New Roman" w:cs="Times New Roman"/>
          <w:color w:val="000000" w:themeColor="text1"/>
          <w:lang w:val="kk-KZ"/>
        </w:rPr>
        <w:t>204,7</w:t>
      </w:r>
      <w:r w:rsidRPr="00F0736F">
        <w:rPr>
          <w:rFonts w:ascii="Times New Roman" w:hAnsi="Times New Roman" w:cs="Times New Roman"/>
          <w:color w:val="000000" w:themeColor="text1"/>
        </w:rPr>
        <w:t xml:space="preserve"> тыс. га и занимают площадь </w:t>
      </w:r>
      <w:r w:rsidRPr="00F0736F">
        <w:rPr>
          <w:rFonts w:ascii="Times New Roman" w:hAnsi="Times New Roman" w:cs="Times New Roman"/>
          <w:color w:val="000000" w:themeColor="text1"/>
          <w:lang w:val="kk-KZ"/>
        </w:rPr>
        <w:t>2522,6</w:t>
      </w:r>
      <w:r w:rsidRPr="00F0736F">
        <w:rPr>
          <w:rFonts w:ascii="Times New Roman" w:hAnsi="Times New Roman" w:cs="Times New Roman"/>
          <w:color w:val="000000" w:themeColor="text1"/>
        </w:rPr>
        <w:t xml:space="preserve"> тыс. га, или </w:t>
      </w:r>
      <w:r w:rsidRPr="00F0736F">
        <w:rPr>
          <w:rFonts w:ascii="Times New Roman" w:hAnsi="Times New Roman" w:cs="Times New Roman"/>
          <w:color w:val="000000" w:themeColor="text1"/>
          <w:lang w:val="kk-KZ"/>
        </w:rPr>
        <w:t>21,2</w:t>
      </w:r>
      <w:r w:rsidRPr="00F0736F">
        <w:rPr>
          <w:rFonts w:ascii="Times New Roman" w:hAnsi="Times New Roman" w:cs="Times New Roman"/>
          <w:color w:val="000000" w:themeColor="text1"/>
        </w:rPr>
        <w:t xml:space="preserve">% от общей площади области. Увеличение произошло за счет предоставления земельных участков из земель запаса. </w:t>
      </w:r>
    </w:p>
    <w:p w14:paraId="0B195D52"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В структуре посевной площади наибольшую долю занимают овощные культуры (</w:t>
      </w:r>
      <w:r w:rsidRPr="00F0736F">
        <w:rPr>
          <w:rFonts w:ascii="Times New Roman" w:eastAsia="Calibri" w:hAnsi="Times New Roman" w:cs="Times New Roman"/>
          <w:color w:val="000000" w:themeColor="text1"/>
          <w:lang w:val="kk-KZ" w:eastAsia="en-US"/>
        </w:rPr>
        <w:t>29,9</w:t>
      </w:r>
      <w:r w:rsidRPr="00F0736F">
        <w:rPr>
          <w:rFonts w:ascii="Times New Roman" w:eastAsia="Calibri" w:hAnsi="Times New Roman" w:cs="Times New Roman"/>
          <w:color w:val="000000" w:themeColor="text1"/>
          <w:lang w:eastAsia="en-US"/>
        </w:rPr>
        <w:t>%), а также картофель (2</w:t>
      </w:r>
      <w:r w:rsidRPr="00F0736F">
        <w:rPr>
          <w:rFonts w:ascii="Times New Roman" w:eastAsia="Calibri" w:hAnsi="Times New Roman" w:cs="Times New Roman"/>
          <w:color w:val="000000" w:themeColor="text1"/>
          <w:lang w:val="kk-KZ" w:eastAsia="en-US"/>
        </w:rPr>
        <w:t>3</w:t>
      </w:r>
      <w:r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val="kk-KZ" w:eastAsia="en-US"/>
        </w:rPr>
        <w:t>8</w:t>
      </w:r>
      <w:r w:rsidRPr="00F0736F">
        <w:rPr>
          <w:rFonts w:ascii="Times New Roman" w:eastAsia="Calibri" w:hAnsi="Times New Roman" w:cs="Times New Roman"/>
          <w:color w:val="000000" w:themeColor="text1"/>
          <w:lang w:eastAsia="en-US"/>
        </w:rPr>
        <w:t>%) и кормовые культуры (</w:t>
      </w:r>
      <w:r w:rsidRPr="00F0736F">
        <w:rPr>
          <w:rFonts w:ascii="Times New Roman" w:eastAsia="Calibri" w:hAnsi="Times New Roman" w:cs="Times New Roman"/>
          <w:color w:val="000000" w:themeColor="text1"/>
          <w:lang w:val="kk-KZ" w:eastAsia="en-US"/>
        </w:rPr>
        <w:t>31,8</w:t>
      </w:r>
      <w:r w:rsidRPr="00F0736F">
        <w:rPr>
          <w:rFonts w:ascii="Times New Roman" w:eastAsia="Calibri" w:hAnsi="Times New Roman" w:cs="Times New Roman"/>
          <w:color w:val="000000" w:themeColor="text1"/>
          <w:lang w:eastAsia="en-US"/>
        </w:rPr>
        <w:t xml:space="preserve">%). Применяются новые прогрессивные методы: влагосберегающая и технологии капельного орошения. </w:t>
      </w:r>
      <w:r w:rsidRPr="00F0736F">
        <w:rPr>
          <w:rFonts w:ascii="Times New Roman" w:hAnsi="Times New Roman" w:cs="Times New Roman"/>
          <w:color w:val="000000" w:themeColor="text1"/>
        </w:rPr>
        <w:t>В 2018 году объем площадей, возделываемых по технологии капельного орошения, по сравнению с 2010 годом увеличился в 8,7 раза и составил 2,54 тыс. га, а в 2019 году - 2,8 тыс. га.</w:t>
      </w:r>
    </w:p>
    <w:p w14:paraId="671DD3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Всего в области зарегистрированы теплицы общей площадью 14,8 га и все обеспечены методом капельного орошения. К 2020 году планируется довести объемы теплиц области до 25 га, увеличить объемы овощей, производимых вне сезона, в два раза.</w:t>
      </w:r>
    </w:p>
    <w:p w14:paraId="7E515918" w14:textId="699AC54D"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val="kk-KZ" w:eastAsia="en-US"/>
        </w:rPr>
        <w:t xml:space="preserve">По области 20 субъектов хозяйств по разведению племенного скота. В том числе разведение крупного рогатого скота - 7 хозяйств, разведение племенных овец - 7 хозяйств, разведение племенных верблюдов «Қазақтың айыр өркеші» в 4 хозяйствах и 2 племенных коневодства. </w:t>
      </w:r>
      <w:r w:rsidRPr="00F0736F">
        <w:rPr>
          <w:rFonts w:ascii="Times New Roman" w:eastAsia="Calibri" w:hAnsi="Times New Roman" w:cs="Times New Roman"/>
          <w:color w:val="000000" w:themeColor="text1"/>
          <w:lang w:eastAsia="en-US"/>
        </w:rPr>
        <w:t>Производством сельскохозяйственной продукции в области занимаются 1838 крестьянских хозяйств, 184 сельхозформирования и 49,3 тыс. домашних хозяйств</w:t>
      </w:r>
      <w:r w:rsidRPr="00F0736F">
        <w:rPr>
          <w:rFonts w:ascii="Times New Roman" w:eastAsia="Calibri" w:hAnsi="Times New Roman" w:cs="Times New Roman"/>
          <w:color w:val="000000" w:themeColor="text1"/>
          <w:lang w:val="kk-KZ" w:eastAsia="en-US"/>
        </w:rPr>
        <w:t xml:space="preserve"> (хозяйства населения)</w:t>
      </w:r>
      <w:r w:rsidRPr="00F0736F">
        <w:rPr>
          <w:rFonts w:ascii="Times New Roman" w:eastAsia="Calibri" w:hAnsi="Times New Roman" w:cs="Times New Roman"/>
          <w:color w:val="000000" w:themeColor="text1"/>
          <w:lang w:eastAsia="en-US"/>
        </w:rPr>
        <w:t xml:space="preserve">. </w:t>
      </w:r>
      <w:r w:rsidRPr="00F0736F">
        <w:rPr>
          <w:rFonts w:ascii="Times New Roman" w:eastAsia="Calibri" w:hAnsi="Times New Roman" w:cs="Times New Roman"/>
          <w:color w:val="000000" w:themeColor="text1"/>
          <w:lang w:val="kk-KZ" w:eastAsia="en-US"/>
        </w:rPr>
        <w:t>Необходимо отметить, что доля хозяйств населения в общем объеме производства продукции животноводства все еще остается достаточно высокой, что определяет мелкотоварный характер производства продукции отрасли.</w:t>
      </w:r>
    </w:p>
    <w:p w14:paraId="11D3E096" w14:textId="12192485"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Площадь пастбищ на землях сельскохозяйственного назначения составляет 2250 тыс. га, обводненных 1096,1 тыс. га, или 49%. </w:t>
      </w:r>
    </w:p>
    <w:p w14:paraId="085B9F81"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Область является регионом, значительная часть жителей которой традиционно занята на промысле и переработке</w:t>
      </w:r>
      <w:r w:rsidRPr="00F0736F">
        <w:rPr>
          <w:rFonts w:ascii="Times New Roman" w:eastAsia="Calibri" w:hAnsi="Times New Roman" w:cs="Times New Roman"/>
          <w:b/>
          <w:bCs/>
          <w:color w:val="000000" w:themeColor="text1"/>
          <w:lang w:eastAsia="en-US"/>
        </w:rPr>
        <w:t xml:space="preserve"> рыбных ресурсов</w:t>
      </w:r>
      <w:r w:rsidRPr="00F0736F">
        <w:rPr>
          <w:rFonts w:ascii="Times New Roman" w:eastAsia="Calibri" w:hAnsi="Times New Roman" w:cs="Times New Roman"/>
          <w:color w:val="000000" w:themeColor="text1"/>
          <w:lang w:eastAsia="en-US"/>
        </w:rPr>
        <w:t>.</w:t>
      </w:r>
    </w:p>
    <w:p w14:paraId="3E02D68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19 субъектов рыбного хозяйства осуществляют свою деятельность. Самые крупные из них: ТОО «Имени Амангельды», ТОО «Жемчужина» и ПК «Каспий Балык».</w:t>
      </w:r>
    </w:p>
    <w:p w14:paraId="0DEBE703"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 xml:space="preserve">ТОО «Имени Амангельды» и ТОО «Абылай-хан» внедрили стандарт соответствия ветеринарной нормы Европейского союза. </w:t>
      </w:r>
      <w:r w:rsidRPr="00F0736F">
        <w:rPr>
          <w:rFonts w:ascii="Times New Roman" w:hAnsi="Times New Roman" w:cs="Times New Roman"/>
          <w:color w:val="000000" w:themeColor="text1"/>
          <w:lang w:val="kk-KZ"/>
        </w:rPr>
        <w:t>Это дает возможность напрямую экпортировать рыбную продукцию в страны Европейского союза.</w:t>
      </w:r>
    </w:p>
    <w:p w14:paraId="2E0A10E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Всего добывается около 11 тыс. т. рыбы в год и почти вся она перерабатывается.</w:t>
      </w:r>
    </w:p>
    <w:p w14:paraId="5336DA8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Рыбная продукция области экспортируется в страны СНГ такие как Россия, Азербайджан, Узбекистан, Украина и ЕС - Франция, Германия, Литва, Латвия. </w:t>
      </w:r>
    </w:p>
    <w:p w14:paraId="7A69ABB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Товарное рыбоводство</w:t>
      </w:r>
      <w:r w:rsidRPr="00F0736F">
        <w:rPr>
          <w:rFonts w:ascii="Times New Roman" w:hAnsi="Times New Roman" w:cs="Times New Roman"/>
          <w:color w:val="000000" w:themeColor="text1"/>
        </w:rPr>
        <w:t xml:space="preserve"> является экономически перспективным направлением рыбного хозяйства. В Атырауской области в этом направлении реализуется 2 проекта.</w:t>
      </w:r>
    </w:p>
    <w:p w14:paraId="42ED09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«Caspian Royal Fish» в сентябре месяце 2014 года реализовал инвестиционный проект «Создание рыбоводного комплекса по выращиванию товарной рыбы осетровых пород и получение осетровой пищевой икры в замкнутой системе водоснабжения в г. Атырау».  Проектная мощность завода – это производство 100 т. товарной рыбы и выпуск 1 т. пищевой икры осетровых рыб. В 2017 году произведено 26 т. товарной рыбы и 225 кг пищевой икры. На сегодня произведенная продукция реализуется г. Алматы и Атырау.</w:t>
      </w:r>
    </w:p>
    <w:p w14:paraId="1A966AD5"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 xml:space="preserve">С мая 2017 года введено в эксплуатацию </w:t>
      </w:r>
      <w:r w:rsidRPr="00F0736F">
        <w:rPr>
          <w:rFonts w:ascii="Times New Roman" w:hAnsi="Times New Roman" w:cs="Times New Roman"/>
          <w:color w:val="000000" w:themeColor="text1"/>
        </w:rPr>
        <w:t xml:space="preserve">садковое хозяйство по выращиванию осетровых видов рыб на реке Урал в Атырауской области ТОО «Луговской конный завод». На 1-м этапе в 2018 - 2020 годы планируется выращивание и реализация 25 т. осетровой рыбы. На 2-м этапе в 2021-2023 годы объемы производства вырастут до 100 т. рыбы осетровых видов и 1,0 т. пищевой икры. </w:t>
      </w:r>
      <w:r w:rsidRPr="00F0736F">
        <w:rPr>
          <w:rFonts w:ascii="Times New Roman" w:eastAsia="Calibri" w:hAnsi="Times New Roman" w:cs="Times New Roman"/>
          <w:color w:val="000000" w:themeColor="text1"/>
          <w:lang w:eastAsia="en-US"/>
        </w:rPr>
        <w:t>Общая стоимость проекта 350 млн. тенге. На сегодня выращиваются 35 тыс. голов осетровых видов рыб.</w:t>
      </w:r>
    </w:p>
    <w:p w14:paraId="178D39F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1FF537E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настоящее время </w:t>
      </w:r>
      <w:r w:rsidRPr="00F0736F">
        <w:rPr>
          <w:rFonts w:ascii="Times New Roman" w:hAnsi="Times New Roman" w:cs="Times New Roman"/>
          <w:b/>
          <w:bCs/>
          <w:color w:val="000000" w:themeColor="text1"/>
        </w:rPr>
        <w:t>электроснабжение</w:t>
      </w:r>
      <w:r w:rsidRPr="00F0736F">
        <w:rPr>
          <w:rFonts w:ascii="Times New Roman" w:hAnsi="Times New Roman" w:cs="Times New Roman"/>
          <w:color w:val="000000" w:themeColor="text1"/>
        </w:rPr>
        <w:t xml:space="preserve"> области осуществляется за счет</w:t>
      </w:r>
      <w:r w:rsidRPr="00F0736F">
        <w:rPr>
          <w:rFonts w:ascii="Times New Roman" w:hAnsi="Times New Roman" w:cs="Times New Roman"/>
          <w:color w:val="000000" w:themeColor="text1"/>
          <w:lang w:val="kk-KZ"/>
        </w:rPr>
        <w:br/>
      </w:r>
      <w:r w:rsidRPr="00F0736F">
        <w:rPr>
          <w:rFonts w:ascii="Times New Roman" w:hAnsi="Times New Roman" w:cs="Times New Roman"/>
          <w:color w:val="000000" w:themeColor="text1"/>
        </w:rPr>
        <w:t xml:space="preserve">АО «Атырауская теплоэлектроцентраль» и получения мощности из внебалансовых </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энергоисточников по сетям АО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Атырау Жарык</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из России и по сетям АО «КЕГОК» из Мангистауской области. </w:t>
      </w:r>
    </w:p>
    <w:p w14:paraId="1D6E99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Атырауская ТЭЦ газотурбинными установками суммарной мощностью 414 МВт полностью обеспечивает потребности Атырауской области электроэнергией. Газотурбинные электростанции суммарной мощностью 18 МВт АО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АНПЗ</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обеспечивает нужды в электроэнерги</w:t>
      </w:r>
      <w:r w:rsidRPr="00F0736F">
        <w:rPr>
          <w:rFonts w:ascii="Times New Roman" w:hAnsi="Times New Roman" w:cs="Times New Roman"/>
          <w:color w:val="000000" w:themeColor="text1"/>
          <w:lang w:val="kk-KZ"/>
        </w:rPr>
        <w:t>и</w:t>
      </w:r>
      <w:r w:rsidRPr="00F0736F">
        <w:rPr>
          <w:rFonts w:ascii="Times New Roman" w:hAnsi="Times New Roman" w:cs="Times New Roman"/>
          <w:color w:val="000000" w:themeColor="text1"/>
        </w:rPr>
        <w:t xml:space="preserve"> Атырауского НПЗ. Газотурбинные электростанции суммарной мощностью 478 МВт ГТС-144 и ГТС-480 покрывают потребности объектов ТОО «Тенгизшевройл» (ТШО). Газотурбинные электростанции суммарной мощностью 236 МВт компании NCOC обеспечивают нужды завода Карабатан. Электроэнергия с ТОО «МАЭК - Казатомпром» поставляется сетями АО «КЕГОК». На балансе АО «КЕГОК» линии электропередач протяженностью</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1679,5 км и 5 подстанций напряжением 220 кВт.</w:t>
      </w:r>
    </w:p>
    <w:p w14:paraId="36F7EBC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начато строительство 3-х подстанций (220 кВ «Бозарык», 110 кВ «Акжар») на общую сумму 1 млрд. тенге. Строительство данных объектов переходит на 2020 год.</w:t>
      </w:r>
    </w:p>
    <w:p w14:paraId="601E13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при вводе в эксплуатацию подстанций будет достигнуто обеспечение качественной электроэнергией 250 тысяч человек.</w:t>
      </w:r>
    </w:p>
    <w:p w14:paraId="7CCFC168" w14:textId="2C0D378F"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Передача и распределение электрической энергии от Атырауской ТЭЦ</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осущ</w:t>
      </w:r>
      <w:r w:rsidRPr="00F0736F">
        <w:rPr>
          <w:rFonts w:ascii="Times New Roman" w:hAnsi="Times New Roman" w:cs="Times New Roman"/>
          <w:color w:val="000000" w:themeColor="text1"/>
          <w:lang w:val="kk-KZ"/>
        </w:rPr>
        <w:t>ес</w:t>
      </w:r>
      <w:r w:rsidRPr="00F0736F">
        <w:rPr>
          <w:rFonts w:ascii="Times New Roman" w:hAnsi="Times New Roman" w:cs="Times New Roman"/>
          <w:color w:val="000000" w:themeColor="text1"/>
        </w:rPr>
        <w:t>твляется по электрическим сетям, находящимся на балансе региональной</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электросетевой компании (РЭК) АО «Атырау Жарык», включающим в себя комплекс линий электропередачи протяженностью 9475,9 км, 1714 ед. трансформаторных подстанций, 77 ед. подстанций напряжением 0,4-110 кВ. Также имеются сети АО «КазахстанТемирЖолы» </w:t>
      </w:r>
      <w:r w:rsidRPr="00F0736F">
        <w:rPr>
          <w:rFonts w:ascii="Times New Roman" w:hAnsi="Times New Roman" w:cs="Times New Roman"/>
          <w:color w:val="000000" w:themeColor="text1"/>
          <w:lang w:val="kk-KZ"/>
        </w:rPr>
        <w:t xml:space="preserve">(ЭЧ-4) </w:t>
      </w:r>
      <w:r w:rsidRPr="00F0736F">
        <w:rPr>
          <w:rFonts w:ascii="Times New Roman" w:hAnsi="Times New Roman" w:cs="Times New Roman"/>
          <w:color w:val="000000" w:themeColor="text1"/>
        </w:rPr>
        <w:t>протяженностью</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733 км линии электропередач, трансформаторных подстанций 90 шт. и 1 подстанция. Кроме того, на балансе акиматов и районов имеются коммунальные сети электроснабжения протяженностью 1499,24 км линий электропередач, 585 шт. трансформаторных и 1 подстанция. Всего по области 13 701,3 км линий электропередач, 2389 трансформаторных подстанций, 84 подстанции. </w:t>
      </w:r>
    </w:p>
    <w:p w14:paraId="493BA16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области проводятся мероприятия по внедрению проектов </w:t>
      </w:r>
      <w:r w:rsidRPr="00F0736F">
        <w:rPr>
          <w:rFonts w:ascii="Times New Roman" w:hAnsi="Times New Roman" w:cs="Times New Roman"/>
          <w:b/>
          <w:bCs/>
          <w:color w:val="000000" w:themeColor="text1"/>
        </w:rPr>
        <w:t>возобновляемых источников энергии.</w:t>
      </w:r>
      <w:r w:rsidRPr="00F0736F">
        <w:rPr>
          <w:rFonts w:ascii="Times New Roman" w:hAnsi="Times New Roman" w:cs="Times New Roman"/>
          <w:color w:val="000000" w:themeColor="text1"/>
        </w:rPr>
        <w:t xml:space="preserve"> Для обеспечения стабильной электроэнергией крестьянских хозяйств отдаленных населенных пунктов Исатайского, Индерского, Курмангазинского, Макатского, Кызылкогинского районов на приобретение возобновляемых источников энергии в рамках программы «Занятость – 2020» выделено 67 630,2 тыс. тенге для строительства 7 ветровых и 19 солнечных электростанций мощностью от 2 до 5 кВт.</w:t>
      </w:r>
    </w:p>
    <w:p w14:paraId="0FAABD9D" w14:textId="77777777" w:rsidR="00AC1D5B" w:rsidRPr="00F0736F" w:rsidRDefault="00AC1D5B" w:rsidP="00AC1D5B">
      <w:pPr>
        <w:ind w:firstLine="709"/>
        <w:jc w:val="both"/>
        <w:rPr>
          <w:color w:val="000000" w:themeColor="text1"/>
        </w:rPr>
      </w:pPr>
      <w:r w:rsidRPr="00F0736F">
        <w:rPr>
          <w:rFonts w:ascii="Times New Roman" w:eastAsia="Arial Unicode MS" w:hAnsi="Times New Roman" w:cs="Times New Roman"/>
          <w:color w:val="000000" w:themeColor="text1"/>
          <w:lang w:val="kk-KZ" w:eastAsia="ar-SA"/>
        </w:rPr>
        <w:t>По Атырауской области в Исатайском районе в селе Манаш 2016 году было начато строительство ветроэлектростанци</w:t>
      </w:r>
      <w:r w:rsidRPr="00F0736F">
        <w:rPr>
          <w:rFonts w:ascii="Times New Roman" w:eastAsia="Arial Unicode MS" w:hAnsi="Times New Roman" w:cs="Times New Roman"/>
          <w:color w:val="000000" w:themeColor="text1"/>
          <w:lang w:eastAsia="ar-SA"/>
        </w:rPr>
        <w:t>и</w:t>
      </w:r>
      <w:r w:rsidRPr="00F0736F">
        <w:rPr>
          <w:rFonts w:ascii="Times New Roman" w:eastAsia="Arial Unicode MS" w:hAnsi="Times New Roman" w:cs="Times New Roman"/>
          <w:color w:val="000000" w:themeColor="text1"/>
          <w:lang w:val="kk-KZ" w:eastAsia="ar-SA"/>
        </w:rPr>
        <w:t xml:space="preserve"> 52,8 мВт. Было запланировано установить 36 ветро</w:t>
      </w:r>
      <w:r w:rsidRPr="00F0736F">
        <w:rPr>
          <w:rFonts w:ascii="Times New Roman" w:eastAsia="Arial Unicode MS" w:hAnsi="Times New Roman" w:cs="Times New Roman"/>
          <w:color w:val="000000" w:themeColor="text1"/>
          <w:lang w:eastAsia="ar-SA"/>
        </w:rPr>
        <w:t>агрегатов</w:t>
      </w:r>
      <w:r w:rsidRPr="00F0736F">
        <w:rPr>
          <w:rFonts w:ascii="Times New Roman" w:eastAsia="Arial Unicode MS" w:hAnsi="Times New Roman" w:cs="Times New Roman"/>
          <w:color w:val="000000" w:themeColor="text1"/>
          <w:lang w:val="kk-KZ" w:eastAsia="ar-SA"/>
        </w:rPr>
        <w:t>. На 2018</w:t>
      </w:r>
      <w:r w:rsidRPr="00F0736F">
        <w:rPr>
          <w:rFonts w:ascii="Times New Roman" w:eastAsia="Arial Unicode MS" w:hAnsi="Times New Roman" w:cs="Times New Roman"/>
          <w:color w:val="000000" w:themeColor="text1"/>
          <w:lang w:eastAsia="ar-SA"/>
        </w:rPr>
        <w:t xml:space="preserve"> год </w:t>
      </w:r>
      <w:r w:rsidRPr="00F0736F">
        <w:rPr>
          <w:rFonts w:ascii="Times New Roman" w:eastAsia="Arial Unicode MS" w:hAnsi="Times New Roman" w:cs="Times New Roman"/>
          <w:color w:val="000000" w:themeColor="text1"/>
          <w:lang w:val="kk-KZ" w:eastAsia="ar-SA"/>
        </w:rPr>
        <w:t xml:space="preserve">было построено 24 </w:t>
      </w:r>
      <w:r w:rsidRPr="00F0736F">
        <w:rPr>
          <w:rFonts w:ascii="Times New Roman" w:eastAsia="Arial Unicode MS" w:hAnsi="Times New Roman" w:cs="Times New Roman"/>
          <w:color w:val="000000" w:themeColor="text1"/>
          <w:lang w:eastAsia="ar-SA"/>
        </w:rPr>
        <w:t>агрегата</w:t>
      </w:r>
      <w:r w:rsidRPr="00F0736F">
        <w:rPr>
          <w:rFonts w:ascii="Times New Roman" w:eastAsia="Arial Unicode MS" w:hAnsi="Times New Roman" w:cs="Times New Roman"/>
          <w:color w:val="000000" w:themeColor="text1"/>
          <w:lang w:val="kk-KZ" w:eastAsia="ar-SA"/>
        </w:rPr>
        <w:t xml:space="preserve">. С окончанием </w:t>
      </w:r>
      <w:r w:rsidRPr="00F0736F">
        <w:rPr>
          <w:rFonts w:ascii="Times New Roman" w:eastAsia="Arial Unicode MS" w:hAnsi="Times New Roman" w:cs="Times New Roman"/>
          <w:color w:val="000000" w:themeColor="text1"/>
          <w:lang w:eastAsia="ar-SA"/>
        </w:rPr>
        <w:t>строительства в 2019 году</w:t>
      </w:r>
      <w:r w:rsidRPr="00F0736F">
        <w:rPr>
          <w:rFonts w:ascii="Times New Roman" w:eastAsia="Arial Unicode MS" w:hAnsi="Times New Roman" w:cs="Times New Roman"/>
          <w:color w:val="000000" w:themeColor="text1"/>
          <w:lang w:val="kk-KZ" w:eastAsia="ar-SA"/>
        </w:rPr>
        <w:t xml:space="preserve"> </w:t>
      </w:r>
      <w:r w:rsidRPr="00F0736F">
        <w:rPr>
          <w:rFonts w:ascii="Times New Roman" w:eastAsia="Arial Unicode MS" w:hAnsi="Times New Roman" w:cs="Times New Roman"/>
          <w:color w:val="000000" w:themeColor="text1"/>
          <w:lang w:eastAsia="ar-SA"/>
        </w:rPr>
        <w:t>доля возобновляемых</w:t>
      </w:r>
      <w:r w:rsidRPr="00F0736F">
        <w:rPr>
          <w:rFonts w:ascii="Times New Roman" w:eastAsia="Arial Unicode MS" w:hAnsi="Times New Roman" w:cs="Times New Roman"/>
          <w:color w:val="000000" w:themeColor="text1"/>
          <w:lang w:val="kk-KZ" w:eastAsia="ar-SA"/>
        </w:rPr>
        <w:t xml:space="preserve"> </w:t>
      </w:r>
      <w:r w:rsidRPr="00F0736F">
        <w:rPr>
          <w:rFonts w:ascii="Times New Roman" w:eastAsia="Arial Unicode MS" w:hAnsi="Times New Roman" w:cs="Times New Roman"/>
          <w:color w:val="000000" w:themeColor="text1"/>
          <w:lang w:eastAsia="ar-SA"/>
        </w:rPr>
        <w:t>источников</w:t>
      </w:r>
      <w:r w:rsidRPr="00F0736F">
        <w:rPr>
          <w:rFonts w:ascii="Times New Roman" w:eastAsia="Arial Unicode MS" w:hAnsi="Times New Roman" w:cs="Times New Roman"/>
          <w:color w:val="000000" w:themeColor="text1"/>
          <w:lang w:val="kk-KZ" w:eastAsia="ar-SA"/>
        </w:rPr>
        <w:t xml:space="preserve"> электроэнергии </w:t>
      </w:r>
      <w:r w:rsidRPr="00F0736F">
        <w:rPr>
          <w:rFonts w:ascii="Times New Roman" w:eastAsia="Arial Unicode MS" w:hAnsi="Times New Roman" w:cs="Times New Roman"/>
          <w:color w:val="000000" w:themeColor="text1"/>
          <w:lang w:eastAsia="ar-SA"/>
        </w:rPr>
        <w:t>в области составила</w:t>
      </w:r>
      <w:r w:rsidRPr="00F0736F">
        <w:rPr>
          <w:rFonts w:ascii="Times New Roman" w:eastAsia="Arial Unicode MS" w:hAnsi="Times New Roman" w:cs="Times New Roman"/>
          <w:color w:val="000000" w:themeColor="text1"/>
          <w:lang w:val="kk-KZ" w:eastAsia="ar-SA"/>
        </w:rPr>
        <w:t xml:space="preserve"> 4%. </w:t>
      </w:r>
    </w:p>
    <w:p w14:paraId="2438EC6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Атырауской области с 2017 года в рамках государственно-частного партнерства осуществляется проект «Строительство сети уличного освещения в Атырау». Подрядчик проекта - АО «Батыс Транзит». В рамках данного проекта построено 39 улиц общей протяженностью 106 километров, установлены 20 трансформаторных станций и 42 блока систем автоматического управления освещением и 2816 светодиодов. Стоимость проекта: 5,2 млрд. тенге.</w:t>
      </w:r>
    </w:p>
    <w:p w14:paraId="36D2FAD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области имеется 5 источников централизованного </w:t>
      </w:r>
      <w:r w:rsidRPr="00F0736F">
        <w:rPr>
          <w:rFonts w:ascii="Times New Roman" w:hAnsi="Times New Roman" w:cs="Times New Roman"/>
          <w:b/>
          <w:bCs/>
          <w:color w:val="000000" w:themeColor="text1"/>
        </w:rPr>
        <w:t>теплоснабжения</w:t>
      </w:r>
      <w:r w:rsidRPr="00F0736F">
        <w:rPr>
          <w:rFonts w:ascii="Times New Roman" w:hAnsi="Times New Roman" w:cs="Times New Roman"/>
          <w:color w:val="000000" w:themeColor="text1"/>
        </w:rPr>
        <w:t xml:space="preserve"> и 634 - автономного теплоснабжения.</w:t>
      </w:r>
    </w:p>
    <w:p w14:paraId="56EF1EB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Источником централизованного теплоснабжения города Атырау является</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Атырауская</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ТЭЦ 14 котлоагрегатами с пиковыми водогрейными котельными с установленной мощностью 736 Гкал/ч. В зону централизованного теплоснабжения входят правобережье, левобережье и Юго-восточный промышленный район. Имеется также котельная мощностью 13,23 Гкал/час в районе 1-го участка г. Атырау, которое на балансе КГП «АтырауСуАрнасы».</w:t>
      </w:r>
    </w:p>
    <w:p w14:paraId="2E7A4D4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Тепло потребителям г. Атырау подается по сетям АО «Атырауские Тепловые</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Сети». На балансе АО «Атырауские Тепловые Сети» имеются 426,7 км тепловых сетей, 44 теплопункта. </w:t>
      </w:r>
      <w:r w:rsidRPr="00F0736F">
        <w:rPr>
          <w:rFonts w:ascii="Times New Roman" w:eastAsia="Arial Unicode MS" w:hAnsi="Times New Roman" w:cs="Times New Roman"/>
          <w:color w:val="000000" w:themeColor="text1"/>
          <w:lang w:val="kk-KZ" w:eastAsia="ar-SA"/>
        </w:rPr>
        <w:t xml:space="preserve">Всего </w:t>
      </w:r>
      <w:r w:rsidRPr="00F0736F">
        <w:rPr>
          <w:rFonts w:ascii="Times New Roman" w:eastAsia="Arial Unicode MS" w:hAnsi="Times New Roman" w:cs="Times New Roman"/>
          <w:color w:val="000000" w:themeColor="text1"/>
          <w:lang w:eastAsia="ar-SA"/>
        </w:rPr>
        <w:t>в 2019 году имелось</w:t>
      </w:r>
      <w:r w:rsidRPr="00F0736F">
        <w:rPr>
          <w:rFonts w:ascii="Times New Roman" w:eastAsia="Arial Unicode MS" w:hAnsi="Times New Roman" w:cs="Times New Roman"/>
          <w:color w:val="000000" w:themeColor="text1"/>
          <w:lang w:val="kk-KZ" w:eastAsia="ar-SA"/>
        </w:rPr>
        <w:t xml:space="preserve"> 290,8 км тепловых сетей, в том числе 110 – </w:t>
      </w:r>
      <w:r w:rsidRPr="00F0736F">
        <w:rPr>
          <w:rFonts w:ascii="Times New Roman" w:eastAsia="Arial Unicode MS" w:hAnsi="Times New Roman" w:cs="Times New Roman"/>
          <w:color w:val="000000" w:themeColor="text1"/>
          <w:lang w:eastAsia="ar-SA"/>
        </w:rPr>
        <w:t xml:space="preserve">ветхие и </w:t>
      </w:r>
      <w:r w:rsidRPr="00F0736F">
        <w:rPr>
          <w:rFonts w:ascii="Times New Roman" w:eastAsia="Arial Unicode MS" w:hAnsi="Times New Roman" w:cs="Times New Roman"/>
          <w:color w:val="000000" w:themeColor="text1"/>
          <w:lang w:val="kk-KZ" w:eastAsia="ar-SA"/>
        </w:rPr>
        <w:t xml:space="preserve">95,3 км – </w:t>
      </w:r>
      <w:r w:rsidRPr="00F0736F">
        <w:rPr>
          <w:rFonts w:ascii="Times New Roman" w:eastAsia="Arial Unicode MS" w:hAnsi="Times New Roman" w:cs="Times New Roman"/>
          <w:color w:val="000000" w:themeColor="text1"/>
          <w:lang w:eastAsia="ar-SA"/>
        </w:rPr>
        <w:t xml:space="preserve">нуждаются в замене. </w:t>
      </w:r>
    </w:p>
    <w:p w14:paraId="24F3DE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Существующая сеть </w:t>
      </w:r>
      <w:r w:rsidRPr="00F0736F">
        <w:rPr>
          <w:rFonts w:ascii="Times New Roman" w:hAnsi="Times New Roman" w:cs="Times New Roman"/>
          <w:b/>
          <w:bCs/>
          <w:color w:val="000000" w:themeColor="text1"/>
        </w:rPr>
        <w:t>газопроводов</w:t>
      </w:r>
      <w:r w:rsidRPr="00F0736F">
        <w:rPr>
          <w:rFonts w:ascii="Times New Roman" w:hAnsi="Times New Roman" w:cs="Times New Roman"/>
          <w:color w:val="000000" w:themeColor="text1"/>
        </w:rPr>
        <w:t xml:space="preserve"> Атырауской области в настоящее время позволяет из 166 населенных пунктов обеспечить природным газом 2 города и 130 села. Уровень газификации населенных пунктов 79,5%. Негазифицированными остаются 34 населенных пункта. </w:t>
      </w:r>
    </w:p>
    <w:p w14:paraId="3AADE32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Природный газ с ТОО «Тенгизшевройл» осуществляется сетями</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АФ АО «ИнтерГазЦентральнаяАзия» от магистральных газопроводов республиканского значения средняя Азия Центр и Макат - Северный Кавказ. Газоснабжение области производят АФ АО «КазТрансГазАймақ», ТОО «АтырауГазИнвест» и ТОО «ЖылыойГаз». </w:t>
      </w:r>
      <w:r w:rsidRPr="00F0736F">
        <w:rPr>
          <w:rFonts w:ascii="Times New Roman" w:eastAsia="Arial Unicode MS" w:hAnsi="Times New Roman" w:cs="Times New Roman"/>
          <w:color w:val="000000" w:themeColor="text1"/>
          <w:lang w:val="kk-KZ" w:eastAsia="ar-SA"/>
        </w:rPr>
        <w:t>Общая протяженность газопроводов по области составляет 5448,5 км.</w:t>
      </w:r>
    </w:p>
    <w:p w14:paraId="3BF0026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Как показывает структура энергопотребления Атырауского региона, 71%</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приходится на промышленный сектор, в том числе энергетика, 4,5% - на транспортный сектор, 18% - население, 4% - сельское хозяйство, 2,5% - другие отрасли экономики.</w:t>
      </w:r>
    </w:p>
    <w:p w14:paraId="0199A6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84</w:t>
      </w:r>
      <w:r w:rsidRPr="00F0736F">
        <w:rPr>
          <w:rFonts w:ascii="Times New Roman" w:hAnsi="Times New Roman" w:cs="Times New Roman"/>
          <w:color w:val="000000" w:themeColor="text1"/>
        </w:rPr>
        <w:t xml:space="preserve">% жилого фонда региона в надлежащем состоянии, </w:t>
      </w:r>
      <w:r w:rsidRPr="00F0736F">
        <w:rPr>
          <w:rFonts w:ascii="Times New Roman" w:hAnsi="Times New Roman" w:cs="Times New Roman"/>
          <w:color w:val="000000" w:themeColor="text1"/>
          <w:lang w:val="kk-KZ"/>
        </w:rPr>
        <w:t>12</w:t>
      </w:r>
      <w:r w:rsidRPr="00F0736F">
        <w:rPr>
          <w:rFonts w:ascii="Times New Roman" w:hAnsi="Times New Roman" w:cs="Times New Roman"/>
          <w:color w:val="000000" w:themeColor="text1"/>
        </w:rPr>
        <w:t xml:space="preserve">% требует ремонта и </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в аварийном состоянии.</w:t>
      </w:r>
    </w:p>
    <w:p w14:paraId="7E8233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Уровень износа инженерных систем в коммунальном секторе Атырауского</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региона выглядит следующим образом:</w:t>
      </w:r>
    </w:p>
    <w:p w14:paraId="6408403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теплоснабжение 3</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3</w:t>
      </w:r>
      <w:r w:rsidRPr="00F0736F">
        <w:rPr>
          <w:rFonts w:ascii="Times New Roman" w:hAnsi="Times New Roman" w:cs="Times New Roman"/>
          <w:color w:val="000000" w:themeColor="text1"/>
        </w:rPr>
        <w:t>% в нормативном состоянии и 6</w:t>
      </w:r>
      <w:r w:rsidRPr="00F0736F">
        <w:rPr>
          <w:rFonts w:ascii="Times New Roman" w:hAnsi="Times New Roman" w:cs="Times New Roman"/>
          <w:color w:val="000000" w:themeColor="text1"/>
          <w:lang w:val="kk-KZ"/>
        </w:rPr>
        <w:t>0</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требует ремонта (общая протяженность 5</w:t>
      </w:r>
      <w:r w:rsidRPr="00F0736F">
        <w:rPr>
          <w:rFonts w:ascii="Times New Roman" w:hAnsi="Times New Roman" w:cs="Times New Roman"/>
          <w:color w:val="000000" w:themeColor="text1"/>
          <w:lang w:val="kk-KZ"/>
        </w:rPr>
        <w:t>20 км</w:t>
      </w:r>
      <w:r w:rsidRPr="00F0736F">
        <w:rPr>
          <w:rFonts w:ascii="Times New Roman" w:hAnsi="Times New Roman" w:cs="Times New Roman"/>
          <w:color w:val="000000" w:themeColor="text1"/>
        </w:rPr>
        <w:t>);</w:t>
      </w:r>
    </w:p>
    <w:p w14:paraId="2B945FE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электроснабжение 5</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 в нормативном состоянии и 4</w:t>
      </w:r>
      <w:r w:rsidRPr="00F0736F">
        <w:rPr>
          <w:rFonts w:ascii="Times New Roman" w:hAnsi="Times New Roman" w:cs="Times New Roman"/>
          <w:color w:val="000000" w:themeColor="text1"/>
          <w:lang w:val="kk-KZ"/>
        </w:rPr>
        <w:t>1</w:t>
      </w:r>
      <w:r w:rsidRPr="00F0736F">
        <w:rPr>
          <w:rFonts w:ascii="Times New Roman" w:hAnsi="Times New Roman" w:cs="Times New Roman"/>
          <w:color w:val="000000" w:themeColor="text1"/>
        </w:rPr>
        <w:t xml:space="preserve">% требует ремонта (общая протяженность </w:t>
      </w:r>
      <w:r w:rsidRPr="00F0736F">
        <w:rPr>
          <w:rFonts w:ascii="Times New Roman" w:hAnsi="Times New Roman" w:cs="Times New Roman"/>
          <w:color w:val="000000" w:themeColor="text1"/>
          <w:lang w:val="kk-KZ"/>
        </w:rPr>
        <w:t>13 103,4 км</w:t>
      </w:r>
      <w:r w:rsidRPr="00F0736F">
        <w:rPr>
          <w:rFonts w:ascii="Times New Roman" w:hAnsi="Times New Roman" w:cs="Times New Roman"/>
          <w:color w:val="000000" w:themeColor="text1"/>
        </w:rPr>
        <w:t>);</w:t>
      </w:r>
    </w:p>
    <w:p w14:paraId="763056FE" w14:textId="21C89B7F"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газоснабжение </w:t>
      </w:r>
      <w:r w:rsidRPr="00F0736F">
        <w:rPr>
          <w:rFonts w:ascii="Times New Roman" w:hAnsi="Times New Roman" w:cs="Times New Roman"/>
          <w:color w:val="000000" w:themeColor="text1"/>
          <w:lang w:val="kk-KZ"/>
        </w:rPr>
        <w:t>67</w:t>
      </w:r>
      <w:r w:rsidRPr="00F0736F">
        <w:rPr>
          <w:rFonts w:ascii="Times New Roman" w:hAnsi="Times New Roman" w:cs="Times New Roman"/>
          <w:color w:val="000000" w:themeColor="text1"/>
        </w:rPr>
        <w:t xml:space="preserve">% в нормативном состоянии и </w:t>
      </w:r>
      <w:r w:rsidRPr="00F0736F">
        <w:rPr>
          <w:rFonts w:ascii="Times New Roman" w:hAnsi="Times New Roman" w:cs="Times New Roman"/>
          <w:color w:val="000000" w:themeColor="text1"/>
          <w:lang w:val="kk-KZ"/>
        </w:rPr>
        <w:t>33</w:t>
      </w:r>
      <w:r w:rsidRPr="00F0736F">
        <w:rPr>
          <w:rFonts w:ascii="Times New Roman" w:hAnsi="Times New Roman" w:cs="Times New Roman"/>
          <w:color w:val="000000" w:themeColor="text1"/>
        </w:rPr>
        <w:t xml:space="preserve">% требует ремонта (общая протяженность </w:t>
      </w:r>
      <w:r w:rsidRPr="00F0736F">
        <w:rPr>
          <w:rFonts w:ascii="Times New Roman" w:hAnsi="Times New Roman" w:cs="Times New Roman"/>
          <w:color w:val="000000" w:themeColor="text1"/>
          <w:lang w:val="kk-KZ"/>
        </w:rPr>
        <w:t>5448,5 км</w:t>
      </w:r>
      <w:r w:rsidRPr="00F0736F">
        <w:rPr>
          <w:rFonts w:ascii="Times New Roman" w:hAnsi="Times New Roman" w:cs="Times New Roman"/>
          <w:color w:val="000000" w:themeColor="text1"/>
        </w:rPr>
        <w:t>).</w:t>
      </w:r>
    </w:p>
    <w:p w14:paraId="378636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уличном освещении на сегодняшний день имеется 13 927 светоточек (лампочек) наружного освещения, в том числе энергосберегающих 70%, или 9811 (количество) светоточек.</w:t>
      </w:r>
    </w:p>
    <w:p w14:paraId="32F6D8A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Реализация мер по энергосбережению является в настоящее время одним из основных инструментов модернизации промышленности, жилищно-коммунального хозяйства и транспортного сектора. Успешная реализация мер по энергосбережению и повышению энергоэффективности обеспечивает энергетическую и экологическую безопасность, а также повышение конкурентоспособности экономики Атырауского региона.</w:t>
      </w:r>
    </w:p>
    <w:p w14:paraId="42E33ADE"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22561E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Доступ городского населения к </w:t>
      </w:r>
      <w:r w:rsidRPr="00F0736F">
        <w:rPr>
          <w:rFonts w:ascii="Times New Roman" w:hAnsi="Times New Roman" w:cs="Times New Roman"/>
          <w:b/>
          <w:bCs/>
          <w:color w:val="000000" w:themeColor="text1"/>
        </w:rPr>
        <w:t>централизованному водоснабжению</w:t>
      </w:r>
      <w:r w:rsidRPr="00F0736F">
        <w:rPr>
          <w:rFonts w:ascii="Times New Roman" w:hAnsi="Times New Roman" w:cs="Times New Roman"/>
          <w:color w:val="000000" w:themeColor="text1"/>
        </w:rPr>
        <w:t xml:space="preserve"> составляет </w:t>
      </w:r>
      <w:r w:rsidRPr="00F0736F">
        <w:rPr>
          <w:rFonts w:ascii="Times New Roman" w:hAnsi="Times New Roman" w:cs="Times New Roman"/>
          <w:color w:val="000000" w:themeColor="text1"/>
          <w:lang w:val="kk-KZ"/>
        </w:rPr>
        <w:t>100</w:t>
      </w:r>
      <w:r w:rsidRPr="00F0736F">
        <w:rPr>
          <w:rFonts w:ascii="Times New Roman" w:hAnsi="Times New Roman" w:cs="Times New Roman"/>
          <w:color w:val="000000" w:themeColor="text1"/>
        </w:rPr>
        <w:t>% по г. Атырау и г. Кульсары. Всего по области в 2018 году имелось 164 сельских населенных пункта (СНП) (</w:t>
      </w:r>
      <w:r w:rsidRPr="00F0736F">
        <w:rPr>
          <w:rFonts w:ascii="Times New Roman" w:hAnsi="Times New Roman" w:cs="Times New Roman"/>
          <w:color w:val="000000" w:themeColor="text1"/>
          <w:lang w:val="kk-KZ"/>
        </w:rPr>
        <w:t>328 575</w:t>
      </w:r>
      <w:r w:rsidRPr="00F0736F">
        <w:rPr>
          <w:rFonts w:ascii="Times New Roman" w:hAnsi="Times New Roman" w:cs="Times New Roman"/>
          <w:color w:val="000000" w:themeColor="text1"/>
        </w:rPr>
        <w:t xml:space="preserve"> человек), из которых 130 СНП, или 79,2%, имеют доступ к централизованному водоснабжению, </w:t>
      </w:r>
      <w:r w:rsidRPr="00F0736F">
        <w:rPr>
          <w:rFonts w:ascii="Times New Roman" w:hAnsi="Times New Roman" w:cs="Times New Roman"/>
          <w:color w:val="000000" w:themeColor="text1"/>
          <w:lang w:val="kk-KZ"/>
        </w:rPr>
        <w:t>13</w:t>
      </w:r>
      <w:r w:rsidRPr="00F0736F">
        <w:rPr>
          <w:rFonts w:ascii="Times New Roman" w:hAnsi="Times New Roman" w:cs="Times New Roman"/>
          <w:color w:val="000000" w:themeColor="text1"/>
        </w:rPr>
        <w:t xml:space="preserve"> СНП, или 7,9%, пользуются децентрализованным водоснабжением, </w:t>
      </w:r>
      <w:r w:rsidRPr="00F0736F">
        <w:rPr>
          <w:rFonts w:ascii="Times New Roman" w:hAnsi="Times New Roman" w:cs="Times New Roman"/>
          <w:color w:val="000000" w:themeColor="text1"/>
          <w:lang w:val="kk-KZ"/>
        </w:rPr>
        <w:t>21</w:t>
      </w:r>
      <w:r w:rsidRPr="00F0736F">
        <w:rPr>
          <w:rFonts w:ascii="Times New Roman" w:hAnsi="Times New Roman" w:cs="Times New Roman"/>
          <w:color w:val="000000" w:themeColor="text1"/>
        </w:rPr>
        <w:t xml:space="preserve"> СНП или </w:t>
      </w:r>
      <w:r w:rsidRPr="00F0736F">
        <w:rPr>
          <w:rFonts w:ascii="Times New Roman" w:hAnsi="Times New Roman" w:cs="Times New Roman"/>
          <w:color w:val="000000" w:themeColor="text1"/>
          <w:lang w:val="kk-KZ"/>
        </w:rPr>
        <w:t>12,9</w:t>
      </w:r>
      <w:r w:rsidRPr="00F0736F">
        <w:rPr>
          <w:rFonts w:ascii="Times New Roman" w:hAnsi="Times New Roman" w:cs="Times New Roman"/>
          <w:color w:val="000000" w:themeColor="text1"/>
        </w:rPr>
        <w:t>% пользуются привозной водой.</w:t>
      </w:r>
    </w:p>
    <w:p w14:paraId="5CD19CA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Население области обеспечивается питьевой водой из подземных вод рек Урал, Кигач, Шарон, месторождения Коянды, Муздыбулак, Тайсойган, Кереген Сагиз и групповым водопроводом Кигач-Мангышлак.</w:t>
      </w:r>
    </w:p>
    <w:p w14:paraId="7072FAB2" w14:textId="673CC7C4"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Общая протяженность сетей водоснабжения по области в 2018 году – </w:t>
      </w:r>
      <w:r w:rsidRPr="00F0736F">
        <w:rPr>
          <w:rFonts w:ascii="Times New Roman" w:hAnsi="Times New Roman" w:cs="Times New Roman"/>
          <w:color w:val="000000" w:themeColor="text1"/>
          <w:lang w:val="kk-KZ"/>
        </w:rPr>
        <w:t>4137,5</w:t>
      </w:r>
      <w:r w:rsidRPr="00F0736F">
        <w:rPr>
          <w:rFonts w:ascii="Times New Roman" w:hAnsi="Times New Roman" w:cs="Times New Roman"/>
          <w:color w:val="000000" w:themeColor="text1"/>
        </w:rPr>
        <w:t xml:space="preserve"> км в 2019 году – 4212,2 км, из них только 77,2 км нуждались в замене в 2018 году и 97,1 км в 2019 году (данные Комитета по статистике). </w:t>
      </w:r>
    </w:p>
    <w:p w14:paraId="060864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программы на 2011 - 2018 годы завершено строительство и сдано 108 объектов водоснабжения. В результате за этот период показатель централизованного водоснабжения сельских населенных пунктов увеличился с 52% до 79,2%. В городах 100% населения обеспечено централизованным водоснабжением.</w:t>
      </w:r>
    </w:p>
    <w:p w14:paraId="0B06E9B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Разработана проектно-сметная документация на строительство магистрального водопровода в с. Суюндук-Асан-Уштаган Курмангазинского района и строительство водопроводных сетей в с. Карагай Жылыойского района. </w:t>
      </w:r>
    </w:p>
    <w:p w14:paraId="2340DF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разрабатывается проектно-сметная документация на строительство систем водоснабжения в с. Алга, Караколь, Голбин, Кокарна и Котяев-Кудряшов Курмангазинского района.</w:t>
      </w:r>
    </w:p>
    <w:p w14:paraId="0ACD2E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области </w:t>
      </w:r>
      <w:r w:rsidRPr="00F0736F">
        <w:rPr>
          <w:rFonts w:ascii="Times New Roman" w:hAnsi="Times New Roman" w:cs="Times New Roman"/>
          <w:b/>
          <w:bCs/>
          <w:color w:val="000000" w:themeColor="text1"/>
        </w:rPr>
        <w:t>канализационные системы</w:t>
      </w:r>
      <w:r w:rsidRPr="00F0736F">
        <w:rPr>
          <w:rFonts w:ascii="Times New Roman" w:hAnsi="Times New Roman" w:cs="Times New Roman"/>
          <w:color w:val="000000" w:themeColor="text1"/>
        </w:rPr>
        <w:t xml:space="preserve"> имеются в городе Атырау, Кульсары и 12 населенных пунктах, что составляет </w:t>
      </w:r>
      <w:r w:rsidRPr="00F0736F">
        <w:rPr>
          <w:rFonts w:ascii="Times New Roman" w:hAnsi="Times New Roman" w:cs="Times New Roman"/>
          <w:color w:val="000000" w:themeColor="text1"/>
          <w:lang w:val="kk-KZ"/>
        </w:rPr>
        <w:t>8,4</w:t>
      </w:r>
      <w:r w:rsidRPr="00F0736F">
        <w:rPr>
          <w:rFonts w:ascii="Times New Roman" w:hAnsi="Times New Roman" w:cs="Times New Roman"/>
          <w:color w:val="000000" w:themeColor="text1"/>
        </w:rPr>
        <w:t xml:space="preserve">% от общего количества населенных пунктов. </w:t>
      </w:r>
      <w:r w:rsidRPr="00F0736F">
        <w:rPr>
          <w:rFonts w:ascii="Times New Roman" w:hAnsi="Times New Roman" w:cs="Times New Roman"/>
          <w:color w:val="000000" w:themeColor="text1"/>
          <w:lang w:val="kk-KZ"/>
        </w:rPr>
        <w:t xml:space="preserve">Общая протяженность канализационных сетей </w:t>
      </w:r>
      <w:r w:rsidRPr="00F0736F">
        <w:rPr>
          <w:rFonts w:ascii="Times New Roman" w:hAnsi="Times New Roman" w:cs="Times New Roman"/>
          <w:color w:val="000000" w:themeColor="text1"/>
        </w:rPr>
        <w:t xml:space="preserve">не меняется и составляет </w:t>
      </w:r>
      <w:r w:rsidRPr="00F0736F">
        <w:rPr>
          <w:rFonts w:ascii="Times New Roman" w:hAnsi="Times New Roman" w:cs="Times New Roman"/>
          <w:color w:val="000000" w:themeColor="text1"/>
          <w:lang w:val="kk-KZ"/>
        </w:rPr>
        <w:t>415,7 км, из них 62,8 км нуждается в замене</w:t>
      </w:r>
      <w:r w:rsidRPr="00F0736F">
        <w:rPr>
          <w:rFonts w:ascii="Times New Roman" w:hAnsi="Times New Roman" w:cs="Times New Roman"/>
          <w:color w:val="000000" w:themeColor="text1"/>
        </w:rPr>
        <w:t xml:space="preserve"> в 2018 году и 73,7 км в 2019 году </w:t>
      </w:r>
      <w:r w:rsidRPr="00F0736F">
        <w:rPr>
          <w:rFonts w:ascii="Times New Roman" w:hAnsi="Times New Roman" w:cs="Times New Roman"/>
          <w:color w:val="000000" w:themeColor="text1"/>
          <w:lang w:val="kk-KZ"/>
        </w:rPr>
        <w:t xml:space="preserve">(данные Комитета по статистике). </w:t>
      </w:r>
    </w:p>
    <w:p w14:paraId="7C87E96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0512B45F" w14:textId="7A8AB0FB"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За 2017-2019 годы</w:t>
      </w:r>
      <w:r w:rsidRPr="00F0736F">
        <w:rPr>
          <w:rFonts w:ascii="Times New Roman" w:hAnsi="Times New Roman" w:cs="Times New Roman"/>
          <w:color w:val="000000" w:themeColor="text1"/>
        </w:rPr>
        <w:t xml:space="preserve">, по данным Казгидромета </w:t>
      </w:r>
      <w:r w:rsidRPr="00F0736F">
        <w:rPr>
          <w:rFonts w:ascii="Times New Roman" w:hAnsi="Times New Roman" w:cs="Times New Roman"/>
          <w:b/>
          <w:bCs/>
          <w:color w:val="000000" w:themeColor="text1"/>
        </w:rPr>
        <w:t>уровень загрязнения атмосферного воздуха</w:t>
      </w:r>
      <w:r w:rsidRPr="00F0736F">
        <w:rPr>
          <w:rFonts w:ascii="Times New Roman" w:hAnsi="Times New Roman" w:cs="Times New Roman"/>
          <w:color w:val="000000" w:themeColor="text1"/>
        </w:rPr>
        <w:t xml:space="preserve"> города </w:t>
      </w:r>
      <w:r w:rsidRPr="00F0736F">
        <w:rPr>
          <w:rFonts w:ascii="Times New Roman" w:hAnsi="Times New Roman" w:cs="Times New Roman"/>
          <w:b/>
          <w:color w:val="000000" w:themeColor="text1"/>
        </w:rPr>
        <w:t>Атырау</w:t>
      </w:r>
      <w:r w:rsidRPr="00F0736F">
        <w:rPr>
          <w:rFonts w:ascii="Times New Roman" w:hAnsi="Times New Roman" w:cs="Times New Roman"/>
          <w:color w:val="000000" w:themeColor="text1"/>
        </w:rPr>
        <w:t xml:space="preserve"> наблюдался на 5 постах и оценивался как низкий в 2017 году  ИЗА составил 4 (низкий уровень), до высокого в 2018 и 2019 годах ИЗА составляет 7-8 (низкий уровень). СИ = </w:t>
      </w:r>
      <w:r w:rsidRPr="00F0736F">
        <w:rPr>
          <w:rFonts w:ascii="Times New Roman" w:hAnsi="Times New Roman" w:cs="Times New Roman"/>
          <w:color w:val="000000" w:themeColor="text1"/>
          <w:lang w:val="kk-KZ"/>
        </w:rPr>
        <w:t xml:space="preserve">13.6-52 </w:t>
      </w:r>
      <w:r w:rsidRPr="00F0736F">
        <w:rPr>
          <w:rFonts w:ascii="Times New Roman" w:hAnsi="Times New Roman" w:cs="Times New Roman"/>
          <w:color w:val="000000" w:themeColor="text1"/>
        </w:rPr>
        <w:t xml:space="preserve">(&gt;10 очень </w:t>
      </w:r>
      <w:r w:rsidRPr="00F0736F">
        <w:rPr>
          <w:rFonts w:ascii="Times New Roman" w:hAnsi="Times New Roman" w:cs="Times New Roman"/>
          <w:color w:val="000000" w:themeColor="text1"/>
          <w:lang w:val="kk-KZ"/>
        </w:rPr>
        <w:t>высокий уровень</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НП = 8 -18% (повышенный уровень)</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Средние концентрации озона (приземный) составили 1,1 ПДК</w:t>
      </w:r>
      <w:r w:rsidRPr="00F0736F">
        <w:rPr>
          <w:rFonts w:ascii="Times New Roman" w:hAnsi="Times New Roman" w:cs="Times New Roman"/>
          <w:color w:val="000000" w:themeColor="text1"/>
          <w:vertAlign w:val="subscript"/>
          <w:lang w:val="kk-KZ"/>
        </w:rPr>
        <w:t xml:space="preserve">с.с. </w:t>
      </w:r>
      <w:r w:rsidRPr="00F0736F">
        <w:rPr>
          <w:rFonts w:ascii="Times New Roman" w:hAnsi="Times New Roman" w:cs="Times New Roman"/>
          <w:color w:val="000000" w:themeColor="text1"/>
          <w:lang w:val="kk-KZ"/>
        </w:rPr>
        <w:t xml:space="preserve">(2017 </w:t>
      </w:r>
      <w:r w:rsidRPr="00F0736F">
        <w:rPr>
          <w:rFonts w:ascii="Times New Roman" w:hAnsi="Times New Roman" w:cs="Times New Roman"/>
          <w:color w:val="000000" w:themeColor="text1"/>
        </w:rPr>
        <w:t>год)</w:t>
      </w:r>
      <w:r w:rsidRPr="00F0736F">
        <w:rPr>
          <w:rFonts w:ascii="Times New Roman" w:hAnsi="Times New Roman" w:cs="Times New Roman"/>
          <w:color w:val="000000" w:themeColor="text1"/>
          <w:lang w:val="kk-KZ"/>
        </w:rPr>
        <w:t xml:space="preserve">, диоксида азота - 1,1 ПДКс.с. (2018 </w:t>
      </w:r>
      <w:r w:rsidRPr="00F0736F">
        <w:rPr>
          <w:rFonts w:ascii="Times New Roman" w:hAnsi="Times New Roman" w:cs="Times New Roman"/>
          <w:color w:val="000000" w:themeColor="text1"/>
        </w:rPr>
        <w:t xml:space="preserve">год). </w:t>
      </w:r>
      <w:r w:rsidRPr="00F0736F">
        <w:rPr>
          <w:rFonts w:ascii="Times New Roman" w:hAnsi="Times New Roman" w:cs="Times New Roman"/>
          <w:color w:val="000000" w:themeColor="text1"/>
          <w:lang w:val="kk-KZ"/>
        </w:rPr>
        <w:t>содержание других загрязняющих веществ не превышало ПДК</w:t>
      </w:r>
      <w:r w:rsidRPr="00F0736F">
        <w:rPr>
          <w:rFonts w:ascii="Times New Roman" w:hAnsi="Times New Roman" w:cs="Times New Roman"/>
          <w:color w:val="000000" w:themeColor="text1"/>
          <w:vertAlign w:val="superscript"/>
          <w:lang w:val="kk-KZ"/>
        </w:rPr>
        <w:footnoteReference w:id="143"/>
      </w:r>
      <w:r w:rsidRPr="00F0736F">
        <w:rPr>
          <w:rFonts w:ascii="Times New Roman" w:hAnsi="Times New Roman" w:cs="Times New Roman"/>
          <w:color w:val="000000" w:themeColor="text1"/>
          <w:lang w:val="kk-KZ"/>
        </w:rPr>
        <w:t>.</w:t>
      </w:r>
    </w:p>
    <w:p w14:paraId="399E55C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В регионе работают 147 природопользователей, относящихся к 1 категории опасности. Из них 6 предприятий, включенные в список крупных предприятий Республики:</w:t>
      </w:r>
      <w:r w:rsidRPr="00F0736F">
        <w:rPr>
          <w:rFonts w:ascii="Times New Roman" w:hAnsi="Times New Roman" w:cs="Times New Roman"/>
          <w:color w:val="000000" w:themeColor="text1"/>
        </w:rPr>
        <w:t xml:space="preserve"> ТОО «Тенгизшевройл», филиал «НортКаспианОперейтинг Компани Н.В.» (НКОК), Управление Магистральных Газопроводов «Атырау» АО «Интергаз Центральная Азия», Западный Филиал АО «КазТрансОйл», АО «ЭмбаМунайГаз», ТОО «Атырауский нефтеперерабатывающий завод», на которые приходится свыше 85% всех выбросов.</w:t>
      </w:r>
    </w:p>
    <w:p w14:paraId="0A4DDF7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Основная доля загрязнения воздушного бассейна (более 85%) области приходится на предприятия, занимающиеся нефтегазодобывающей и нефтеперерабатывающей хозяйственной деятельностью. </w:t>
      </w:r>
    </w:p>
    <w:p w14:paraId="688334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2016 году наблюдался пик фактических выбросов загрязняющих веществ в атмосферу, это связано с началом пуско-наладочных работ месторождения «Кашаган» и завода «Болашак» компании «НКОК». На сегодняшний день компания «НКОК» вышла на вторую очередь производственных показателей по добыче нефти.</w:t>
      </w:r>
    </w:p>
    <w:p w14:paraId="0C910C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настоящее время ТОО «Тенгизшевройл» ведет работы по дальнейшему расширению производства в рамках Проекта будущего расширения (ПБР).</w:t>
      </w:r>
    </w:p>
    <w:p w14:paraId="3395DC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Целью ПБР является увеличение производственных мощностей и достижение более высокого коэффициента нефтеотдачи. В рамках ПБР запланировано строительство Завода третьего поколения и Системы обратной закачки газа третьего поколения.</w:t>
      </w:r>
    </w:p>
    <w:p w14:paraId="1729C7F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целом как на лимитированные, так и на фактические показатели области влияет объем технологически неизбежного сжигания газа на факелах компаний ТШО и НКОК.</w:t>
      </w:r>
    </w:p>
    <w:p w14:paraId="38E9CFA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сравнению с 2017 годом в 2018 году наблюдается снижение объемов выбросов загрязняющих веществ в атмосферу 179,5 тыс. т., а в 2019 году до 164,5 тыс. т.</w:t>
      </w:r>
    </w:p>
    <w:p w14:paraId="7CD05A5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загрязнении атмосферного воздуха г. Атырау сказывается отсутствие канализационно–очистных сооружений в городе. Основными из источников выделения сероводорода являются поля испарения «Тухлая балка», «Квадрат» и канализационно-насосные станции. Причиной загрязнения атмосферного воздуха является насыщенность стоков растворенным газом сероводорода и их дальнейший сброс на поля испарения «Тухлая балка» и «Квадрат» без очистки. </w:t>
      </w:r>
    </w:p>
    <w:p w14:paraId="602599A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экологического регулирования и контроля Министерства энергетики РК, основной причиной высокого и экстремально высокого загрязнения атмосферного воздуха города Атырау сероводородом являются промышленные предприятия (ТОО «Атырауский нефтеперерабатывающий завод», Нефтеперекачивающая станция «663 км» АНУ ЗФ АО «КазТрансОйл», «Парк хранения сжиженного нефтяного газа»), расположенные на территории города, пруд-накопитель «Квадрат» в правобережной части города, а также поля испарения «Тухлая балка» в левобережной части.</w:t>
      </w:r>
    </w:p>
    <w:p w14:paraId="1D85BAB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Управлением природных ресурсов и регулирования природопользования в 2017- 2018 г.г. разработаны и в настоящий момент проходят стадию согласования целевые показатели качества окружающей среды Атырауской области на 2019 – 2023 гг. </w:t>
      </w:r>
    </w:p>
    <w:p w14:paraId="2E581C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Разработан комплекс мероприятий по достижению целевых показателей, в том числе по снижению загрязнения атмосферного воздуха г. Атырау сероводородом.</w:t>
      </w:r>
    </w:p>
    <w:p w14:paraId="054EF76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Для разработки сводного предельно-допустимого тома выбросов крупных нефтегазодобывающих предприятий, наиболее отрицательно влияющих на качество окружающей среды, из средств областного бюджета выделено 24,0 млн. тенге. Работы ведутся согласно графику на основании договора с ТОО «Nomad Eco».</w:t>
      </w:r>
    </w:p>
    <w:p w14:paraId="4176C72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постоянно увеличивается количество автотранспорта, работающего на газовом топливе. По данным областного департамента внутренних дел в 2017 году – 9 307 единиц, в 2018 году – 10 402 единиц, по состоянию на 1 мая 2019 года – 13 000 единиц автотранспорта.</w:t>
      </w:r>
    </w:p>
    <w:p w14:paraId="04C2B94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bCs/>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Атырауской области проводится филиалом РГП «Казгидромет» по Атырауской области на 4-х водных объектах (реки Урал, Эмба, рукав Кигач и протока Шаронова).</w:t>
      </w:r>
    </w:p>
    <w:p w14:paraId="3D4A7C4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bidi="ar-SA"/>
        </w:rPr>
        <w:t>Наблюдения за качеством морских вод в 2017 и 2018 годах проводились на следующих прибрежных станциях и вековых разрезах: морской судоходный канал, Тенгизское месторождение, взморье р. Жайык; острова залива Шалыги-Кулалы; дополнительные разрезы «А» и «В», Курмангазы, Дархан, Каламкас, район затопленных скважин, район о. Кулалы. Пробы морских вод были проанализированы на содержание взвешенных веществ, рН, растворимого кислорода, главных ионов, биогенных веществ, органических загрязнителей (нефтепродукты, фенолы), легкоокисляемых органических веществ (по БПК</w:t>
      </w:r>
      <w:r w:rsidRPr="00F0736F">
        <w:rPr>
          <w:rFonts w:ascii="Times New Roman" w:hAnsi="Times New Roman" w:cs="Times New Roman"/>
          <w:color w:val="000000" w:themeColor="text1"/>
          <w:vertAlign w:val="subscript"/>
          <w:lang w:eastAsia="ru-RU" w:bidi="ar-SA"/>
        </w:rPr>
        <w:t>5</w:t>
      </w:r>
      <w:r w:rsidRPr="00F0736F">
        <w:rPr>
          <w:rFonts w:ascii="Times New Roman" w:hAnsi="Times New Roman" w:cs="Times New Roman"/>
          <w:color w:val="000000" w:themeColor="text1"/>
          <w:lang w:eastAsia="ru-RU" w:bidi="ar-SA"/>
        </w:rPr>
        <w:t xml:space="preserve">), тяжелых металлов. </w:t>
      </w:r>
      <w:r w:rsidRPr="00F0736F">
        <w:rPr>
          <w:rFonts w:ascii="Times New Roman" w:hAnsi="Times New Roman" w:cs="Times New Roman"/>
          <w:color w:val="000000" w:themeColor="text1"/>
          <w:lang w:val="kk-KZ" w:eastAsia="ru-RU" w:bidi="ar-SA"/>
        </w:rPr>
        <w:t>Качество воды</w:t>
      </w:r>
      <w:r w:rsidRPr="00F0736F">
        <w:rPr>
          <w:rFonts w:ascii="Times New Roman" w:hAnsi="Times New Roman" w:cs="Times New Roman"/>
          <w:color w:val="000000" w:themeColor="text1"/>
          <w:lang w:eastAsia="ru-RU" w:bidi="ar-SA"/>
        </w:rPr>
        <w:t xml:space="preserve"> </w:t>
      </w:r>
      <w:r w:rsidRPr="00F0736F">
        <w:rPr>
          <w:rFonts w:ascii="Times New Roman" w:hAnsi="Times New Roman" w:cs="Times New Roman"/>
          <w:color w:val="000000" w:themeColor="text1"/>
          <w:lang w:val="kk-KZ" w:eastAsia="ru-RU" w:bidi="ar-SA"/>
        </w:rPr>
        <w:t>по КИЗВ</w:t>
      </w:r>
      <w:r w:rsidRPr="00F0736F">
        <w:rPr>
          <w:rFonts w:ascii="Times New Roman" w:hAnsi="Times New Roman" w:cs="Times New Roman"/>
          <w:color w:val="000000" w:themeColor="text1"/>
          <w:lang w:eastAsia="ru-RU" w:bidi="ar-SA"/>
        </w:rPr>
        <w:t xml:space="preserve"> </w:t>
      </w:r>
      <w:r w:rsidRPr="00F0736F">
        <w:rPr>
          <w:rFonts w:ascii="Times New Roman" w:hAnsi="Times New Roman" w:cs="Times New Roman"/>
          <w:color w:val="000000" w:themeColor="text1"/>
          <w:lang w:val="kk-KZ" w:eastAsia="ru-RU" w:bidi="ar-SA"/>
        </w:rPr>
        <w:t xml:space="preserve">по всех створах Северного Каспия </w:t>
      </w:r>
      <w:r w:rsidRPr="00F0736F">
        <w:rPr>
          <w:rFonts w:ascii="Times New Roman" w:eastAsia="MS Mincho" w:hAnsi="Times New Roman" w:cs="Times New Roman"/>
          <w:bCs/>
          <w:color w:val="000000" w:themeColor="text1"/>
          <w:lang w:val="kk-KZ" w:eastAsia="ru-RU" w:bidi="ar-SA"/>
        </w:rPr>
        <w:t>оценивается как</w:t>
      </w:r>
      <w:r w:rsidRPr="00F0736F">
        <w:rPr>
          <w:rFonts w:ascii="Times New Roman" w:eastAsia="MS Mincho" w:hAnsi="Times New Roman" w:cs="Times New Roman"/>
          <w:bCs/>
          <w:color w:val="000000" w:themeColor="text1"/>
          <w:lang w:eastAsia="ru-RU" w:bidi="ar-SA"/>
        </w:rPr>
        <w:t xml:space="preserve"> </w:t>
      </w:r>
      <w:r w:rsidRPr="00F0736F">
        <w:rPr>
          <w:rFonts w:ascii="Times New Roman" w:hAnsi="Times New Roman" w:cs="Times New Roman"/>
          <w:color w:val="000000" w:themeColor="text1"/>
          <w:lang w:eastAsia="ru-RU" w:bidi="ar-SA"/>
        </w:rPr>
        <w:t>«нормативно чистая». Превышения ПДК не обнаружено. По сравнению с 2016 годом качество воды</w:t>
      </w:r>
      <w:r w:rsidRPr="00F0736F">
        <w:rPr>
          <w:rFonts w:ascii="Times New Roman" w:hAnsi="Times New Roman" w:cs="Times New Roman"/>
          <w:color w:val="000000" w:themeColor="text1"/>
          <w:lang w:val="kk-KZ" w:eastAsia="ru-RU" w:bidi="ar-SA"/>
        </w:rPr>
        <w:t xml:space="preserve"> Северного Каспия </w:t>
      </w:r>
      <w:r w:rsidRPr="00F0736F">
        <w:rPr>
          <w:rFonts w:ascii="Times New Roman" w:eastAsia="MS Mincho" w:hAnsi="Times New Roman" w:cs="Times New Roman"/>
          <w:bCs/>
          <w:color w:val="000000" w:themeColor="text1"/>
          <w:lang w:eastAsia="ru-RU" w:bidi="ar-SA"/>
        </w:rPr>
        <w:t>осталось без изменений.</w:t>
      </w:r>
    </w:p>
    <w:p w14:paraId="6D8FC048" w14:textId="77777777" w:rsidR="00AC1D5B" w:rsidRPr="00F0736F" w:rsidRDefault="00AC1D5B" w:rsidP="00AC1D5B">
      <w:pPr>
        <w:ind w:firstLine="709"/>
        <w:jc w:val="both"/>
        <w:rPr>
          <w:color w:val="000000" w:themeColor="text1"/>
        </w:rPr>
      </w:pPr>
      <w:r w:rsidRPr="00F0736F">
        <w:rPr>
          <w:rFonts w:ascii="Times New Roman" w:eastAsia="MS Mincho" w:hAnsi="Times New Roman" w:cs="Times New Roman"/>
          <w:color w:val="000000" w:themeColor="text1"/>
          <w:lang w:eastAsia="ru-RU" w:bidi="ar-SA"/>
        </w:rPr>
        <w:t>В 2019 году</w:t>
      </w:r>
      <w:r w:rsidRPr="00F0736F">
        <w:rPr>
          <w:rFonts w:ascii="Times New Roman" w:eastAsia="MS Mincho" w:hAnsi="Times New Roman" w:cs="Times New Roman"/>
          <w:b/>
          <w:bCs/>
          <w:color w:val="000000" w:themeColor="text1"/>
          <w:lang w:eastAsia="ru-RU" w:bidi="ar-SA"/>
        </w:rPr>
        <w:t xml:space="preserve"> </w:t>
      </w:r>
      <w:r w:rsidRPr="00F0736F">
        <w:rPr>
          <w:rFonts w:ascii="Times New Roman" w:eastAsia="MS Mincho" w:hAnsi="Times New Roman" w:cs="Times New Roman"/>
          <w:bCs/>
          <w:color w:val="000000" w:themeColor="text1"/>
          <w:lang w:eastAsia="ru-RU" w:bidi="ar-SA"/>
        </w:rPr>
        <w:t xml:space="preserve">наблюдения за качеством морских вод проводились на следующих прибрежных станциях: Морской судоходный канал (2 точки), взморье р. Жайык (5 точек), Острова залива Шалыги (5 точек), взморье р. Волга (7 точек), п. Жанбай (5 точек). </w:t>
      </w:r>
      <w:r w:rsidRPr="00F0736F">
        <w:rPr>
          <w:rFonts w:ascii="Times New Roman" w:eastAsia="MS Mincho" w:hAnsi="Times New Roman" w:cs="Times New Roman"/>
          <w:color w:val="000000" w:themeColor="text1"/>
          <w:lang w:eastAsia="ru-RU" w:bidi="ar-SA"/>
        </w:rPr>
        <w:t>Качество воды водных объектов на территории Атырауской области за 2019 год оценивается следующим образом: не нормируются (&gt;5 класса) – Каспийское море.</w:t>
      </w:r>
    </w:p>
    <w:p w14:paraId="3ED085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связи с отсутствием очистки сточных вод в областном центре и накоплением большого объема неочищенных стоков, в 2017 году начато строительство канализационных очистных сооружений в левобережной части города Атырау мощностью 70000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 Кроме того, разрабатывается ПСД на реконструкцию КОС в правобережной части города Атырау.</w:t>
      </w:r>
    </w:p>
    <w:p w14:paraId="609825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декабре 2018 года на реке Урал случился массовый мор рыбы, по причине залпового сброса хлора и других загрязняющих веществ КГП «Атырау Су Арнасы» и АО «Атырауская ТЭЦ». В целом всего со 2 декабря 2018 года по 2</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xml:space="preserve"> марта 2019 года на реке Урал собрано </w:t>
      </w:r>
      <w:r w:rsidRPr="00F0736F">
        <w:rPr>
          <w:rFonts w:ascii="Times New Roman" w:hAnsi="Times New Roman" w:cs="Times New Roman"/>
          <w:color w:val="000000" w:themeColor="text1"/>
          <w:lang w:val="kk-KZ"/>
        </w:rPr>
        <w:t>118, 5</w:t>
      </w:r>
      <w:r w:rsidRPr="00F0736F">
        <w:rPr>
          <w:rFonts w:ascii="Times New Roman" w:hAnsi="Times New Roman" w:cs="Times New Roman"/>
          <w:color w:val="000000" w:themeColor="text1"/>
        </w:rPr>
        <w:t xml:space="preserve"> т. снулой рыбы. Но рыба погибла не только в реке, но и на рыборазводных предприятиях.  Расследование данного чрезвычайного случая еще продолжается.</w:t>
      </w:r>
    </w:p>
    <w:p w14:paraId="47ED646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4 апреля 2019 года получена первая часть заключения комплексной судебно-экологической экспертизы, согласно которой, р</w:t>
      </w:r>
      <w:r w:rsidRPr="00F0736F">
        <w:rPr>
          <w:rFonts w:ascii="Times New Roman" w:hAnsi="Times New Roman" w:cs="Times New Roman"/>
          <w:bCs/>
          <w:color w:val="000000" w:themeColor="text1"/>
          <w:lang w:val="kk-KZ"/>
        </w:rPr>
        <w:t xml:space="preserve">ыба, отобранная для экспертного исследования </w:t>
      </w:r>
      <w:r w:rsidRPr="00F0736F">
        <w:rPr>
          <w:rFonts w:ascii="Times New Roman" w:hAnsi="Times New Roman" w:cs="Times New Roman"/>
          <w:color w:val="000000" w:themeColor="text1"/>
        </w:rPr>
        <w:t>27 декабря 2018 года</w:t>
      </w:r>
      <w:r w:rsidRPr="00F0736F">
        <w:rPr>
          <w:rFonts w:ascii="Times New Roman" w:hAnsi="Times New Roman" w:cs="Times New Roman"/>
          <w:b/>
          <w:bCs/>
          <w:color w:val="000000" w:themeColor="text1"/>
        </w:rPr>
        <w:t xml:space="preserve"> </w:t>
      </w:r>
      <w:r w:rsidRPr="00F0736F">
        <w:rPr>
          <w:rFonts w:ascii="Times New Roman" w:hAnsi="Times New Roman" w:cs="Times New Roman"/>
          <w:bCs/>
          <w:color w:val="000000" w:themeColor="text1"/>
          <w:lang w:val="kk-KZ"/>
        </w:rPr>
        <w:t>из точек, начиная от ГКП «Атырау Су Арнасы» и ниже по течению реки Урал</w:t>
      </w:r>
      <w:r w:rsidRPr="00F0736F">
        <w:rPr>
          <w:rFonts w:ascii="Times New Roman" w:hAnsi="Times New Roman" w:cs="Times New Roman"/>
          <w:b/>
          <w:color w:val="000000" w:themeColor="text1"/>
        </w:rPr>
        <w:t>,</w:t>
      </w:r>
      <w:r w:rsidRPr="00F0736F">
        <w:rPr>
          <w:rFonts w:ascii="Times New Roman" w:hAnsi="Times New Roman" w:cs="Times New Roman"/>
          <w:b/>
          <w:bCs/>
          <w:color w:val="000000" w:themeColor="text1"/>
        </w:rPr>
        <w:t xml:space="preserve"> </w:t>
      </w:r>
      <w:r w:rsidRPr="00F0736F">
        <w:rPr>
          <w:rFonts w:ascii="Times New Roman" w:hAnsi="Times New Roman" w:cs="Times New Roman"/>
          <w:bCs/>
          <w:color w:val="000000" w:themeColor="text1"/>
          <w:lang w:val="kk-KZ"/>
        </w:rPr>
        <w:t>погибла в результате поступления в воду высокотоксичного хлора.</w:t>
      </w:r>
      <w:r w:rsidRPr="00F0736F">
        <w:rPr>
          <w:rFonts w:ascii="Times New Roman" w:hAnsi="Times New Roman" w:cs="Times New Roman"/>
          <w:b/>
          <w:bCs/>
          <w:color w:val="000000" w:themeColor="text1"/>
          <w:lang w:val="kk-KZ"/>
        </w:rPr>
        <w:t xml:space="preserve"> </w:t>
      </w:r>
      <w:r w:rsidRPr="00F0736F">
        <w:rPr>
          <w:rFonts w:ascii="Times New Roman" w:hAnsi="Times New Roman" w:cs="Times New Roman"/>
          <w:color w:val="000000" w:themeColor="text1"/>
          <w:lang w:val="kk-KZ"/>
        </w:rPr>
        <w:t>С</w:t>
      </w:r>
      <w:r w:rsidRPr="00F0736F">
        <w:rPr>
          <w:rFonts w:ascii="Times New Roman" w:hAnsi="Times New Roman" w:cs="Times New Roman"/>
          <w:color w:val="000000" w:themeColor="text1"/>
        </w:rPr>
        <w:t>огласно заключению экспертизы</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руководители </w:t>
      </w:r>
      <w:r w:rsidRPr="00F0736F">
        <w:rPr>
          <w:rFonts w:ascii="Times New Roman" w:hAnsi="Times New Roman" w:cs="Times New Roman"/>
          <w:color w:val="000000" w:themeColor="text1"/>
          <w:lang w:val="kk-KZ"/>
        </w:rPr>
        <w:t>ГК</w:t>
      </w:r>
      <w:r w:rsidRPr="00F0736F">
        <w:rPr>
          <w:rFonts w:ascii="Times New Roman" w:hAnsi="Times New Roman" w:cs="Times New Roman"/>
          <w:color w:val="000000" w:themeColor="text1"/>
        </w:rPr>
        <w:t>П «Атырау</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Су</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Арнасы» признаны подозреваемыми по делу, определена квалификация их деяний.</w:t>
      </w:r>
    </w:p>
    <w:p w14:paraId="7932D1C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2DA7EA16"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Твердые бытовые отходы.</w:t>
      </w:r>
      <w:r w:rsidRPr="00F0736F">
        <w:rPr>
          <w:rFonts w:ascii="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rPr>
        <w:t>В 2018 году</w:t>
      </w:r>
      <w:r w:rsidRPr="00F0736F">
        <w:rPr>
          <w:rFonts w:ascii="Times New Roman" w:eastAsia="Times New Roman" w:hAnsi="Times New Roman" w:cs="Times New Roman"/>
          <w:color w:val="000000" w:themeColor="text1"/>
          <w:lang w:val="kk-KZ"/>
        </w:rPr>
        <w:t xml:space="preserve"> численность населения области составляла 629 562 чел., из них 100</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kk-KZ"/>
        </w:rPr>
        <w:t>было охвачено услугами по сбору и вывозу ТБО (стоит отметить, что показатель по охвату не менялся с 2016 года). Из 81 объекта размещения ТБО всего лишь 17 соответствуют экологическим и санитарным требованиям и нормам, что составляет 20,9</w:t>
      </w:r>
      <w:r w:rsidRPr="00F0736F">
        <w:rPr>
          <w:rFonts w:ascii="Times New Roman" w:eastAsia="Times New Roman" w:hAnsi="Times New Roman" w:cs="Times New Roman"/>
          <w:color w:val="000000" w:themeColor="text1"/>
        </w:rPr>
        <w:t>%</w:t>
      </w:r>
      <w:r w:rsidRPr="00F0736F">
        <w:rPr>
          <w:rFonts w:ascii="Times New Roman" w:eastAsia="Times New Roman" w:hAnsi="Times New Roman" w:cs="Times New Roman"/>
          <w:color w:val="000000" w:themeColor="text1"/>
          <w:lang w:val="kk-KZ"/>
        </w:rPr>
        <w:t>.</w:t>
      </w:r>
    </w:p>
    <w:p w14:paraId="1DCC1973"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2019 году</w:t>
      </w:r>
      <w:r w:rsidRPr="00F0736F">
        <w:rPr>
          <w:rFonts w:ascii="Times New Roman" w:eastAsia="Times New Roman" w:hAnsi="Times New Roman" w:cs="Times New Roman"/>
          <w:color w:val="000000" w:themeColor="text1"/>
          <w:lang w:val="kk-KZ"/>
        </w:rPr>
        <w:t xml:space="preserve"> на территории области насчитывается 86 полигонов. Из них 22 получили разрешения на эмиссии в окружающую среду.</w:t>
      </w:r>
    </w:p>
    <w:p w14:paraId="39F900E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Доля отдельно собранных и отсортированных отходов в источниках образования (от общего объема образованных отходов) в 2018 году составила 16,7%, в 2019 году - 10,44%. </w:t>
      </w:r>
      <w:r w:rsidRPr="00F0736F">
        <w:rPr>
          <w:rFonts w:ascii="Times New Roman" w:eastAsia="Times New Roman" w:hAnsi="Times New Roman" w:cs="Times New Roman"/>
          <w:color w:val="000000" w:themeColor="text1"/>
          <w:lang w:val="kk-KZ"/>
        </w:rPr>
        <w:t xml:space="preserve">В 2018 году были отобраны и переработаны 22 771 т., в 2019 году – 20 009 т. твердо-бытовых отходов </w:t>
      </w:r>
    </w:p>
    <w:p w14:paraId="20A3A9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контейнерных площадках по жилым, производственным и социальным объектам установлены порядка 40 контейнеров для сбора использованных ртутьсодержащих ламп, около 120 сетчатых контейнеров для сбора пластиковых отходов.</w:t>
      </w:r>
    </w:p>
    <w:p w14:paraId="419B43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Приемом и сортировкой твердых бытовых отходов по области в г. Атырау </w:t>
      </w:r>
      <w:r w:rsidRPr="00F0736F">
        <w:rPr>
          <w:rFonts w:ascii="Times New Roman" w:hAnsi="Times New Roman" w:cs="Times New Roman"/>
          <w:color w:val="000000" w:themeColor="text1"/>
        </w:rPr>
        <w:t xml:space="preserve">занимаются </w:t>
      </w:r>
      <w:r w:rsidRPr="00F0736F">
        <w:rPr>
          <w:rFonts w:ascii="Times New Roman" w:hAnsi="Times New Roman" w:cs="Times New Roman"/>
          <w:color w:val="000000" w:themeColor="text1"/>
          <w:lang w:val="kk-KZ"/>
        </w:rPr>
        <w:t>ТОО «Арнаулыавтобаза», ТОО «Вест Дала», ТОО «Экопластик», в Жылыойском районе - ТОО «Жылыой Тазалык», ТОО «Промэкология», ТОО «Эко Кала XXI», в Макатском районе -  ТОО «Тазалық Когал», в Махамбетском районе - ИП «Ешманова», ТОО «Жасыл Аймақ», в Индерском районе - ТОО «Бытовое обслуживание», в Исатайском районе - ИП «Рысбаев», ТОО «Исатайгазсторйсервис», в Курмангазинском районе - ТОО «АрТри», ИП Таяшов Е, ТОО «Калибри». Отс</w:t>
      </w:r>
      <w:r w:rsidRPr="00F0736F">
        <w:rPr>
          <w:rFonts w:ascii="Times New Roman" w:hAnsi="Times New Roman" w:cs="Times New Roman"/>
          <w:color w:val="000000" w:themeColor="text1"/>
        </w:rPr>
        <w:t>ортированн</w:t>
      </w:r>
      <w:r w:rsidRPr="00F0736F">
        <w:rPr>
          <w:rFonts w:ascii="Times New Roman" w:hAnsi="Times New Roman" w:cs="Times New Roman"/>
          <w:color w:val="000000" w:themeColor="text1"/>
          <w:lang w:val="kk-KZ"/>
        </w:rPr>
        <w:t>ое вторсырье</w:t>
      </w:r>
      <w:r w:rsidRPr="00F0736F">
        <w:rPr>
          <w:rFonts w:ascii="Times New Roman" w:hAnsi="Times New Roman" w:cs="Times New Roman"/>
          <w:color w:val="000000" w:themeColor="text1"/>
        </w:rPr>
        <w:t xml:space="preserve"> в прессованном виде вывозится в города Алматы и Шымкент, а также в Российскую Федерацию</w:t>
      </w:r>
      <w:r w:rsidRPr="00F0736F">
        <w:rPr>
          <w:rFonts w:ascii="Times New Roman" w:hAnsi="Times New Roman" w:cs="Times New Roman"/>
          <w:color w:val="000000" w:themeColor="text1"/>
          <w:lang w:val="kk-KZ"/>
        </w:rPr>
        <w:t>.</w:t>
      </w:r>
    </w:p>
    <w:p w14:paraId="7C85FFBE" w14:textId="2B6B68D6"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расширенных обязательств производителей (импортеров) в 2019 году ТОО «ПромЭкология», расположенное в городе Кулсары, получило компенсацию на сумму 13,1 млн тенге за переработку отходов шин в объеме 3300 т.. </w:t>
      </w:r>
    </w:p>
    <w:p w14:paraId="3BB11329" w14:textId="52A1A6EB"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Атырауской области с момента запуска (ноябрь 2016 года) программы по приему вышедших из эксплутации транстпортных средств (ВЭТС) принято 2320 автотранспортных средств на сумму 2,71 млн. тг., из них по денежной компенсации – 1531, по скидочным сертификатам на покупку нового автомобиля отечественного производства - 789.</w:t>
      </w:r>
    </w:p>
    <w:p w14:paraId="1338DE8B" w14:textId="17531439"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В рамках механизма РОП по стране с 2016 года создается инфраструктура в области обращения с отходами. Так, акиматам передан 2321 контейнер для сбора ртутных ламп и батарей у населения, приобретены 8905 контейнеров для раздельного сбора ТБО,</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30 штук мусоровозов, 289 контейнеров для электрического и электронного оборудования, создано 104 пункта для приема вторсырья.</w:t>
      </w:r>
    </w:p>
    <w:p w14:paraId="07BE3B6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Однако, отмечаем отсутствие активности со стороны акимата Атырауской области по взаимодействию с Оператором РОП для наращивания потенциалов по соответствующей инфраструктуре.</w:t>
      </w:r>
    </w:p>
    <w:p w14:paraId="27F903F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Учитывая актуальность вопроса по управлению </w:t>
      </w:r>
      <w:r w:rsidRPr="00F0736F">
        <w:rPr>
          <w:rFonts w:ascii="Times New Roman" w:hAnsi="Times New Roman" w:cs="Times New Roman"/>
          <w:b/>
          <w:color w:val="000000" w:themeColor="text1"/>
        </w:rPr>
        <w:t>отходами</w:t>
      </w:r>
      <w:r w:rsidRPr="00F0736F">
        <w:rPr>
          <w:rFonts w:ascii="Times New Roman" w:hAnsi="Times New Roman" w:cs="Times New Roman"/>
          <w:color w:val="000000" w:themeColor="text1"/>
        </w:rPr>
        <w:t>, с 2012 года в соответствии с поручением Главы государства Правительству РК, разработан проект обоснования инвестиций модернизации системы управления твердыми бытовыми отходами в городе Атырау.</w:t>
      </w:r>
    </w:p>
    <w:p w14:paraId="171A84CF" w14:textId="693B8508"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На основании разработанного проекта для строительства нового полигона на территории Алма</w:t>
      </w:r>
      <w:r w:rsidRPr="00F0736F">
        <w:rPr>
          <w:rFonts w:ascii="Times New Roman" w:hAnsi="Times New Roman" w:cs="Times New Roman"/>
          <w:color w:val="000000" w:themeColor="text1"/>
        </w:rPr>
        <w:t>линского сельского</w:t>
      </w:r>
      <w:r w:rsidRPr="00F0736F">
        <w:rPr>
          <w:rFonts w:ascii="Times New Roman" w:hAnsi="Times New Roman" w:cs="Times New Roman"/>
          <w:color w:val="000000" w:themeColor="text1"/>
          <w:lang w:val="kk-KZ"/>
        </w:rPr>
        <w:t xml:space="preserve"> округа Махамбетского района выделен</w:t>
      </w:r>
      <w:r w:rsidRPr="00F0736F">
        <w:rPr>
          <w:rFonts w:ascii="Times New Roman" w:hAnsi="Times New Roman" w:cs="Times New Roman"/>
          <w:color w:val="000000" w:themeColor="text1"/>
        </w:rPr>
        <w:t xml:space="preserve"> земельный участок площадью 50 га. Разработана проектно-сметная документация </w:t>
      </w:r>
      <w:r w:rsidRPr="00F0736F">
        <w:rPr>
          <w:rFonts w:ascii="Times New Roman" w:hAnsi="Times New Roman" w:cs="Times New Roman"/>
          <w:color w:val="000000" w:themeColor="text1"/>
          <w:lang w:val="kk-KZ"/>
        </w:rPr>
        <w:t xml:space="preserve">по </w:t>
      </w:r>
      <w:r w:rsidRPr="00F0736F">
        <w:rPr>
          <w:rFonts w:ascii="Times New Roman" w:hAnsi="Times New Roman" w:cs="Times New Roman"/>
          <w:color w:val="000000" w:themeColor="text1"/>
        </w:rPr>
        <w:t xml:space="preserve">строительству </w:t>
      </w:r>
      <w:r w:rsidRPr="00F0736F">
        <w:rPr>
          <w:rFonts w:ascii="Times New Roman" w:eastAsia="Calibri" w:hAnsi="Times New Roman" w:cs="Times New Roman"/>
          <w:color w:val="000000" w:themeColor="text1"/>
        </w:rPr>
        <w:t>нового п</w:t>
      </w:r>
      <w:r w:rsidRPr="00F0736F">
        <w:rPr>
          <w:rFonts w:ascii="Times New Roman" w:hAnsi="Times New Roman" w:cs="Times New Roman"/>
          <w:color w:val="000000" w:themeColor="text1"/>
        </w:rPr>
        <w:t xml:space="preserve">олигона твердых бытовых отходов и рекультивации старого полигона </w:t>
      </w:r>
      <w:r w:rsidRPr="00F0736F">
        <w:rPr>
          <w:rFonts w:ascii="Times New Roman" w:eastAsia="Calibri" w:hAnsi="Times New Roman" w:cs="Times New Roman"/>
          <w:color w:val="000000" w:themeColor="text1"/>
        </w:rPr>
        <w:t>г.</w:t>
      </w:r>
      <w:r w:rsidRPr="00F0736F">
        <w:rPr>
          <w:rFonts w:ascii="Times New Roman" w:eastAsia="Calibri" w:hAnsi="Times New Roman" w:cs="Times New Roman"/>
          <w:color w:val="000000" w:themeColor="text1"/>
          <w:lang w:val="kk-KZ"/>
        </w:rPr>
        <w:t xml:space="preserve"> </w:t>
      </w:r>
      <w:r w:rsidRPr="00F0736F">
        <w:rPr>
          <w:rFonts w:ascii="Times New Roman" w:eastAsia="Calibri" w:hAnsi="Times New Roman" w:cs="Times New Roman"/>
          <w:color w:val="000000" w:themeColor="text1"/>
        </w:rPr>
        <w:t>Атырау. В 2017 году на проект рекультивации старого полигона г. Атырау получено заключение экспертизы. Стоимость проекта – 1641,278 млн. тенге.</w:t>
      </w:r>
    </w:p>
    <w:p w14:paraId="6F65BD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сентябре 2019 года введен в эксплуатацию современный комплекс по приему, сортировке и утилизации твердых бытовых отходов на 6-м километре автодороги Кульсары-Бейнеу, на земельный участок площадью 6,5 га, который имеет возможность принимать 30 тыс. т. в год.</w:t>
      </w:r>
    </w:p>
    <w:p w14:paraId="2D2D9D0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на городском полигоне твердых бытовых отходов г. Атырау систематически происходит возгорание отходов. В этой связи, в результате обновления материально-технической базы ТОО «Спецавтобаза», удалось значительно снизить воздействие полигона на атмосферный воздух г. Атырау. В 2015-2016 годах – 2 возгорания, 2017 году – 1 возгорание, которое</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было своевременно ликвидировано.</w:t>
      </w:r>
    </w:p>
    <w:p w14:paraId="49EE28E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Отходы медицины, накапливающиеся в учреждениях, входящих в систему здравоохранения (больница, медицинский пункт и т.д.) в определенной степени взяты на учет. Большинство ртутьсодержащих люминесцентных лампочек и термометры с медицинских учреждений сдаются в ТОО «ВестДала». Кроме того, для уничтожения ветеринарных отходов по области функционируют всего 28 единиц инсинераторов. В том числе, в г. Атырау – 2, Жылыойском районе –5, Индерском районе – 2, Исатайском районе - 4, Кызылко</w:t>
      </w:r>
      <w:r w:rsidRPr="00F0736F">
        <w:rPr>
          <w:rFonts w:ascii="Times New Roman" w:hAnsi="Times New Roman" w:cs="Times New Roman"/>
          <w:color w:val="000000" w:themeColor="text1"/>
          <w:lang w:val="kk-KZ"/>
        </w:rPr>
        <w:t>гин</w:t>
      </w:r>
      <w:r w:rsidRPr="00F0736F">
        <w:rPr>
          <w:rFonts w:ascii="Times New Roman" w:hAnsi="Times New Roman" w:cs="Times New Roman"/>
          <w:color w:val="000000" w:themeColor="text1"/>
        </w:rPr>
        <w:t>ском районе – 5, Курмангазинском районе – 6, Макатском районе – 1 и Махамбетском районе – 3.</w:t>
      </w:r>
    </w:p>
    <w:p w14:paraId="50A4F0F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Отсутствует централизованная система по сбору и специальной переработке отходов использованных батарей, аккумуляторов, бытовых отходов электрического и электронного оборудования. Однако сформировался беспорядочный рынок по сбору использованных аккумуляторов (свинец). </w:t>
      </w:r>
    </w:p>
    <w:p w14:paraId="62BC86D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Начиная с 2015 года, СП «Первомайский» использует инновационный метод </w:t>
      </w:r>
      <w:r w:rsidRPr="00F0736F">
        <w:rPr>
          <w:rFonts w:ascii="Times New Roman" w:hAnsi="Times New Roman" w:cs="Times New Roman"/>
          <w:b/>
          <w:color w:val="000000" w:themeColor="text1"/>
        </w:rPr>
        <w:t>переработки органических отходов</w:t>
      </w:r>
      <w:r w:rsidRPr="00F0736F">
        <w:rPr>
          <w:rFonts w:ascii="Times New Roman" w:hAnsi="Times New Roman" w:cs="Times New Roman"/>
          <w:color w:val="000000" w:themeColor="text1"/>
        </w:rPr>
        <w:t xml:space="preserve"> (навоз). Производственная мощность 4 т.ы в сутки. В марте, апреле и мае </w:t>
      </w:r>
      <w:r w:rsidRPr="00F0736F">
        <w:rPr>
          <w:rFonts w:ascii="Times New Roman" w:hAnsi="Times New Roman" w:cs="Times New Roman"/>
          <w:color w:val="000000" w:themeColor="text1"/>
          <w:lang w:val="kk-KZ"/>
        </w:rPr>
        <w:t>2018</w:t>
      </w:r>
      <w:r w:rsidRPr="00F0736F">
        <w:rPr>
          <w:rFonts w:ascii="Times New Roman" w:hAnsi="Times New Roman" w:cs="Times New Roman"/>
          <w:color w:val="000000" w:themeColor="text1"/>
        </w:rPr>
        <w:t xml:space="preserve"> года 4 т.ы биологически активных, экологически чистых и натуральных органических удобрений было выпущено в продажу. В другие сезоны на продажу предлагается 500 кг, а оставшиеся 3,5 т.ы используются для производственных нужд.</w:t>
      </w:r>
    </w:p>
    <w:p w14:paraId="758E143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Впервые в 2014 году был запущен завод «Алмалы Кус», и теперь его мощность составляет 60 миллионов штук яиц в год. К 2017 году производство яиц увеличилось и достигло 88 миллионов штук. Вместе с тем началось строительство инновационного проекта по утилизации куриных отходов, который позволит производить 200 тыс. т. органических удобрений в год, 1 МВт электроэнергии и тепловой энергии для производства. Название проекта: производство биоудобрений с использованием экологически чистой энергии (биогаза) с использованием экологически чистых продуктов.</w:t>
      </w:r>
    </w:p>
    <w:p w14:paraId="66AB4718"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iCs/>
          <w:color w:val="000000" w:themeColor="text1"/>
        </w:rPr>
        <w:t xml:space="preserve">Состояние биологических ресурсов и развитие лесного, рыбного и охотничьего хозяйств, </w:t>
      </w:r>
      <w:r w:rsidRPr="00F0736F">
        <w:rPr>
          <w:rFonts w:ascii="Times New Roman" w:hAnsi="Times New Roman" w:cs="Times New Roman"/>
          <w:b/>
          <w:bCs/>
          <w:i/>
          <w:iCs/>
          <w:color w:val="000000" w:themeColor="text1"/>
          <w:lang w:eastAsia="ru-RU" w:bidi="ru-RU"/>
        </w:rPr>
        <w:t xml:space="preserve">ООПТ </w:t>
      </w:r>
      <w:r w:rsidRPr="00F0736F">
        <w:rPr>
          <w:rFonts w:ascii="Times New Roman" w:eastAsia="Calibri" w:hAnsi="Times New Roman" w:cs="Times New Roman"/>
          <w:b/>
          <w:bCs/>
          <w:i/>
          <w:iCs/>
          <w:color w:val="000000" w:themeColor="text1"/>
        </w:rPr>
        <w:t>и экологического туризма</w:t>
      </w:r>
      <w:r w:rsidRPr="00F0736F">
        <w:rPr>
          <w:rFonts w:ascii="Times New Roman" w:hAnsi="Times New Roman" w:cs="Times New Roman"/>
          <w:b/>
          <w:i/>
          <w:color w:val="000000" w:themeColor="text1"/>
        </w:rPr>
        <w:t xml:space="preserve"> </w:t>
      </w:r>
    </w:p>
    <w:p w14:paraId="53D342F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области государственный лесной фонд составляет – 52 446 га, из них покрытые лесом площади 15,1 тыс. га. Охраной, защитой леса и лесоразведением занимается Атырауское, </w:t>
      </w:r>
      <w:r w:rsidRPr="00F0736F">
        <w:rPr>
          <w:rFonts w:ascii="Times New Roman" w:hAnsi="Times New Roman" w:cs="Times New Roman"/>
          <w:color w:val="000000" w:themeColor="text1"/>
          <w:lang w:val="kk-KZ"/>
        </w:rPr>
        <w:t xml:space="preserve">Махамбетское, </w:t>
      </w:r>
      <w:r w:rsidRPr="00F0736F">
        <w:rPr>
          <w:rFonts w:ascii="Times New Roman" w:hAnsi="Times New Roman" w:cs="Times New Roman"/>
          <w:color w:val="000000" w:themeColor="text1"/>
        </w:rPr>
        <w:t xml:space="preserve">Индерское и Курмангазинское </w:t>
      </w:r>
      <w:r w:rsidRPr="00F0736F">
        <w:rPr>
          <w:rFonts w:ascii="Times New Roman" w:hAnsi="Times New Roman" w:cs="Times New Roman"/>
          <w:color w:val="000000" w:themeColor="text1"/>
          <w:lang w:val="kk-KZ"/>
        </w:rPr>
        <w:t xml:space="preserve">коммунальные </w:t>
      </w:r>
      <w:r w:rsidRPr="00F0736F">
        <w:rPr>
          <w:rFonts w:ascii="Times New Roman" w:hAnsi="Times New Roman" w:cs="Times New Roman"/>
          <w:color w:val="000000" w:themeColor="text1"/>
        </w:rPr>
        <w:t>государственные учреждения по охране лесов и животного мира. Ежегодно лесными учреждениями проводятся лесовосстановительные работы. В 2015 - 201</w:t>
      </w:r>
      <w:r w:rsidRPr="00F0736F">
        <w:rPr>
          <w:rFonts w:ascii="Times New Roman" w:hAnsi="Times New Roman" w:cs="Times New Roman"/>
          <w:color w:val="000000" w:themeColor="text1"/>
          <w:lang w:val="kk-KZ"/>
        </w:rPr>
        <w:t xml:space="preserve">7 </w:t>
      </w:r>
      <w:r w:rsidRPr="00F0736F">
        <w:rPr>
          <w:rFonts w:ascii="Times New Roman" w:hAnsi="Times New Roman" w:cs="Times New Roman"/>
          <w:color w:val="000000" w:themeColor="text1"/>
        </w:rPr>
        <w:t>гг. лесовосстановительные работы проводились на площади в 2</w:t>
      </w:r>
      <w:r w:rsidRPr="00F0736F">
        <w:rPr>
          <w:rFonts w:ascii="Times New Roman" w:hAnsi="Times New Roman" w:cs="Times New Roman"/>
          <w:color w:val="000000" w:themeColor="text1"/>
          <w:lang w:val="kk-KZ"/>
        </w:rPr>
        <w:t>2</w:t>
      </w:r>
      <w:r w:rsidRPr="00F0736F">
        <w:rPr>
          <w:rFonts w:ascii="Times New Roman" w:hAnsi="Times New Roman" w:cs="Times New Roman"/>
          <w:color w:val="000000" w:themeColor="text1"/>
        </w:rPr>
        <w:t xml:space="preserve">5 га, площадь посадки деревьев выросла от 60 до 65 га.  </w:t>
      </w:r>
    </w:p>
    <w:p w14:paraId="6ABC5F4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ежегодной акции по посадке деревьев «Мое именное дерево», «Жасыл жапырақ-Зеленый лист», организуемой в городе Атырау, высажено 10 тысяч саженцев. </w:t>
      </w:r>
    </w:p>
    <w:p w14:paraId="57A13D4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материально-техническое оснащение 4 учреждений лесного хозяйства в 2016 - 2018 годах выделено 81,2 млн. долларов США. На эти цели из местного бюджета выделены средства в размере 1 млрд. тенге, оснащены спецтехникой, оборудованием в соответствии с нормативами. </w:t>
      </w:r>
    </w:p>
    <w:p w14:paraId="5FB8B5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конце 2017 года в селе Махамбет Махамбетского лесного хозяйства были построены и введены в эксплуатацию офис, пожарная станция и комплекс автотракторного парка. В 2018 году в Индерском и Курмангазинском лесохозяйствах были введены в эксплуатацию аналогичные объекты.</w:t>
      </w:r>
    </w:p>
    <w:p w14:paraId="4C2AAC0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государственного лесного фонда проведено устройство противопожарных минерализованных полос протяженностью </w:t>
      </w:r>
      <w:r w:rsidRPr="00F0736F">
        <w:rPr>
          <w:rFonts w:ascii="Times New Roman" w:hAnsi="Times New Roman" w:cs="Times New Roman"/>
          <w:color w:val="000000" w:themeColor="text1"/>
          <w:lang w:val="kk-KZ"/>
        </w:rPr>
        <w:t>91</w:t>
      </w:r>
      <w:r w:rsidRPr="00F0736F">
        <w:rPr>
          <w:rFonts w:ascii="Times New Roman" w:hAnsi="Times New Roman" w:cs="Times New Roman"/>
          <w:color w:val="000000" w:themeColor="text1"/>
        </w:rPr>
        <w:t xml:space="preserve"> км.</w:t>
      </w:r>
    </w:p>
    <w:p w14:paraId="1C15C7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области утвержден план мероприятий по предупреждению и ликвидации лесных пожаров на территории Атырауской области в пожароопасный сезон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года. </w:t>
      </w:r>
    </w:p>
    <w:p w14:paraId="0A9946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территории ГЛФ:</w:t>
      </w:r>
    </w:p>
    <w:p w14:paraId="352BFD9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в 201</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году, 1 случай пожара на территории </w:t>
      </w:r>
      <w:r w:rsidRPr="00F0736F">
        <w:rPr>
          <w:rFonts w:ascii="Times New Roman" w:hAnsi="Times New Roman" w:cs="Times New Roman"/>
          <w:color w:val="000000" w:themeColor="text1"/>
          <w:lang w:val="kk-KZ"/>
        </w:rPr>
        <w:t>0,5</w:t>
      </w:r>
      <w:r w:rsidRPr="00F0736F">
        <w:rPr>
          <w:rFonts w:ascii="Times New Roman" w:hAnsi="Times New Roman" w:cs="Times New Roman"/>
          <w:color w:val="000000" w:themeColor="text1"/>
        </w:rPr>
        <w:t xml:space="preserve"> га (лесопокрытая площадь);</w:t>
      </w:r>
    </w:p>
    <w:p w14:paraId="73ACC4C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в 2016 году, </w:t>
      </w:r>
      <w:r w:rsidRPr="00F0736F">
        <w:rPr>
          <w:rFonts w:ascii="Times New Roman" w:hAnsi="Times New Roman" w:cs="Times New Roman"/>
          <w:color w:val="000000" w:themeColor="text1"/>
        </w:rPr>
        <w:t xml:space="preserve">1 случай пожара на территории </w:t>
      </w:r>
      <w:r w:rsidRPr="00F0736F">
        <w:rPr>
          <w:rFonts w:ascii="Times New Roman" w:hAnsi="Times New Roman" w:cs="Times New Roman"/>
          <w:color w:val="000000" w:themeColor="text1"/>
          <w:lang w:val="kk-KZ"/>
        </w:rPr>
        <w:t xml:space="preserve">100,5 га </w:t>
      </w:r>
      <w:r w:rsidRPr="00F0736F">
        <w:rPr>
          <w:rFonts w:ascii="Times New Roman" w:hAnsi="Times New Roman" w:cs="Times New Roman"/>
          <w:color w:val="000000" w:themeColor="text1"/>
        </w:rPr>
        <w:t>(лесопокрытая площадь</w:t>
      </w:r>
      <w:r w:rsidRPr="00F0736F">
        <w:rPr>
          <w:rFonts w:ascii="Times New Roman" w:hAnsi="Times New Roman" w:cs="Times New Roman"/>
          <w:color w:val="000000" w:themeColor="text1"/>
          <w:lang w:val="kk-KZ"/>
        </w:rPr>
        <w:t xml:space="preserve"> 0,5 га</w:t>
      </w:r>
      <w:r w:rsidRPr="00F0736F">
        <w:rPr>
          <w:rFonts w:ascii="Times New Roman" w:hAnsi="Times New Roman" w:cs="Times New Roman"/>
          <w:color w:val="000000" w:themeColor="text1"/>
        </w:rPr>
        <w:t xml:space="preserve">, нелесные 100 га). </w:t>
      </w:r>
    </w:p>
    <w:p w14:paraId="4606CD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в 2017 - 2019 </w:t>
      </w:r>
      <w:r w:rsidRPr="00F0736F">
        <w:rPr>
          <w:rFonts w:ascii="Times New Roman" w:hAnsi="Times New Roman" w:cs="Times New Roman"/>
          <w:color w:val="000000" w:themeColor="text1"/>
        </w:rPr>
        <w:t>годах</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случаев пожара не зафиксировано</w:t>
      </w:r>
      <w:r w:rsidRPr="00F0736F">
        <w:rPr>
          <w:rFonts w:ascii="Times New Roman" w:hAnsi="Times New Roman" w:cs="Times New Roman"/>
          <w:color w:val="000000" w:themeColor="text1"/>
          <w:lang w:val="kk-KZ"/>
        </w:rPr>
        <w:t>.</w:t>
      </w:r>
    </w:p>
    <w:p w14:paraId="0E0F501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На территории Атырауской области имеются три </w:t>
      </w:r>
      <w:r w:rsidRPr="00F0736F">
        <w:rPr>
          <w:rFonts w:ascii="Times New Roman" w:eastAsia="Times New Roman" w:hAnsi="Times New Roman" w:cs="Times New Roman"/>
          <w:b/>
          <w:color w:val="000000" w:themeColor="text1"/>
        </w:rPr>
        <w:t>особо охраняемые природные территории</w:t>
      </w:r>
      <w:r w:rsidRPr="00F0736F">
        <w:rPr>
          <w:rFonts w:ascii="Times New Roman" w:eastAsia="Times New Roman" w:hAnsi="Times New Roman" w:cs="Times New Roman"/>
          <w:color w:val="000000" w:themeColor="text1"/>
        </w:rPr>
        <w:t xml:space="preserve">: </w:t>
      </w:r>
    </w:p>
    <w:p w14:paraId="7C80049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Государственная заповедная зона северной части Каспийского моря площадью 700 тыс. га; </w:t>
      </w:r>
    </w:p>
    <w:p w14:paraId="563D730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Новинский государственный природный (зоологический) заказник площадью 45 тыс. га, расположенный в прибрежной зоне Каспийского моря на территории Курмангазинского района;</w:t>
      </w:r>
    </w:p>
    <w:p w14:paraId="0E72500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Государственный природный резерват «Акжайык» площадью 111,5 тыс. га, расположен на территории г. Атырау и Махамбетского района.</w:t>
      </w:r>
    </w:p>
    <w:p w14:paraId="5274BB6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площадь указанных территорий составляет 7,2% от всей территории области.</w:t>
      </w:r>
    </w:p>
    <w:p w14:paraId="6346A50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Атырауской области с 2008 года ведется работа по созданию особо охраняемых природных территорий местного назначения. В связи с этим разработана схема ООПТ, а также ЕНО и ТЭО Балбулакского и Тасшагылского государственного заказника местного значения.</w:t>
      </w:r>
    </w:p>
    <w:p w14:paraId="2836D1D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территории области зарегистрировано 4 памятника истории и культуры республиканского значения и 313 памятников местного значения.</w:t>
      </w:r>
    </w:p>
    <w:p w14:paraId="5A1E0B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Развитие индустрии туризма является одним из приоритетов региона экономики.</w:t>
      </w:r>
    </w:p>
    <w:p w14:paraId="4DBCCB4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регионе есть возможности для развития спортивно-любительского (охотничьего и рыболовного), этнографического и культурно-познавательного туризма (ознакомления с историей и традициями региона). Рекреационные объекты «Мекен», «Алтын сазан», «Сарайшик», расположенные на берегу реки Урал, обеспечивают разнообразные развлекательные мероприятия, такие как «скалолазание», «верховая езда».</w:t>
      </w:r>
    </w:p>
    <w:p w14:paraId="5ED056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Охотничьи и рыболовные службы ведутся на рекреационных объектах Курмангазинского района. Туристы приезжают сюда из Росии и Франции, которые пользуются активным досугом, и их число растет с каждым годом.</w:t>
      </w:r>
    </w:p>
    <w:p w14:paraId="798DFE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то же время здесь развивается экологический туризм из-за уникальных видов редких птиц, включенных в Красную книгу Казахстана и представляющих интерес для орнитологов всего мира на побережье Каспийского моря на территории Акжайского природного резервата.</w:t>
      </w:r>
    </w:p>
    <w:p w14:paraId="576006F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Самым важным местом для посетителей является поселок Сарайшик, расположенный в северной части Великого Шелкового пути. В целях пропаганды исторического наследия и продвижения туризма рассматривается вопрос реализации проекта «Средневековый Сарайшик». Для реализации этого проекта задействованы эксперты из разных секторов. В настоящее время разработаны эскизный проект, научное обоснование и расположение древнего города.</w:t>
      </w:r>
    </w:p>
    <w:p w14:paraId="19F7F53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обширные степи региона идеально подходят для развития экстремального туризма, а также определены маршруты для езды на велосипеде и походы в регионе. Эти походы в основном осуществляются экспедициями из Франции, Италии и Германии.</w:t>
      </w:r>
    </w:p>
    <w:p w14:paraId="5888184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нет курортной зоны. Существует благоприятные транспортные возможности для развития туризма в регионе. Созданы условия использования воздушного транспорта и железнодорожных услуг для туристических организаций.</w:t>
      </w:r>
    </w:p>
    <w:p w14:paraId="781729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Нехватка квалифицированных кадров по туризму ощущается в инструкторах, экскурсоводах, гидах-переводчиках со знанием иностранных языков, а также истории края.</w:t>
      </w:r>
    </w:p>
    <w:p w14:paraId="2B90290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Привлечение инвестиций для реализации проектов в сфере развития инфраструктуры туризма остается одной из главных проблем, требующих решения. </w:t>
      </w:r>
    </w:p>
    <w:p w14:paraId="5482CB15" w14:textId="77777777" w:rsidR="00AC1D5B" w:rsidRPr="00F0736F" w:rsidRDefault="00AC1D5B" w:rsidP="00AC1D5B">
      <w:pPr>
        <w:ind w:firstLine="709"/>
        <w:jc w:val="both"/>
        <w:rPr>
          <w:rFonts w:ascii="Times New Roman" w:hAnsi="Times New Roman" w:cs="Times New Roman"/>
          <w:color w:val="000000" w:themeColor="text1"/>
        </w:rPr>
      </w:pPr>
    </w:p>
    <w:p w14:paraId="38B5C0CB"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7" w:name="_Toc57818739"/>
      <w:r w:rsidRPr="007272FB">
        <w:rPr>
          <w:rFonts w:ascii="Times New Roman" w:eastAsia="Times New Roman" w:hAnsi="Times New Roman" w:cs="Times New Roman"/>
          <w:color w:val="000000" w:themeColor="text1"/>
          <w:sz w:val="24"/>
          <w:szCs w:val="24"/>
        </w:rPr>
        <w:t>2.5. Восточно-Казахстанская область</w:t>
      </w:r>
      <w:bookmarkEnd w:id="47"/>
    </w:p>
    <w:p w14:paraId="2FB1EF42" w14:textId="77777777" w:rsidR="00AC1D5B" w:rsidRPr="00F0736F" w:rsidRDefault="00AC1D5B" w:rsidP="00AC1D5B">
      <w:pPr>
        <w:ind w:firstLine="709"/>
        <w:jc w:val="both"/>
        <w:rPr>
          <w:rFonts w:ascii="Times New Roman" w:hAnsi="Times New Roman" w:cs="Times New Roman"/>
          <w:color w:val="000000" w:themeColor="text1"/>
        </w:rPr>
      </w:pPr>
    </w:p>
    <w:p w14:paraId="583483B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71AD6A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Территория области – 283,2 тыс. кв. км (10,3% территории Казахстана). </w:t>
      </w:r>
      <w:r w:rsidRPr="00F0736F">
        <w:rPr>
          <w:rFonts w:ascii="Times New Roman" w:hAnsi="Times New Roman" w:cs="Times New Roman"/>
          <w:color w:val="000000" w:themeColor="text1"/>
          <w:spacing w:val="4"/>
        </w:rPr>
        <w:t>По территории области протекает более 800 рек с общей протяженностью 10 тыс. км. В регионе находятся крупные озера Зайсан, Маркаколь, Алаколь, Сасыкколь, а также ряд водохранилищ, включая Бухтарминское.</w:t>
      </w:r>
      <w:r w:rsidRPr="00F0736F">
        <w:rPr>
          <w:rFonts w:ascii="Times New Roman" w:hAnsi="Times New Roman" w:cs="Times New Roman"/>
          <w:color w:val="000000" w:themeColor="text1"/>
        </w:rPr>
        <w:t xml:space="preserve"> Область относится к одному из наиболее водообеспеченных регионов Казахстана. Около 7% территории покрыто лесами, </w:t>
      </w:r>
      <w:r w:rsidRPr="00F0736F">
        <w:rPr>
          <w:rFonts w:ascii="Times New Roman" w:hAnsi="Times New Roman" w:cs="Times New Roman"/>
          <w:color w:val="000000" w:themeColor="text1"/>
          <w:spacing w:val="4"/>
        </w:rPr>
        <w:t>соседствуют степной, пустынный и горно-таежный ландшафты.</w:t>
      </w:r>
    </w:p>
    <w:p w14:paraId="24D12B1C" w14:textId="02F1F510"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численность населения на конец 2017 года составила 1383,7 тыс. человек, на конец 2018 года - 1378,5 тыс. человек, а на конец 2019 года - 1369,6 тыс. человек. </w:t>
      </w:r>
    </w:p>
    <w:p w14:paraId="076F845A" w14:textId="245F47DC"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ВРП области в 2017 году составил 3174,8 млрд. тенге, на 1 человека – 2289,5 тыс. тенге, в 2019 году – 4025,0 млрд. тенге и 2 929,2 тыс. тенге на 1 человека. Объем </w:t>
      </w:r>
      <w:r w:rsidRPr="00F0736F">
        <w:rPr>
          <w:rFonts w:ascii="Times New Roman" w:hAnsi="Times New Roman" w:cs="Times New Roman"/>
          <w:b/>
          <w:color w:val="000000" w:themeColor="text1"/>
        </w:rPr>
        <w:t>промышленной продукции</w:t>
      </w:r>
      <w:r w:rsidRPr="00F0736F">
        <w:rPr>
          <w:rFonts w:ascii="Times New Roman" w:hAnsi="Times New Roman" w:cs="Times New Roman"/>
          <w:color w:val="000000" w:themeColor="text1"/>
        </w:rPr>
        <w:t xml:space="preserve"> в 2017 году составил 1581,5 млрд. тенге, или 6,9% от республиканского уровня, в 2018 году достиг уровня 1860,1 млрд. тенге, а в 2019 году — 2153,9 млрд. тенге. </w:t>
      </w:r>
    </w:p>
    <w:p w14:paraId="5C35267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Основными факторами роста экономики стали высокий потребительский спрос и наметившееся оживление инвестиционной активности в области</w:t>
      </w:r>
      <w:r w:rsidRPr="00F0736F">
        <w:rPr>
          <w:rFonts w:ascii="Times New Roman" w:hAnsi="Times New Roman" w:cs="Times New Roman"/>
          <w:color w:val="000000" w:themeColor="text1"/>
          <w:vertAlign w:val="superscript"/>
        </w:rPr>
        <w:footnoteReference w:id="144"/>
      </w:r>
      <w:r w:rsidRPr="00F0736F">
        <w:rPr>
          <w:rFonts w:ascii="Times New Roman" w:hAnsi="Times New Roman" w:cs="Times New Roman"/>
          <w:color w:val="000000" w:themeColor="text1"/>
        </w:rPr>
        <w:t>.</w:t>
      </w:r>
    </w:p>
    <w:p w14:paraId="7E1299A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Основу горнодобывающей промышленности составляет добыча полиметаллической руды, содержащей медь, свинец, цинк, золото, серебро. Основные производители: ТОО «Казцинк» и ТОО «Востокцветмет». Промышленные площадки ТОО «Казцинк» являются градообразующими для городов Усть-Каменогорск, Риддер и Зыряновск. Филиалы ТОО «Востокцветмет» – для </w:t>
      </w:r>
      <w:r w:rsidRPr="00F0736F">
        <w:rPr>
          <w:rFonts w:ascii="Times New Roman" w:eastAsia="Calibri" w:hAnsi="Times New Roman" w:cs="Times New Roman"/>
          <w:color w:val="000000" w:themeColor="text1"/>
        </w:rPr>
        <w:t xml:space="preserve">Глубоковского, Шемонаихинского, Бородулихинского </w:t>
      </w:r>
      <w:r w:rsidRPr="00F0736F">
        <w:rPr>
          <w:rFonts w:ascii="Times New Roman" w:hAnsi="Times New Roman" w:cs="Times New Roman"/>
          <w:color w:val="000000" w:themeColor="text1"/>
        </w:rPr>
        <w:t>районов</w:t>
      </w:r>
      <w:r w:rsidRPr="00F0736F">
        <w:rPr>
          <w:rFonts w:ascii="Times New Roman" w:eastAsia="Calibri" w:hAnsi="Times New Roman" w:cs="Times New Roman"/>
          <w:i/>
          <w:color w:val="000000" w:themeColor="text1"/>
        </w:rPr>
        <w:t>.</w:t>
      </w:r>
    </w:p>
    <w:p w14:paraId="2A9D420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w:t>
      </w:r>
      <w:r w:rsidRPr="00F0736F">
        <w:rPr>
          <w:rFonts w:ascii="Times New Roman" w:hAnsi="Times New Roman" w:cs="Times New Roman"/>
          <w:b/>
          <w:color w:val="000000" w:themeColor="text1"/>
        </w:rPr>
        <w:t xml:space="preserve">обрабатывающей промышленности в 2017 году </w:t>
      </w:r>
      <w:r w:rsidRPr="00F0736F">
        <w:rPr>
          <w:rFonts w:ascii="Times New Roman" w:hAnsi="Times New Roman" w:cs="Times New Roman"/>
          <w:color w:val="000000" w:themeColor="text1"/>
        </w:rPr>
        <w:t>составил 1283,5 млрд. тенге, в 2018 году – 1417,1 млрд. тенге, а в 2019 году — 1560,3 млрд. тенге.</w:t>
      </w:r>
    </w:p>
    <w:p w14:paraId="6DFB06B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число предприятий и производств обрабатывающей промышленности - 758 единиц. Ведущими предприятиями данной отрасли являются ТОО «Казцинк», АО «Усть-Каменогорский титано-магниевый комбинат», АО «Ульбинский металлургический завод». Предприятия отрасли выпускают основные благородные и цветные металлы: свинец, цинк, медь, аффинированное золото и серебро, а также титан, магний, тантал, топливо для АЭС. За 2017 год производительность труда в обрабатывающей промышленности к предыдущему году выросла на 5,4%, за 2018 год на 12,1%, в 2019 году на 9,6%.</w:t>
      </w:r>
    </w:p>
    <w:p w14:paraId="523E9F0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Предприятия машиностроительного комплекса: АО «Азия Авто», ТОО «Казцинкмаш», АО «Усть-Каменогорский арматурный завод», АО «Востокмашзавод», ТОО «Усть-Каменогорский конденсаторный завод», АО «КЭМОНТ», АО «Семипалатинский машиностроительный завод», АО «Семей инжиниринг», ТОО «Гидросталь», ТОО «Казэлектромаш», ТОО «Daewoo Bus Kazakhtsan», ТОО «СемАз», ТОО «Машзавод», ТОО «Усть-Каменогорский завод промышленной арматуры», ТОО «Усть-Каменогорский завод «КазРосПромАрматура», ТОО «Силумин-Восток». </w:t>
      </w:r>
    </w:p>
    <w:p w14:paraId="4768DBF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 2010 по 2019 годы введено в эксплуатацию 50 проектов Карты поддержки предпринимательства ВКО на 731,4 млрд. тенге, создано 8,6 тысяч рабочих мест. </w:t>
      </w:r>
    </w:p>
    <w:p w14:paraId="1CCC551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Наиболее значимые проекты: </w:t>
      </w:r>
    </w:p>
    <w:p w14:paraId="65E87D6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строительство Актогайского ГОКа, ТОО «KAZ Minerals Aktogay» – один из крупнейших комбинатов мирового уровня. В 2019 году Актогай достиг рекордного уровня производства меди  – 145,7 тыс. т. (на 11% больше по сравнению с 2018 годом), при этом превысив годовой плановый показатель 130-140 тыс. т. Высокий уровень производства достигнут благодаря сочетанию высокого содержания металла в руде, стабильной пропускной способности обогатительной фабрики.</w:t>
      </w:r>
    </w:p>
    <w:p w14:paraId="2320183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строительство горно - обогатительного комплекса производительностью 2,0 млн. т. руды в год, ТОО «Бакырчикское горнодобывающее предприятие». Проект объединил месторождения упорных руд Бакырчик и обогатительную фабрику, производство золотого концентрата, которое началось во 2 квартале 2018 года. Первые 10 лет месторождение Бакырчик будет отрабатываться открытым способом с последующим переходом на подземную добычу; </w:t>
      </w:r>
    </w:p>
    <w:p w14:paraId="214E8FA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модернизация производства Усть-Каменогорского арматурного завода (введен в эксплуатацию роботизированный сварочный комплекс, позволяет увеличить производительность труда на 40 %, и гарантирует качество выпускаемой продукции до 36 лет); </w:t>
      </w:r>
    </w:p>
    <w:p w14:paraId="5DE931E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завода по переработке масличных культур (рапс) ТОО «ТАГ-ТИН»</w:t>
      </w:r>
      <w:r w:rsidRPr="00F0736F">
        <w:rPr>
          <w:rFonts w:ascii="Times New Roman" w:hAnsi="Times New Roman" w:cs="Times New Roman"/>
          <w:color w:val="000000" w:themeColor="text1"/>
          <w:lang w:val="kk-KZ"/>
        </w:rPr>
        <w:t xml:space="preserve"> – </w:t>
      </w:r>
      <w:r w:rsidRPr="00F0736F">
        <w:rPr>
          <w:rFonts w:ascii="Times New Roman" w:hAnsi="Times New Roman" w:cs="Times New Roman"/>
          <w:color w:val="000000" w:themeColor="text1"/>
        </w:rPr>
        <w:t>направлен на импортозамещение.</w:t>
      </w:r>
    </w:p>
    <w:p w14:paraId="562BAAD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2020 году планируется ввод в эксплуатацию 3 проектов на 35,2 млрд. тенге и создание 361 рабочего места. </w:t>
      </w:r>
    </w:p>
    <w:p w14:paraId="644661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Доля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в ВРП области – 9,0%. Сельское хозяйство является базовой отраслью экономики для 14 из 15 районов (за исключением района Алтай).</w:t>
      </w:r>
    </w:p>
    <w:p w14:paraId="7B2227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Восточно-Казахстанская область занимает лидирующие позиции в республике: по производству молока, маслосемян подсолнечника, меда и пантов – 1-е место, по производству мяса – 2-е место, картофеля – 4-е место.</w:t>
      </w:r>
    </w:p>
    <w:p w14:paraId="685CA2E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структуре сельского хозяйства более 55,2% приходится на</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животноводство. Помимо таких традиционных отраслей, как разведение крупнорогатого скота, овец, птицы, развито мараловодство, пчеловодство. </w:t>
      </w:r>
    </w:p>
    <w:p w14:paraId="44E27F5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объему валового выпуска продукции сельского хозяйства среди регионов республики область находится на 4-м месте. Объем валового выпуска продукции сельского хозяйства по данным Комитета статистики РК достиг в 2017 году 472 млрд. тенге, в 2018 году – 515 млрд. тенге, а в 2019 году 592 млрд. тенге. </w:t>
      </w:r>
    </w:p>
    <w:p w14:paraId="403B028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Производительность труда в сельском хозяйстве</w:t>
      </w:r>
      <w:r w:rsidRPr="00F0736F">
        <w:rPr>
          <w:rFonts w:ascii="Times New Roman" w:hAnsi="Times New Roman" w:cs="Times New Roman"/>
          <w:color w:val="000000" w:themeColor="text1"/>
        </w:rPr>
        <w:t xml:space="preserve">, по данным акимата области, выросла по отношению к 2016 году на 25,5% в 2017 году, на 51,4% в 2018 году и на 71,6% в 2019 году. </w:t>
      </w:r>
    </w:p>
    <w:p w14:paraId="32DC75B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2019 год инвестиции в основной капитал сельского хозяйства достигли 30,9 млрд. тенге, или 110,7% к 2018 году. По итогам 2019 года производительность труда в сельском хозяйстве на 1 занятого составила 3 487,2 тыс. тенге, или 113,3% к показателю 2 018 года.</w:t>
      </w:r>
    </w:p>
    <w:p w14:paraId="4E9CDFA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Валовой сбор зерновых и зернобобовых культур, при средней урожайности 17 ц/га, достиг 930,3 тыс. т. (114% к 2018г.), масличных, при урожайности 12,5 ц/га, достиг 596,3 тыс. т. (108% к 2018г.), картофеля при средней урожайности 217,8 ц/га - 425,3 тыс. т. (99,4% к 2018г.), овощей и бахчевых - 422,5 тыс. т. (112% к 2018 г.) </w:t>
      </w:r>
    </w:p>
    <w:p w14:paraId="733D9C6D"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Для развития мясного животноводства на 2019 год был предусмотрен закуп 11 000 голов импортного племенного маточного поголовья КРС, 21 750 голов мелкого рогатого скота. По итогам 2019 года закуплено и завезено в область 6,5 тыс. голов КРС, или 60% от плана. Мелкого рогатого скота закуплено 16 449 голов, или 76% от плана. На 2019 год предусмотрено участие в породном преобразовании 172 100 голов КРС, по итогам года в породном преобразовании участвовало 173 396 голов, или 101% от плана.</w:t>
      </w:r>
    </w:p>
    <w:p w14:paraId="1DA704B9"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2B6D02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Продолжается работа по развитию сельхозкооперации. По итогам 2019 года зарегистрировано действующих сельскохозяйственных кооперативов 312, в составе которых 3581 члена. Дальнейшее развитие кооперации будет строиться на основе вертикально-горизонтальной интеграции вокруг якорных предприятий (предприятия переработки, крупные откормочные площадки, племенные репродукторы и молочно-товарные фермы). </w:t>
      </w:r>
    </w:p>
    <w:p w14:paraId="0FFC315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выхода на рынки высококачественной готовой продукции ТОО «Евразия АгроХолдинг» совместно с австралийской компанией «CedarMeatsPty» в Аягозском районе начало работу по строительству мясоперерабатывающего комбината мощностью 11,5 тыс. т. мяса в год, откормочной площадкой на 50 тыс. голов овец единовременного содержания, с объемом инвестиций 9,4 млрд. тенге.</w:t>
      </w:r>
    </w:p>
    <w:p w14:paraId="58FC784B"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 xml:space="preserve">ТОО «АгроПортал» при участии </w:t>
      </w:r>
      <w:r w:rsidRPr="00F0736F">
        <w:rPr>
          <w:rFonts w:ascii="Times New Roman" w:hAnsi="Times New Roman" w:cs="Times New Roman"/>
          <w:color w:val="000000" w:themeColor="text1"/>
        </w:rPr>
        <w:t>иранской инжиниринговой компании Jahan Mana</w:t>
      </w:r>
      <w:r w:rsidRPr="00F0736F">
        <w:rPr>
          <w:rFonts w:ascii="Times New Roman" w:hAnsi="Times New Roman" w:cs="Times New Roman"/>
          <w:bCs/>
          <w:color w:val="000000" w:themeColor="text1"/>
        </w:rPr>
        <w:t xml:space="preserve"> планируется реализация проекта</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rPr>
        <w:t xml:space="preserve">по строительству мясоперерабатывающего комбината с последующей глубокой переработкой мяса крупного и мелкого рогатого скота по стандарту «Адал» </w:t>
      </w:r>
      <w:r w:rsidRPr="00F0736F">
        <w:rPr>
          <w:rFonts w:ascii="Times New Roman" w:hAnsi="Times New Roman" w:cs="Times New Roman"/>
          <w:color w:val="000000" w:themeColor="text1"/>
        </w:rPr>
        <w:t>проектной стоимостью 20 млн.</w:t>
      </w:r>
      <w:r w:rsidRPr="00F0736F">
        <w:rPr>
          <w:rFonts w:ascii="Times New Roman" w:hAnsi="Times New Roman" w:cs="Times New Roman"/>
          <w:bCs/>
          <w:color w:val="000000" w:themeColor="text1"/>
        </w:rPr>
        <w:t xml:space="preserve"> </w:t>
      </w:r>
      <w:r w:rsidRPr="00F0736F">
        <w:rPr>
          <w:rFonts w:ascii="Times New Roman" w:hAnsi="Times New Roman" w:cs="Times New Roman"/>
          <w:color w:val="000000" w:themeColor="text1"/>
        </w:rPr>
        <w:t>долларов США.</w:t>
      </w:r>
    </w:p>
    <w:p w14:paraId="689FB1D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продвижения натуральных продуктов питания «Сделано в Казахстане» крестьянское хозяйство «Пасека» в феврале прошлого года зарегистрировало в КНР бренд Восточного Казахстана «Алтайский мед». Предприятием под данным брендом планируется обеспечить экспорт 1000 т. меда в год, с ежегодным увеличением на 20%.</w:t>
      </w:r>
    </w:p>
    <w:p w14:paraId="51770BE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Внедрено лечение пантовыми препаратами во всех крупных мараловодческих хозяйствах, в санаториях-профилакториях областного центра. Освоен выпуск более 40 видов лечебной продукции на основе пантов, крови, мяса, желез внутренней секреции маралов.</w:t>
      </w:r>
    </w:p>
    <w:p w14:paraId="5F0F911A" w14:textId="2190FBDC"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Площадь пастбищ на землях сельскохозяйственного назначения составила в 2017 году 8461,3 тыс. га, а в 2018 году – 8710,5 тыс. га, обводненных 5877,8 тыс. га, или 69%. </w:t>
      </w:r>
    </w:p>
    <w:p w14:paraId="733E6E8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структуре посевных площадей зерновые и бобовые культуры занимают 42,7%, подсолнечник – 29,5%. В области производится 54,8% всего объема производства подсолнечника республики.</w:t>
      </w:r>
    </w:p>
    <w:p w14:paraId="3D233A50" w14:textId="3796A89A"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2015 - 2017 годы посевные площади увеличены с 1277,9 тыс. га до 1316,4 тыс. га в 2017 году на 3%, при этом площади по влагосберегающей технологии увеличены на 3,9%, их удельный вес в общей посевной площади зерновых культур составляет 43%.</w:t>
      </w:r>
    </w:p>
    <w:p w14:paraId="0B80DFE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Доля севооборотов в составе пахотных земель (полевой севооборот) в 2017 году составила 31,8%, а в 2018 году – 48,6%.</w:t>
      </w:r>
    </w:p>
    <w:p w14:paraId="6A1AC7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Доля пастбищеоборота в составе естественных пастбищных угодий (кормовой севооборот) в 2017 году составила 6,9%, а в 2018 году – 12,6%.</w:t>
      </w:r>
    </w:p>
    <w:p w14:paraId="2055525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насчитывается 195,7 тыс. га орошаемых земель, из них в 2019 году использовались 94,0 тыс. га. Запланированы мероприятия по восстановлению и вовлечению в оборот 82,2 тыс. га неиспользуемых орошаемых земель.</w:t>
      </w:r>
    </w:p>
    <w:p w14:paraId="0445A7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Применяются новые прогрессивные методы полива, такие как дождевание и капельное орошение. Площади полива методом дождевания в 2019 году составили 8 100 га, капельного орошения – 850 га. </w:t>
      </w:r>
    </w:p>
    <w:p w14:paraId="7F4270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Земельный фонд Восточно-Казахстанской области составляет 10,4% от</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территории Республики Казахстан, из них:</w:t>
      </w:r>
    </w:p>
    <w:p w14:paraId="32CFDA17"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земли сельскохозяйственного назначения – 10848 тыс. га (38,3% от</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земельного фонда области);</w:t>
      </w:r>
    </w:p>
    <w:p w14:paraId="6AEE646B"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земли населенных пунктов – 2945 тыс. га (10,4%);</w:t>
      </w:r>
    </w:p>
    <w:p w14:paraId="568F4253"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 xml:space="preserve">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188,3 тыс. га (0,7%); </w:t>
      </w:r>
    </w:p>
    <w:p w14:paraId="50F041E5"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земли особо охраняемых природных территорий, земли оздоровительного, рекреационного и историко-культурного назначения – 1542,1 тыс. га (5,4%);</w:t>
      </w:r>
    </w:p>
    <w:p w14:paraId="2C1CBC91"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 xml:space="preserve">земли лесного фонда – 2152,5 тыс. га (7,6%); </w:t>
      </w:r>
      <w:r w:rsidRPr="00F0736F">
        <w:rPr>
          <w:rFonts w:ascii="Times New Roman" w:hAnsi="Times New Roman" w:cs="Times New Roman"/>
          <w:color w:val="000000" w:themeColor="text1"/>
        </w:rPr>
        <w:tab/>
      </w:r>
    </w:p>
    <w:p w14:paraId="657AE05D" w14:textId="77777777"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земли водного фонда – 571,2 тыс. га (2,0%);</w:t>
      </w:r>
    </w:p>
    <w:p w14:paraId="35FE39E2" w14:textId="5C6B77FD" w:rsidR="00AC1D5B" w:rsidRPr="00F0736F" w:rsidRDefault="00AC1D5B" w:rsidP="00AC1D5B">
      <w:pPr>
        <w:numPr>
          <w:ilvl w:val="0"/>
          <w:numId w:val="3"/>
        </w:numPr>
        <w:tabs>
          <w:tab w:val="left" w:pos="960"/>
        </w:tabs>
        <w:ind w:left="0" w:firstLine="709"/>
        <w:jc w:val="both"/>
        <w:rPr>
          <w:color w:val="000000" w:themeColor="text1"/>
        </w:rPr>
      </w:pPr>
      <w:r w:rsidRPr="00F0736F">
        <w:rPr>
          <w:rFonts w:ascii="Times New Roman" w:hAnsi="Times New Roman" w:cs="Times New Roman"/>
          <w:color w:val="000000" w:themeColor="text1"/>
        </w:rPr>
        <w:t>земли запаса – 10</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099,7 тыс. га (35,6%).</w:t>
      </w:r>
    </w:p>
    <w:p w14:paraId="74FF74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Состав земель сельскохозяйственного назначения области (таблица 2.5.1.).</w:t>
      </w:r>
    </w:p>
    <w:p w14:paraId="072E1DC7" w14:textId="77777777" w:rsidR="00AC1D5B" w:rsidRPr="00F0736F" w:rsidRDefault="00AC1D5B" w:rsidP="00AC1D5B">
      <w:pPr>
        <w:tabs>
          <w:tab w:val="left" w:pos="3031"/>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ab/>
      </w:r>
    </w:p>
    <w:p w14:paraId="0F3907E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Таблица 2.5.1. </w:t>
      </w:r>
      <w:r w:rsidRPr="00F0736F">
        <w:rPr>
          <w:rFonts w:ascii="Times New Roman" w:eastAsia="Calibri" w:hAnsi="Times New Roman" w:cs="Times New Roman"/>
          <w:color w:val="000000" w:themeColor="text1"/>
        </w:rPr>
        <w:t>Земли сельскохозяйственного назначения, тыс. га</w:t>
      </w:r>
    </w:p>
    <w:p w14:paraId="19EFF924" w14:textId="77777777" w:rsidR="00AC1D5B" w:rsidRPr="00F0736F" w:rsidRDefault="00AC1D5B" w:rsidP="00AC1D5B">
      <w:pPr>
        <w:ind w:firstLine="709"/>
        <w:jc w:val="both"/>
        <w:rPr>
          <w:rFonts w:ascii="Times New Roman" w:hAnsi="Times New Roman" w:cs="Times New Roman"/>
          <w:color w:val="000000" w:themeColor="text1"/>
        </w:rPr>
      </w:pPr>
    </w:p>
    <w:tbl>
      <w:tblPr>
        <w:tblW w:w="5000" w:type="pct"/>
        <w:tblInd w:w="108" w:type="dxa"/>
        <w:tblLayout w:type="fixed"/>
        <w:tblLook w:val="0000" w:firstRow="0" w:lastRow="0" w:firstColumn="0" w:lastColumn="0" w:noHBand="0" w:noVBand="0"/>
      </w:tblPr>
      <w:tblGrid>
        <w:gridCol w:w="1163"/>
        <w:gridCol w:w="1276"/>
        <w:gridCol w:w="888"/>
        <w:gridCol w:w="1522"/>
        <w:gridCol w:w="992"/>
        <w:gridCol w:w="1276"/>
        <w:gridCol w:w="1275"/>
        <w:gridCol w:w="1447"/>
      </w:tblGrid>
      <w:tr w:rsidR="00F0736F" w:rsidRPr="00F0736F" w14:paraId="7C4008DE" w14:textId="77777777" w:rsidTr="000B2B8A">
        <w:trPr>
          <w:trHeight w:val="274"/>
        </w:trPr>
        <w:tc>
          <w:tcPr>
            <w:tcW w:w="1163" w:type="dxa"/>
            <w:tcBorders>
              <w:top w:val="single" w:sz="4" w:space="0" w:color="000000"/>
              <w:left w:val="single" w:sz="4" w:space="0" w:color="000000"/>
              <w:bottom w:val="single" w:sz="4" w:space="0" w:color="000000"/>
            </w:tcBorders>
            <w:shd w:val="clear" w:color="auto" w:fill="auto"/>
          </w:tcPr>
          <w:p w14:paraId="2635889C"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Общая площадь</w:t>
            </w:r>
          </w:p>
        </w:tc>
        <w:tc>
          <w:tcPr>
            <w:tcW w:w="1276" w:type="dxa"/>
            <w:tcBorders>
              <w:top w:val="single" w:sz="4" w:space="0" w:color="000000"/>
              <w:left w:val="single" w:sz="4" w:space="0" w:color="000000"/>
              <w:bottom w:val="single" w:sz="4" w:space="0" w:color="000000"/>
            </w:tcBorders>
            <w:shd w:val="clear" w:color="auto" w:fill="auto"/>
          </w:tcPr>
          <w:p w14:paraId="6EC69ACA"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Всего сельхозугодий</w:t>
            </w:r>
          </w:p>
        </w:tc>
        <w:tc>
          <w:tcPr>
            <w:tcW w:w="888" w:type="dxa"/>
            <w:tcBorders>
              <w:top w:val="single" w:sz="4" w:space="0" w:color="000000"/>
              <w:left w:val="single" w:sz="4" w:space="0" w:color="000000"/>
              <w:bottom w:val="single" w:sz="4" w:space="0" w:color="000000"/>
            </w:tcBorders>
            <w:shd w:val="clear" w:color="auto" w:fill="auto"/>
          </w:tcPr>
          <w:p w14:paraId="542D3A95"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Пашня</w:t>
            </w:r>
          </w:p>
        </w:tc>
        <w:tc>
          <w:tcPr>
            <w:tcW w:w="1522" w:type="dxa"/>
            <w:tcBorders>
              <w:top w:val="single" w:sz="4" w:space="0" w:color="000000"/>
              <w:left w:val="single" w:sz="4" w:space="0" w:color="000000"/>
              <w:bottom w:val="single" w:sz="4" w:space="0" w:color="000000"/>
            </w:tcBorders>
            <w:shd w:val="clear" w:color="auto" w:fill="auto"/>
          </w:tcPr>
          <w:p w14:paraId="662D4210"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Многолетние насаждения</w:t>
            </w:r>
          </w:p>
        </w:tc>
        <w:tc>
          <w:tcPr>
            <w:tcW w:w="992" w:type="dxa"/>
            <w:tcBorders>
              <w:top w:val="single" w:sz="4" w:space="0" w:color="000000"/>
              <w:left w:val="single" w:sz="4" w:space="0" w:color="000000"/>
              <w:bottom w:val="single" w:sz="4" w:space="0" w:color="000000"/>
            </w:tcBorders>
            <w:shd w:val="clear" w:color="auto" w:fill="auto"/>
          </w:tcPr>
          <w:p w14:paraId="714C5B24"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Залежь</w:t>
            </w:r>
          </w:p>
        </w:tc>
        <w:tc>
          <w:tcPr>
            <w:tcW w:w="1276" w:type="dxa"/>
            <w:tcBorders>
              <w:top w:val="single" w:sz="4" w:space="0" w:color="000000"/>
              <w:left w:val="single" w:sz="4" w:space="0" w:color="000000"/>
              <w:bottom w:val="single" w:sz="4" w:space="0" w:color="000000"/>
            </w:tcBorders>
            <w:shd w:val="clear" w:color="auto" w:fill="auto"/>
          </w:tcPr>
          <w:p w14:paraId="19517389"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Сенокосы</w:t>
            </w:r>
          </w:p>
        </w:tc>
        <w:tc>
          <w:tcPr>
            <w:tcW w:w="1275" w:type="dxa"/>
            <w:tcBorders>
              <w:top w:val="single" w:sz="4" w:space="0" w:color="000000"/>
              <w:left w:val="single" w:sz="4" w:space="0" w:color="000000"/>
              <w:bottom w:val="single" w:sz="4" w:space="0" w:color="000000"/>
            </w:tcBorders>
            <w:shd w:val="clear" w:color="auto" w:fill="auto"/>
          </w:tcPr>
          <w:p w14:paraId="64CA0132"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Пастбища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349CBE5F"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Огороды и служебные наделы</w:t>
            </w:r>
          </w:p>
        </w:tc>
      </w:tr>
      <w:tr w:rsidR="00AC1D5B" w:rsidRPr="00F0736F" w14:paraId="1A834ADD" w14:textId="77777777" w:rsidTr="000B2B8A">
        <w:trPr>
          <w:trHeight w:val="288"/>
        </w:trPr>
        <w:tc>
          <w:tcPr>
            <w:tcW w:w="1163" w:type="dxa"/>
            <w:tcBorders>
              <w:top w:val="single" w:sz="4" w:space="0" w:color="000000"/>
              <w:left w:val="single" w:sz="4" w:space="0" w:color="000000"/>
              <w:bottom w:val="single" w:sz="4" w:space="0" w:color="000000"/>
            </w:tcBorders>
            <w:shd w:val="clear" w:color="auto" w:fill="auto"/>
          </w:tcPr>
          <w:p w14:paraId="3FA11BFE" w14:textId="25B6446B" w:rsidR="00AC1D5B" w:rsidRPr="00F0736F" w:rsidRDefault="00AC1D5B" w:rsidP="00AC1D5B">
            <w:pPr>
              <w:jc w:val="center"/>
              <w:rPr>
                <w:color w:val="000000" w:themeColor="text1"/>
              </w:rPr>
            </w:pPr>
            <w:r w:rsidRPr="00F0736F">
              <w:rPr>
                <w:rFonts w:ascii="Times New Roman" w:hAnsi="Times New Roman" w:cs="Times New Roman"/>
                <w:color w:val="000000" w:themeColor="text1"/>
              </w:rPr>
              <w:t>10</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848</w:t>
            </w:r>
          </w:p>
        </w:tc>
        <w:tc>
          <w:tcPr>
            <w:tcW w:w="1276" w:type="dxa"/>
            <w:tcBorders>
              <w:top w:val="single" w:sz="4" w:space="0" w:color="000000"/>
              <w:left w:val="single" w:sz="4" w:space="0" w:color="000000"/>
              <w:bottom w:val="single" w:sz="4" w:space="0" w:color="000000"/>
            </w:tcBorders>
            <w:shd w:val="clear" w:color="auto" w:fill="auto"/>
          </w:tcPr>
          <w:p w14:paraId="22BBB61E" w14:textId="44E87AA7" w:rsidR="00AC1D5B" w:rsidRPr="00F0736F" w:rsidRDefault="00AC1D5B" w:rsidP="00AC1D5B">
            <w:pPr>
              <w:jc w:val="center"/>
              <w:rPr>
                <w:color w:val="000000" w:themeColor="text1"/>
              </w:rPr>
            </w:pPr>
            <w:r w:rsidRPr="00F0736F">
              <w:rPr>
                <w:rFonts w:ascii="Times New Roman" w:hAnsi="Times New Roman" w:cs="Times New Roman"/>
                <w:color w:val="000000" w:themeColor="text1"/>
              </w:rPr>
              <w:t>10</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691,6</w:t>
            </w:r>
          </w:p>
        </w:tc>
        <w:tc>
          <w:tcPr>
            <w:tcW w:w="888" w:type="dxa"/>
            <w:tcBorders>
              <w:top w:val="single" w:sz="4" w:space="0" w:color="000000"/>
              <w:left w:val="single" w:sz="4" w:space="0" w:color="000000"/>
              <w:bottom w:val="single" w:sz="4" w:space="0" w:color="000000"/>
            </w:tcBorders>
            <w:shd w:val="clear" w:color="auto" w:fill="auto"/>
          </w:tcPr>
          <w:p w14:paraId="1646646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1452,2</w:t>
            </w:r>
          </w:p>
        </w:tc>
        <w:tc>
          <w:tcPr>
            <w:tcW w:w="1522" w:type="dxa"/>
            <w:tcBorders>
              <w:top w:val="single" w:sz="4" w:space="0" w:color="000000"/>
              <w:left w:val="single" w:sz="4" w:space="0" w:color="000000"/>
              <w:bottom w:val="single" w:sz="4" w:space="0" w:color="000000"/>
            </w:tcBorders>
            <w:shd w:val="clear" w:color="auto" w:fill="auto"/>
          </w:tcPr>
          <w:p w14:paraId="2585C20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2,3</w:t>
            </w:r>
          </w:p>
        </w:tc>
        <w:tc>
          <w:tcPr>
            <w:tcW w:w="992" w:type="dxa"/>
            <w:tcBorders>
              <w:top w:val="single" w:sz="4" w:space="0" w:color="000000"/>
              <w:left w:val="single" w:sz="4" w:space="0" w:color="000000"/>
              <w:bottom w:val="single" w:sz="4" w:space="0" w:color="000000"/>
            </w:tcBorders>
            <w:shd w:val="clear" w:color="auto" w:fill="auto"/>
          </w:tcPr>
          <w:p w14:paraId="1770F90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60,9</w:t>
            </w:r>
          </w:p>
        </w:tc>
        <w:tc>
          <w:tcPr>
            <w:tcW w:w="1276" w:type="dxa"/>
            <w:tcBorders>
              <w:top w:val="single" w:sz="4" w:space="0" w:color="000000"/>
              <w:left w:val="single" w:sz="4" w:space="0" w:color="000000"/>
              <w:bottom w:val="single" w:sz="4" w:space="0" w:color="000000"/>
            </w:tcBorders>
            <w:shd w:val="clear" w:color="auto" w:fill="auto"/>
          </w:tcPr>
          <w:p w14:paraId="640F739D"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465,4</w:t>
            </w:r>
          </w:p>
        </w:tc>
        <w:tc>
          <w:tcPr>
            <w:tcW w:w="1275" w:type="dxa"/>
            <w:tcBorders>
              <w:top w:val="single" w:sz="4" w:space="0" w:color="000000"/>
              <w:left w:val="single" w:sz="4" w:space="0" w:color="000000"/>
              <w:bottom w:val="single" w:sz="4" w:space="0" w:color="000000"/>
            </w:tcBorders>
            <w:shd w:val="clear" w:color="auto" w:fill="auto"/>
          </w:tcPr>
          <w:p w14:paraId="3FD32C9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8710,5</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2362A5E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0,3</w:t>
            </w:r>
          </w:p>
        </w:tc>
      </w:tr>
    </w:tbl>
    <w:p w14:paraId="39DBBFC0" w14:textId="77777777" w:rsidR="00AC1D5B" w:rsidRPr="00F0736F" w:rsidRDefault="00AC1D5B" w:rsidP="00AC1D5B">
      <w:pPr>
        <w:ind w:firstLine="709"/>
        <w:jc w:val="both"/>
        <w:rPr>
          <w:rFonts w:ascii="Times New Roman" w:hAnsi="Times New Roman" w:cs="Times New Roman"/>
          <w:color w:val="000000" w:themeColor="text1"/>
        </w:rPr>
      </w:pPr>
    </w:p>
    <w:p w14:paraId="3E57FC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w:t>
      </w:r>
      <w:r w:rsidRPr="00F0736F">
        <w:rPr>
          <w:rFonts w:ascii="Times New Roman" w:eastAsia="Calibri" w:hAnsi="Times New Roman" w:cs="Times New Roman"/>
          <w:color w:val="000000" w:themeColor="text1"/>
        </w:rPr>
        <w:t>величение доли вовлеченных в сельскохозяйственный оборот земель сельхозназначения в 2017 году составило 9%, а в 2018 году – 11,5% (таблица 2.5.2.).</w:t>
      </w:r>
    </w:p>
    <w:p w14:paraId="508AD67C" w14:textId="77777777" w:rsidR="00AC1D5B" w:rsidRPr="00F0736F" w:rsidRDefault="00AC1D5B" w:rsidP="00AC1D5B">
      <w:pPr>
        <w:ind w:firstLine="709"/>
        <w:jc w:val="both"/>
        <w:rPr>
          <w:rFonts w:ascii="Times New Roman" w:hAnsi="Times New Roman" w:cs="Times New Roman"/>
          <w:color w:val="000000" w:themeColor="text1"/>
        </w:rPr>
      </w:pPr>
    </w:p>
    <w:p w14:paraId="795336D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2.5.2. Вовлечение в сельскохозяйственный оборот земель сельскохозяйственного назначения</w:t>
      </w:r>
    </w:p>
    <w:p w14:paraId="086C20F1"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134" w:type="dxa"/>
        <w:tblLayout w:type="fixed"/>
        <w:tblLook w:val="0000" w:firstRow="0" w:lastRow="0" w:firstColumn="0" w:lastColumn="0" w:noHBand="0" w:noVBand="0"/>
      </w:tblPr>
      <w:tblGrid>
        <w:gridCol w:w="4577"/>
        <w:gridCol w:w="1258"/>
        <w:gridCol w:w="1201"/>
        <w:gridCol w:w="1124"/>
        <w:gridCol w:w="1725"/>
      </w:tblGrid>
      <w:tr w:rsidR="00F0736F" w:rsidRPr="00F0736F" w14:paraId="5A0196FD" w14:textId="77777777" w:rsidTr="000B2B8A">
        <w:trPr>
          <w:trHeight w:val="315"/>
          <w:tblHeader/>
        </w:trPr>
        <w:tc>
          <w:tcPr>
            <w:tcW w:w="4577" w:type="dxa"/>
            <w:vMerge w:val="restart"/>
            <w:tcBorders>
              <w:top w:val="single" w:sz="4" w:space="0" w:color="000000"/>
              <w:left w:val="single" w:sz="4" w:space="0" w:color="000000"/>
              <w:bottom w:val="single" w:sz="4" w:space="0" w:color="000000"/>
            </w:tcBorders>
            <w:shd w:val="clear" w:color="auto" w:fill="auto"/>
            <w:vAlign w:val="center"/>
          </w:tcPr>
          <w:p w14:paraId="373865A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Целевые индикаторы</w:t>
            </w:r>
          </w:p>
        </w:tc>
        <w:tc>
          <w:tcPr>
            <w:tcW w:w="53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9FFEE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Выполнение по годам</w:t>
            </w:r>
          </w:p>
        </w:tc>
      </w:tr>
      <w:tr w:rsidR="00F0736F" w:rsidRPr="00F0736F" w14:paraId="614BB5E1" w14:textId="77777777" w:rsidTr="000B2B8A">
        <w:trPr>
          <w:trHeight w:val="351"/>
        </w:trPr>
        <w:tc>
          <w:tcPr>
            <w:tcW w:w="4577" w:type="dxa"/>
            <w:vMerge/>
            <w:tcBorders>
              <w:top w:val="single" w:sz="4" w:space="0" w:color="000000"/>
              <w:left w:val="single" w:sz="4" w:space="0" w:color="000000"/>
              <w:bottom w:val="single" w:sz="4" w:space="0" w:color="000000"/>
            </w:tcBorders>
            <w:shd w:val="clear" w:color="auto" w:fill="auto"/>
            <w:vAlign w:val="center"/>
          </w:tcPr>
          <w:p w14:paraId="0A0A49EC" w14:textId="77777777" w:rsidR="00AC1D5B" w:rsidRPr="00F0736F" w:rsidRDefault="00AC1D5B" w:rsidP="00AC1D5B">
            <w:pPr>
              <w:snapToGrid w:val="0"/>
              <w:ind w:firstLine="709"/>
              <w:jc w:val="both"/>
              <w:rPr>
                <w:rFonts w:ascii="Times New Roman" w:hAnsi="Times New Roman" w:cs="Times New Roman"/>
                <w:color w:val="000000" w:themeColor="text1"/>
              </w:rPr>
            </w:pPr>
          </w:p>
        </w:tc>
        <w:tc>
          <w:tcPr>
            <w:tcW w:w="1258" w:type="dxa"/>
            <w:tcBorders>
              <w:top w:val="single" w:sz="4" w:space="0" w:color="000000"/>
              <w:left w:val="single" w:sz="4" w:space="0" w:color="000000"/>
              <w:bottom w:val="single" w:sz="4" w:space="0" w:color="000000"/>
            </w:tcBorders>
            <w:shd w:val="clear" w:color="auto" w:fill="auto"/>
            <w:vAlign w:val="center"/>
          </w:tcPr>
          <w:p w14:paraId="47C2865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2017 г.</w:t>
            </w:r>
          </w:p>
        </w:tc>
        <w:tc>
          <w:tcPr>
            <w:tcW w:w="1201" w:type="dxa"/>
            <w:tcBorders>
              <w:top w:val="single" w:sz="4" w:space="0" w:color="000000"/>
              <w:left w:val="single" w:sz="4" w:space="0" w:color="000000"/>
              <w:bottom w:val="single" w:sz="4" w:space="0" w:color="000000"/>
            </w:tcBorders>
            <w:shd w:val="clear" w:color="auto" w:fill="auto"/>
            <w:vAlign w:val="center"/>
          </w:tcPr>
          <w:p w14:paraId="0CA802B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2018 г.</w:t>
            </w:r>
          </w:p>
        </w:tc>
        <w:tc>
          <w:tcPr>
            <w:tcW w:w="1124" w:type="dxa"/>
            <w:tcBorders>
              <w:top w:val="single" w:sz="4" w:space="0" w:color="000000"/>
              <w:left w:val="single" w:sz="4" w:space="0" w:color="000000"/>
              <w:bottom w:val="single" w:sz="4" w:space="0" w:color="000000"/>
            </w:tcBorders>
            <w:shd w:val="clear" w:color="auto" w:fill="auto"/>
            <w:vAlign w:val="center"/>
          </w:tcPr>
          <w:p w14:paraId="247CAA74" w14:textId="77777777" w:rsidR="00AC1D5B" w:rsidRPr="00F0736F" w:rsidRDefault="00AC1D5B" w:rsidP="00AC1D5B">
            <w:pPr>
              <w:snapToGrid w:val="0"/>
              <w:ind w:firstLine="709"/>
              <w:jc w:val="center"/>
              <w:rPr>
                <w:rFonts w:ascii="Times New Roman" w:hAnsi="Times New Roman" w:cs="Times New Roman"/>
                <w:color w:val="000000" w:themeColor="text1"/>
              </w:rPr>
            </w:pPr>
          </w:p>
          <w:p w14:paraId="5DA3EFA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2019 г.</w:t>
            </w:r>
          </w:p>
          <w:p w14:paraId="752E508E" w14:textId="77777777" w:rsidR="00AC1D5B" w:rsidRPr="00F0736F" w:rsidRDefault="00AC1D5B" w:rsidP="00AC1D5B">
            <w:pPr>
              <w:ind w:firstLine="709"/>
              <w:jc w:val="center"/>
              <w:rPr>
                <w:rFonts w:ascii="Times New Roman" w:hAnsi="Times New Roman" w:cs="Times New Roman"/>
                <w:color w:val="000000" w:themeColor="text1"/>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544D6" w14:textId="77777777" w:rsidR="00AC1D5B" w:rsidRPr="00F0736F" w:rsidRDefault="00AC1D5B" w:rsidP="00AC1D5B">
            <w:pPr>
              <w:jc w:val="center"/>
              <w:rPr>
                <w:rFonts w:ascii="Times New Roman" w:hAnsi="Times New Roman" w:cs="Times New Roman"/>
                <w:color w:val="000000" w:themeColor="text1"/>
              </w:rPr>
            </w:pPr>
            <w:r w:rsidRPr="00F0736F">
              <w:rPr>
                <w:rFonts w:ascii="Times New Roman" w:hAnsi="Times New Roman" w:cs="Times New Roman"/>
                <w:color w:val="000000" w:themeColor="text1"/>
              </w:rPr>
              <w:t>2020 г.</w:t>
            </w:r>
          </w:p>
          <w:p w14:paraId="6CBE72E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план</w:t>
            </w:r>
          </w:p>
        </w:tc>
      </w:tr>
      <w:tr w:rsidR="00F0736F" w:rsidRPr="00F0736F" w14:paraId="10A02F46" w14:textId="77777777" w:rsidTr="000B2B8A">
        <w:trPr>
          <w:trHeight w:val="144"/>
        </w:trPr>
        <w:tc>
          <w:tcPr>
            <w:tcW w:w="4577" w:type="dxa"/>
            <w:tcBorders>
              <w:top w:val="single" w:sz="4" w:space="0" w:color="000000"/>
              <w:left w:val="single" w:sz="4" w:space="0" w:color="000000"/>
              <w:bottom w:val="single" w:sz="4" w:space="0" w:color="000000"/>
            </w:tcBorders>
            <w:shd w:val="clear" w:color="auto" w:fill="auto"/>
            <w:vAlign w:val="center"/>
          </w:tcPr>
          <w:p w14:paraId="308D532E"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rPr>
              <w:t>Увеличение доли вовлеченных в сельскохозяйственный оборот земель сельхозназначения, %</w:t>
            </w:r>
          </w:p>
        </w:tc>
        <w:tc>
          <w:tcPr>
            <w:tcW w:w="1258" w:type="dxa"/>
            <w:tcBorders>
              <w:top w:val="single" w:sz="4" w:space="0" w:color="000000"/>
              <w:left w:val="single" w:sz="4" w:space="0" w:color="000000"/>
              <w:bottom w:val="single" w:sz="4" w:space="0" w:color="000000"/>
            </w:tcBorders>
            <w:shd w:val="clear" w:color="auto" w:fill="auto"/>
            <w:vAlign w:val="center"/>
          </w:tcPr>
          <w:p w14:paraId="38BCC86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9,0</w:t>
            </w:r>
          </w:p>
        </w:tc>
        <w:tc>
          <w:tcPr>
            <w:tcW w:w="1201" w:type="dxa"/>
            <w:tcBorders>
              <w:top w:val="single" w:sz="4" w:space="0" w:color="000000"/>
              <w:left w:val="single" w:sz="4" w:space="0" w:color="000000"/>
              <w:bottom w:val="single" w:sz="4" w:space="0" w:color="000000"/>
            </w:tcBorders>
            <w:shd w:val="clear" w:color="auto" w:fill="auto"/>
            <w:vAlign w:val="center"/>
          </w:tcPr>
          <w:p w14:paraId="3D60F634" w14:textId="77777777" w:rsidR="00AC1D5B" w:rsidRPr="00F0736F" w:rsidRDefault="00AC1D5B" w:rsidP="00AC1D5B">
            <w:pPr>
              <w:ind w:hanging="133"/>
              <w:jc w:val="center"/>
              <w:rPr>
                <w:color w:val="000000" w:themeColor="text1"/>
              </w:rPr>
            </w:pPr>
            <w:r w:rsidRPr="00F0736F">
              <w:rPr>
                <w:rFonts w:ascii="Times New Roman" w:hAnsi="Times New Roman" w:cs="Times New Roman"/>
                <w:color w:val="000000" w:themeColor="text1"/>
              </w:rPr>
              <w:t>11,5</w:t>
            </w:r>
          </w:p>
        </w:tc>
        <w:tc>
          <w:tcPr>
            <w:tcW w:w="1124" w:type="dxa"/>
            <w:tcBorders>
              <w:top w:val="single" w:sz="4" w:space="0" w:color="000000"/>
              <w:left w:val="single" w:sz="4" w:space="0" w:color="000000"/>
              <w:bottom w:val="single" w:sz="4" w:space="0" w:color="000000"/>
            </w:tcBorders>
            <w:shd w:val="clear" w:color="auto" w:fill="auto"/>
            <w:vAlign w:val="center"/>
          </w:tcPr>
          <w:p w14:paraId="4BD1FA1D"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13,4</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5007A" w14:textId="77777777" w:rsidR="00AC1D5B" w:rsidRPr="00F0736F" w:rsidRDefault="00AC1D5B" w:rsidP="00AC1D5B">
            <w:pPr>
              <w:ind w:firstLine="521"/>
              <w:rPr>
                <w:color w:val="000000" w:themeColor="text1"/>
              </w:rPr>
            </w:pPr>
            <w:r w:rsidRPr="00F0736F">
              <w:rPr>
                <w:rFonts w:ascii="Times New Roman" w:hAnsi="Times New Roman" w:cs="Times New Roman"/>
                <w:color w:val="000000" w:themeColor="text1"/>
              </w:rPr>
              <w:t>15,5</w:t>
            </w:r>
          </w:p>
        </w:tc>
      </w:tr>
      <w:tr w:rsidR="00F0736F" w:rsidRPr="00F0736F" w14:paraId="75B40947" w14:textId="77777777" w:rsidTr="000B2B8A">
        <w:trPr>
          <w:trHeight w:val="144"/>
        </w:trPr>
        <w:tc>
          <w:tcPr>
            <w:tcW w:w="4577" w:type="dxa"/>
            <w:tcBorders>
              <w:top w:val="single" w:sz="4" w:space="0" w:color="000000"/>
              <w:left w:val="single" w:sz="4" w:space="0" w:color="000000"/>
              <w:bottom w:val="single" w:sz="4" w:space="0" w:color="000000"/>
            </w:tcBorders>
            <w:shd w:val="clear" w:color="auto" w:fill="auto"/>
            <w:vAlign w:val="center"/>
          </w:tcPr>
          <w:p w14:paraId="6C4259EF"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rPr>
              <w:t>Доля севооборотов в составе пахотных земель (полевой севооборот), %</w:t>
            </w:r>
          </w:p>
        </w:tc>
        <w:tc>
          <w:tcPr>
            <w:tcW w:w="1258" w:type="dxa"/>
            <w:tcBorders>
              <w:top w:val="single" w:sz="4" w:space="0" w:color="000000"/>
              <w:left w:val="single" w:sz="4" w:space="0" w:color="000000"/>
              <w:bottom w:val="single" w:sz="4" w:space="0" w:color="000000"/>
            </w:tcBorders>
            <w:shd w:val="clear" w:color="auto" w:fill="auto"/>
            <w:vAlign w:val="center"/>
          </w:tcPr>
          <w:p w14:paraId="488106E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31,8</w:t>
            </w:r>
          </w:p>
        </w:tc>
        <w:tc>
          <w:tcPr>
            <w:tcW w:w="1201" w:type="dxa"/>
            <w:tcBorders>
              <w:top w:val="single" w:sz="4" w:space="0" w:color="000000"/>
              <w:left w:val="single" w:sz="4" w:space="0" w:color="000000"/>
              <w:bottom w:val="single" w:sz="4" w:space="0" w:color="000000"/>
            </w:tcBorders>
            <w:shd w:val="clear" w:color="auto" w:fill="auto"/>
            <w:vAlign w:val="center"/>
          </w:tcPr>
          <w:p w14:paraId="18F3C1E3" w14:textId="77777777" w:rsidR="00AC1D5B" w:rsidRPr="00F0736F" w:rsidRDefault="00AC1D5B" w:rsidP="00AC1D5B">
            <w:pPr>
              <w:ind w:hanging="133"/>
              <w:jc w:val="center"/>
              <w:rPr>
                <w:color w:val="000000" w:themeColor="text1"/>
              </w:rPr>
            </w:pPr>
            <w:r w:rsidRPr="00F0736F">
              <w:rPr>
                <w:rFonts w:ascii="Times New Roman" w:hAnsi="Times New Roman" w:cs="Times New Roman"/>
                <w:color w:val="000000" w:themeColor="text1"/>
              </w:rPr>
              <w:t>48,6</w:t>
            </w:r>
          </w:p>
        </w:tc>
        <w:tc>
          <w:tcPr>
            <w:tcW w:w="1124" w:type="dxa"/>
            <w:tcBorders>
              <w:top w:val="single" w:sz="4" w:space="0" w:color="000000"/>
              <w:left w:val="single" w:sz="4" w:space="0" w:color="000000"/>
              <w:bottom w:val="single" w:sz="4" w:space="0" w:color="000000"/>
            </w:tcBorders>
            <w:shd w:val="clear" w:color="auto" w:fill="auto"/>
            <w:vAlign w:val="center"/>
          </w:tcPr>
          <w:p w14:paraId="5A61EAB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50,0</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76D96" w14:textId="77777777" w:rsidR="00AC1D5B" w:rsidRPr="00F0736F" w:rsidRDefault="00AC1D5B" w:rsidP="00AC1D5B">
            <w:pPr>
              <w:ind w:firstLine="521"/>
              <w:rPr>
                <w:color w:val="000000" w:themeColor="text1"/>
              </w:rPr>
            </w:pPr>
            <w:r w:rsidRPr="00F0736F">
              <w:rPr>
                <w:rFonts w:ascii="Times New Roman" w:hAnsi="Times New Roman" w:cs="Times New Roman"/>
                <w:color w:val="000000" w:themeColor="text1"/>
              </w:rPr>
              <w:t>51,4</w:t>
            </w:r>
          </w:p>
        </w:tc>
      </w:tr>
      <w:tr w:rsidR="00AC1D5B" w:rsidRPr="00F0736F" w14:paraId="1CCCEA50" w14:textId="77777777" w:rsidTr="000B2B8A">
        <w:trPr>
          <w:trHeight w:val="144"/>
        </w:trPr>
        <w:tc>
          <w:tcPr>
            <w:tcW w:w="4577" w:type="dxa"/>
            <w:tcBorders>
              <w:top w:val="single" w:sz="4" w:space="0" w:color="000000"/>
              <w:left w:val="single" w:sz="4" w:space="0" w:color="000000"/>
              <w:bottom w:val="single" w:sz="4" w:space="0" w:color="000000"/>
            </w:tcBorders>
            <w:shd w:val="clear" w:color="auto" w:fill="auto"/>
            <w:vAlign w:val="center"/>
          </w:tcPr>
          <w:p w14:paraId="16D4D751"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rPr>
              <w:t>Доля пастбищеоборота в составе естественных пастбищных угодий (кормовой севооборот), %</w:t>
            </w:r>
          </w:p>
        </w:tc>
        <w:tc>
          <w:tcPr>
            <w:tcW w:w="1258" w:type="dxa"/>
            <w:tcBorders>
              <w:top w:val="single" w:sz="4" w:space="0" w:color="000000"/>
              <w:left w:val="single" w:sz="4" w:space="0" w:color="000000"/>
              <w:bottom w:val="single" w:sz="4" w:space="0" w:color="000000"/>
            </w:tcBorders>
            <w:shd w:val="clear" w:color="auto" w:fill="auto"/>
            <w:vAlign w:val="center"/>
          </w:tcPr>
          <w:p w14:paraId="7E54EEE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rPr>
              <w:t>6,9</w:t>
            </w:r>
          </w:p>
        </w:tc>
        <w:tc>
          <w:tcPr>
            <w:tcW w:w="1201" w:type="dxa"/>
            <w:tcBorders>
              <w:top w:val="single" w:sz="4" w:space="0" w:color="000000"/>
              <w:left w:val="single" w:sz="4" w:space="0" w:color="000000"/>
              <w:bottom w:val="single" w:sz="4" w:space="0" w:color="000000"/>
            </w:tcBorders>
            <w:shd w:val="clear" w:color="auto" w:fill="auto"/>
            <w:vAlign w:val="center"/>
          </w:tcPr>
          <w:p w14:paraId="1B5E01C4" w14:textId="77777777" w:rsidR="00AC1D5B" w:rsidRPr="00F0736F" w:rsidRDefault="00AC1D5B" w:rsidP="00AC1D5B">
            <w:pPr>
              <w:ind w:hanging="133"/>
              <w:jc w:val="center"/>
              <w:rPr>
                <w:color w:val="000000" w:themeColor="text1"/>
              </w:rPr>
            </w:pPr>
            <w:r w:rsidRPr="00F0736F">
              <w:rPr>
                <w:rFonts w:ascii="Times New Roman" w:hAnsi="Times New Roman" w:cs="Times New Roman"/>
                <w:color w:val="000000" w:themeColor="text1"/>
                <w:lang w:val="en-US"/>
              </w:rPr>
              <w:t>12</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en-US"/>
              </w:rPr>
              <w:t>6</w:t>
            </w:r>
          </w:p>
        </w:tc>
        <w:tc>
          <w:tcPr>
            <w:tcW w:w="1124" w:type="dxa"/>
            <w:tcBorders>
              <w:top w:val="single" w:sz="4" w:space="0" w:color="000000"/>
              <w:left w:val="single" w:sz="4" w:space="0" w:color="000000"/>
              <w:bottom w:val="single" w:sz="4" w:space="0" w:color="000000"/>
            </w:tcBorders>
            <w:shd w:val="clear" w:color="auto" w:fill="auto"/>
            <w:vAlign w:val="center"/>
          </w:tcPr>
          <w:p w14:paraId="00767AC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lang w:val="en-US"/>
              </w:rPr>
              <w:t>13</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en-US"/>
              </w:rPr>
              <w:t>6</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0A4BE" w14:textId="77777777" w:rsidR="00AC1D5B" w:rsidRPr="00F0736F" w:rsidRDefault="00AC1D5B" w:rsidP="00AC1D5B">
            <w:pPr>
              <w:ind w:firstLine="521"/>
              <w:rPr>
                <w:color w:val="000000" w:themeColor="text1"/>
              </w:rPr>
            </w:pPr>
            <w:r w:rsidRPr="00F0736F">
              <w:rPr>
                <w:rFonts w:ascii="Times New Roman" w:hAnsi="Times New Roman" w:cs="Times New Roman"/>
                <w:color w:val="000000" w:themeColor="text1"/>
                <w:lang w:val="en-US"/>
              </w:rPr>
              <w:t>14</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8</w:t>
            </w:r>
          </w:p>
        </w:tc>
      </w:tr>
    </w:tbl>
    <w:p w14:paraId="7C45C378" w14:textId="77777777" w:rsidR="00AC1D5B" w:rsidRPr="00F0736F" w:rsidRDefault="00AC1D5B" w:rsidP="00AC1D5B">
      <w:pPr>
        <w:ind w:firstLine="709"/>
        <w:jc w:val="both"/>
        <w:rPr>
          <w:color w:val="000000" w:themeColor="text1"/>
        </w:rPr>
      </w:pPr>
    </w:p>
    <w:p w14:paraId="1B68CC94" w14:textId="77777777" w:rsidR="00AC1D5B" w:rsidRPr="00F0736F" w:rsidRDefault="00AC1D5B" w:rsidP="00AC1D5B">
      <w:pPr>
        <w:ind w:firstLine="709"/>
        <w:jc w:val="both"/>
        <w:rPr>
          <w:rFonts w:ascii="Times New Roman" w:hAnsi="Times New Roman" w:cs="Times New Roman"/>
          <w:bCs/>
          <w:iCs/>
          <w:color w:val="000000" w:themeColor="text1"/>
        </w:rPr>
      </w:pPr>
    </w:p>
    <w:p w14:paraId="1E7D188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4022561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Cs/>
          <w:color w:val="000000" w:themeColor="text1"/>
        </w:rPr>
        <w:t xml:space="preserve">Электроснабжение. </w:t>
      </w:r>
      <w:r w:rsidRPr="00F0736F">
        <w:rPr>
          <w:rFonts w:ascii="Times New Roman" w:hAnsi="Times New Roman" w:cs="Times New Roman"/>
          <w:color w:val="000000" w:themeColor="text1"/>
        </w:rPr>
        <w:t xml:space="preserve">Восточно-Казахстанская область имеет большой энергетический потенциал. В области находятся 9 электрических станций с общей установленной мощностью 2323 МВт, что составляет 10,6% всех энергомощностей Казахстана. 3 ГЭС на реке Иртыш имеют статус национального значения и </w:t>
      </w:r>
      <w:r w:rsidRPr="00F0736F">
        <w:rPr>
          <w:rFonts w:ascii="Times New Roman" w:hAnsi="Times New Roman" w:cs="Times New Roman"/>
          <w:color w:val="000000" w:themeColor="text1"/>
          <w:shd w:val="clear" w:color="auto" w:fill="FFFFFF"/>
        </w:rPr>
        <w:t>обеспечивают надежное и стабильное функционирование всего энергетического комплекса Республики Казахстан</w:t>
      </w:r>
      <w:r w:rsidRPr="00F0736F">
        <w:rPr>
          <w:rFonts w:ascii="Times New Roman" w:hAnsi="Times New Roman" w:cs="Times New Roman"/>
          <w:bCs/>
          <w:iCs/>
          <w:color w:val="000000" w:themeColor="text1"/>
        </w:rPr>
        <w:t>.</w:t>
      </w:r>
    </w:p>
    <w:p w14:paraId="004EB8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Основными потребителями электроэнергии являются промышленность (71% от потребленной электроэнергии), население (16,5%), а также бюджетный и квазигосударственный сектора (8,3%). </w:t>
      </w:r>
    </w:p>
    <w:p w14:paraId="6712A79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Область обеспечена электрической и тепловой энергией. </w:t>
      </w:r>
      <w:r w:rsidRPr="00F0736F">
        <w:rPr>
          <w:rFonts w:ascii="Times New Roman" w:hAnsi="Times New Roman" w:cs="Times New Roman"/>
          <w:bCs/>
          <w:iCs/>
          <w:color w:val="000000" w:themeColor="text1"/>
        </w:rPr>
        <w:t>Значительная доля электроэнергии в области (67,8%) вырабатывается за счет гидроресурсов, еще одним источником является угольная энергетика.</w:t>
      </w:r>
    </w:p>
    <w:p w14:paraId="51B53A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Восточный Казахстан обладает значительным потенциалом возобновляемых источников энергии (ВИЭ) на 61,3 млрд. кВт*ч в год, технически целесообразен к использованию потенциал в 20 млрд. кВт*ч. </w:t>
      </w:r>
    </w:p>
    <w:p w14:paraId="30971FB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доля выработанной электроэнергии объектами </w:t>
      </w:r>
      <w:r w:rsidRPr="00F0736F">
        <w:rPr>
          <w:rFonts w:ascii="Times New Roman" w:hAnsi="Times New Roman" w:cs="Times New Roman"/>
          <w:b/>
          <w:bCs/>
          <w:color w:val="000000" w:themeColor="text1"/>
        </w:rPr>
        <w:t>возобновляемых источников</w:t>
      </w:r>
      <w:r w:rsidRPr="00F0736F">
        <w:rPr>
          <w:rFonts w:ascii="Times New Roman" w:hAnsi="Times New Roman" w:cs="Times New Roman"/>
          <w:color w:val="000000" w:themeColor="text1"/>
        </w:rPr>
        <w:t xml:space="preserve"> энергии в общем объеме выработанной электроэнергии составила (с учетом крупных гидроэлектростанций) 74,3%, а в 2019 году </w:t>
      </w:r>
      <w:r w:rsidRPr="00F0736F">
        <w:rPr>
          <w:rFonts w:ascii="Times New Roman" w:eastAsia="Calibri" w:hAnsi="Times New Roman" w:cs="Times New Roman"/>
          <w:color w:val="000000" w:themeColor="text1"/>
          <w:lang w:eastAsia="en-US"/>
        </w:rPr>
        <w:t>70,6%, или 6 841 333,6 тыс.кВт*ч в год</w:t>
      </w:r>
      <w:r w:rsidRPr="00F0736F">
        <w:rPr>
          <w:rFonts w:ascii="Times New Roman" w:hAnsi="Times New Roman" w:cs="Times New Roman"/>
          <w:color w:val="000000" w:themeColor="text1"/>
        </w:rPr>
        <w:t xml:space="preserve"> от общей выработки 9 688 045,2 тыс.</w:t>
      </w:r>
      <w:r w:rsidRPr="00F0736F">
        <w:rPr>
          <w:rFonts w:ascii="Times New Roman" w:eastAsia="Calibri" w:hAnsi="Times New Roman" w:cs="Times New Roman"/>
          <w:color w:val="000000" w:themeColor="text1"/>
          <w:lang w:eastAsia="en-US"/>
        </w:rPr>
        <w:t>кВт*ч в год.</w:t>
      </w:r>
    </w:p>
    <w:p w14:paraId="30A942B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Действующими объектами ВИЭ являются: </w:t>
      </w:r>
      <w:r w:rsidRPr="00F0736F">
        <w:rPr>
          <w:rFonts w:ascii="Times New Roman" w:hAnsi="Times New Roman" w:cs="Times New Roman"/>
          <w:bCs/>
          <w:iCs/>
          <w:color w:val="000000" w:themeColor="text1"/>
        </w:rPr>
        <w:t xml:space="preserve">Лениногорский каскад ГЭС </w:t>
      </w:r>
      <w:r w:rsidRPr="00F0736F">
        <w:rPr>
          <w:rFonts w:ascii="Times New Roman" w:hAnsi="Times New Roman" w:cs="Times New Roman"/>
          <w:color w:val="000000" w:themeColor="text1"/>
        </w:rPr>
        <w:t xml:space="preserve">(Тишинская ГЭС, Хайрузовская ГЭС), Ульбинская ГЭС, Зайсанская ГЭС. </w:t>
      </w:r>
    </w:p>
    <w:p w14:paraId="6870608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текущем году завершается строительство Тургусунской ГЭС-1 с установленной мощностью 24,9 МВт. В целом, с</w:t>
      </w:r>
      <w:r w:rsidRPr="00F0736F">
        <w:rPr>
          <w:rFonts w:ascii="Times New Roman" w:hAnsi="Times New Roman" w:cs="Times New Roman"/>
          <w:bCs/>
          <w:iCs/>
          <w:color w:val="000000" w:themeColor="text1"/>
        </w:rPr>
        <w:t xml:space="preserve">троительство каскада Тургусунских ГЭС-1, ГЭС-2 и ГЭС-3 в Зыряновском районе позволит вырабатывать до 328,0 млн. </w:t>
      </w:r>
      <w:r w:rsidRPr="00F0736F">
        <w:rPr>
          <w:rFonts w:ascii="Times New Roman" w:hAnsi="Times New Roman" w:cs="Times New Roman"/>
          <w:color w:val="000000" w:themeColor="text1"/>
        </w:rPr>
        <w:t>кВт*ч</w:t>
      </w:r>
      <w:r w:rsidRPr="00F0736F">
        <w:rPr>
          <w:rFonts w:ascii="Times New Roman" w:hAnsi="Times New Roman" w:cs="Times New Roman"/>
          <w:bCs/>
          <w:iCs/>
          <w:color w:val="000000" w:themeColor="text1"/>
        </w:rPr>
        <w:t xml:space="preserve"> в год «зеленой» электроэнергии и создать резервную мощность электроэнергии в области. </w:t>
      </w:r>
    </w:p>
    <w:p w14:paraId="3A333D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развития ветровой энергетики в Восточном Казахстане имеется определенный потенциал и есть подходящие для строительства ВЭС участки, планируется строительство следующих ВЭС:</w:t>
      </w:r>
    </w:p>
    <w:p w14:paraId="5AD50F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Тайынтинской ВЭС в Уланском районе мощностью 24 МВт, которая будет вырабатывать 65 млн.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lang w:val="kk-KZ"/>
        </w:rPr>
        <w:t xml:space="preserve"> электроэнергии в год;</w:t>
      </w:r>
    </w:p>
    <w:p w14:paraId="3ACDBF8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Жарминская ВЭС в Жарминском районе мощностью 37,5 МВт будет вырабатывать 98 млн.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lang w:val="kk-KZ"/>
        </w:rPr>
        <w:t xml:space="preserve"> электроэнергии в год;</w:t>
      </w:r>
    </w:p>
    <w:p w14:paraId="0239E4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ветровой электростанции мощностью 40 МВт с расширением до 200 МВт, ТОО «Жарма Энерджи».</w:t>
      </w:r>
    </w:p>
    <w:p w14:paraId="01FE0F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Также, планируется строительство солнечной электростанции </w:t>
      </w:r>
      <w:r w:rsidRPr="00F0736F">
        <w:rPr>
          <w:rFonts w:ascii="Times New Roman" w:hAnsi="Times New Roman" w:cs="Times New Roman"/>
          <w:bCs/>
          <w:iCs/>
          <w:color w:val="000000" w:themeColor="text1"/>
        </w:rPr>
        <w:t>общей установленной мощностью 132,5 МВт с перспективой расширения до 292,5 МВт.</w:t>
      </w:r>
    </w:p>
    <w:p w14:paraId="0AA0E2E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установлено 283 солнечных панелей, дополнительно до 2021 года планируется установить 515 альтернативных источников энергии.</w:t>
      </w:r>
    </w:p>
    <w:p w14:paraId="592D2F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Возобновляемыми источниками энергии за период 2015 - 2017 год выработано 159,4 млн. кВт*ч электроэнергии (ЛК ГЭС, Тишинская ГЭС – 129,9 млн. кВт*ч, Зайсанская ГЭС – 29,5 млн. кВт*ч). </w:t>
      </w:r>
    </w:p>
    <w:p w14:paraId="35906C3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val="kk-KZ"/>
        </w:rPr>
        <w:t xml:space="preserve">В августе 2019 года </w:t>
      </w:r>
      <w:r w:rsidRPr="00F0736F">
        <w:rPr>
          <w:rFonts w:ascii="Times New Roman" w:hAnsi="Times New Roman" w:cs="Times New Roman"/>
          <w:color w:val="000000" w:themeColor="text1"/>
        </w:rPr>
        <w:t>успешно введена в эксплуатацию солнечная электростанция с установленной мощностью 30 МВт в Жарминском районе. В 2021 году планируется ввод в эксплуатацию Тургусунской ГЭС-1 в районе Алтай, с установленной мощностью 24,9 МВт и с</w:t>
      </w:r>
      <w:r w:rsidRPr="00F0736F">
        <w:rPr>
          <w:rFonts w:ascii="Times New Roman" w:hAnsi="Times New Roman" w:cs="Times New Roman"/>
          <w:bCs/>
          <w:color w:val="000000" w:themeColor="text1"/>
        </w:rPr>
        <w:t>реднегодовой выработкой 79,8 млн. кВт*ч.</w:t>
      </w:r>
      <w:r w:rsidRPr="00F0736F">
        <w:rPr>
          <w:rFonts w:ascii="Times New Roman" w:hAnsi="Times New Roman" w:cs="Times New Roman"/>
          <w:color w:val="000000" w:themeColor="text1"/>
        </w:rPr>
        <w:t xml:space="preserve"> </w:t>
      </w:r>
    </w:p>
    <w:p w14:paraId="0093607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аукционных торгов 2018 года определен 1 земельный участок в п. Актогай Аягозского района под строительство ветровой электростанции мощностью 100 МВт.</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Инициатором проекта является ТОО «ВЭС 100 МВт «Абай 1». Ветровая электростанция будет вырабатывать до 300 млн. кВт*ч электрической энергии. На данный момент установлена анемометрическая вышка для выявления скорости ветра. Начато строительство административного здания и подъездных дорог. Ввод объекта в эксплуатацию планируется 2021 году.</w:t>
      </w:r>
    </w:p>
    <w:p w14:paraId="30E8150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аукционных торгов 2019 года определены 6 проектов общей мощностью 29,7 МВт в Жарминском районе Восточно-Казахстанской области. На сегодняшний день ведутся проектно-изыскательские работы. Согласно правилам организации и проведения аукционных торгов срок реализации проектов по строительству объектов ветровых электростанции составляет 36 месяцев с момента заключения договора. Однако в соответствии с протокольным решением </w:t>
      </w:r>
      <w:r w:rsidRPr="00F0736F">
        <w:rPr>
          <w:rFonts w:ascii="Times New Roman" w:hAnsi="Times New Roman" w:cs="Times New Roman"/>
          <w:color w:val="000000" w:themeColor="text1"/>
          <w:lang w:val="kk-KZ"/>
        </w:rPr>
        <w:t>государственной комиссии по обеспечению режима чрезвычайного положения от 17 апреля 20</w:t>
      </w:r>
      <w:r w:rsidRPr="00F0736F">
        <w:rPr>
          <w:rFonts w:ascii="Times New Roman" w:hAnsi="Times New Roman" w:cs="Times New Roman"/>
          <w:color w:val="000000" w:themeColor="text1"/>
        </w:rPr>
        <w:t>20</w:t>
      </w:r>
      <w:r w:rsidRPr="00F0736F">
        <w:rPr>
          <w:rFonts w:ascii="Times New Roman" w:hAnsi="Times New Roman" w:cs="Times New Roman"/>
          <w:color w:val="000000" w:themeColor="text1"/>
          <w:lang w:val="kk-KZ"/>
        </w:rPr>
        <w:t xml:space="preserve"> года №13, срок предоставления уведомлений о начале строительно-монтажных работ и актов приемки в эксплуатацию объектов продлен на срок не более одного года.</w:t>
      </w:r>
    </w:p>
    <w:p w14:paraId="527AE9E2"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С 2015 года реализуется Комплексный план по энергосбережению и повышению энергоэффективности Восточно-Казахстанской области до 2020 года. Поэтапно решается задача по </w:t>
      </w:r>
      <w:r w:rsidRPr="00F0736F">
        <w:rPr>
          <w:rFonts w:ascii="Times New Roman" w:eastAsia="Consolas" w:hAnsi="Times New Roman" w:cs="Times New Roman"/>
          <w:color w:val="000000" w:themeColor="text1"/>
          <w:lang w:eastAsia="ru-RU"/>
        </w:rPr>
        <w:t>снижению энергоемкости внутреннего валового продукта не менее чем на 25% к 2020 году. За последние 3 года энергоемкость предприятий области снизилась на 235 тыс. т. условного топлива, или на 22%.</w:t>
      </w:r>
    </w:p>
    <w:p w14:paraId="506B679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рамках сотрудничества с Европейским Банком Реконструкции и Развития ведется реализация 4 проектов, направленных на снижение потребления энергетических ресурсов. По проектам планируется заменить 56 тыс. газоразрядных ламп на энергоэффективные и объекты инфраструктуры, имеющие износ более 70%.</w:t>
      </w:r>
    </w:p>
    <w:p w14:paraId="4372F8C2" w14:textId="77777777" w:rsidR="00AC1D5B" w:rsidRPr="00F0736F" w:rsidRDefault="00AC1D5B" w:rsidP="00AC1D5B">
      <w:pPr>
        <w:ind w:firstLine="709"/>
        <w:jc w:val="both"/>
        <w:rPr>
          <w:rFonts w:ascii="Times New Roman" w:eastAsia="Consolas" w:hAnsi="Times New Roman" w:cs="Times New Roman"/>
          <w:strike/>
          <w:color w:val="000000" w:themeColor="text1"/>
        </w:rPr>
      </w:pPr>
      <w:r w:rsidRPr="00F0736F">
        <w:rPr>
          <w:rFonts w:ascii="Times New Roman" w:hAnsi="Times New Roman" w:cs="Times New Roman"/>
          <w:color w:val="000000" w:themeColor="text1"/>
        </w:rPr>
        <w:t xml:space="preserve">Реализация данных проектов позволит сократить потребление электроэнергии до 40% и снизить сверхнормативные потери в сетях. Поэтапно решается задача по </w:t>
      </w:r>
      <w:r w:rsidRPr="00F0736F">
        <w:rPr>
          <w:rFonts w:ascii="Times New Roman" w:eastAsia="Consolas" w:hAnsi="Times New Roman" w:cs="Times New Roman"/>
          <w:color w:val="000000" w:themeColor="text1"/>
        </w:rPr>
        <w:t>снижению энергоемкости внутреннего валового продукта не менее чем на 25% к 2020 году (таблица 2.5.3.).</w:t>
      </w:r>
    </w:p>
    <w:p w14:paraId="2CBDF495" w14:textId="77777777" w:rsidR="00AC1D5B" w:rsidRPr="00F0736F" w:rsidRDefault="00AC1D5B" w:rsidP="00AC1D5B">
      <w:pPr>
        <w:ind w:firstLine="709"/>
        <w:jc w:val="both"/>
        <w:rPr>
          <w:rFonts w:ascii="Times New Roman" w:hAnsi="Times New Roman" w:cs="Times New Roman"/>
          <w:color w:val="000000" w:themeColor="text1"/>
        </w:rPr>
      </w:pPr>
    </w:p>
    <w:p w14:paraId="0E5CC4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Таблица 2.5.3. Снижение энергоемкости внутреннего регионального продукта и внедрение возобновляемых источников электроэнергии </w:t>
      </w:r>
    </w:p>
    <w:tbl>
      <w:tblPr>
        <w:tblW w:w="4900" w:type="pct"/>
        <w:tblInd w:w="108" w:type="dxa"/>
        <w:tblLayout w:type="fixed"/>
        <w:tblLook w:val="04A0" w:firstRow="1" w:lastRow="0" w:firstColumn="1" w:lastColumn="0" w:noHBand="0" w:noVBand="1"/>
      </w:tblPr>
      <w:tblGrid>
        <w:gridCol w:w="4514"/>
        <w:gridCol w:w="1129"/>
        <w:gridCol w:w="1080"/>
        <w:gridCol w:w="1685"/>
        <w:gridCol w:w="1234"/>
      </w:tblGrid>
      <w:tr w:rsidR="00F0736F" w:rsidRPr="00F0736F" w14:paraId="75E1C056" w14:textId="77777777" w:rsidTr="000B2B8A">
        <w:trPr>
          <w:trHeight w:val="327"/>
          <w:tblHeader/>
        </w:trPr>
        <w:tc>
          <w:tcPr>
            <w:tcW w:w="4569" w:type="dxa"/>
            <w:vMerge w:val="restart"/>
            <w:tcBorders>
              <w:top w:val="single" w:sz="4" w:space="0" w:color="000000"/>
              <w:left w:val="single" w:sz="4" w:space="0" w:color="000000"/>
              <w:bottom w:val="single" w:sz="4" w:space="0" w:color="000000"/>
              <w:right w:val="nil"/>
            </w:tcBorders>
            <w:vAlign w:val="center"/>
            <w:hideMark/>
          </w:tcPr>
          <w:p w14:paraId="17E1E06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Целевые индикаторы</w:t>
            </w:r>
          </w:p>
        </w:tc>
        <w:tc>
          <w:tcPr>
            <w:tcW w:w="5183" w:type="dxa"/>
            <w:gridSpan w:val="4"/>
            <w:tcBorders>
              <w:top w:val="single" w:sz="4" w:space="0" w:color="000000"/>
              <w:left w:val="single" w:sz="4" w:space="0" w:color="000000"/>
              <w:bottom w:val="single" w:sz="4" w:space="0" w:color="000000"/>
              <w:right w:val="single" w:sz="4" w:space="0" w:color="000000"/>
            </w:tcBorders>
            <w:vAlign w:val="center"/>
            <w:hideMark/>
          </w:tcPr>
          <w:p w14:paraId="4F6BCE9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Выполнение по годам</w:t>
            </w:r>
          </w:p>
        </w:tc>
      </w:tr>
      <w:tr w:rsidR="00F0736F" w:rsidRPr="00F0736F" w14:paraId="503008CD" w14:textId="77777777" w:rsidTr="000B2B8A">
        <w:trPr>
          <w:trHeight w:val="559"/>
        </w:trPr>
        <w:tc>
          <w:tcPr>
            <w:tcW w:w="4569" w:type="dxa"/>
            <w:vMerge/>
            <w:tcBorders>
              <w:top w:val="single" w:sz="4" w:space="0" w:color="000000"/>
              <w:left w:val="single" w:sz="4" w:space="0" w:color="000000"/>
              <w:bottom w:val="single" w:sz="4" w:space="0" w:color="000000"/>
              <w:right w:val="nil"/>
            </w:tcBorders>
            <w:vAlign w:val="center"/>
            <w:hideMark/>
          </w:tcPr>
          <w:p w14:paraId="709C8DA3" w14:textId="77777777" w:rsidR="00AC1D5B" w:rsidRPr="00F0736F" w:rsidRDefault="00AC1D5B" w:rsidP="00AC1D5B">
            <w:pPr>
              <w:suppressAutoHyphens w:val="0"/>
              <w:overflowPunct/>
              <w:ind w:firstLine="709"/>
              <w:jc w:val="both"/>
              <w:rPr>
                <w:color w:val="000000" w:themeColor="text1"/>
              </w:rPr>
            </w:pPr>
          </w:p>
        </w:tc>
        <w:tc>
          <w:tcPr>
            <w:tcW w:w="1141" w:type="dxa"/>
            <w:tcBorders>
              <w:top w:val="single" w:sz="4" w:space="0" w:color="000000"/>
              <w:left w:val="single" w:sz="4" w:space="0" w:color="000000"/>
              <w:bottom w:val="single" w:sz="4" w:space="0" w:color="000000"/>
              <w:right w:val="nil"/>
            </w:tcBorders>
            <w:vAlign w:val="center"/>
            <w:hideMark/>
          </w:tcPr>
          <w:p w14:paraId="40F2A3B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w:t>
            </w:r>
          </w:p>
        </w:tc>
        <w:tc>
          <w:tcPr>
            <w:tcW w:w="1091" w:type="dxa"/>
            <w:tcBorders>
              <w:top w:val="single" w:sz="4" w:space="0" w:color="000000"/>
              <w:left w:val="single" w:sz="4" w:space="0" w:color="000000"/>
              <w:bottom w:val="single" w:sz="4" w:space="0" w:color="000000"/>
              <w:right w:val="nil"/>
            </w:tcBorders>
            <w:vAlign w:val="center"/>
            <w:hideMark/>
          </w:tcPr>
          <w:p w14:paraId="377FAD4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w:t>
            </w:r>
          </w:p>
        </w:tc>
        <w:tc>
          <w:tcPr>
            <w:tcW w:w="1704" w:type="dxa"/>
            <w:tcBorders>
              <w:top w:val="single" w:sz="4" w:space="0" w:color="000000"/>
              <w:left w:val="single" w:sz="4" w:space="0" w:color="000000"/>
              <w:bottom w:val="single" w:sz="4" w:space="0" w:color="000000"/>
              <w:right w:val="nil"/>
            </w:tcBorders>
            <w:vAlign w:val="center"/>
          </w:tcPr>
          <w:p w14:paraId="382731B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2019 г.</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52AA364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2020 г.</w:t>
            </w:r>
          </w:p>
          <w:p w14:paraId="66F13FF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план</w:t>
            </w:r>
          </w:p>
        </w:tc>
      </w:tr>
      <w:tr w:rsidR="00F0736F" w:rsidRPr="00F0736F" w14:paraId="2AF10B67" w14:textId="77777777" w:rsidTr="000B2B8A">
        <w:trPr>
          <w:trHeight w:val="144"/>
        </w:trPr>
        <w:tc>
          <w:tcPr>
            <w:tcW w:w="4569" w:type="dxa"/>
            <w:tcBorders>
              <w:top w:val="single" w:sz="4" w:space="0" w:color="000000"/>
              <w:left w:val="single" w:sz="4" w:space="0" w:color="000000"/>
              <w:bottom w:val="single" w:sz="4" w:space="0" w:color="000000"/>
              <w:right w:val="nil"/>
            </w:tcBorders>
            <w:vAlign w:val="center"/>
            <w:hideMark/>
          </w:tcPr>
          <w:p w14:paraId="5DCE760A"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Показатель энергоемкости валового регионального продукта, т.н.э. на тыс. долл. США в ценах на 2000 год (в 2013 году –0,82)</w:t>
            </w:r>
          </w:p>
        </w:tc>
        <w:tc>
          <w:tcPr>
            <w:tcW w:w="1141" w:type="dxa"/>
            <w:tcBorders>
              <w:top w:val="single" w:sz="4" w:space="0" w:color="000000"/>
              <w:left w:val="single" w:sz="4" w:space="0" w:color="000000"/>
              <w:bottom w:val="single" w:sz="4" w:space="0" w:color="000000"/>
              <w:right w:val="nil"/>
            </w:tcBorders>
            <w:vAlign w:val="center"/>
            <w:hideMark/>
          </w:tcPr>
          <w:p w14:paraId="5493481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0,83</w:t>
            </w:r>
          </w:p>
        </w:tc>
        <w:tc>
          <w:tcPr>
            <w:tcW w:w="1091" w:type="dxa"/>
            <w:tcBorders>
              <w:top w:val="single" w:sz="4" w:space="0" w:color="000000"/>
              <w:left w:val="single" w:sz="4" w:space="0" w:color="000000"/>
              <w:bottom w:val="single" w:sz="4" w:space="0" w:color="000000"/>
              <w:right w:val="nil"/>
            </w:tcBorders>
            <w:vAlign w:val="center"/>
            <w:hideMark/>
          </w:tcPr>
          <w:p w14:paraId="314211E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0,79</w:t>
            </w:r>
          </w:p>
        </w:tc>
        <w:tc>
          <w:tcPr>
            <w:tcW w:w="1704" w:type="dxa"/>
            <w:tcBorders>
              <w:top w:val="single" w:sz="4" w:space="0" w:color="000000"/>
              <w:left w:val="single" w:sz="4" w:space="0" w:color="000000"/>
              <w:bottom w:val="single" w:sz="4" w:space="0" w:color="000000"/>
              <w:right w:val="nil"/>
            </w:tcBorders>
            <w:vAlign w:val="center"/>
            <w:hideMark/>
          </w:tcPr>
          <w:p w14:paraId="4EB6439B" w14:textId="77777777" w:rsidR="00AC1D5B" w:rsidRPr="00F0736F" w:rsidRDefault="00AC1D5B" w:rsidP="00AC1D5B">
            <w:pPr>
              <w:jc w:val="center"/>
              <w:rPr>
                <w:strike/>
                <w:color w:val="000000" w:themeColor="text1"/>
              </w:rPr>
            </w:pPr>
            <w:r w:rsidRPr="00F0736F">
              <w:rPr>
                <w:rFonts w:ascii="Times New Roman" w:hAnsi="Times New Roman" w:cs="Times New Roman"/>
                <w:bCs/>
                <w:color w:val="000000" w:themeColor="text1"/>
                <w:sz w:val="20"/>
                <w:szCs w:val="20"/>
              </w:rPr>
              <w:t xml:space="preserve">(данные будут сформированы </w:t>
            </w:r>
            <w:r w:rsidRPr="00F0736F">
              <w:rPr>
                <w:rFonts w:ascii="Times New Roman" w:hAnsi="Times New Roman" w:cs="Times New Roman"/>
                <w:color w:val="000000" w:themeColor="text1"/>
                <w:sz w:val="20"/>
                <w:szCs w:val="20"/>
              </w:rPr>
              <w:t>в декабре</w:t>
            </w:r>
            <w:r w:rsidRPr="00F0736F">
              <w:rPr>
                <w:rFonts w:ascii="Times New Roman" w:hAnsi="Times New Roman" w:cs="Times New Roman"/>
                <w:bCs/>
                <w:color w:val="000000" w:themeColor="text1"/>
                <w:sz w:val="20"/>
                <w:szCs w:val="20"/>
              </w:rPr>
              <w:t xml:space="preserve"> 20</w:t>
            </w:r>
            <w:r w:rsidRPr="00F0736F">
              <w:rPr>
                <w:rFonts w:ascii="Times New Roman" w:hAnsi="Times New Roman" w:cs="Times New Roman"/>
                <w:bCs/>
                <w:color w:val="000000" w:themeColor="text1"/>
                <w:sz w:val="20"/>
                <w:szCs w:val="20"/>
                <w:lang w:val="kk-KZ"/>
              </w:rPr>
              <w:t>20</w:t>
            </w:r>
            <w:r w:rsidRPr="00F0736F">
              <w:rPr>
                <w:rFonts w:ascii="Times New Roman" w:hAnsi="Times New Roman" w:cs="Times New Roman"/>
                <w:bCs/>
                <w:color w:val="000000" w:themeColor="text1"/>
                <w:sz w:val="20"/>
                <w:szCs w:val="20"/>
              </w:rPr>
              <w:t xml:space="preserve"> г.)</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414C65F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0,61</w:t>
            </w:r>
          </w:p>
        </w:tc>
      </w:tr>
      <w:tr w:rsidR="00AC1D5B" w:rsidRPr="00F0736F" w14:paraId="25DBF26D" w14:textId="77777777" w:rsidTr="000B2B8A">
        <w:trPr>
          <w:trHeight w:val="144"/>
        </w:trPr>
        <w:tc>
          <w:tcPr>
            <w:tcW w:w="4569" w:type="dxa"/>
            <w:tcBorders>
              <w:top w:val="single" w:sz="4" w:space="0" w:color="000000"/>
              <w:left w:val="single" w:sz="4" w:space="0" w:color="000000"/>
              <w:bottom w:val="single" w:sz="4" w:space="0" w:color="000000"/>
              <w:right w:val="nil"/>
            </w:tcBorders>
            <w:vAlign w:val="center"/>
            <w:hideMark/>
          </w:tcPr>
          <w:p w14:paraId="7C4F3140"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Доля выработанной электроэнергии ВИЭ в общем объеме выработанной электроэнергии, в %</w:t>
            </w:r>
          </w:p>
          <w:p w14:paraId="0521655B"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(данные с учетом крупных гидроэлектростанций)</w:t>
            </w:r>
          </w:p>
        </w:tc>
        <w:tc>
          <w:tcPr>
            <w:tcW w:w="1141" w:type="dxa"/>
            <w:tcBorders>
              <w:top w:val="single" w:sz="4" w:space="0" w:color="000000"/>
              <w:left w:val="single" w:sz="4" w:space="0" w:color="000000"/>
              <w:bottom w:val="single" w:sz="4" w:space="0" w:color="000000"/>
              <w:right w:val="nil"/>
            </w:tcBorders>
            <w:vAlign w:val="center"/>
            <w:hideMark/>
          </w:tcPr>
          <w:p w14:paraId="6D3A0655"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75,7</w:t>
            </w:r>
          </w:p>
        </w:tc>
        <w:tc>
          <w:tcPr>
            <w:tcW w:w="1091" w:type="dxa"/>
            <w:tcBorders>
              <w:top w:val="single" w:sz="4" w:space="0" w:color="000000"/>
              <w:left w:val="single" w:sz="4" w:space="0" w:color="000000"/>
              <w:bottom w:val="single" w:sz="4" w:space="0" w:color="000000"/>
              <w:right w:val="nil"/>
            </w:tcBorders>
            <w:vAlign w:val="center"/>
            <w:hideMark/>
          </w:tcPr>
          <w:p w14:paraId="6611E682"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74,3</w:t>
            </w:r>
          </w:p>
        </w:tc>
        <w:tc>
          <w:tcPr>
            <w:tcW w:w="1704" w:type="dxa"/>
            <w:tcBorders>
              <w:top w:val="single" w:sz="4" w:space="0" w:color="000000"/>
              <w:left w:val="single" w:sz="4" w:space="0" w:color="000000"/>
              <w:bottom w:val="single" w:sz="4" w:space="0" w:color="000000"/>
              <w:right w:val="nil"/>
            </w:tcBorders>
            <w:vAlign w:val="center"/>
            <w:hideMark/>
          </w:tcPr>
          <w:p w14:paraId="57C4FE57"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70,6</w:t>
            </w:r>
          </w:p>
        </w:tc>
        <w:tc>
          <w:tcPr>
            <w:tcW w:w="1247" w:type="dxa"/>
            <w:tcBorders>
              <w:top w:val="single" w:sz="4" w:space="0" w:color="000000"/>
              <w:left w:val="single" w:sz="4" w:space="0" w:color="000000"/>
              <w:bottom w:val="single" w:sz="4" w:space="0" w:color="000000"/>
              <w:right w:val="single" w:sz="4" w:space="0" w:color="000000"/>
            </w:tcBorders>
            <w:vAlign w:val="center"/>
            <w:hideMark/>
          </w:tcPr>
          <w:p w14:paraId="3B5E25C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3,2</w:t>
            </w:r>
          </w:p>
        </w:tc>
      </w:tr>
    </w:tbl>
    <w:p w14:paraId="01EFFCBE" w14:textId="77777777" w:rsidR="00AC1D5B" w:rsidRPr="00F0736F" w:rsidRDefault="00AC1D5B" w:rsidP="00AC1D5B">
      <w:pPr>
        <w:ind w:firstLine="709"/>
        <w:jc w:val="both"/>
        <w:rPr>
          <w:rFonts w:ascii="Times New Roman" w:hAnsi="Times New Roman" w:cs="Times New Roman"/>
          <w:color w:val="000000" w:themeColor="text1"/>
        </w:rPr>
      </w:pPr>
    </w:p>
    <w:p w14:paraId="6EBFC0E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Сфера промышленности (включая электроэнергетику) в среднем потребляет 70-80% от общего объема потребляемой в регионе энергетических ресурсов, оставшиеся объемы потребляются коммунально-бытовой сферой, транспортом, строительством, сельским хозяйством и др. </w:t>
      </w:r>
    </w:p>
    <w:p w14:paraId="4D57C9B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Среди предприятий промышленности наиболее энергоемким производством обладает ТОО «Казцинк», где особое внимание уделяется вопросам энергосбережения и повышения энергоэффективности. </w:t>
      </w:r>
    </w:p>
    <w:p w14:paraId="3BE15435" w14:textId="77777777" w:rsidR="00AC1D5B" w:rsidRPr="00F0736F" w:rsidRDefault="00AC1D5B" w:rsidP="00AC1D5B">
      <w:pPr>
        <w:tabs>
          <w:tab w:val="left" w:pos="0"/>
        </w:tabs>
        <w:autoSpaceDE w:val="0"/>
        <w:autoSpaceDN w:val="0"/>
        <w:adjustRightInd w:val="0"/>
        <w:ind w:firstLine="709"/>
        <w:jc w:val="both"/>
        <w:rPr>
          <w:rFonts w:ascii="Times New Roman" w:eastAsia="Consolas" w:hAnsi="Times New Roman" w:cs="Times New Roman"/>
          <w:color w:val="000000" w:themeColor="text1"/>
        </w:rPr>
      </w:pPr>
      <w:r w:rsidRPr="00F0736F">
        <w:rPr>
          <w:rFonts w:ascii="Times New Roman" w:eastAsia="Times New Roman" w:hAnsi="Times New Roman" w:cs="Times New Roman"/>
          <w:bCs/>
          <w:color w:val="000000" w:themeColor="text1"/>
          <w:lang w:eastAsia="ru-RU"/>
        </w:rPr>
        <w:t>В соответствии с Постановлением Правительства Республики Казахстан от 18 февраля 2013 года №143</w:t>
      </w:r>
      <w:r w:rsidRPr="00F0736F">
        <w:rPr>
          <w:rFonts w:ascii="Times New Roman" w:eastAsia="Times New Roman" w:hAnsi="Times New Roman" w:cs="Times New Roman"/>
          <w:b/>
          <w:bCs/>
          <w:color w:val="000000" w:themeColor="text1"/>
          <w:lang w:eastAsia="ru-RU"/>
        </w:rPr>
        <w:t xml:space="preserve"> «</w:t>
      </w:r>
      <w:r w:rsidRPr="00F0736F">
        <w:rPr>
          <w:rFonts w:ascii="Times New Roman" w:eastAsia="Times New Roman" w:hAnsi="Times New Roman" w:cs="Times New Roman"/>
          <w:bCs/>
          <w:color w:val="000000" w:themeColor="text1"/>
          <w:lang w:eastAsia="ru-RU"/>
        </w:rPr>
        <w:t xml:space="preserve">Об утверждении Правил формирования и ведения Государственного энергетического реестра (ГЭР)», составлен перечень объектов для проведения энергетического аудита, как зданий бюджетных организаций, так и промышленных объектов, жилых домостроений. По ВКО в ГЭР включены 1348 субъектов. </w:t>
      </w:r>
      <w:r w:rsidRPr="00F0736F">
        <w:rPr>
          <w:rFonts w:ascii="Times New Roman" w:eastAsia="Consolas" w:hAnsi="Times New Roman" w:cs="Times New Roman"/>
          <w:color w:val="000000" w:themeColor="text1"/>
        </w:rPr>
        <w:t>На сегодняшний день 20 крупных промышленных предприятий области закончили проведение энергоаудитов и провели мероприятия по снижению потребления энергоресурсов.</w:t>
      </w:r>
    </w:p>
    <w:p w14:paraId="4E6844FA" w14:textId="77777777" w:rsidR="00AC1D5B" w:rsidRPr="00F0736F" w:rsidRDefault="00AC1D5B" w:rsidP="00AC1D5B">
      <w:pPr>
        <w:tabs>
          <w:tab w:val="left" w:pos="0"/>
        </w:tabs>
        <w:autoSpaceDE w:val="0"/>
        <w:autoSpaceDN w:val="0"/>
        <w:adjustRightInd w:val="0"/>
        <w:ind w:firstLine="709"/>
        <w:jc w:val="both"/>
        <w:rPr>
          <w:rFonts w:ascii="Times New Roman" w:eastAsia="Consolas" w:hAnsi="Times New Roman" w:cs="Times New Roman"/>
          <w:color w:val="000000" w:themeColor="text1"/>
        </w:rPr>
      </w:pPr>
      <w:r w:rsidRPr="00F0736F">
        <w:rPr>
          <w:rFonts w:ascii="Times New Roman" w:eastAsia="Consolas" w:hAnsi="Times New Roman" w:cs="Times New Roman"/>
          <w:color w:val="000000" w:themeColor="text1"/>
        </w:rPr>
        <w:t>В рамках Концепции по переходу Республики Казахстан к «зеленой экономике» во всех 655 школах области заменены 17 418 ламп накаливания на энергосберегающие.</w:t>
      </w:r>
    </w:p>
    <w:p w14:paraId="112B0EDA" w14:textId="77777777" w:rsidR="00AC1D5B" w:rsidRPr="00F0736F" w:rsidRDefault="00AC1D5B" w:rsidP="00AC1D5B">
      <w:pPr>
        <w:tabs>
          <w:tab w:val="left" w:pos="0"/>
        </w:tabs>
        <w:autoSpaceDE w:val="0"/>
        <w:autoSpaceDN w:val="0"/>
        <w:adjustRightInd w:val="0"/>
        <w:ind w:firstLine="709"/>
        <w:jc w:val="both"/>
        <w:rPr>
          <w:rFonts w:ascii="Times New Roman" w:eastAsia="Consolas" w:hAnsi="Times New Roman" w:cs="Times New Roman"/>
          <w:color w:val="000000" w:themeColor="text1"/>
        </w:rPr>
      </w:pPr>
      <w:r w:rsidRPr="00F0736F">
        <w:rPr>
          <w:rFonts w:ascii="Times New Roman" w:eastAsia="Consolas" w:hAnsi="Times New Roman" w:cs="Times New Roman"/>
          <w:color w:val="000000" w:themeColor="text1"/>
        </w:rPr>
        <w:t xml:space="preserve">Проводится работа по реализации проектов, направленных на модернизацию инфраструктуры и снижение потребления энергетических ресурсов в рамках сотрудничества с Европейским Банком Реконструкции и Развития. </w:t>
      </w:r>
    </w:p>
    <w:p w14:paraId="3BE5877B" w14:textId="77777777" w:rsidR="00AC1D5B" w:rsidRPr="00F0736F" w:rsidRDefault="00AC1D5B" w:rsidP="00AC1D5B">
      <w:pPr>
        <w:tabs>
          <w:tab w:val="left" w:pos="0"/>
        </w:tabs>
        <w:autoSpaceDE w:val="0"/>
        <w:autoSpaceDN w:val="0"/>
        <w:adjustRightInd w:val="0"/>
        <w:ind w:firstLine="709"/>
        <w:jc w:val="both"/>
        <w:rPr>
          <w:rFonts w:ascii="Times New Roman" w:eastAsia="Consolas" w:hAnsi="Times New Roman" w:cs="Times New Roman"/>
          <w:color w:val="000000" w:themeColor="text1"/>
        </w:rPr>
      </w:pPr>
      <w:r w:rsidRPr="00F0736F">
        <w:rPr>
          <w:rFonts w:ascii="Times New Roman" w:eastAsia="Consolas" w:hAnsi="Times New Roman" w:cs="Times New Roman"/>
          <w:color w:val="000000" w:themeColor="text1"/>
        </w:rPr>
        <w:t>В частности, по проекту «</w:t>
      </w:r>
      <w:r w:rsidRPr="00F0736F">
        <w:rPr>
          <w:rFonts w:ascii="Times New Roman" w:eastAsia="Times New Roman" w:hAnsi="Times New Roman" w:cs="Times New Roman"/>
          <w:color w:val="000000" w:themeColor="text1"/>
          <w:lang w:eastAsia="ru-RU"/>
        </w:rPr>
        <w:t xml:space="preserve">В рамках проекта «Модернизация систем уличного освещения городов Усть-Каменогорск и Семей» стоимостью 4,8 млрд. тенге планируется заменить 26 488 ламп на энергоэффективные уличные фонари.   </w:t>
      </w:r>
      <w:r w:rsidRPr="00F0736F">
        <w:rPr>
          <w:rFonts w:ascii="Times New Roman" w:eastAsia="Consolas" w:hAnsi="Times New Roman" w:cs="Times New Roman"/>
          <w:color w:val="000000" w:themeColor="text1"/>
        </w:rPr>
        <w:t>Реализация указанных проектов позволит сократить потребление электроэнергии до 40% или сэкономить порядка 228 млн. тенге в год.</w:t>
      </w:r>
    </w:p>
    <w:p w14:paraId="6F8B3BB1" w14:textId="77777777" w:rsidR="00AC1D5B" w:rsidRPr="00F0736F" w:rsidRDefault="00AC1D5B" w:rsidP="00AC1D5B">
      <w:pPr>
        <w:autoSpaceDE w:val="0"/>
        <w:autoSpaceDN w:val="0"/>
        <w:adjustRightInd w:val="0"/>
        <w:ind w:firstLine="709"/>
        <w:jc w:val="both"/>
        <w:rPr>
          <w:rFonts w:ascii="Times New Roman" w:eastAsia="Times New Roman" w:hAnsi="Times New Roman" w:cs="Times New Roman"/>
          <w:color w:val="000000" w:themeColor="text1"/>
          <w:lang w:eastAsia="ru-RU"/>
        </w:rPr>
      </w:pPr>
      <w:r w:rsidRPr="00F0736F">
        <w:rPr>
          <w:rFonts w:ascii="Times New Roman" w:eastAsia="Consolas" w:hAnsi="Times New Roman" w:cs="Times New Roman"/>
          <w:color w:val="000000" w:themeColor="text1"/>
        </w:rPr>
        <w:t xml:space="preserve">Ведется работа по модернизации сетей теплоснабжения и водоснабжения на общую сумму 20,9 млрд. тенге за счет заемных средств ЕБРР. </w:t>
      </w:r>
      <w:r w:rsidRPr="00F0736F">
        <w:rPr>
          <w:rFonts w:ascii="Times New Roman" w:eastAsia="Times New Roman" w:hAnsi="Times New Roman" w:cs="Times New Roman"/>
          <w:color w:val="000000" w:themeColor="text1"/>
          <w:lang w:eastAsia="ru-RU"/>
        </w:rPr>
        <w:t xml:space="preserve">Запланирована реконструкция по городам Семей и Усть-Каменогорск 37,3 км водопроводных сетей и 54,6 км сетей теплоснабжения. Средства осваиваются с 2018 года согласно графикам поставки в рамках заключенных договоров. </w:t>
      </w:r>
      <w:r w:rsidRPr="00F0736F">
        <w:rPr>
          <w:rFonts w:ascii="Times New Roman" w:eastAsia="Consolas" w:hAnsi="Times New Roman" w:cs="Times New Roman"/>
          <w:color w:val="000000" w:themeColor="text1"/>
        </w:rPr>
        <w:t>Реализация проектов направлены на замену объектов инфраструктуры, имеющих износ более 70%, что позволит снизить сверхн</w:t>
      </w:r>
      <w:r w:rsidRPr="00F0736F">
        <w:rPr>
          <w:rFonts w:ascii="Times New Roman" w:eastAsia="Times New Roman" w:hAnsi="Times New Roman" w:cs="Times New Roman"/>
          <w:color w:val="000000" w:themeColor="text1"/>
          <w:lang w:eastAsia="ru-RU"/>
        </w:rPr>
        <w:t xml:space="preserve">ормативные потери в сетях, и потребление энергоресурсов за счет применения новых технологий. </w:t>
      </w:r>
    </w:p>
    <w:p w14:paraId="4B7DF6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внедряются энергосберегающие технологии в системе уличного освещения области. Во всех городах и районах области начата работа по замене уличных светильников на светодиодные.</w:t>
      </w:r>
    </w:p>
    <w:p w14:paraId="3A6585DB"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Теплоснабжение.</w:t>
      </w:r>
      <w:r w:rsidRPr="00F0736F">
        <w:rPr>
          <w:rFonts w:ascii="Times New Roman" w:hAnsi="Times New Roman" w:cs="Times New Roman"/>
          <w:color w:val="000000" w:themeColor="text1"/>
        </w:rPr>
        <w:t xml:space="preserve"> На территории области расположены 4 теплоэлектростанции – Усть-Каменогорская ТЭЦ, Согринская ТЭЦ, Риддерская ТЭЦ, ТЭЦ-1 г. Семей, которые обеспечивают теплом и горячим водоснабжением потребителей городов Усть-Каменогорск, Семей и Риддер.</w:t>
      </w:r>
    </w:p>
    <w:p w14:paraId="63CCECB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Выработка тепловой энергии осуществляется 111 источниками теплоснабжения и 385 установленными котлами (энергоустановками). Работают 672 котельные мощностью до 100 Гкал, из которых 462 – на</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твердом топливе, 26 – на жидком топливе и 184 котельных, использующих электрокотлы. Общая протяженность тепловых сетей в 2017 году – 1 051,4 км (2019 год — 1 075,1 км), в том числе ветхих – 274,6 км, или 26,1% (в 2019 году — 291,7 км, или 27,1%), нуждаются в замене 374,8 км, или 35,6% (в 2019 году — 388,0 км или 36,1%), заменено 23,3 км (в 2019 году — 20,4%). </w:t>
      </w:r>
    </w:p>
    <w:p w14:paraId="47A2E1C1" w14:textId="216A008F"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выработано 7873,7 тыс. Гкал тепловой энергии (в 2019 году – 8166,8, тыс. Гкал).  Потери тепловой энергии составили – 1 013,2 тыс. Гкал (в 2019 году — 1104,4  тыс. Гкал).</w:t>
      </w:r>
    </w:p>
    <w:p w14:paraId="4EBB93D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Газоснабжение. </w:t>
      </w:r>
      <w:r w:rsidRPr="00F0736F">
        <w:rPr>
          <w:rFonts w:ascii="Times New Roman" w:hAnsi="Times New Roman" w:cs="Times New Roman"/>
          <w:color w:val="000000" w:themeColor="text1"/>
        </w:rPr>
        <w:t>Потребление сжиженного нефтяного газа (пропан-бутан) осуществляется через 670 групповых резервуарных установок (из них действующих – 204). Учитывая, что газораспределительные установки и сосуды для обеспечения централизованным газоснабжением находятся в неудовлетворительном техническом состоянии, осуществляется постепенная консервация газового хозяйства.</w:t>
      </w:r>
    </w:p>
    <w:p w14:paraId="0D225F3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Осуществляется газификация Зайсанского района природным газом, добываемым с Сарыбулакского месторождения. </w:t>
      </w:r>
    </w:p>
    <w:p w14:paraId="7AAB93D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соответствии с Законом Республики Казахстан «О газе и газоснабжении», единым оператором определено АО «КазТрансГаз Аймак». </w:t>
      </w:r>
    </w:p>
    <w:p w14:paraId="2353E7FE"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В 2017 году завершено строительство объекта «Строительство внутриквартальных распределительных сетей второго пускового комплекса первой очереди в г. Зайсан Восточно-Казахстанской области», общей протяженностью газовых сетей 105,351</w:t>
      </w:r>
      <w:r w:rsidRPr="00F0736F">
        <w:rPr>
          <w:rFonts w:ascii="Times New Roman" w:eastAsia="Calibri" w:hAnsi="Times New Roman" w:cs="Times New Roman"/>
          <w:color w:val="000000" w:themeColor="text1"/>
          <w:lang w:val="kk-KZ" w:eastAsia="en-US"/>
        </w:rPr>
        <w:t xml:space="preserve"> км,</w:t>
      </w:r>
      <w:r w:rsidRPr="00F0736F">
        <w:rPr>
          <w:rFonts w:ascii="Times New Roman" w:eastAsia="Calibri" w:hAnsi="Times New Roman" w:cs="Times New Roman"/>
          <w:color w:val="000000" w:themeColor="text1"/>
          <w:lang w:eastAsia="en-US"/>
        </w:rPr>
        <w:t xml:space="preserve"> из них протяженность газопровода среднего давления 9,517 км, протяженность газопровода низкого давления 95,834 км. </w:t>
      </w:r>
      <w:r w:rsidRPr="00F0736F">
        <w:rPr>
          <w:rFonts w:ascii="Times New Roman" w:hAnsi="Times New Roman" w:cs="Times New Roman"/>
          <w:color w:val="000000" w:themeColor="text1"/>
        </w:rPr>
        <w:t>На 1.01.2018 года в г. Зайсан к централизованному газоснабжению подключено 1640 жилых домов.</w:t>
      </w:r>
    </w:p>
    <w:p w14:paraId="64F7AD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завершено строительство внутрипоселковых распределительных сетей газоснабжения 9-ти населенных пунктов Зайсанского района (села Карабулак, Кенсай, Кайнар, Айнабулак, Жамбыл, Когедай, Шалкар, Каратал, Улкен-Каратал). Работы по подключению жилых домов к системе централизованного газоснабжения продолжаются. По состоянию на 5 октября 2020 года подключены 1640 жилых домов. </w:t>
      </w:r>
      <w:r w:rsidRPr="00F0736F">
        <w:rPr>
          <w:rFonts w:ascii="Times New Roman" w:eastAsia="Calibri" w:hAnsi="Times New Roman" w:cs="Times New Roman"/>
          <w:color w:val="000000" w:themeColor="text1"/>
          <w:lang w:eastAsia="en-US"/>
        </w:rPr>
        <w:t>Общая протяженность газовых сетей 119 км</w:t>
      </w:r>
      <w:r w:rsidRPr="00F0736F">
        <w:rPr>
          <w:rFonts w:ascii="Times New Roman" w:hAnsi="Times New Roman" w:cs="Times New Roman"/>
          <w:color w:val="000000" w:themeColor="text1"/>
        </w:rPr>
        <w:t>.</w:t>
      </w:r>
    </w:p>
    <w:p w14:paraId="0CDB0EB8" w14:textId="77777777" w:rsidR="00AC1D5B" w:rsidRPr="00F0736F" w:rsidRDefault="00AC1D5B" w:rsidP="00AC1D5B">
      <w:pPr>
        <w:ind w:firstLine="709"/>
        <w:jc w:val="both"/>
        <w:rPr>
          <w:rFonts w:ascii="Times New Roman" w:hAnsi="Times New Roman" w:cs="Times New Roman"/>
          <w:color w:val="000000" w:themeColor="text1"/>
        </w:rPr>
      </w:pPr>
    </w:p>
    <w:p w14:paraId="4AD05EB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2.5.4. Обеспечение населения качественными коммунальными услугами</w:t>
      </w:r>
    </w:p>
    <w:p w14:paraId="36CE8353"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288" w:type="dxa"/>
        <w:tblLayout w:type="fixed"/>
        <w:tblLook w:val="0000" w:firstRow="0" w:lastRow="0" w:firstColumn="0" w:lastColumn="0" w:noHBand="0" w:noVBand="0"/>
      </w:tblPr>
      <w:tblGrid>
        <w:gridCol w:w="4125"/>
        <w:gridCol w:w="1365"/>
        <w:gridCol w:w="960"/>
        <w:gridCol w:w="945"/>
        <w:gridCol w:w="1800"/>
      </w:tblGrid>
      <w:tr w:rsidR="00F0736F" w:rsidRPr="00F0736F" w14:paraId="40EF9774" w14:textId="77777777" w:rsidTr="000B2B8A">
        <w:trPr>
          <w:trHeight w:val="410"/>
        </w:trPr>
        <w:tc>
          <w:tcPr>
            <w:tcW w:w="4125" w:type="dxa"/>
            <w:vMerge w:val="restart"/>
            <w:tcBorders>
              <w:top w:val="single" w:sz="4" w:space="0" w:color="000000"/>
              <w:left w:val="single" w:sz="4" w:space="0" w:color="000000"/>
              <w:bottom w:val="single" w:sz="4" w:space="0" w:color="000000"/>
            </w:tcBorders>
            <w:shd w:val="clear" w:color="auto" w:fill="auto"/>
            <w:vAlign w:val="center"/>
          </w:tcPr>
          <w:p w14:paraId="2B90CF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Целевые индикаторы</w:t>
            </w:r>
          </w:p>
        </w:tc>
        <w:tc>
          <w:tcPr>
            <w:tcW w:w="50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7F1FB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Выполнение по годам</w:t>
            </w:r>
          </w:p>
        </w:tc>
      </w:tr>
      <w:tr w:rsidR="00F0736F" w:rsidRPr="00F0736F" w14:paraId="145CEBCC" w14:textId="77777777" w:rsidTr="000B2B8A">
        <w:trPr>
          <w:trHeight w:val="144"/>
        </w:trPr>
        <w:tc>
          <w:tcPr>
            <w:tcW w:w="4125" w:type="dxa"/>
            <w:vMerge/>
            <w:tcBorders>
              <w:top w:val="single" w:sz="4" w:space="0" w:color="000000"/>
              <w:left w:val="single" w:sz="4" w:space="0" w:color="000000"/>
              <w:bottom w:val="single" w:sz="4" w:space="0" w:color="000000"/>
            </w:tcBorders>
            <w:shd w:val="clear" w:color="auto" w:fill="auto"/>
            <w:vAlign w:val="center"/>
          </w:tcPr>
          <w:p w14:paraId="42920200"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365" w:type="dxa"/>
            <w:tcBorders>
              <w:top w:val="single" w:sz="4" w:space="0" w:color="000000"/>
              <w:left w:val="single" w:sz="4" w:space="0" w:color="000000"/>
              <w:bottom w:val="single" w:sz="4" w:space="0" w:color="000000"/>
            </w:tcBorders>
            <w:shd w:val="clear" w:color="auto" w:fill="auto"/>
            <w:vAlign w:val="center"/>
          </w:tcPr>
          <w:p w14:paraId="7663911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w:t>
            </w:r>
          </w:p>
        </w:tc>
        <w:tc>
          <w:tcPr>
            <w:tcW w:w="960" w:type="dxa"/>
            <w:tcBorders>
              <w:top w:val="single" w:sz="4" w:space="0" w:color="000000"/>
              <w:left w:val="single" w:sz="4" w:space="0" w:color="000000"/>
              <w:bottom w:val="single" w:sz="4" w:space="0" w:color="000000"/>
            </w:tcBorders>
            <w:shd w:val="clear" w:color="auto" w:fill="auto"/>
            <w:vAlign w:val="center"/>
          </w:tcPr>
          <w:p w14:paraId="64C1158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w:t>
            </w:r>
          </w:p>
        </w:tc>
        <w:tc>
          <w:tcPr>
            <w:tcW w:w="945" w:type="dxa"/>
            <w:tcBorders>
              <w:top w:val="single" w:sz="4" w:space="0" w:color="000000"/>
              <w:left w:val="single" w:sz="4" w:space="0" w:color="000000"/>
              <w:bottom w:val="single" w:sz="4" w:space="0" w:color="000000"/>
            </w:tcBorders>
            <w:shd w:val="clear" w:color="auto" w:fill="auto"/>
            <w:vAlign w:val="center"/>
          </w:tcPr>
          <w:p w14:paraId="5E650DCD"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p w14:paraId="65CF5F2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2019 г.</w:t>
            </w:r>
          </w:p>
          <w:p w14:paraId="5F82CB76" w14:textId="77777777" w:rsidR="00AC1D5B" w:rsidRPr="00F0736F" w:rsidRDefault="00AC1D5B" w:rsidP="00AC1D5B">
            <w:pPr>
              <w:ind w:firstLine="709"/>
              <w:jc w:val="center"/>
              <w:rPr>
                <w:rFonts w:ascii="Times New Roman" w:hAnsi="Times New Roman" w:cs="Times New Roman"/>
                <w:color w:val="000000" w:themeColor="text1"/>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45BB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2020 г.</w:t>
            </w:r>
          </w:p>
          <w:p w14:paraId="02FF39E6" w14:textId="77777777" w:rsidR="00AC1D5B" w:rsidRPr="00F0736F" w:rsidRDefault="00AC1D5B" w:rsidP="00AC1D5B">
            <w:pPr>
              <w:ind w:hanging="143"/>
              <w:jc w:val="center"/>
              <w:rPr>
                <w:color w:val="000000" w:themeColor="text1"/>
              </w:rPr>
            </w:pPr>
            <w:r w:rsidRPr="00F0736F">
              <w:rPr>
                <w:rFonts w:ascii="Times New Roman" w:hAnsi="Times New Roman" w:cs="Times New Roman"/>
                <w:color w:val="000000" w:themeColor="text1"/>
                <w:sz w:val="20"/>
                <w:szCs w:val="20"/>
              </w:rPr>
              <w:t>план</w:t>
            </w:r>
          </w:p>
        </w:tc>
      </w:tr>
      <w:tr w:rsidR="00F0736F" w:rsidRPr="00F0736F" w14:paraId="51AF878F"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4BCEB04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Снижение доли объектов кондоминиума, требующих капитального ремонта, %</w:t>
            </w:r>
          </w:p>
        </w:tc>
        <w:tc>
          <w:tcPr>
            <w:tcW w:w="1365" w:type="dxa"/>
            <w:tcBorders>
              <w:top w:val="single" w:sz="4" w:space="0" w:color="000000"/>
              <w:left w:val="single" w:sz="4" w:space="0" w:color="000000"/>
              <w:bottom w:val="single" w:sz="4" w:space="0" w:color="000000"/>
            </w:tcBorders>
            <w:shd w:val="clear" w:color="auto" w:fill="auto"/>
            <w:vAlign w:val="center"/>
          </w:tcPr>
          <w:p w14:paraId="534D62FE"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18,3</w:t>
            </w:r>
          </w:p>
        </w:tc>
        <w:tc>
          <w:tcPr>
            <w:tcW w:w="960" w:type="dxa"/>
            <w:tcBorders>
              <w:top w:val="single" w:sz="4" w:space="0" w:color="000000"/>
              <w:left w:val="single" w:sz="4" w:space="0" w:color="000000"/>
              <w:bottom w:val="single" w:sz="4" w:space="0" w:color="000000"/>
            </w:tcBorders>
            <w:shd w:val="clear" w:color="auto" w:fill="auto"/>
            <w:vAlign w:val="center"/>
          </w:tcPr>
          <w:p w14:paraId="5ADB83E3"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16,4</w:t>
            </w:r>
          </w:p>
        </w:tc>
        <w:tc>
          <w:tcPr>
            <w:tcW w:w="945" w:type="dxa"/>
            <w:tcBorders>
              <w:top w:val="single" w:sz="4" w:space="0" w:color="000000"/>
              <w:left w:val="single" w:sz="4" w:space="0" w:color="000000"/>
              <w:bottom w:val="single" w:sz="4" w:space="0" w:color="000000"/>
            </w:tcBorders>
            <w:shd w:val="clear" w:color="auto" w:fill="auto"/>
            <w:vAlign w:val="center"/>
          </w:tcPr>
          <w:p w14:paraId="325F7E99"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13,9</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72F9"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11,0</w:t>
            </w:r>
          </w:p>
        </w:tc>
      </w:tr>
      <w:tr w:rsidR="00F0736F" w:rsidRPr="00F0736F" w14:paraId="0AB77D32"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55F04F44"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Доступ в городах к централизованному:</w:t>
            </w:r>
          </w:p>
        </w:tc>
        <w:tc>
          <w:tcPr>
            <w:tcW w:w="1365" w:type="dxa"/>
            <w:tcBorders>
              <w:top w:val="single" w:sz="4" w:space="0" w:color="000000"/>
              <w:left w:val="single" w:sz="4" w:space="0" w:color="000000"/>
              <w:bottom w:val="single" w:sz="4" w:space="0" w:color="000000"/>
            </w:tcBorders>
            <w:shd w:val="clear" w:color="auto" w:fill="auto"/>
            <w:vAlign w:val="center"/>
          </w:tcPr>
          <w:p w14:paraId="7F1DC721" w14:textId="77777777" w:rsidR="00AC1D5B" w:rsidRPr="00F0736F" w:rsidRDefault="00AC1D5B" w:rsidP="00C31FAD">
            <w:pPr>
              <w:snapToGrid w:val="0"/>
              <w:jc w:val="center"/>
              <w:rPr>
                <w:rFonts w:ascii="Times New Roman" w:hAnsi="Times New Roman" w:cs="Times New Roman"/>
                <w:color w:val="000000" w:themeColor="text1"/>
                <w:sz w:val="20"/>
                <w:szCs w:val="20"/>
              </w:rPr>
            </w:pPr>
          </w:p>
        </w:tc>
        <w:tc>
          <w:tcPr>
            <w:tcW w:w="960" w:type="dxa"/>
            <w:tcBorders>
              <w:top w:val="single" w:sz="4" w:space="0" w:color="000000"/>
              <w:left w:val="single" w:sz="4" w:space="0" w:color="000000"/>
              <w:bottom w:val="single" w:sz="4" w:space="0" w:color="000000"/>
            </w:tcBorders>
            <w:shd w:val="clear" w:color="auto" w:fill="auto"/>
            <w:vAlign w:val="center"/>
          </w:tcPr>
          <w:p w14:paraId="346D3E9E"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945" w:type="dxa"/>
            <w:tcBorders>
              <w:top w:val="single" w:sz="4" w:space="0" w:color="000000"/>
              <w:left w:val="single" w:sz="4" w:space="0" w:color="000000"/>
              <w:bottom w:val="single" w:sz="4" w:space="0" w:color="000000"/>
            </w:tcBorders>
            <w:shd w:val="clear" w:color="auto" w:fill="auto"/>
            <w:vAlign w:val="center"/>
          </w:tcPr>
          <w:p w14:paraId="5E07F02A"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6102"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r>
      <w:tr w:rsidR="00F0736F" w:rsidRPr="00F0736F" w14:paraId="35158923"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3C4A97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водоснабжению, %</w:t>
            </w:r>
          </w:p>
        </w:tc>
        <w:tc>
          <w:tcPr>
            <w:tcW w:w="1365" w:type="dxa"/>
            <w:tcBorders>
              <w:top w:val="single" w:sz="4" w:space="0" w:color="000000"/>
              <w:left w:val="single" w:sz="4" w:space="0" w:color="000000"/>
              <w:bottom w:val="single" w:sz="4" w:space="0" w:color="000000"/>
            </w:tcBorders>
            <w:shd w:val="clear" w:color="auto" w:fill="auto"/>
            <w:vAlign w:val="center"/>
          </w:tcPr>
          <w:p w14:paraId="14971D34"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97,3</w:t>
            </w:r>
          </w:p>
        </w:tc>
        <w:tc>
          <w:tcPr>
            <w:tcW w:w="960" w:type="dxa"/>
            <w:tcBorders>
              <w:top w:val="single" w:sz="4" w:space="0" w:color="000000"/>
              <w:left w:val="single" w:sz="4" w:space="0" w:color="000000"/>
              <w:bottom w:val="single" w:sz="4" w:space="0" w:color="000000"/>
            </w:tcBorders>
            <w:shd w:val="clear" w:color="auto" w:fill="auto"/>
            <w:vAlign w:val="center"/>
          </w:tcPr>
          <w:p w14:paraId="044804AC"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97,8</w:t>
            </w:r>
          </w:p>
        </w:tc>
        <w:tc>
          <w:tcPr>
            <w:tcW w:w="945" w:type="dxa"/>
            <w:tcBorders>
              <w:top w:val="single" w:sz="4" w:space="0" w:color="000000"/>
              <w:left w:val="single" w:sz="4" w:space="0" w:color="000000"/>
              <w:bottom w:val="single" w:sz="4" w:space="0" w:color="000000"/>
            </w:tcBorders>
            <w:shd w:val="clear" w:color="auto" w:fill="auto"/>
            <w:vAlign w:val="center"/>
          </w:tcPr>
          <w:p w14:paraId="59E7F77A"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98,2</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D79E"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98,6</w:t>
            </w:r>
          </w:p>
        </w:tc>
      </w:tr>
      <w:tr w:rsidR="00F0736F" w:rsidRPr="00F0736F" w14:paraId="3291665A"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163ADB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моногорода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6AF66665"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99,4</w:t>
            </w:r>
          </w:p>
        </w:tc>
        <w:tc>
          <w:tcPr>
            <w:tcW w:w="960" w:type="dxa"/>
            <w:tcBorders>
              <w:top w:val="single" w:sz="4" w:space="0" w:color="000000"/>
              <w:left w:val="single" w:sz="4" w:space="0" w:color="000000"/>
              <w:bottom w:val="single" w:sz="4" w:space="0" w:color="000000"/>
            </w:tcBorders>
            <w:shd w:val="clear" w:color="auto" w:fill="auto"/>
            <w:vAlign w:val="center"/>
          </w:tcPr>
          <w:p w14:paraId="09C31ADE"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99,5</w:t>
            </w:r>
          </w:p>
        </w:tc>
        <w:tc>
          <w:tcPr>
            <w:tcW w:w="945" w:type="dxa"/>
            <w:tcBorders>
              <w:top w:val="single" w:sz="4" w:space="0" w:color="000000"/>
              <w:left w:val="single" w:sz="4" w:space="0" w:color="000000"/>
              <w:bottom w:val="single" w:sz="4" w:space="0" w:color="000000"/>
            </w:tcBorders>
            <w:shd w:val="clear" w:color="auto" w:fill="auto"/>
            <w:vAlign w:val="center"/>
          </w:tcPr>
          <w:p w14:paraId="1CEA78F6"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99,8</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45B0"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100,0</w:t>
            </w:r>
          </w:p>
        </w:tc>
      </w:tr>
      <w:tr w:rsidR="00F0736F" w:rsidRPr="00F0736F" w14:paraId="05B57AA2"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0F10566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малые 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00CE65E3"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99,8</w:t>
            </w:r>
          </w:p>
        </w:tc>
        <w:tc>
          <w:tcPr>
            <w:tcW w:w="960" w:type="dxa"/>
            <w:tcBorders>
              <w:top w:val="single" w:sz="4" w:space="0" w:color="000000"/>
              <w:left w:val="single" w:sz="4" w:space="0" w:color="000000"/>
              <w:bottom w:val="single" w:sz="4" w:space="0" w:color="000000"/>
            </w:tcBorders>
            <w:shd w:val="clear" w:color="auto" w:fill="auto"/>
            <w:vAlign w:val="center"/>
          </w:tcPr>
          <w:p w14:paraId="0927741C"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99,9</w:t>
            </w:r>
          </w:p>
        </w:tc>
        <w:tc>
          <w:tcPr>
            <w:tcW w:w="945" w:type="dxa"/>
            <w:tcBorders>
              <w:top w:val="single" w:sz="4" w:space="0" w:color="000000"/>
              <w:left w:val="single" w:sz="4" w:space="0" w:color="000000"/>
              <w:bottom w:val="single" w:sz="4" w:space="0" w:color="000000"/>
            </w:tcBorders>
            <w:shd w:val="clear" w:color="auto" w:fill="auto"/>
            <w:vAlign w:val="center"/>
          </w:tcPr>
          <w:p w14:paraId="499E03F4"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99,9</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A8C4E"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100,0</w:t>
            </w:r>
          </w:p>
        </w:tc>
      </w:tr>
      <w:tr w:rsidR="00F0736F" w:rsidRPr="00F0736F" w14:paraId="3E56FDC7"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1E2E5AB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водоотведению, %</w:t>
            </w:r>
          </w:p>
        </w:tc>
        <w:tc>
          <w:tcPr>
            <w:tcW w:w="1365" w:type="dxa"/>
            <w:tcBorders>
              <w:top w:val="single" w:sz="4" w:space="0" w:color="000000"/>
              <w:left w:val="single" w:sz="4" w:space="0" w:color="000000"/>
              <w:bottom w:val="single" w:sz="4" w:space="0" w:color="000000"/>
            </w:tcBorders>
            <w:shd w:val="clear" w:color="auto" w:fill="auto"/>
            <w:vAlign w:val="center"/>
          </w:tcPr>
          <w:p w14:paraId="735AEB5B"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70,0</w:t>
            </w:r>
          </w:p>
        </w:tc>
        <w:tc>
          <w:tcPr>
            <w:tcW w:w="960" w:type="dxa"/>
            <w:tcBorders>
              <w:top w:val="single" w:sz="4" w:space="0" w:color="000000"/>
              <w:left w:val="single" w:sz="4" w:space="0" w:color="000000"/>
              <w:bottom w:val="single" w:sz="4" w:space="0" w:color="000000"/>
            </w:tcBorders>
            <w:shd w:val="clear" w:color="auto" w:fill="auto"/>
            <w:vAlign w:val="center"/>
          </w:tcPr>
          <w:p w14:paraId="0203E9D7"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71,0</w:t>
            </w:r>
          </w:p>
        </w:tc>
        <w:tc>
          <w:tcPr>
            <w:tcW w:w="945" w:type="dxa"/>
            <w:tcBorders>
              <w:top w:val="single" w:sz="4" w:space="0" w:color="000000"/>
              <w:left w:val="single" w:sz="4" w:space="0" w:color="000000"/>
              <w:bottom w:val="single" w:sz="4" w:space="0" w:color="000000"/>
            </w:tcBorders>
            <w:shd w:val="clear" w:color="auto" w:fill="auto"/>
            <w:vAlign w:val="center"/>
          </w:tcPr>
          <w:p w14:paraId="6B2E803F"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72,0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AD1FE"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73,0</w:t>
            </w:r>
          </w:p>
        </w:tc>
      </w:tr>
      <w:tr w:rsidR="00F0736F" w:rsidRPr="00F0736F" w14:paraId="0D602CC3"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2A52828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моногорода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3A672B19"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80,1</w:t>
            </w:r>
          </w:p>
        </w:tc>
        <w:tc>
          <w:tcPr>
            <w:tcW w:w="960" w:type="dxa"/>
            <w:tcBorders>
              <w:top w:val="single" w:sz="4" w:space="0" w:color="000000"/>
              <w:left w:val="single" w:sz="4" w:space="0" w:color="000000"/>
              <w:bottom w:val="single" w:sz="4" w:space="0" w:color="000000"/>
            </w:tcBorders>
            <w:shd w:val="clear" w:color="auto" w:fill="auto"/>
            <w:vAlign w:val="center"/>
          </w:tcPr>
          <w:p w14:paraId="22ED29B0"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84,3</w:t>
            </w:r>
          </w:p>
        </w:tc>
        <w:tc>
          <w:tcPr>
            <w:tcW w:w="945" w:type="dxa"/>
            <w:tcBorders>
              <w:top w:val="single" w:sz="4" w:space="0" w:color="000000"/>
              <w:left w:val="single" w:sz="4" w:space="0" w:color="000000"/>
              <w:bottom w:val="single" w:sz="4" w:space="0" w:color="000000"/>
            </w:tcBorders>
            <w:shd w:val="clear" w:color="auto" w:fill="auto"/>
            <w:vAlign w:val="center"/>
          </w:tcPr>
          <w:p w14:paraId="7F6502F9"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89,0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19F1"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100,0</w:t>
            </w:r>
          </w:p>
        </w:tc>
      </w:tr>
      <w:tr w:rsidR="00F0736F" w:rsidRPr="00F0736F" w14:paraId="573DC0E3"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3DA1F22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малые 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08D2CC29"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46,2</w:t>
            </w:r>
          </w:p>
        </w:tc>
        <w:tc>
          <w:tcPr>
            <w:tcW w:w="960" w:type="dxa"/>
            <w:tcBorders>
              <w:top w:val="single" w:sz="4" w:space="0" w:color="000000"/>
              <w:left w:val="single" w:sz="4" w:space="0" w:color="000000"/>
              <w:bottom w:val="single" w:sz="4" w:space="0" w:color="000000"/>
            </w:tcBorders>
            <w:shd w:val="clear" w:color="auto" w:fill="auto"/>
            <w:vAlign w:val="center"/>
          </w:tcPr>
          <w:p w14:paraId="19EEF127"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61,3</w:t>
            </w:r>
          </w:p>
        </w:tc>
        <w:tc>
          <w:tcPr>
            <w:tcW w:w="945" w:type="dxa"/>
            <w:tcBorders>
              <w:top w:val="single" w:sz="4" w:space="0" w:color="000000"/>
              <w:left w:val="single" w:sz="4" w:space="0" w:color="000000"/>
              <w:bottom w:val="single" w:sz="4" w:space="0" w:color="000000"/>
            </w:tcBorders>
            <w:shd w:val="clear" w:color="auto" w:fill="auto"/>
            <w:vAlign w:val="center"/>
          </w:tcPr>
          <w:p w14:paraId="7EA617BE"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82,5</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9C52A"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82,8</w:t>
            </w:r>
          </w:p>
        </w:tc>
      </w:tr>
      <w:tr w:rsidR="00F0736F" w:rsidRPr="00F0736F" w14:paraId="1AC38722"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771D9C2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Доступ сельских населенных пунктов к централизованному:</w:t>
            </w:r>
          </w:p>
        </w:tc>
        <w:tc>
          <w:tcPr>
            <w:tcW w:w="1365" w:type="dxa"/>
            <w:tcBorders>
              <w:top w:val="single" w:sz="4" w:space="0" w:color="000000"/>
              <w:left w:val="single" w:sz="4" w:space="0" w:color="000000"/>
              <w:bottom w:val="single" w:sz="4" w:space="0" w:color="000000"/>
            </w:tcBorders>
            <w:shd w:val="clear" w:color="auto" w:fill="auto"/>
            <w:vAlign w:val="center"/>
          </w:tcPr>
          <w:p w14:paraId="45FB8BC2" w14:textId="77777777" w:rsidR="00AC1D5B" w:rsidRPr="00F0736F" w:rsidRDefault="00AC1D5B" w:rsidP="00C31FAD">
            <w:pPr>
              <w:snapToGrid w:val="0"/>
              <w:jc w:val="center"/>
              <w:rPr>
                <w:rFonts w:ascii="Times New Roman" w:hAnsi="Times New Roman" w:cs="Times New Roman"/>
                <w:color w:val="000000" w:themeColor="text1"/>
                <w:sz w:val="20"/>
                <w:szCs w:val="20"/>
              </w:rPr>
            </w:pPr>
          </w:p>
        </w:tc>
        <w:tc>
          <w:tcPr>
            <w:tcW w:w="960" w:type="dxa"/>
            <w:tcBorders>
              <w:top w:val="single" w:sz="4" w:space="0" w:color="000000"/>
              <w:left w:val="single" w:sz="4" w:space="0" w:color="000000"/>
              <w:bottom w:val="single" w:sz="4" w:space="0" w:color="000000"/>
            </w:tcBorders>
            <w:shd w:val="clear" w:color="auto" w:fill="auto"/>
            <w:vAlign w:val="center"/>
          </w:tcPr>
          <w:p w14:paraId="5E2D6F5C"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945" w:type="dxa"/>
            <w:tcBorders>
              <w:top w:val="single" w:sz="4" w:space="0" w:color="000000"/>
              <w:left w:val="single" w:sz="4" w:space="0" w:color="000000"/>
              <w:bottom w:val="single" w:sz="4" w:space="0" w:color="000000"/>
            </w:tcBorders>
            <w:shd w:val="clear" w:color="auto" w:fill="auto"/>
            <w:vAlign w:val="center"/>
          </w:tcPr>
          <w:p w14:paraId="10160D1E"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1F291"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r>
      <w:tr w:rsidR="00F0736F" w:rsidRPr="00F0736F" w14:paraId="549BF4E6"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5A23F0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водоснабжению, %</w:t>
            </w:r>
          </w:p>
        </w:tc>
        <w:tc>
          <w:tcPr>
            <w:tcW w:w="1365" w:type="dxa"/>
            <w:tcBorders>
              <w:top w:val="single" w:sz="4" w:space="0" w:color="000000"/>
              <w:left w:val="single" w:sz="4" w:space="0" w:color="000000"/>
              <w:bottom w:val="single" w:sz="4" w:space="0" w:color="000000"/>
            </w:tcBorders>
            <w:shd w:val="clear" w:color="auto" w:fill="auto"/>
            <w:vAlign w:val="center"/>
          </w:tcPr>
          <w:p w14:paraId="2FD7E7F1"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44,7</w:t>
            </w:r>
          </w:p>
        </w:tc>
        <w:tc>
          <w:tcPr>
            <w:tcW w:w="960" w:type="dxa"/>
            <w:tcBorders>
              <w:top w:val="single" w:sz="4" w:space="0" w:color="000000"/>
              <w:left w:val="single" w:sz="4" w:space="0" w:color="000000"/>
              <w:bottom w:val="single" w:sz="4" w:space="0" w:color="000000"/>
            </w:tcBorders>
            <w:shd w:val="clear" w:color="auto" w:fill="auto"/>
            <w:vAlign w:val="center"/>
          </w:tcPr>
          <w:p w14:paraId="08E9DB80"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53,7</w:t>
            </w:r>
          </w:p>
        </w:tc>
        <w:tc>
          <w:tcPr>
            <w:tcW w:w="945" w:type="dxa"/>
            <w:tcBorders>
              <w:top w:val="single" w:sz="4" w:space="0" w:color="000000"/>
              <w:left w:val="single" w:sz="4" w:space="0" w:color="000000"/>
              <w:bottom w:val="single" w:sz="4" w:space="0" w:color="000000"/>
            </w:tcBorders>
            <w:shd w:val="clear" w:color="auto" w:fill="auto"/>
            <w:vAlign w:val="center"/>
          </w:tcPr>
          <w:p w14:paraId="0E9673E7"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56,0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91373"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62,0</w:t>
            </w:r>
          </w:p>
        </w:tc>
      </w:tr>
      <w:tr w:rsidR="00F0736F" w:rsidRPr="00F0736F" w14:paraId="53A4643F"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7E0EF86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водоотведению,%</w:t>
            </w:r>
          </w:p>
        </w:tc>
        <w:tc>
          <w:tcPr>
            <w:tcW w:w="1365" w:type="dxa"/>
            <w:tcBorders>
              <w:top w:val="single" w:sz="4" w:space="0" w:color="000000"/>
              <w:left w:val="single" w:sz="4" w:space="0" w:color="000000"/>
              <w:bottom w:val="single" w:sz="4" w:space="0" w:color="000000"/>
            </w:tcBorders>
            <w:shd w:val="clear" w:color="auto" w:fill="auto"/>
            <w:vAlign w:val="center"/>
          </w:tcPr>
          <w:p w14:paraId="1F5BF031"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10,0</w:t>
            </w:r>
          </w:p>
        </w:tc>
        <w:tc>
          <w:tcPr>
            <w:tcW w:w="960" w:type="dxa"/>
            <w:tcBorders>
              <w:top w:val="single" w:sz="4" w:space="0" w:color="000000"/>
              <w:left w:val="single" w:sz="4" w:space="0" w:color="000000"/>
              <w:bottom w:val="single" w:sz="4" w:space="0" w:color="000000"/>
            </w:tcBorders>
            <w:shd w:val="clear" w:color="auto" w:fill="auto"/>
            <w:vAlign w:val="center"/>
          </w:tcPr>
          <w:p w14:paraId="251A55F4"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8,7</w:t>
            </w:r>
          </w:p>
        </w:tc>
        <w:tc>
          <w:tcPr>
            <w:tcW w:w="945" w:type="dxa"/>
            <w:tcBorders>
              <w:top w:val="single" w:sz="4" w:space="0" w:color="000000"/>
              <w:left w:val="single" w:sz="4" w:space="0" w:color="000000"/>
              <w:bottom w:val="single" w:sz="4" w:space="0" w:color="000000"/>
            </w:tcBorders>
            <w:shd w:val="clear" w:color="auto" w:fill="auto"/>
            <w:vAlign w:val="center"/>
          </w:tcPr>
          <w:p w14:paraId="7E60366C"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8,3</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C3B2"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7,7</w:t>
            </w:r>
          </w:p>
        </w:tc>
      </w:tr>
      <w:tr w:rsidR="00F0736F" w:rsidRPr="00F0736F" w14:paraId="082987C0"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64A6A3E5"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Доля модернизированных сетей от общей протяженности, %:</w:t>
            </w:r>
          </w:p>
        </w:tc>
        <w:tc>
          <w:tcPr>
            <w:tcW w:w="1365" w:type="dxa"/>
            <w:tcBorders>
              <w:top w:val="single" w:sz="4" w:space="0" w:color="000000"/>
              <w:left w:val="single" w:sz="4" w:space="0" w:color="000000"/>
              <w:bottom w:val="single" w:sz="4" w:space="0" w:color="000000"/>
            </w:tcBorders>
            <w:shd w:val="clear" w:color="auto" w:fill="auto"/>
            <w:vAlign w:val="center"/>
          </w:tcPr>
          <w:p w14:paraId="67EA6E51" w14:textId="77777777" w:rsidR="00AC1D5B" w:rsidRPr="00F0736F" w:rsidRDefault="00AC1D5B" w:rsidP="00C31FAD">
            <w:pPr>
              <w:snapToGrid w:val="0"/>
              <w:jc w:val="center"/>
              <w:rPr>
                <w:rFonts w:ascii="Times New Roman" w:hAnsi="Times New Roman" w:cs="Times New Roman"/>
                <w:color w:val="000000" w:themeColor="text1"/>
                <w:sz w:val="20"/>
                <w:szCs w:val="20"/>
              </w:rPr>
            </w:pPr>
          </w:p>
        </w:tc>
        <w:tc>
          <w:tcPr>
            <w:tcW w:w="960" w:type="dxa"/>
            <w:tcBorders>
              <w:top w:val="single" w:sz="4" w:space="0" w:color="000000"/>
              <w:left w:val="single" w:sz="4" w:space="0" w:color="000000"/>
              <w:bottom w:val="single" w:sz="4" w:space="0" w:color="000000"/>
            </w:tcBorders>
            <w:shd w:val="clear" w:color="auto" w:fill="auto"/>
            <w:vAlign w:val="center"/>
          </w:tcPr>
          <w:p w14:paraId="2797095F"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945" w:type="dxa"/>
            <w:tcBorders>
              <w:top w:val="single" w:sz="4" w:space="0" w:color="000000"/>
              <w:left w:val="single" w:sz="4" w:space="0" w:color="000000"/>
              <w:bottom w:val="single" w:sz="4" w:space="0" w:color="000000"/>
            </w:tcBorders>
            <w:shd w:val="clear" w:color="auto" w:fill="auto"/>
            <w:vAlign w:val="center"/>
          </w:tcPr>
          <w:p w14:paraId="684F4339"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2C703" w14:textId="77777777" w:rsidR="00AC1D5B" w:rsidRPr="00F0736F" w:rsidRDefault="00AC1D5B" w:rsidP="00C31FAD">
            <w:pPr>
              <w:snapToGrid w:val="0"/>
              <w:ind w:firstLine="709"/>
              <w:jc w:val="center"/>
              <w:rPr>
                <w:rFonts w:ascii="Times New Roman" w:hAnsi="Times New Roman" w:cs="Times New Roman"/>
                <w:color w:val="000000" w:themeColor="text1"/>
                <w:sz w:val="20"/>
                <w:szCs w:val="20"/>
              </w:rPr>
            </w:pPr>
          </w:p>
        </w:tc>
      </w:tr>
      <w:tr w:rsidR="00F0736F" w:rsidRPr="00F0736F" w14:paraId="00781D21"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3C49731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теплоснабжение</w:t>
            </w:r>
          </w:p>
        </w:tc>
        <w:tc>
          <w:tcPr>
            <w:tcW w:w="1365" w:type="dxa"/>
            <w:tcBorders>
              <w:top w:val="single" w:sz="4" w:space="0" w:color="000000"/>
              <w:left w:val="single" w:sz="4" w:space="0" w:color="000000"/>
              <w:bottom w:val="single" w:sz="4" w:space="0" w:color="000000"/>
            </w:tcBorders>
            <w:shd w:val="clear" w:color="auto" w:fill="auto"/>
            <w:vAlign w:val="center"/>
          </w:tcPr>
          <w:p w14:paraId="68D0345B"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11,2</w:t>
            </w:r>
          </w:p>
        </w:tc>
        <w:tc>
          <w:tcPr>
            <w:tcW w:w="960" w:type="dxa"/>
            <w:tcBorders>
              <w:top w:val="single" w:sz="4" w:space="0" w:color="000000"/>
              <w:left w:val="single" w:sz="4" w:space="0" w:color="000000"/>
              <w:bottom w:val="single" w:sz="4" w:space="0" w:color="000000"/>
            </w:tcBorders>
            <w:shd w:val="clear" w:color="auto" w:fill="auto"/>
            <w:vAlign w:val="center"/>
          </w:tcPr>
          <w:p w14:paraId="16757774"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18,9</w:t>
            </w:r>
          </w:p>
        </w:tc>
        <w:tc>
          <w:tcPr>
            <w:tcW w:w="945" w:type="dxa"/>
            <w:tcBorders>
              <w:top w:val="single" w:sz="4" w:space="0" w:color="000000"/>
              <w:left w:val="single" w:sz="4" w:space="0" w:color="000000"/>
              <w:bottom w:val="single" w:sz="4" w:space="0" w:color="000000"/>
            </w:tcBorders>
            <w:shd w:val="clear" w:color="auto" w:fill="auto"/>
            <w:vAlign w:val="center"/>
          </w:tcPr>
          <w:p w14:paraId="3374624D"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20,4</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BF08D"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29,7</w:t>
            </w:r>
          </w:p>
        </w:tc>
      </w:tr>
      <w:tr w:rsidR="00F0736F" w:rsidRPr="00F0736F" w14:paraId="0FE78256"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1B022E8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моногорода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3DC03CC6"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7,3</w:t>
            </w:r>
          </w:p>
        </w:tc>
        <w:tc>
          <w:tcPr>
            <w:tcW w:w="960" w:type="dxa"/>
            <w:tcBorders>
              <w:top w:val="single" w:sz="4" w:space="0" w:color="000000"/>
              <w:left w:val="single" w:sz="4" w:space="0" w:color="000000"/>
              <w:bottom w:val="single" w:sz="4" w:space="0" w:color="000000"/>
            </w:tcBorders>
            <w:shd w:val="clear" w:color="auto" w:fill="auto"/>
            <w:vAlign w:val="center"/>
          </w:tcPr>
          <w:p w14:paraId="12E858B4"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14,3</w:t>
            </w:r>
          </w:p>
        </w:tc>
        <w:tc>
          <w:tcPr>
            <w:tcW w:w="945" w:type="dxa"/>
            <w:tcBorders>
              <w:top w:val="single" w:sz="4" w:space="0" w:color="000000"/>
              <w:left w:val="single" w:sz="4" w:space="0" w:color="000000"/>
              <w:bottom w:val="single" w:sz="4" w:space="0" w:color="000000"/>
            </w:tcBorders>
            <w:shd w:val="clear" w:color="auto" w:fill="auto"/>
            <w:vAlign w:val="center"/>
          </w:tcPr>
          <w:p w14:paraId="769FA83C"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23,8</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60480"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27,9</w:t>
            </w:r>
          </w:p>
        </w:tc>
      </w:tr>
      <w:tr w:rsidR="00F0736F" w:rsidRPr="00F0736F" w14:paraId="3223E919"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3F7FDCE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малые 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274B7F70"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w:t>
            </w:r>
          </w:p>
        </w:tc>
        <w:tc>
          <w:tcPr>
            <w:tcW w:w="960" w:type="dxa"/>
            <w:tcBorders>
              <w:top w:val="single" w:sz="4" w:space="0" w:color="000000"/>
              <w:left w:val="single" w:sz="4" w:space="0" w:color="000000"/>
              <w:bottom w:val="single" w:sz="4" w:space="0" w:color="000000"/>
            </w:tcBorders>
            <w:shd w:val="clear" w:color="auto" w:fill="auto"/>
            <w:vAlign w:val="center"/>
          </w:tcPr>
          <w:p w14:paraId="1664B186"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0,4</w:t>
            </w:r>
          </w:p>
        </w:tc>
        <w:tc>
          <w:tcPr>
            <w:tcW w:w="945" w:type="dxa"/>
            <w:tcBorders>
              <w:top w:val="single" w:sz="4" w:space="0" w:color="000000"/>
              <w:left w:val="single" w:sz="4" w:space="0" w:color="000000"/>
              <w:bottom w:val="single" w:sz="4" w:space="0" w:color="000000"/>
            </w:tcBorders>
            <w:shd w:val="clear" w:color="auto" w:fill="auto"/>
            <w:vAlign w:val="center"/>
          </w:tcPr>
          <w:p w14:paraId="2FFB203F"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0,6</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0DE10"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0,3</w:t>
            </w:r>
          </w:p>
        </w:tc>
      </w:tr>
      <w:tr w:rsidR="00F0736F" w:rsidRPr="00F0736F" w14:paraId="3D69ACA9"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26B243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газоснабжение</w:t>
            </w:r>
          </w:p>
        </w:tc>
        <w:tc>
          <w:tcPr>
            <w:tcW w:w="1365" w:type="dxa"/>
            <w:tcBorders>
              <w:top w:val="single" w:sz="4" w:space="0" w:color="000000"/>
              <w:left w:val="single" w:sz="4" w:space="0" w:color="000000"/>
              <w:bottom w:val="single" w:sz="4" w:space="0" w:color="000000"/>
            </w:tcBorders>
            <w:shd w:val="clear" w:color="auto" w:fill="auto"/>
            <w:vAlign w:val="center"/>
          </w:tcPr>
          <w:p w14:paraId="1FD02EF8"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w:t>
            </w:r>
          </w:p>
        </w:tc>
        <w:tc>
          <w:tcPr>
            <w:tcW w:w="960" w:type="dxa"/>
            <w:tcBorders>
              <w:top w:val="single" w:sz="4" w:space="0" w:color="000000"/>
              <w:left w:val="single" w:sz="4" w:space="0" w:color="000000"/>
              <w:bottom w:val="single" w:sz="4" w:space="0" w:color="000000"/>
            </w:tcBorders>
            <w:shd w:val="clear" w:color="auto" w:fill="auto"/>
            <w:vAlign w:val="center"/>
          </w:tcPr>
          <w:p w14:paraId="10A69931"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w:t>
            </w:r>
          </w:p>
        </w:tc>
        <w:tc>
          <w:tcPr>
            <w:tcW w:w="945" w:type="dxa"/>
            <w:tcBorders>
              <w:top w:val="single" w:sz="4" w:space="0" w:color="000000"/>
              <w:left w:val="single" w:sz="4" w:space="0" w:color="000000"/>
              <w:bottom w:val="single" w:sz="4" w:space="0" w:color="000000"/>
            </w:tcBorders>
            <w:shd w:val="clear" w:color="auto" w:fill="auto"/>
            <w:vAlign w:val="center"/>
          </w:tcPr>
          <w:p w14:paraId="624FB002"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3A4F"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0</w:t>
            </w:r>
          </w:p>
        </w:tc>
      </w:tr>
      <w:tr w:rsidR="00F0736F" w:rsidRPr="00F0736F" w14:paraId="3F3DFA9F"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1A119F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электроснабжение</w:t>
            </w:r>
          </w:p>
        </w:tc>
        <w:tc>
          <w:tcPr>
            <w:tcW w:w="1365" w:type="dxa"/>
            <w:tcBorders>
              <w:top w:val="single" w:sz="4" w:space="0" w:color="000000"/>
              <w:left w:val="single" w:sz="4" w:space="0" w:color="000000"/>
              <w:bottom w:val="single" w:sz="4" w:space="0" w:color="000000"/>
            </w:tcBorders>
            <w:shd w:val="clear" w:color="auto" w:fill="auto"/>
            <w:vAlign w:val="center"/>
          </w:tcPr>
          <w:p w14:paraId="31236527"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w:t>
            </w:r>
          </w:p>
        </w:tc>
        <w:tc>
          <w:tcPr>
            <w:tcW w:w="960" w:type="dxa"/>
            <w:tcBorders>
              <w:top w:val="single" w:sz="4" w:space="0" w:color="000000"/>
              <w:left w:val="single" w:sz="4" w:space="0" w:color="000000"/>
              <w:bottom w:val="single" w:sz="4" w:space="0" w:color="000000"/>
            </w:tcBorders>
            <w:shd w:val="clear" w:color="auto" w:fill="auto"/>
            <w:vAlign w:val="center"/>
          </w:tcPr>
          <w:p w14:paraId="35EC5D17"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0,7</w:t>
            </w:r>
          </w:p>
        </w:tc>
        <w:tc>
          <w:tcPr>
            <w:tcW w:w="945" w:type="dxa"/>
            <w:tcBorders>
              <w:top w:val="single" w:sz="4" w:space="0" w:color="000000"/>
              <w:left w:val="single" w:sz="4" w:space="0" w:color="000000"/>
              <w:bottom w:val="single" w:sz="4" w:space="0" w:color="000000"/>
            </w:tcBorders>
            <w:shd w:val="clear" w:color="auto" w:fill="auto"/>
            <w:vAlign w:val="center"/>
          </w:tcPr>
          <w:p w14:paraId="47BBFF9D"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0,6</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A1616"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0,5</w:t>
            </w:r>
          </w:p>
        </w:tc>
      </w:tr>
      <w:tr w:rsidR="00F0736F" w:rsidRPr="00F0736F" w14:paraId="4115C318"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47C47B2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моногорода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57B6703F"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12,1</w:t>
            </w:r>
          </w:p>
        </w:tc>
        <w:tc>
          <w:tcPr>
            <w:tcW w:w="960" w:type="dxa"/>
            <w:tcBorders>
              <w:top w:val="single" w:sz="4" w:space="0" w:color="000000"/>
              <w:left w:val="single" w:sz="4" w:space="0" w:color="000000"/>
              <w:bottom w:val="single" w:sz="4" w:space="0" w:color="000000"/>
            </w:tcBorders>
            <w:shd w:val="clear" w:color="auto" w:fill="auto"/>
            <w:vAlign w:val="center"/>
          </w:tcPr>
          <w:p w14:paraId="0CFD073E"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1,7</w:t>
            </w:r>
          </w:p>
        </w:tc>
        <w:tc>
          <w:tcPr>
            <w:tcW w:w="945" w:type="dxa"/>
            <w:tcBorders>
              <w:top w:val="single" w:sz="4" w:space="0" w:color="000000"/>
              <w:left w:val="single" w:sz="4" w:space="0" w:color="000000"/>
              <w:bottom w:val="single" w:sz="4" w:space="0" w:color="000000"/>
            </w:tcBorders>
            <w:shd w:val="clear" w:color="auto" w:fill="auto"/>
            <w:vAlign w:val="center"/>
          </w:tcPr>
          <w:p w14:paraId="620B8DA5"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26,1</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5CEA7"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14,8</w:t>
            </w:r>
          </w:p>
        </w:tc>
      </w:tr>
      <w:tr w:rsidR="00AC1D5B" w:rsidRPr="00F0736F" w14:paraId="29627834" w14:textId="77777777" w:rsidTr="000B2B8A">
        <w:trPr>
          <w:trHeight w:val="144"/>
        </w:trPr>
        <w:tc>
          <w:tcPr>
            <w:tcW w:w="4125" w:type="dxa"/>
            <w:tcBorders>
              <w:top w:val="single" w:sz="4" w:space="0" w:color="000000"/>
              <w:left w:val="single" w:sz="4" w:space="0" w:color="000000"/>
              <w:bottom w:val="single" w:sz="4" w:space="0" w:color="000000"/>
            </w:tcBorders>
            <w:shd w:val="clear" w:color="auto" w:fill="auto"/>
            <w:vAlign w:val="center"/>
          </w:tcPr>
          <w:p w14:paraId="7AEA553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малые города</w:t>
            </w:r>
          </w:p>
        </w:tc>
        <w:tc>
          <w:tcPr>
            <w:tcW w:w="1365" w:type="dxa"/>
            <w:tcBorders>
              <w:top w:val="single" w:sz="4" w:space="0" w:color="000000"/>
              <w:left w:val="single" w:sz="4" w:space="0" w:color="000000"/>
              <w:bottom w:val="single" w:sz="4" w:space="0" w:color="000000"/>
            </w:tcBorders>
            <w:shd w:val="clear" w:color="auto" w:fill="auto"/>
            <w:vAlign w:val="center"/>
          </w:tcPr>
          <w:p w14:paraId="0AD53073"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0,1</w:t>
            </w:r>
          </w:p>
        </w:tc>
        <w:tc>
          <w:tcPr>
            <w:tcW w:w="960" w:type="dxa"/>
            <w:tcBorders>
              <w:top w:val="single" w:sz="4" w:space="0" w:color="000000"/>
              <w:left w:val="single" w:sz="4" w:space="0" w:color="000000"/>
              <w:bottom w:val="single" w:sz="4" w:space="0" w:color="000000"/>
            </w:tcBorders>
            <w:shd w:val="clear" w:color="auto" w:fill="auto"/>
            <w:vAlign w:val="center"/>
          </w:tcPr>
          <w:p w14:paraId="2FB0683F"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0,2</w:t>
            </w:r>
          </w:p>
        </w:tc>
        <w:tc>
          <w:tcPr>
            <w:tcW w:w="945" w:type="dxa"/>
            <w:tcBorders>
              <w:top w:val="single" w:sz="4" w:space="0" w:color="000000"/>
              <w:left w:val="single" w:sz="4" w:space="0" w:color="000000"/>
              <w:bottom w:val="single" w:sz="4" w:space="0" w:color="000000"/>
            </w:tcBorders>
            <w:shd w:val="clear" w:color="auto" w:fill="auto"/>
            <w:vAlign w:val="center"/>
          </w:tcPr>
          <w:p w14:paraId="1D9C02C5" w14:textId="77777777" w:rsidR="00AC1D5B" w:rsidRPr="00F0736F" w:rsidRDefault="00AC1D5B" w:rsidP="00C31FAD">
            <w:pPr>
              <w:jc w:val="center"/>
              <w:rPr>
                <w:color w:val="000000" w:themeColor="text1"/>
              </w:rPr>
            </w:pPr>
            <w:r w:rsidRPr="00F0736F">
              <w:rPr>
                <w:rFonts w:ascii="Times New Roman" w:hAnsi="Times New Roman" w:cs="Times New Roman"/>
                <w:color w:val="000000" w:themeColor="text1"/>
                <w:sz w:val="20"/>
                <w:szCs w:val="20"/>
              </w:rPr>
              <w:t>0,2</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2F6CB" w14:textId="77777777" w:rsidR="00AC1D5B" w:rsidRPr="00F0736F" w:rsidRDefault="00AC1D5B" w:rsidP="00C31FAD">
            <w:pPr>
              <w:ind w:firstLine="709"/>
              <w:jc w:val="center"/>
              <w:rPr>
                <w:color w:val="000000" w:themeColor="text1"/>
              </w:rPr>
            </w:pPr>
            <w:r w:rsidRPr="00F0736F">
              <w:rPr>
                <w:rFonts w:ascii="Times New Roman" w:hAnsi="Times New Roman" w:cs="Times New Roman"/>
                <w:color w:val="000000" w:themeColor="text1"/>
                <w:sz w:val="20"/>
                <w:szCs w:val="20"/>
              </w:rPr>
              <w:t>0,3</w:t>
            </w:r>
          </w:p>
        </w:tc>
      </w:tr>
    </w:tbl>
    <w:p w14:paraId="41AA2E0B" w14:textId="77777777" w:rsidR="00AC1D5B" w:rsidRPr="00F0736F" w:rsidRDefault="00AC1D5B" w:rsidP="00AC1D5B">
      <w:pPr>
        <w:ind w:firstLine="709"/>
        <w:jc w:val="both"/>
        <w:rPr>
          <w:rFonts w:ascii="Times New Roman" w:hAnsi="Times New Roman" w:cs="Times New Roman"/>
          <w:color w:val="000000" w:themeColor="text1"/>
        </w:rPr>
      </w:pPr>
    </w:p>
    <w:p w14:paraId="38B53CF4" w14:textId="77777777" w:rsidR="00AC1D5B" w:rsidRPr="00F0736F" w:rsidRDefault="00AC1D5B" w:rsidP="00AC1D5B">
      <w:pPr>
        <w:ind w:firstLine="709"/>
        <w:jc w:val="both"/>
        <w:rPr>
          <w:rFonts w:ascii="Times New Roman" w:hAnsi="Times New Roman" w:cs="Times New Roman"/>
          <w:bCs/>
          <w:color w:val="000000" w:themeColor="text1"/>
          <w:lang w:val="kk-KZ"/>
        </w:rPr>
      </w:pPr>
      <w:r w:rsidRPr="00F0736F">
        <w:rPr>
          <w:rFonts w:ascii="Times New Roman" w:hAnsi="Times New Roman" w:cs="Times New Roman"/>
          <w:bCs/>
          <w:color w:val="000000" w:themeColor="text1"/>
          <w:lang w:val="kk-KZ"/>
        </w:rPr>
        <w:t>В 2019 году началась реализация проекта по строительству магистральных подводящих сетей к 8-ми населенным пунктам Зайсанского района. Стоимость СМР по договору составила 852 515,8 тыс. тенге. В 2019 выделено 200 000,0 тыс. тенге, в 2020 выделено 652 515,8 тыс.тенге. Процент освоения 98%. Построено 52 км газопроводов высокого давления (0,6МПа), установлено 8-шт ГРП (газорегуляторный пункт шкафной). Завершение планируется к концу 2020 года.</w:t>
      </w:r>
    </w:p>
    <w:p w14:paraId="1BF03821"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lang w:val="kk-KZ"/>
        </w:rPr>
        <w:t>На текущее время з</w:t>
      </w:r>
      <w:r w:rsidRPr="00F0736F">
        <w:rPr>
          <w:rFonts w:ascii="Times New Roman" w:hAnsi="Times New Roman" w:cs="Times New Roman"/>
          <w:bCs/>
          <w:color w:val="000000" w:themeColor="text1"/>
        </w:rPr>
        <w:t>а счет средств областного бюджета разраб</w:t>
      </w:r>
      <w:r w:rsidRPr="00F0736F">
        <w:rPr>
          <w:rFonts w:ascii="Times New Roman" w:hAnsi="Times New Roman" w:cs="Times New Roman"/>
          <w:bCs/>
          <w:color w:val="000000" w:themeColor="text1"/>
          <w:lang w:val="kk-KZ"/>
        </w:rPr>
        <w:t>а</w:t>
      </w:r>
      <w:r w:rsidRPr="00F0736F">
        <w:rPr>
          <w:rFonts w:ascii="Times New Roman" w:hAnsi="Times New Roman" w:cs="Times New Roman"/>
          <w:bCs/>
          <w:color w:val="000000" w:themeColor="text1"/>
        </w:rPr>
        <w:t>т</w:t>
      </w:r>
      <w:r w:rsidRPr="00F0736F">
        <w:rPr>
          <w:rFonts w:ascii="Times New Roman" w:hAnsi="Times New Roman" w:cs="Times New Roman"/>
          <w:bCs/>
          <w:color w:val="000000" w:themeColor="text1"/>
          <w:lang w:val="kk-KZ"/>
        </w:rPr>
        <w:t>ывается</w:t>
      </w:r>
      <w:r w:rsidRPr="00F0736F">
        <w:rPr>
          <w:rFonts w:ascii="Times New Roman" w:hAnsi="Times New Roman" w:cs="Times New Roman"/>
          <w:bCs/>
          <w:color w:val="000000" w:themeColor="text1"/>
        </w:rPr>
        <w:t xml:space="preserve"> ПСД по строительству подводящих газопроводов к 8 населенным пунктам Зайсанского района и внутрипоселковых газовых сетей (с. Дайыр, с. Кокжыра, с. Куаныш, с. Биржан, с. Сартерек, с. Жарсу, с. Бакасу, с. Саржыра) общей стоимостью 89,6 млн. тенге</w:t>
      </w:r>
      <w:r w:rsidRPr="00F0736F">
        <w:rPr>
          <w:rFonts w:ascii="Times New Roman" w:hAnsi="Times New Roman" w:cs="Times New Roman"/>
          <w:bCs/>
          <w:color w:val="000000" w:themeColor="text1"/>
          <w:lang w:val="kk-KZ"/>
        </w:rPr>
        <w:t>.</w:t>
      </w:r>
    </w:p>
    <w:p w14:paraId="69A61B82" w14:textId="77777777" w:rsidR="00AC1D5B" w:rsidRPr="00F0736F" w:rsidRDefault="00AC1D5B" w:rsidP="00AC1D5B">
      <w:pPr>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lang w:val="kk-KZ"/>
        </w:rPr>
        <w:t>В 2021 году планируется реализация проекта по строительству внутрипоселковых газовых сетей к вышеуказанным 8-ми населенным пунктам. Общая стоимость проекта - 1 267 723,0 тыс. тенге. При запуске объектов газоснабжения к централизованному газоснабжению подключатся 3 500 жилых домов. Общая протяженность газопроводов - 71,0 км, также будет установлено 10-шт ГРП (газорегуляторный пункт шкафной).</w:t>
      </w:r>
    </w:p>
    <w:p w14:paraId="247A3C0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предварительным расчетам переход котельных на природный газ, как основной источник выработки тепла, позволит снизить выбросы вредных веществ (золы угля, диоксида серы, азота и оксида углерода) в атмосферу в 9 раз с 31 тыс. т. до 3 тыс. т., что значительно улучшит экологическую и социальную обстановку в регионе.</w:t>
      </w:r>
    </w:p>
    <w:p w14:paraId="005E487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3C0EC83C"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Водоснабжение. </w:t>
      </w:r>
      <w:r w:rsidRPr="00F0736F">
        <w:rPr>
          <w:rFonts w:ascii="Times New Roman" w:hAnsi="Times New Roman" w:cs="Times New Roman"/>
          <w:color w:val="000000" w:themeColor="text1"/>
        </w:rPr>
        <w:t>Восточно-Казахстанская область относится к одной из наиболее водообеспеченных регионов Казахстана. Объем воды питьевого качества, отпущенный потребителям Восточно-Казахстанской области за 2017 год, составил 129,8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а в 2019 году 189,1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Основными потребителями воды являются: производственные и коммунальные предприятия и население. </w:t>
      </w:r>
    </w:p>
    <w:p w14:paraId="1E2478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системах коммунально-бытового водоснабжения населения действовало 4 745,1 км водопроводов в 2017 году и 5 191,8 км в 2019 году, из них в 2019 году нуждалось в замене 2 172,2 км. Неудовлетворительное состояние сетей водоснабжения является причиной повышения числа аварий на водопроводных сетях, безвозвратной потери объемов воды и повышения удельных норм водопотребления населением. Всего за 2017 год выявлены и устранены 343 аварии на сетях водоснабжения. Отремонтировано 29,7 км сетей. В 2019 году ликвидировано 308 аварий, заменено 19 км, отремонтировано 28,3 км сетей, но объем ремонтных и востановительных работ явно недостаточен.</w:t>
      </w:r>
    </w:p>
    <w:p w14:paraId="783BDC0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итогам 2017 года введен в эксплуатацию 21 объект водоснабжения, что позволило увеличить охват сельских населенных пунктов водоснабжением до 49,3%. Из 711 населенных пунктов обеспечены централизованным водоснабжением 10 городов, 3 поселка и 343 сельских населенных пункта. В трех селах (станция 41 разъезд, разъезд Дюсакен Бородулихинского района и в с. Жазык г. Семей) 256 человек используют привозную воду.</w:t>
      </w:r>
    </w:p>
    <w:p w14:paraId="2B755D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реализован 51 проект на 16,8 млрд. тенге, введено 22 объекта. Осуществлено строительство сетей водоснабжения в 14 населенных пунктах, реконструкция сетей водоснабжения – 26 и водоотведения – 4. В результате обеспеченность населения области централизованной водопроводной водой в 2018 году в городах составила 94,7%, в сельских населенных пунктах 53,7% (таблица 2.5.4.), в 2019 году соответственно — 98,2% и 56%.</w:t>
      </w:r>
    </w:p>
    <w:p w14:paraId="50A2FA7D" w14:textId="77777777" w:rsidR="00AC1D5B" w:rsidRPr="00F0736F" w:rsidRDefault="00AC1D5B" w:rsidP="00AC1D5B">
      <w:pPr>
        <w:ind w:firstLine="709"/>
        <w:jc w:val="both"/>
        <w:rPr>
          <w:rFonts w:ascii="Times New Roman" w:hAnsi="Times New Roman" w:cs="Times New Roman"/>
          <w:color w:val="000000" w:themeColor="text1"/>
        </w:rPr>
      </w:pPr>
    </w:p>
    <w:p w14:paraId="17706FDE"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Водоотведение.</w:t>
      </w:r>
      <w:r w:rsidRPr="00F0736F">
        <w:rPr>
          <w:rFonts w:ascii="Times New Roman" w:hAnsi="Times New Roman" w:cs="Times New Roman"/>
          <w:color w:val="000000" w:themeColor="text1"/>
        </w:rPr>
        <w:t xml:space="preserve"> Из 711 населенных пунктов области централизованное водоотведение функционирует в 43, в том числе в 9 городах, 2 поселках городского типа и 32 селах. Отсутствуют канализационные очистные сооружения в Абайском, Аягозском, Кокпектинском, Курчумском, Тарбагатайском и Урджарском районах. Обеспеченность населения услугами центрального водоотведения в 2019 году в городах составила 72%, в сельских населенных пунктах – 8,3%. В 3 регионах (в Абайском, Бескарагайском и Катон-Карагайском районах) население не пользуется услугами централизованного водоотведения.</w:t>
      </w:r>
    </w:p>
    <w:p w14:paraId="4F80650C"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rPr>
        <w:t xml:space="preserve">Очистные сооружения, построенные в 70-е годы, выработали свои эксплуатационные ресурсы, </w:t>
      </w:r>
      <w:r w:rsidRPr="00F0736F">
        <w:rPr>
          <w:rFonts w:ascii="Times New Roman" w:hAnsi="Times New Roman" w:cs="Times New Roman"/>
          <w:color w:val="000000" w:themeColor="text1"/>
        </w:rPr>
        <w:t xml:space="preserve">проектной мощности сооружений </w:t>
      </w:r>
      <w:r w:rsidRPr="00F0736F">
        <w:rPr>
          <w:rFonts w:ascii="Times New Roman" w:hAnsi="Times New Roman" w:cs="Times New Roman"/>
          <w:iCs/>
          <w:color w:val="000000" w:themeColor="text1"/>
        </w:rPr>
        <w:t xml:space="preserve">недостаточно для переработки, вследствие чего </w:t>
      </w:r>
      <w:r w:rsidRPr="00F0736F">
        <w:rPr>
          <w:rFonts w:ascii="Times New Roman" w:hAnsi="Times New Roman" w:cs="Times New Roman"/>
          <w:color w:val="000000" w:themeColor="text1"/>
        </w:rPr>
        <w:t>в реку Иртыш сбрасываются неочищенные хозбытовые, промышленные, сточные и ливневые воды.</w:t>
      </w:r>
    </w:p>
    <w:p w14:paraId="0BB16F8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Особенно тяжелое положение складывается в малых городах и районных центрах. Очистные сооружения сельских населенных пунктов из-за малой загруженности выходят из строя. В результате средний уровень нормативных технических потерь в водохозяйственных системах области составляет порядка 25 - 30%. </w:t>
      </w:r>
      <w:r w:rsidRPr="00F0736F">
        <w:rPr>
          <w:rFonts w:ascii="Times New Roman" w:hAnsi="Times New Roman" w:cs="Times New Roman"/>
          <w:iCs/>
          <w:color w:val="000000" w:themeColor="text1"/>
        </w:rPr>
        <w:t>За 2017 год зарегистрировано 44 аварии на сетях канализации, в 2019 году - 27.</w:t>
      </w:r>
    </w:p>
    <w:p w14:paraId="3111472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Функционируют 44 предприятия, общая протяженность системы водоотведения составляла 1551,9 км в 2017 году и 1572,7 км в 2019 году, из них нуждается в замене в 2019 году — 612,3 км.</w:t>
      </w:r>
    </w:p>
    <w:p w14:paraId="7EE4196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Акиматом Восточно-Казахстанской области разработан проект «Реконструкция канализационного дюкера через реку Иртыш в районе протоки Тихомировская города Семей. Общая стоимость строительства составляет 1,2 млрд. тенге. Срок завершения работ 25 декабря 2020 года. </w:t>
      </w:r>
    </w:p>
    <w:p w14:paraId="0FAE998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38436F55"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rPr>
        <w:t xml:space="preserve">По данным Казгидромета индекс </w:t>
      </w:r>
      <w:r w:rsidRPr="00F0736F">
        <w:rPr>
          <w:rFonts w:ascii="Times New Roman" w:hAnsi="Times New Roman" w:cs="Times New Roman"/>
          <w:b/>
          <w:iCs/>
          <w:color w:val="000000" w:themeColor="text1"/>
        </w:rPr>
        <w:t>загрязнения атмосферы</w:t>
      </w:r>
      <w:r w:rsidRPr="00F0736F">
        <w:rPr>
          <w:rFonts w:ascii="Times New Roman" w:hAnsi="Times New Roman" w:cs="Times New Roman"/>
          <w:iCs/>
          <w:color w:val="000000" w:themeColor="text1"/>
        </w:rPr>
        <w:t xml:space="preserve"> (ИЗА) </w:t>
      </w:r>
      <w:r w:rsidRPr="00F0736F">
        <w:rPr>
          <w:rFonts w:ascii="Times New Roman" w:hAnsi="Times New Roman" w:cs="Times New Roman"/>
          <w:b/>
          <w:iCs/>
          <w:color w:val="000000" w:themeColor="text1"/>
        </w:rPr>
        <w:t xml:space="preserve">за </w:t>
      </w:r>
      <w:r w:rsidRPr="00F0736F">
        <w:rPr>
          <w:rFonts w:ascii="Times New Roman" w:hAnsi="Times New Roman" w:cs="Times New Roman"/>
          <w:b/>
          <w:iCs/>
          <w:color w:val="000000" w:themeColor="text1"/>
          <w:lang w:val="kk-KZ"/>
        </w:rPr>
        <w:t xml:space="preserve">2017 – 2019 </w:t>
      </w:r>
      <w:r w:rsidRPr="00F0736F">
        <w:rPr>
          <w:rFonts w:ascii="Times New Roman" w:hAnsi="Times New Roman" w:cs="Times New Roman"/>
          <w:b/>
          <w:iCs/>
          <w:color w:val="000000" w:themeColor="text1"/>
        </w:rPr>
        <w:t xml:space="preserve">годы города Усть-Каменогорск </w:t>
      </w:r>
      <w:r w:rsidRPr="00F0736F">
        <w:rPr>
          <w:rFonts w:ascii="Times New Roman" w:hAnsi="Times New Roman" w:cs="Times New Roman"/>
          <w:iCs/>
          <w:color w:val="000000" w:themeColor="text1"/>
        </w:rPr>
        <w:t xml:space="preserve">немного улучшался </w:t>
      </w:r>
      <w:r w:rsidRPr="00F0736F">
        <w:rPr>
          <w:rFonts w:ascii="Times New Roman" w:hAnsi="Times New Roman" w:cs="Times New Roman"/>
          <w:iCs/>
          <w:color w:val="000000" w:themeColor="text1"/>
          <w:lang w:val="kk-KZ"/>
        </w:rPr>
        <w:t xml:space="preserve">(ИЗА </w:t>
      </w:r>
      <w:r w:rsidRPr="00F0736F">
        <w:rPr>
          <w:rFonts w:ascii="Times New Roman" w:hAnsi="Times New Roman" w:cs="Times New Roman"/>
          <w:iCs/>
          <w:color w:val="000000" w:themeColor="text1"/>
        </w:rPr>
        <w:t>снизился с 9 до</w:t>
      </w:r>
      <w:r w:rsidRPr="00F0736F">
        <w:rPr>
          <w:rFonts w:ascii="Times New Roman" w:hAnsi="Times New Roman" w:cs="Times New Roman"/>
          <w:iCs/>
          <w:color w:val="000000" w:themeColor="text1"/>
          <w:lang w:val="kk-KZ"/>
        </w:rPr>
        <w:t xml:space="preserve"> 7),</w:t>
      </w:r>
      <w:r w:rsidRPr="00F0736F">
        <w:rPr>
          <w:rFonts w:ascii="Times New Roman" w:hAnsi="Times New Roman" w:cs="Times New Roman"/>
          <w:iCs/>
          <w:color w:val="000000" w:themeColor="text1"/>
        </w:rPr>
        <w:t xml:space="preserve"> но остается высоким. </w:t>
      </w:r>
      <w:r w:rsidRPr="00F0736F">
        <w:rPr>
          <w:rFonts w:ascii="Times New Roman" w:hAnsi="Times New Roman" w:cs="Times New Roman"/>
          <w:bCs/>
          <w:i/>
          <w:iCs/>
          <w:color w:val="000000" w:themeColor="text1"/>
          <w:lang w:val="kk-KZ"/>
        </w:rPr>
        <w:t xml:space="preserve">К </w:t>
      </w:r>
      <w:r w:rsidRPr="00F0736F">
        <w:rPr>
          <w:rFonts w:ascii="Times New Roman" w:hAnsi="Times New Roman" w:cs="Times New Roman"/>
          <w:bCs/>
          <w:iCs/>
          <w:color w:val="000000" w:themeColor="text1"/>
          <w:lang w:val="kk-KZ"/>
        </w:rPr>
        <w:t xml:space="preserve">повышенному уровню загрязнения </w:t>
      </w:r>
      <w:r w:rsidRPr="00F0736F">
        <w:rPr>
          <w:rFonts w:ascii="Times New Roman" w:hAnsi="Times New Roman" w:cs="Times New Roman"/>
          <w:iCs/>
          <w:color w:val="000000" w:themeColor="text1"/>
          <w:lang w:val="kk-KZ"/>
        </w:rPr>
        <w:t xml:space="preserve">относятся: г. Семей (ИЗА равен 5 - 6). </w:t>
      </w:r>
      <w:r w:rsidRPr="00F0736F">
        <w:rPr>
          <w:rFonts w:ascii="Times New Roman" w:hAnsi="Times New Roman" w:cs="Times New Roman"/>
          <w:iCs/>
          <w:color w:val="000000" w:themeColor="text1"/>
        </w:rPr>
        <w:t>С высокого на низкий сменился уровень загрязнения поселка Глубокое (ИЗА снизился с 7 до 4)</w:t>
      </w:r>
      <w:r w:rsidRPr="00F0736F">
        <w:rPr>
          <w:rFonts w:ascii="Times New Roman" w:hAnsi="Times New Roman" w:cs="Times New Roman"/>
          <w:iCs/>
          <w:color w:val="000000" w:themeColor="text1"/>
          <w:lang w:val="kk-KZ"/>
        </w:rPr>
        <w:t xml:space="preserve">,  </w:t>
      </w:r>
      <w:r w:rsidRPr="00F0736F">
        <w:rPr>
          <w:rFonts w:ascii="Times New Roman" w:hAnsi="Times New Roman" w:cs="Times New Roman"/>
          <w:iCs/>
          <w:color w:val="000000" w:themeColor="text1"/>
        </w:rPr>
        <w:t xml:space="preserve">с повышенного на низкий по </w:t>
      </w:r>
      <w:r w:rsidRPr="00F0736F">
        <w:rPr>
          <w:rFonts w:ascii="Times New Roman" w:hAnsi="Times New Roman" w:cs="Times New Roman"/>
          <w:iCs/>
          <w:color w:val="000000" w:themeColor="text1"/>
          <w:lang w:val="kk-KZ"/>
        </w:rPr>
        <w:t xml:space="preserve">г. Риддер (ИЗА </w:t>
      </w:r>
      <w:r w:rsidRPr="00F0736F">
        <w:rPr>
          <w:rFonts w:ascii="Times New Roman" w:hAnsi="Times New Roman" w:cs="Times New Roman"/>
          <w:iCs/>
          <w:color w:val="000000" w:themeColor="text1"/>
        </w:rPr>
        <w:t xml:space="preserve">снизился с </w:t>
      </w:r>
      <w:r w:rsidRPr="00F0736F">
        <w:rPr>
          <w:rFonts w:ascii="Times New Roman" w:hAnsi="Times New Roman" w:cs="Times New Roman"/>
          <w:iCs/>
          <w:color w:val="000000" w:themeColor="text1"/>
          <w:lang w:val="kk-KZ"/>
        </w:rPr>
        <w:t xml:space="preserve">5 </w:t>
      </w:r>
      <w:r w:rsidRPr="00F0736F">
        <w:rPr>
          <w:rFonts w:ascii="Times New Roman" w:hAnsi="Times New Roman" w:cs="Times New Roman"/>
          <w:iCs/>
          <w:color w:val="000000" w:themeColor="text1"/>
        </w:rPr>
        <w:t>до 4), с низкого на повышенный сменился уровень загрязнения в городе Алтай (ИЗА увеличился с 1 до 5)</w:t>
      </w:r>
      <w:r w:rsidRPr="00F0736F">
        <w:rPr>
          <w:rFonts w:ascii="Times New Roman" w:hAnsi="Times New Roman" w:cs="Times New Roman"/>
          <w:iCs/>
          <w:color w:val="000000" w:themeColor="text1"/>
          <w:vertAlign w:val="superscript"/>
          <w:lang w:val="kk-KZ"/>
        </w:rPr>
        <w:footnoteReference w:id="145"/>
      </w:r>
      <w:r w:rsidRPr="00F0736F">
        <w:rPr>
          <w:rFonts w:ascii="Times New Roman" w:hAnsi="Times New Roman" w:cs="Times New Roman"/>
          <w:iCs/>
          <w:color w:val="000000" w:themeColor="text1"/>
          <w:lang w:val="kk-KZ"/>
        </w:rPr>
        <w:t>.</w:t>
      </w:r>
    </w:p>
    <w:p w14:paraId="0E12F3B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Высокий и очень высокий уровень загрязнения атмосферного воздуха в населенных пунктах (такими как: диоксид азота, оксид углерода, диоксид серы, формальдегид, сероводород, взвешенные частицы, фенол, аммиак) обусловлен:</w:t>
      </w:r>
    </w:p>
    <w:p w14:paraId="081B585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1) загруженностью автодорог городским транспортом (</w:t>
      </w:r>
      <w:r w:rsidRPr="00F0736F">
        <w:rPr>
          <w:rFonts w:ascii="Times New Roman" w:hAnsi="Times New Roman" w:cs="Times New Roman"/>
          <w:color w:val="000000" w:themeColor="text1"/>
        </w:rPr>
        <w:t>количество автотранспортных средств по области за 2017 год составляет более 364 тыс. единицы, в том числе по г. Усть-Каменогорск – более 107,8 тыс. единиц). Более 90,4% всех автомобилей функционирует на бензине, 78,3% автомобилей имеют возраст старше 10 лет).</w:t>
      </w:r>
    </w:p>
    <w:p w14:paraId="1C17E9C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2) рассеиванием эмиссий от промышленных предприятий (</w:t>
      </w:r>
      <w:r w:rsidRPr="00F0736F">
        <w:rPr>
          <w:rFonts w:ascii="Times New Roman" w:hAnsi="Times New Roman" w:cs="Times New Roman"/>
          <w:color w:val="000000" w:themeColor="text1"/>
        </w:rPr>
        <w:t>основными источниками выбросов загрязняющих веществ по диоксиду азота, сернистому ангидриду, формальдегиду, бензапирену, фенолу, оксиду углерода и взвешенным веществам являются предприятия металлургической и тепловой промышленности)</w:t>
      </w:r>
      <w:r w:rsidRPr="00F0736F">
        <w:rPr>
          <w:rFonts w:ascii="Times New Roman" w:hAnsi="Times New Roman" w:cs="Times New Roman"/>
          <w:color w:val="000000" w:themeColor="text1"/>
          <w:lang w:val="kk-KZ"/>
        </w:rPr>
        <w:t xml:space="preserve">; </w:t>
      </w:r>
    </w:p>
    <w:p w14:paraId="5C7137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3) низкой проветриваемостью атмосферного пространства населенных пунктов. </w:t>
      </w:r>
    </w:p>
    <w:p w14:paraId="7E5E09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территория области была подвержена воздействию последствий от испытаний Семипалатинского ядерного полигона.</w:t>
      </w:r>
    </w:p>
    <w:p w14:paraId="78B236E7"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В регионе работают 198 природопользователей, относящихся к 1 категории опасности. Из них крупных предприятий Республики 9: ТОО «Казцинк», ТОО «KAZ Minerals Aktogay», АО «УК ТЭЦ», АО «Усть-Каменогорский титано-магниевый комбинат», АО «Ульбинский металлургический завод», ТОО «Бухтарминская цементная компания», ТОО «Производственная компания «Цементный завод Семей», ТОО «Корпорация Казахмыс – рудник Кусмурун-Акбастау», ТОО «Востокцвемет». </w:t>
      </w:r>
    </w:p>
    <w:p w14:paraId="67F12FD4" w14:textId="77777777" w:rsidR="00AC1D5B" w:rsidRPr="00F0736F" w:rsidRDefault="00AC1D5B" w:rsidP="00AC1D5B">
      <w:pPr>
        <w:suppressAutoHyphens w:val="0"/>
        <w:overflowPunct/>
        <w:ind w:firstLine="709"/>
        <w:jc w:val="both"/>
        <w:rPr>
          <w:rFonts w:ascii="Times New Roman" w:eastAsia="Times New Roman" w:hAnsi="Times New Roman" w:cs="Times New Roman"/>
          <w:i/>
          <w:color w:val="000000" w:themeColor="text1"/>
          <w:kern w:val="0"/>
          <w:lang w:eastAsia="ru-RU" w:bidi="ar-SA"/>
        </w:rPr>
      </w:pPr>
      <w:r w:rsidRPr="00F0736F">
        <w:rPr>
          <w:rFonts w:ascii="Times New Roman" w:eastAsia="Times New Roman" w:hAnsi="Times New Roman" w:cs="Times New Roman"/>
          <w:i/>
          <w:color w:val="000000" w:themeColor="text1"/>
          <w:kern w:val="0"/>
          <w:lang w:eastAsia="ru-RU" w:bidi="ar-SA"/>
        </w:rPr>
        <w:t>Справочно: предприятия горнодобывающего и горноперерабатывающего – 78(39,4%), строительного сектора – 34 (17,1%), теплоэнергетического сектора – 21(10,6%), коммунального хозяйства – 27 (13,6%), сельскохозяйственного сектора – 13 (6,6%), металлургического – 8 (4,0%), нефтегазового сектора –2 (1,0%), иного (транспортного, пищевого, химического) – 15 (7,7%).</w:t>
      </w:r>
    </w:p>
    <w:p w14:paraId="2AC4D83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нормативных выбросов в атмосферный воздух в 2017 составил 0,191 млн. т., а в 2018 году - 0,195 млн. т.  </w:t>
      </w:r>
    </w:p>
    <w:p w14:paraId="5CA7AE04" w14:textId="77777777" w:rsidR="00AC1D5B" w:rsidRPr="00F0736F" w:rsidRDefault="00AC1D5B" w:rsidP="00AC1D5B">
      <w:pPr>
        <w:ind w:firstLine="709"/>
        <w:jc w:val="both"/>
        <w:rPr>
          <w:rFonts w:ascii="Times New Roman" w:hAnsi="Times New Roman" w:cs="Times New Roman"/>
          <w:color w:val="000000" w:themeColor="text1"/>
          <w:sz w:val="18"/>
          <w:szCs w:val="18"/>
        </w:rPr>
      </w:pPr>
      <w:r w:rsidRPr="00F0736F">
        <w:rPr>
          <w:rFonts w:ascii="Times New Roman" w:hAnsi="Times New Roman" w:cs="Times New Roman"/>
          <w:color w:val="000000" w:themeColor="text1"/>
        </w:rPr>
        <w:t>По данным Акима области общий объем выбросов загрязняющих веществ с 2012 по 2018 годы снизился на 10 тыс. т. (со 140 до 130 тыс. т.). Выбросы по Усть-Каменогорску уменьшились на 7 тыс. т. (на 11,5%, с 61 до 54 тыс. т.).</w:t>
      </w:r>
      <w:r w:rsidRPr="00F0736F">
        <w:rPr>
          <w:rFonts w:ascii="Times New Roman" w:hAnsi="Times New Roman" w:cs="Times New Roman"/>
          <w:color w:val="000000" w:themeColor="text1"/>
          <w:sz w:val="18"/>
          <w:szCs w:val="18"/>
        </w:rPr>
        <w:t xml:space="preserve"> </w:t>
      </w:r>
    </w:p>
    <w:p w14:paraId="27CBA8D8"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В 2019 году предприятиями по ВКО в атмосферу выброшено 128,7 тыс. т. вредных веществ, что составило 5,2% от общего объема фактических выбросов по республике и ниже на 12,5% среднереспубликанского показателя (147,6 тыс. т.). Сбросы – 20,4 тыс. т., отходы – 106 383,078 тыс. т.</w:t>
      </w:r>
    </w:p>
    <w:p w14:paraId="4B1934B2" w14:textId="77777777" w:rsidR="00AC1D5B" w:rsidRPr="00F0736F" w:rsidRDefault="00AC1D5B" w:rsidP="00AC1D5B">
      <w:pPr>
        <w:suppressAutoHyphens w:val="0"/>
        <w:overflowPunct/>
        <w:autoSpaceDE w:val="0"/>
        <w:autoSpaceDN w:val="0"/>
        <w:adjustRightInd w:val="0"/>
        <w:ind w:firstLine="709"/>
        <w:jc w:val="both"/>
        <w:rPr>
          <w:rFonts w:ascii="Times New Roman" w:eastAsia="Times New Roman" w:hAnsi="Times New Roman" w:cs="Times New Roman"/>
          <w:bCs/>
          <w:i/>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Общий объем выбросов за последние 6 лет загрязняющих веществ по области </w:t>
      </w:r>
      <w:r w:rsidRPr="00F0736F">
        <w:rPr>
          <w:rFonts w:ascii="Times New Roman" w:eastAsia="Times New Roman" w:hAnsi="Times New Roman" w:cs="Times New Roman"/>
          <w:bCs/>
          <w:color w:val="000000" w:themeColor="text1"/>
          <w:kern w:val="0"/>
          <w:lang w:eastAsia="ru-RU" w:bidi="ar-SA"/>
        </w:rPr>
        <w:t xml:space="preserve">снизился на 10 тыс. т. </w:t>
      </w:r>
      <w:r w:rsidRPr="00F0736F">
        <w:rPr>
          <w:rFonts w:ascii="Times New Roman" w:eastAsia="Times New Roman" w:hAnsi="Times New Roman" w:cs="Times New Roman"/>
          <w:bCs/>
          <w:i/>
          <w:color w:val="000000" w:themeColor="text1"/>
          <w:kern w:val="0"/>
          <w:lang w:eastAsia="ru-RU" w:bidi="ar-SA"/>
        </w:rPr>
        <w:t xml:space="preserve">(на 8%, со 140 до 128,7 тыс. т.). </w:t>
      </w:r>
    </w:p>
    <w:p w14:paraId="21075C6B" w14:textId="77777777" w:rsidR="00AC1D5B" w:rsidRPr="00F0736F" w:rsidRDefault="00AC1D5B" w:rsidP="00AC1D5B">
      <w:pPr>
        <w:suppressAutoHyphens w:val="0"/>
        <w:overflowPunct/>
        <w:autoSpaceDE w:val="0"/>
        <w:autoSpaceDN w:val="0"/>
        <w:adjustRightInd w:val="0"/>
        <w:ind w:firstLine="709"/>
        <w:jc w:val="both"/>
        <w:rPr>
          <w:rFonts w:ascii="Times New Roman" w:eastAsia="Times New Roman" w:hAnsi="Times New Roman" w:cs="Times New Roman"/>
          <w:bCs/>
          <w:i/>
          <w:color w:val="000000" w:themeColor="text1"/>
          <w:kern w:val="0"/>
          <w:lang w:eastAsia="ru-RU" w:bidi="ar-SA"/>
        </w:rPr>
      </w:pPr>
      <w:r w:rsidRPr="00F0736F">
        <w:rPr>
          <w:rFonts w:ascii="Times New Roman" w:eastAsia="Times New Roman" w:hAnsi="Times New Roman" w:cs="Times New Roman"/>
          <w:bCs/>
          <w:color w:val="000000" w:themeColor="text1"/>
          <w:kern w:val="0"/>
          <w:lang w:eastAsia="ru-RU" w:bidi="ar-SA"/>
        </w:rPr>
        <w:t xml:space="preserve">Выбросы по Усть-Каменогорску уменьшились на 7 тыс. т. </w:t>
      </w:r>
      <w:r w:rsidRPr="00F0736F">
        <w:rPr>
          <w:rFonts w:ascii="Times New Roman" w:eastAsia="Times New Roman" w:hAnsi="Times New Roman" w:cs="Times New Roman"/>
          <w:bCs/>
          <w:i/>
          <w:color w:val="000000" w:themeColor="text1"/>
          <w:kern w:val="0"/>
          <w:lang w:eastAsia="ru-RU" w:bidi="ar-SA"/>
        </w:rPr>
        <w:t>(на 11,5%, с 61 до 54 тыс. т.).</w:t>
      </w:r>
    </w:p>
    <w:p w14:paraId="327140D9" w14:textId="77777777" w:rsidR="00AC1D5B" w:rsidRPr="00F0736F" w:rsidRDefault="00AC1D5B" w:rsidP="00AC1D5B">
      <w:pPr>
        <w:suppressAutoHyphens w:val="0"/>
        <w:overflowPunct/>
        <w:autoSpaceDE w:val="0"/>
        <w:autoSpaceDN w:val="0"/>
        <w:adjustRightInd w:val="0"/>
        <w:ind w:firstLine="709"/>
        <w:jc w:val="both"/>
        <w:rPr>
          <w:rFonts w:ascii="Times New Roman" w:eastAsia="Calibri" w:hAnsi="Times New Roman" w:cs="Times New Roman"/>
          <w:bCs/>
          <w:color w:val="000000" w:themeColor="text1"/>
          <w:kern w:val="0"/>
          <w:lang w:eastAsia="ru-RU" w:bidi="ar-SA"/>
        </w:rPr>
      </w:pPr>
      <w:r w:rsidRPr="00F0736F">
        <w:rPr>
          <w:rFonts w:ascii="Times New Roman" w:eastAsia="Times New Roman" w:hAnsi="Times New Roman" w:cs="Times New Roman"/>
          <w:bCs/>
          <w:color w:val="000000" w:themeColor="text1"/>
          <w:kern w:val="0"/>
          <w:lang w:eastAsia="ru-RU" w:bidi="ar-SA"/>
        </w:rPr>
        <w:t>Основная доля загрязнений приходится на 2 предприятия – ТОО «Казцинк» (</w:t>
      </w:r>
      <w:r w:rsidRPr="00F0736F">
        <w:rPr>
          <w:rFonts w:ascii="Times New Roman" w:eastAsia="Times New Roman" w:hAnsi="Times New Roman" w:cs="Times New Roman"/>
          <w:bCs/>
          <w:i/>
          <w:color w:val="000000" w:themeColor="text1"/>
          <w:kern w:val="0"/>
          <w:lang w:eastAsia="ru-RU" w:bidi="ar-SA"/>
        </w:rPr>
        <w:t>30,8 тыс. т., 23,8%</w:t>
      </w:r>
      <w:r w:rsidRPr="00F0736F">
        <w:rPr>
          <w:rFonts w:ascii="Times New Roman" w:eastAsia="Times New Roman" w:hAnsi="Times New Roman" w:cs="Times New Roman"/>
          <w:bCs/>
          <w:color w:val="000000" w:themeColor="text1"/>
          <w:kern w:val="0"/>
          <w:lang w:eastAsia="ru-RU" w:bidi="ar-SA"/>
        </w:rPr>
        <w:t>) и «</w:t>
      </w:r>
      <w:r w:rsidRPr="00F0736F">
        <w:rPr>
          <w:rFonts w:ascii="Times New Roman" w:eastAsia="Calibri" w:hAnsi="Times New Roman" w:cs="Times New Roman"/>
          <w:bCs/>
          <w:color w:val="000000" w:themeColor="text1"/>
          <w:kern w:val="0"/>
          <w:lang w:eastAsia="ru-RU" w:bidi="ar-SA"/>
        </w:rPr>
        <w:t>Усть-Каменогорскую ТЭЦ» (</w:t>
      </w:r>
      <w:r w:rsidRPr="00F0736F">
        <w:rPr>
          <w:rFonts w:ascii="Times New Roman" w:eastAsia="Calibri" w:hAnsi="Times New Roman" w:cs="Times New Roman"/>
          <w:bCs/>
          <w:i/>
          <w:color w:val="000000" w:themeColor="text1"/>
          <w:kern w:val="0"/>
          <w:lang w:eastAsia="ru-RU" w:bidi="ar-SA"/>
        </w:rPr>
        <w:t>14,8 тыс. т., 11,4%</w:t>
      </w:r>
      <w:r w:rsidRPr="00F0736F">
        <w:rPr>
          <w:rFonts w:ascii="Times New Roman" w:eastAsia="Calibri" w:hAnsi="Times New Roman" w:cs="Times New Roman"/>
          <w:bCs/>
          <w:color w:val="000000" w:themeColor="text1"/>
          <w:kern w:val="0"/>
          <w:lang w:eastAsia="ru-RU" w:bidi="ar-SA"/>
        </w:rPr>
        <w:t>).</w:t>
      </w:r>
    </w:p>
    <w:p w14:paraId="3DD1A5B7" w14:textId="77777777" w:rsidR="00AC1D5B" w:rsidRPr="00F0736F" w:rsidRDefault="00AC1D5B" w:rsidP="00AC1D5B">
      <w:pPr>
        <w:suppressAutoHyphens w:val="0"/>
        <w:overflowPunct/>
        <w:autoSpaceDE w:val="0"/>
        <w:autoSpaceDN w:val="0"/>
        <w:adjustRightInd w:val="0"/>
        <w:ind w:firstLine="709"/>
        <w:jc w:val="both"/>
        <w:rPr>
          <w:rFonts w:ascii="Times New Roman" w:eastAsia="Times New Roman" w:hAnsi="Times New Roman" w:cs="Times New Roman"/>
          <w:i/>
          <w:color w:val="000000" w:themeColor="text1"/>
          <w:kern w:val="0"/>
          <w:lang w:eastAsia="ru-RU" w:bidi="ar-SA"/>
        </w:rPr>
      </w:pPr>
      <w:r w:rsidRPr="00F0736F">
        <w:rPr>
          <w:rFonts w:ascii="Times New Roman" w:eastAsia="Times New Roman" w:hAnsi="Times New Roman" w:cs="Times New Roman"/>
          <w:bCs/>
          <w:color w:val="000000" w:themeColor="text1"/>
          <w:kern w:val="0"/>
          <w:lang w:eastAsia="ru-RU" w:bidi="ar-SA"/>
        </w:rPr>
        <w:t>За последние 5 лет крупными предприятиями инвестировано в природоохранные мероприятия 3</w:t>
      </w:r>
      <w:r w:rsidRPr="00F0736F">
        <w:rPr>
          <w:rFonts w:ascii="Times New Roman" w:eastAsia="Times New Roman" w:hAnsi="Times New Roman" w:cs="Times New Roman"/>
          <w:bCs/>
          <w:color w:val="000000" w:themeColor="text1"/>
          <w:kern w:val="0"/>
          <w:lang w:val="kk-KZ" w:eastAsia="ru-RU" w:bidi="ar-SA"/>
        </w:rPr>
        <w:t>1,4</w:t>
      </w:r>
      <w:r w:rsidRPr="00F0736F">
        <w:rPr>
          <w:rFonts w:ascii="Times New Roman" w:eastAsia="Times New Roman" w:hAnsi="Times New Roman" w:cs="Times New Roman"/>
          <w:bCs/>
          <w:color w:val="000000" w:themeColor="text1"/>
          <w:kern w:val="0"/>
          <w:lang w:eastAsia="ru-RU" w:bidi="ar-SA"/>
        </w:rPr>
        <w:t xml:space="preserve"> млрд. тенге (</w:t>
      </w:r>
      <w:r w:rsidRPr="00F0736F">
        <w:rPr>
          <w:rFonts w:ascii="Times New Roman" w:eastAsia="Times New Roman" w:hAnsi="Times New Roman" w:cs="Times New Roman"/>
          <w:bCs/>
          <w:i/>
          <w:color w:val="000000" w:themeColor="text1"/>
          <w:kern w:val="0"/>
          <w:lang w:eastAsia="ru-RU" w:bidi="ar-SA"/>
        </w:rPr>
        <w:t xml:space="preserve">«Казцинк» - 18,1 млрд. тенге, «Усть-Каменогорская ТЭЦ» - 4,5 млрд. тенге, АО «УМЗ» - 4,1 млрд. тенге, АО «ТМК» - 4,7 млрд. </w:t>
      </w:r>
      <w:r w:rsidRPr="00F0736F">
        <w:rPr>
          <w:rFonts w:ascii="Times New Roman" w:eastAsia="Times New Roman" w:hAnsi="Times New Roman" w:cs="Times New Roman"/>
          <w:i/>
          <w:color w:val="000000" w:themeColor="text1"/>
          <w:kern w:val="0"/>
          <w:lang w:eastAsia="ru-RU" w:bidi="ar-SA"/>
        </w:rPr>
        <w:t xml:space="preserve">тенге). </w:t>
      </w:r>
    </w:p>
    <w:p w14:paraId="2ECF3200" w14:textId="6517F680"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 xml:space="preserve">В период с 2005-2020 гг. вынесено 230 постановлений Восточно-Казахстанского областного акимата по установлению </w:t>
      </w:r>
      <w:r w:rsidRPr="00F0736F">
        <w:rPr>
          <w:rFonts w:ascii="Times New Roman" w:eastAsia="Times New Roman" w:hAnsi="Times New Roman" w:cs="Times New Roman"/>
          <w:b/>
          <w:color w:val="000000" w:themeColor="text1"/>
          <w:kern w:val="0"/>
          <w:lang w:eastAsia="en-US" w:bidi="ar-SA"/>
        </w:rPr>
        <w:t>водоохранных зон и полос</w:t>
      </w:r>
      <w:r w:rsidRPr="00F0736F">
        <w:rPr>
          <w:rFonts w:ascii="Times New Roman" w:eastAsia="Times New Roman" w:hAnsi="Times New Roman" w:cs="Times New Roman"/>
          <w:color w:val="000000" w:themeColor="text1"/>
          <w:kern w:val="0"/>
          <w:lang w:eastAsia="en-US" w:bidi="ar-SA"/>
        </w:rPr>
        <w:t>, в том числе в гг. Усть-Каменогорске, Семее, Зыряновске, Риддере, Шемонаихе, на побережье Бухтарминского, Усть-Каменогорского и Шульбинского водохранилищ, оз. Алаколь и др. Суммарная протяженность установленных водоохранных зон – 3947,01 км, площадь –184 801,41 га. Суммарная протяженность установленных водоохранных полос 5 225,46 км, площадь 33 538,70 га.</w:t>
      </w:r>
    </w:p>
    <w:p w14:paraId="5DBDFFA4"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val="kk-KZ" w:eastAsia="en-US" w:bidi="ar-SA"/>
        </w:rPr>
      </w:pPr>
      <w:r w:rsidRPr="00F0736F">
        <w:rPr>
          <w:rFonts w:ascii="Times New Roman" w:eastAsia="Times New Roman" w:hAnsi="Times New Roman" w:cs="Times New Roman"/>
          <w:color w:val="000000" w:themeColor="text1"/>
          <w:kern w:val="0"/>
          <w:lang w:eastAsia="en-US" w:bidi="ar-SA"/>
        </w:rPr>
        <w:t>С целью модернизации системы питьевого водоснабжения и обеспечения питьевой водой населенных пунктов в 2019 году завершены начатые ранее поисково-разведочные работы (ПРР) подземных вод для 17 населенных пунктов области и проведена</w:t>
      </w:r>
      <w:r w:rsidRPr="00F0736F">
        <w:rPr>
          <w:rFonts w:ascii="Times New Roman" w:eastAsia="Times New Roman" w:hAnsi="Times New Roman" w:cs="Times New Roman"/>
          <w:color w:val="000000" w:themeColor="text1"/>
          <w:kern w:val="0"/>
          <w:lang w:val="kk-KZ" w:eastAsia="en-US" w:bidi="ar-SA"/>
        </w:rPr>
        <w:t xml:space="preserve"> </w:t>
      </w:r>
      <w:r w:rsidRPr="00F0736F">
        <w:rPr>
          <w:rFonts w:ascii="Times New Roman" w:eastAsia="Times New Roman" w:hAnsi="Times New Roman" w:cs="Times New Roman"/>
          <w:color w:val="000000" w:themeColor="text1"/>
          <w:kern w:val="0"/>
          <w:lang w:eastAsia="en-US" w:bidi="ar-SA"/>
        </w:rPr>
        <w:t xml:space="preserve">доразведка Таврического месторождения. Также в 2019 году составлена проектно-сметная документация на выполнение ПРР в 61 сельском населенном пункте и на 2 объектах доразведки.  </w:t>
      </w:r>
    </w:p>
    <w:p w14:paraId="5D052805"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 xml:space="preserve">В целях предупреждения и устранения паводковых угроз разработаны и утверждены Дорожная карта «Комплекс мер по предупреждению и устранению паводковых угроз на 2017-2020 годы» (далее – Дорожная карта). </w:t>
      </w:r>
    </w:p>
    <w:p w14:paraId="29DD21CF"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В Дорожную карту по Восточно-Казахстанской области вошли 80 мероприятий, в том числе:</w:t>
      </w:r>
    </w:p>
    <w:p w14:paraId="2366BB72"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 xml:space="preserve">- на 2017 год – 21 мероприятие в 10 районах области (выполнены в полном объеме); </w:t>
      </w:r>
    </w:p>
    <w:p w14:paraId="3731D590"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 на 2018 год – 22 мероприятия в 7 районах области (выполнены в полном объеме);</w:t>
      </w:r>
    </w:p>
    <w:p w14:paraId="0DDAC44A"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val="kk-KZ" w:eastAsia="en-US" w:bidi="ar-SA"/>
        </w:rPr>
        <w:t xml:space="preserve">В </w:t>
      </w:r>
      <w:r w:rsidRPr="00F0736F">
        <w:rPr>
          <w:rFonts w:ascii="Times New Roman" w:eastAsia="Times New Roman" w:hAnsi="Times New Roman" w:cs="Times New Roman"/>
          <w:color w:val="000000" w:themeColor="text1"/>
          <w:kern w:val="0"/>
          <w:lang w:eastAsia="en-US" w:bidi="ar-SA"/>
        </w:rPr>
        <w:t xml:space="preserve">2019 году из 15 мероприятий выполнено 13 мероприятий на общую сумму 79,5 млн. тенге. Оставшиеся 2 мероприятия находятся на стадии завершения. </w:t>
      </w:r>
    </w:p>
    <w:p w14:paraId="1CA90F98"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В 2020 году было запланировано 19 мероприятий на общую сумму 1,913 млрд. тенге, из них: 11 мероприятий, финансируемые из местного бюджета на сумму 182 млн. тенге выполнены в полном объеме.</w:t>
      </w:r>
    </w:p>
    <w:p w14:paraId="1CC8035A"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kern w:val="0"/>
          <w:lang w:eastAsia="en-US" w:bidi="ar-SA"/>
        </w:rPr>
      </w:pPr>
      <w:r w:rsidRPr="00F0736F">
        <w:rPr>
          <w:rFonts w:ascii="Times New Roman" w:eastAsia="Times New Roman" w:hAnsi="Times New Roman" w:cs="Times New Roman"/>
          <w:color w:val="000000" w:themeColor="text1"/>
          <w:kern w:val="0"/>
          <w:lang w:eastAsia="en-US" w:bidi="ar-SA"/>
        </w:rPr>
        <w:t>По мероприятиям, финансируемым из республиканского бюджета работы, продолжаются.</w:t>
      </w:r>
    </w:p>
    <w:p w14:paraId="403551F6"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Работа по подготовке к паводковому периоду 2021 года продолжается и находится на постоянном контроле.</w:t>
      </w:r>
    </w:p>
    <w:p w14:paraId="58962208"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Состояние водных ресурсов.</w:t>
      </w:r>
      <w:r w:rsidRPr="00F0736F">
        <w:rPr>
          <w:rFonts w:ascii="Times New Roman" w:hAnsi="Times New Roman" w:cs="Times New Roman"/>
          <w:color w:val="000000" w:themeColor="text1"/>
        </w:rPr>
        <w:t xml:space="preserve"> Восточно-Казахстанская область относится к одной из наиболее водообеспеченных регионов Казахстана. Однако бассейн реки Иртыш испытывает интенсивную экологическую нагрузку – развитие промышленности, рост городов и других населенных пунктовстали факторами, способствующими загрязнению реки. Река Иртыш и его притоки интенсивно используются для хозяйственного и питьевого водообеспечения. В бассейн реки осуществляется сброс различных промышленных и коммунальных стоков. </w:t>
      </w:r>
    </w:p>
    <w:p w14:paraId="12A47AAE"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szCs w:val="28"/>
        </w:rPr>
      </w:pPr>
      <w:r w:rsidRPr="00F0736F">
        <w:rPr>
          <w:rFonts w:ascii="Times New Roman" w:eastAsia="Times New Roman" w:hAnsi="Times New Roman" w:cs="Times New Roman"/>
          <w:color w:val="000000" w:themeColor="text1"/>
          <w:szCs w:val="28"/>
        </w:rPr>
        <w:t>Загрязнение рек Брекса (Филипповка), Тихая, Ульба (в районе Тишинского рудника) обусловлены историческим загрязнением от породных отвалов, которые в данное время находятся в государственной собственности</w:t>
      </w:r>
      <w:r w:rsidRPr="00F0736F">
        <w:rPr>
          <w:rFonts w:ascii="Times New Roman" w:eastAsia="Times New Roman" w:hAnsi="Times New Roman" w:cs="Times New Roman"/>
          <w:color w:val="000000" w:themeColor="text1"/>
          <w:szCs w:val="28"/>
          <w:lang w:val="kk-KZ"/>
        </w:rPr>
        <w:t>, а также со</w:t>
      </w:r>
      <w:r w:rsidRPr="00F0736F">
        <w:rPr>
          <w:rFonts w:ascii="Times New Roman" w:eastAsia="Times New Roman" w:hAnsi="Times New Roman" w:cs="Times New Roman"/>
          <w:color w:val="000000" w:themeColor="text1"/>
          <w:szCs w:val="28"/>
        </w:rPr>
        <w:t xml:space="preserve"> сбросами ТОО «Казцинк».</w:t>
      </w:r>
    </w:p>
    <w:p w14:paraId="4B031CA8" w14:textId="77777777" w:rsidR="00AC1D5B" w:rsidRPr="00F0736F" w:rsidRDefault="00AC1D5B" w:rsidP="00AC1D5B">
      <w:pPr>
        <w:pBdr>
          <w:bottom w:val="single" w:sz="4" w:space="23" w:color="FFFFFF"/>
        </w:pBdr>
        <w:suppressAutoHyphens w:val="0"/>
        <w:overflowPunct/>
        <w:ind w:firstLine="709"/>
        <w:jc w:val="both"/>
        <w:rPr>
          <w:rFonts w:ascii="Times New Roman" w:eastAsia="Times New Roman" w:hAnsi="Times New Roman" w:cs="Times New Roman"/>
          <w:color w:val="000000" w:themeColor="text1"/>
          <w:szCs w:val="28"/>
        </w:rPr>
      </w:pPr>
      <w:r w:rsidRPr="00F0736F">
        <w:rPr>
          <w:rFonts w:ascii="Times New Roman" w:eastAsia="Times New Roman" w:hAnsi="Times New Roman" w:cs="Times New Roman"/>
          <w:color w:val="000000" w:themeColor="text1"/>
          <w:szCs w:val="28"/>
          <w:lang w:val="kk-KZ"/>
        </w:rPr>
        <w:t>Р</w:t>
      </w:r>
      <w:r w:rsidRPr="00F0736F">
        <w:rPr>
          <w:rFonts w:ascii="Times New Roman" w:eastAsia="Times New Roman" w:hAnsi="Times New Roman" w:cs="Times New Roman"/>
          <w:color w:val="000000" w:themeColor="text1"/>
          <w:szCs w:val="28"/>
        </w:rPr>
        <w:t xml:space="preserve">еки Красноярка и Глубочанка (в районе Тишинского рудника, г.Риддер) находятся под влиянием действующих предприятий горнодобывающего комплекса ТОО «Востокцветмет». </w:t>
      </w:r>
    </w:p>
    <w:p w14:paraId="516F42C1" w14:textId="77777777" w:rsidR="00AC1D5B" w:rsidRPr="00F0736F" w:rsidRDefault="00AC1D5B" w:rsidP="00AC1D5B">
      <w:pPr>
        <w:pBdr>
          <w:bottom w:val="single" w:sz="4" w:space="23" w:color="FFFFFF"/>
        </w:pBdr>
        <w:suppressAutoHyphens w:val="0"/>
        <w:overflowPunct/>
        <w:ind w:firstLine="709"/>
        <w:jc w:val="both"/>
        <w:rPr>
          <w:color w:val="000000" w:themeColor="text1"/>
        </w:rPr>
      </w:pPr>
      <w:r w:rsidRPr="00F0736F">
        <w:rPr>
          <w:rFonts w:ascii="Times New Roman" w:hAnsi="Times New Roman" w:cs="Times New Roman"/>
          <w:b/>
          <w:bCs/>
          <w:color w:val="000000" w:themeColor="text1"/>
        </w:rPr>
        <w:t>Объем нормативных сбросов</w:t>
      </w:r>
      <w:r w:rsidRPr="00F0736F">
        <w:rPr>
          <w:rFonts w:ascii="Times New Roman" w:hAnsi="Times New Roman" w:cs="Times New Roman"/>
          <w:color w:val="000000" w:themeColor="text1"/>
        </w:rPr>
        <w:t xml:space="preserve"> загрязняющих веществ в водные объекты для предприятий области составил в 2017 и 2019 годах 0,063 млн. т. </w:t>
      </w:r>
    </w:p>
    <w:p w14:paraId="3460CB44" w14:textId="77777777" w:rsidR="00AC1D5B" w:rsidRPr="00F0736F" w:rsidRDefault="00AC1D5B" w:rsidP="00AC1D5B">
      <w:pPr>
        <w:ind w:firstLine="709"/>
        <w:jc w:val="both"/>
        <w:rPr>
          <w:rFonts w:ascii="Times New Roman" w:hAnsi="Times New Roman" w:cs="Times New Roman"/>
          <w:color w:val="000000" w:themeColor="text1"/>
        </w:rPr>
      </w:pPr>
    </w:p>
    <w:p w14:paraId="0062D1C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2.5.5. Улучшение качества окружающей среды благоприятной для жизнедеятельности общества</w:t>
      </w:r>
    </w:p>
    <w:p w14:paraId="6A16DCF1" w14:textId="77777777" w:rsidR="00AC1D5B" w:rsidRPr="00F0736F" w:rsidRDefault="00AC1D5B" w:rsidP="00AC1D5B">
      <w:pPr>
        <w:ind w:firstLine="709"/>
        <w:jc w:val="both"/>
        <w:rPr>
          <w:rFonts w:ascii="Times New Roman" w:hAnsi="Times New Roman" w:cs="Times New Roman"/>
          <w:color w:val="000000" w:themeColor="text1"/>
        </w:rPr>
      </w:pPr>
    </w:p>
    <w:tbl>
      <w:tblPr>
        <w:tblW w:w="4900" w:type="pct"/>
        <w:tblInd w:w="108" w:type="dxa"/>
        <w:tblLayout w:type="fixed"/>
        <w:tblLook w:val="0000" w:firstRow="0" w:lastRow="0" w:firstColumn="0" w:lastColumn="0" w:noHBand="0" w:noVBand="0"/>
      </w:tblPr>
      <w:tblGrid>
        <w:gridCol w:w="4684"/>
        <w:gridCol w:w="1103"/>
        <w:gridCol w:w="934"/>
        <w:gridCol w:w="936"/>
        <w:gridCol w:w="1985"/>
      </w:tblGrid>
      <w:tr w:rsidR="00F0736F" w:rsidRPr="00F0736F" w14:paraId="0A3637F1" w14:textId="77777777" w:rsidTr="000B2B8A">
        <w:trPr>
          <w:trHeight w:val="401"/>
          <w:tblHeader/>
        </w:trPr>
        <w:tc>
          <w:tcPr>
            <w:tcW w:w="4635" w:type="dxa"/>
            <w:vMerge w:val="restart"/>
            <w:tcBorders>
              <w:top w:val="single" w:sz="4" w:space="0" w:color="000000"/>
              <w:left w:val="single" w:sz="4" w:space="0" w:color="000000"/>
              <w:bottom w:val="single" w:sz="4" w:space="0" w:color="000000"/>
            </w:tcBorders>
            <w:shd w:val="clear" w:color="auto" w:fill="auto"/>
            <w:vAlign w:val="center"/>
          </w:tcPr>
          <w:p w14:paraId="0A26E9FD" w14:textId="77777777" w:rsidR="00AC1D5B" w:rsidRPr="00F0736F" w:rsidRDefault="00AC1D5B" w:rsidP="00AC1D5B">
            <w:pPr>
              <w:ind w:firstLine="775"/>
              <w:jc w:val="both"/>
              <w:rPr>
                <w:color w:val="000000" w:themeColor="text1"/>
              </w:rPr>
            </w:pPr>
            <w:r w:rsidRPr="00F0736F">
              <w:rPr>
                <w:rFonts w:ascii="Times New Roman" w:hAnsi="Times New Roman" w:cs="Times New Roman"/>
                <w:color w:val="000000" w:themeColor="text1"/>
                <w:sz w:val="20"/>
                <w:szCs w:val="20"/>
              </w:rPr>
              <w:t>Целевые индикаторы</w:t>
            </w:r>
          </w:p>
        </w:tc>
        <w:tc>
          <w:tcPr>
            <w:tcW w:w="49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EB480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Выполнение по годам</w:t>
            </w:r>
          </w:p>
        </w:tc>
      </w:tr>
      <w:tr w:rsidR="00F0736F" w:rsidRPr="00F0736F" w14:paraId="67A55F86" w14:textId="77777777" w:rsidTr="000B2B8A">
        <w:trPr>
          <w:trHeight w:val="144"/>
        </w:trPr>
        <w:tc>
          <w:tcPr>
            <w:tcW w:w="4635" w:type="dxa"/>
            <w:vMerge/>
            <w:tcBorders>
              <w:top w:val="single" w:sz="4" w:space="0" w:color="000000"/>
              <w:left w:val="single" w:sz="4" w:space="0" w:color="000000"/>
              <w:bottom w:val="single" w:sz="4" w:space="0" w:color="000000"/>
            </w:tcBorders>
            <w:shd w:val="clear" w:color="auto" w:fill="auto"/>
            <w:vAlign w:val="center"/>
          </w:tcPr>
          <w:p w14:paraId="5D0CC967"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091" w:type="dxa"/>
            <w:tcBorders>
              <w:top w:val="single" w:sz="4" w:space="0" w:color="000000"/>
              <w:left w:val="single" w:sz="4" w:space="0" w:color="000000"/>
              <w:bottom w:val="single" w:sz="4" w:space="0" w:color="000000"/>
            </w:tcBorders>
            <w:shd w:val="clear" w:color="auto" w:fill="auto"/>
            <w:vAlign w:val="center"/>
          </w:tcPr>
          <w:p w14:paraId="4E975EB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w:t>
            </w:r>
          </w:p>
        </w:tc>
        <w:tc>
          <w:tcPr>
            <w:tcW w:w="924" w:type="dxa"/>
            <w:tcBorders>
              <w:top w:val="single" w:sz="4" w:space="0" w:color="000000"/>
              <w:left w:val="single" w:sz="4" w:space="0" w:color="000000"/>
              <w:bottom w:val="single" w:sz="4" w:space="0" w:color="000000"/>
            </w:tcBorders>
            <w:shd w:val="clear" w:color="auto" w:fill="auto"/>
            <w:vAlign w:val="center"/>
          </w:tcPr>
          <w:p w14:paraId="201A6F3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w:t>
            </w:r>
          </w:p>
        </w:tc>
        <w:tc>
          <w:tcPr>
            <w:tcW w:w="926" w:type="dxa"/>
            <w:tcBorders>
              <w:top w:val="single" w:sz="4" w:space="0" w:color="000000"/>
              <w:left w:val="single" w:sz="4" w:space="0" w:color="000000"/>
              <w:bottom w:val="single" w:sz="4" w:space="0" w:color="000000"/>
            </w:tcBorders>
            <w:shd w:val="clear" w:color="auto" w:fill="auto"/>
            <w:vAlign w:val="center"/>
          </w:tcPr>
          <w:p w14:paraId="3128B8A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2019 г.</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03F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2020 г.</w:t>
            </w:r>
          </w:p>
          <w:p w14:paraId="75D0D5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план</w:t>
            </w:r>
          </w:p>
        </w:tc>
      </w:tr>
      <w:tr w:rsidR="00F0736F" w:rsidRPr="00F0736F" w14:paraId="409949F3"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4E4E85C0"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нормативных загрязняющих веществ:</w:t>
            </w:r>
          </w:p>
        </w:tc>
        <w:tc>
          <w:tcPr>
            <w:tcW w:w="1091" w:type="dxa"/>
            <w:tcBorders>
              <w:top w:val="single" w:sz="4" w:space="0" w:color="000000"/>
              <w:left w:val="single" w:sz="4" w:space="0" w:color="000000"/>
              <w:bottom w:val="single" w:sz="4" w:space="0" w:color="000000"/>
            </w:tcBorders>
            <w:shd w:val="clear" w:color="auto" w:fill="auto"/>
            <w:vAlign w:val="center"/>
          </w:tcPr>
          <w:p w14:paraId="356DEA12"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tc>
        <w:tc>
          <w:tcPr>
            <w:tcW w:w="924" w:type="dxa"/>
            <w:tcBorders>
              <w:top w:val="single" w:sz="4" w:space="0" w:color="000000"/>
              <w:left w:val="single" w:sz="4" w:space="0" w:color="000000"/>
              <w:bottom w:val="single" w:sz="4" w:space="0" w:color="000000"/>
            </w:tcBorders>
            <w:shd w:val="clear" w:color="auto" w:fill="auto"/>
            <w:vAlign w:val="center"/>
          </w:tcPr>
          <w:p w14:paraId="54B98DC7"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tc>
        <w:tc>
          <w:tcPr>
            <w:tcW w:w="926" w:type="dxa"/>
            <w:tcBorders>
              <w:top w:val="single" w:sz="4" w:space="0" w:color="000000"/>
              <w:left w:val="single" w:sz="4" w:space="0" w:color="000000"/>
              <w:bottom w:val="single" w:sz="4" w:space="0" w:color="000000"/>
            </w:tcBorders>
            <w:shd w:val="clear" w:color="auto" w:fill="auto"/>
            <w:vAlign w:val="center"/>
          </w:tcPr>
          <w:p w14:paraId="6D80F1F1"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A4EA"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r>
      <w:tr w:rsidR="00F0736F" w:rsidRPr="00F0736F" w14:paraId="1563CE65"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53B6B7CF" w14:textId="77777777" w:rsidR="00AC1D5B" w:rsidRPr="00F0736F" w:rsidRDefault="00AC1D5B" w:rsidP="00AC1D5B">
            <w:pPr>
              <w:ind w:firstLine="491"/>
              <w:jc w:val="both"/>
              <w:rPr>
                <w:color w:val="000000" w:themeColor="text1"/>
              </w:rPr>
            </w:pPr>
            <w:r w:rsidRPr="00F0736F">
              <w:rPr>
                <w:rFonts w:ascii="Times New Roman" w:hAnsi="Times New Roman" w:cs="Times New Roman"/>
                <w:color w:val="000000" w:themeColor="text1"/>
                <w:sz w:val="20"/>
                <w:szCs w:val="20"/>
              </w:rPr>
              <w:t>- выбросов в атмосферный воздух, млн. т.</w:t>
            </w:r>
          </w:p>
        </w:tc>
        <w:tc>
          <w:tcPr>
            <w:tcW w:w="1091" w:type="dxa"/>
            <w:tcBorders>
              <w:top w:val="single" w:sz="4" w:space="0" w:color="000000"/>
              <w:left w:val="single" w:sz="4" w:space="0" w:color="000000"/>
              <w:bottom w:val="single" w:sz="4" w:space="0" w:color="000000"/>
            </w:tcBorders>
            <w:shd w:val="clear" w:color="auto" w:fill="auto"/>
            <w:vAlign w:val="center"/>
          </w:tcPr>
          <w:p w14:paraId="23B6537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0,191</w:t>
            </w:r>
          </w:p>
        </w:tc>
        <w:tc>
          <w:tcPr>
            <w:tcW w:w="924" w:type="dxa"/>
            <w:tcBorders>
              <w:top w:val="single" w:sz="4" w:space="0" w:color="000000"/>
              <w:left w:val="single" w:sz="4" w:space="0" w:color="000000"/>
              <w:bottom w:val="single" w:sz="4" w:space="0" w:color="000000"/>
            </w:tcBorders>
            <w:shd w:val="clear" w:color="auto" w:fill="auto"/>
            <w:vAlign w:val="center"/>
          </w:tcPr>
          <w:p w14:paraId="24AC0EB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0,194</w:t>
            </w:r>
          </w:p>
        </w:tc>
        <w:tc>
          <w:tcPr>
            <w:tcW w:w="926" w:type="dxa"/>
            <w:tcBorders>
              <w:top w:val="single" w:sz="4" w:space="0" w:color="000000"/>
              <w:left w:val="single" w:sz="4" w:space="0" w:color="000000"/>
              <w:bottom w:val="single" w:sz="4" w:space="0" w:color="000000"/>
            </w:tcBorders>
            <w:shd w:val="clear" w:color="auto" w:fill="auto"/>
            <w:vAlign w:val="center"/>
          </w:tcPr>
          <w:p w14:paraId="77BC3A5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0,191</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73BF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0,191</w:t>
            </w:r>
          </w:p>
        </w:tc>
      </w:tr>
      <w:tr w:rsidR="00F0736F" w:rsidRPr="00F0736F" w14:paraId="3C2F1E66"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30F1A87F" w14:textId="77777777" w:rsidR="00AC1D5B" w:rsidRPr="00F0736F" w:rsidRDefault="00AC1D5B" w:rsidP="00AC1D5B">
            <w:pPr>
              <w:ind w:firstLine="491"/>
              <w:jc w:val="both"/>
              <w:rPr>
                <w:color w:val="000000" w:themeColor="text1"/>
              </w:rPr>
            </w:pPr>
            <w:r w:rsidRPr="00F0736F">
              <w:rPr>
                <w:rFonts w:ascii="Times New Roman" w:hAnsi="Times New Roman" w:cs="Times New Roman"/>
                <w:color w:val="000000" w:themeColor="text1"/>
                <w:sz w:val="20"/>
                <w:szCs w:val="20"/>
              </w:rPr>
              <w:t>- сбросов в водные объекты, млн. т.</w:t>
            </w:r>
          </w:p>
        </w:tc>
        <w:tc>
          <w:tcPr>
            <w:tcW w:w="1091" w:type="dxa"/>
            <w:tcBorders>
              <w:top w:val="single" w:sz="4" w:space="0" w:color="000000"/>
              <w:left w:val="single" w:sz="4" w:space="0" w:color="000000"/>
              <w:bottom w:val="single" w:sz="4" w:space="0" w:color="000000"/>
            </w:tcBorders>
            <w:shd w:val="clear" w:color="auto" w:fill="auto"/>
            <w:vAlign w:val="center"/>
          </w:tcPr>
          <w:p w14:paraId="41D9E5A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0,063</w:t>
            </w:r>
          </w:p>
        </w:tc>
        <w:tc>
          <w:tcPr>
            <w:tcW w:w="924" w:type="dxa"/>
            <w:tcBorders>
              <w:top w:val="single" w:sz="4" w:space="0" w:color="000000"/>
              <w:left w:val="single" w:sz="4" w:space="0" w:color="000000"/>
              <w:bottom w:val="single" w:sz="4" w:space="0" w:color="000000"/>
            </w:tcBorders>
            <w:shd w:val="clear" w:color="auto" w:fill="auto"/>
            <w:vAlign w:val="center"/>
          </w:tcPr>
          <w:p w14:paraId="5F4B34F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0,046</w:t>
            </w:r>
          </w:p>
        </w:tc>
        <w:tc>
          <w:tcPr>
            <w:tcW w:w="926" w:type="dxa"/>
            <w:tcBorders>
              <w:top w:val="single" w:sz="4" w:space="0" w:color="000000"/>
              <w:left w:val="single" w:sz="4" w:space="0" w:color="000000"/>
              <w:bottom w:val="single" w:sz="4" w:space="0" w:color="000000"/>
            </w:tcBorders>
            <w:shd w:val="clear" w:color="auto" w:fill="auto"/>
            <w:vAlign w:val="center"/>
          </w:tcPr>
          <w:p w14:paraId="633CD68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0,063</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F1B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0,063</w:t>
            </w:r>
          </w:p>
        </w:tc>
      </w:tr>
      <w:tr w:rsidR="00F0736F" w:rsidRPr="00F0736F" w14:paraId="7C36B638"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76AE00E0"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Доля утилизации твердых бытовых отходов к их образованию, %</w:t>
            </w:r>
          </w:p>
        </w:tc>
        <w:tc>
          <w:tcPr>
            <w:tcW w:w="1091" w:type="dxa"/>
            <w:tcBorders>
              <w:top w:val="single" w:sz="4" w:space="0" w:color="000000"/>
              <w:left w:val="single" w:sz="4" w:space="0" w:color="000000"/>
              <w:bottom w:val="single" w:sz="4" w:space="0" w:color="000000"/>
            </w:tcBorders>
            <w:shd w:val="clear" w:color="auto" w:fill="auto"/>
            <w:vAlign w:val="center"/>
          </w:tcPr>
          <w:p w14:paraId="0C6478B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0,03</w:t>
            </w:r>
          </w:p>
        </w:tc>
        <w:tc>
          <w:tcPr>
            <w:tcW w:w="924" w:type="dxa"/>
            <w:tcBorders>
              <w:top w:val="single" w:sz="4" w:space="0" w:color="000000"/>
              <w:left w:val="single" w:sz="4" w:space="0" w:color="000000"/>
              <w:bottom w:val="single" w:sz="4" w:space="0" w:color="000000"/>
            </w:tcBorders>
            <w:shd w:val="clear" w:color="auto" w:fill="auto"/>
            <w:vAlign w:val="center"/>
          </w:tcPr>
          <w:p w14:paraId="0577577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4,6</w:t>
            </w:r>
          </w:p>
        </w:tc>
        <w:tc>
          <w:tcPr>
            <w:tcW w:w="926" w:type="dxa"/>
            <w:tcBorders>
              <w:top w:val="single" w:sz="4" w:space="0" w:color="000000"/>
              <w:left w:val="single" w:sz="4" w:space="0" w:color="000000"/>
              <w:bottom w:val="single" w:sz="4" w:space="0" w:color="000000"/>
            </w:tcBorders>
            <w:shd w:val="clear" w:color="auto" w:fill="auto"/>
            <w:vAlign w:val="center"/>
          </w:tcPr>
          <w:p w14:paraId="4E62AA3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en-US"/>
              </w:rPr>
              <w:t>14</w:t>
            </w:r>
            <w:r w:rsidRPr="00F0736F">
              <w:rPr>
                <w:rFonts w:ascii="Times New Roman" w:hAnsi="Times New Roman" w:cs="Times New Roman"/>
                <w:color w:val="000000" w:themeColor="text1"/>
                <w:sz w:val="20"/>
                <w:szCs w:val="20"/>
              </w:rPr>
              <w:t>,0</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1A1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lang w:val="en-US"/>
              </w:rPr>
              <w:t>18</w:t>
            </w:r>
            <w:r w:rsidRPr="00F0736F">
              <w:rPr>
                <w:rFonts w:ascii="Times New Roman" w:hAnsi="Times New Roman" w:cs="Times New Roman"/>
                <w:color w:val="000000" w:themeColor="text1"/>
                <w:sz w:val="20"/>
                <w:szCs w:val="20"/>
              </w:rPr>
              <w:t>,0</w:t>
            </w:r>
          </w:p>
        </w:tc>
      </w:tr>
      <w:tr w:rsidR="00F0736F" w:rsidRPr="00F0736F" w14:paraId="77D7B258"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59F97D73"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Охват населения области, города услугами по сбору и транспортировке отходов, %</w:t>
            </w:r>
          </w:p>
        </w:tc>
        <w:tc>
          <w:tcPr>
            <w:tcW w:w="1091" w:type="dxa"/>
            <w:tcBorders>
              <w:top w:val="single" w:sz="4" w:space="0" w:color="000000"/>
              <w:left w:val="single" w:sz="4" w:space="0" w:color="000000"/>
              <w:bottom w:val="single" w:sz="4" w:space="0" w:color="000000"/>
            </w:tcBorders>
            <w:shd w:val="clear" w:color="auto" w:fill="auto"/>
            <w:vAlign w:val="center"/>
          </w:tcPr>
          <w:p w14:paraId="534E8F6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43,4</w:t>
            </w:r>
          </w:p>
        </w:tc>
        <w:tc>
          <w:tcPr>
            <w:tcW w:w="924" w:type="dxa"/>
            <w:tcBorders>
              <w:top w:val="single" w:sz="4" w:space="0" w:color="000000"/>
              <w:left w:val="single" w:sz="4" w:space="0" w:color="000000"/>
              <w:bottom w:val="single" w:sz="4" w:space="0" w:color="000000"/>
            </w:tcBorders>
            <w:shd w:val="clear" w:color="auto" w:fill="auto"/>
            <w:vAlign w:val="center"/>
          </w:tcPr>
          <w:p w14:paraId="07E0281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70</w:t>
            </w:r>
          </w:p>
        </w:tc>
        <w:tc>
          <w:tcPr>
            <w:tcW w:w="926" w:type="dxa"/>
            <w:tcBorders>
              <w:top w:val="single" w:sz="4" w:space="0" w:color="000000"/>
              <w:left w:val="single" w:sz="4" w:space="0" w:color="000000"/>
              <w:bottom w:val="single" w:sz="4" w:space="0" w:color="000000"/>
            </w:tcBorders>
            <w:shd w:val="clear" w:color="auto" w:fill="auto"/>
            <w:vAlign w:val="center"/>
          </w:tcPr>
          <w:p w14:paraId="3D6F447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71</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152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75,8</w:t>
            </w:r>
          </w:p>
        </w:tc>
      </w:tr>
      <w:tr w:rsidR="00AC1D5B" w:rsidRPr="00F0736F" w14:paraId="2257033A" w14:textId="77777777" w:rsidTr="000B2B8A">
        <w:trPr>
          <w:trHeight w:val="144"/>
        </w:trPr>
        <w:tc>
          <w:tcPr>
            <w:tcW w:w="4635" w:type="dxa"/>
            <w:tcBorders>
              <w:top w:val="single" w:sz="4" w:space="0" w:color="000000"/>
              <w:left w:val="single" w:sz="4" w:space="0" w:color="000000"/>
              <w:bottom w:val="single" w:sz="4" w:space="0" w:color="000000"/>
            </w:tcBorders>
            <w:shd w:val="clear" w:color="auto" w:fill="auto"/>
            <w:vAlign w:val="center"/>
          </w:tcPr>
          <w:p w14:paraId="28E1C06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Доля объектов размещения твердых бытовых отходов, соответствующих экологическим требованиям и санитарным правилам (от общего количества мест захоронения), %</w:t>
            </w:r>
          </w:p>
        </w:tc>
        <w:tc>
          <w:tcPr>
            <w:tcW w:w="1091" w:type="dxa"/>
            <w:tcBorders>
              <w:top w:val="single" w:sz="4" w:space="0" w:color="000000"/>
              <w:left w:val="single" w:sz="4" w:space="0" w:color="000000"/>
              <w:bottom w:val="single" w:sz="4" w:space="0" w:color="000000"/>
            </w:tcBorders>
            <w:shd w:val="clear" w:color="auto" w:fill="auto"/>
            <w:vAlign w:val="center"/>
          </w:tcPr>
          <w:p w14:paraId="779EC83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3,2</w:t>
            </w:r>
          </w:p>
        </w:tc>
        <w:tc>
          <w:tcPr>
            <w:tcW w:w="924" w:type="dxa"/>
            <w:tcBorders>
              <w:top w:val="single" w:sz="4" w:space="0" w:color="000000"/>
              <w:left w:val="single" w:sz="4" w:space="0" w:color="000000"/>
              <w:bottom w:val="single" w:sz="4" w:space="0" w:color="000000"/>
            </w:tcBorders>
            <w:shd w:val="clear" w:color="auto" w:fill="auto"/>
            <w:vAlign w:val="center"/>
          </w:tcPr>
          <w:p w14:paraId="2173EAE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7,0</w:t>
            </w:r>
          </w:p>
        </w:tc>
        <w:tc>
          <w:tcPr>
            <w:tcW w:w="926" w:type="dxa"/>
            <w:tcBorders>
              <w:top w:val="single" w:sz="4" w:space="0" w:color="000000"/>
              <w:left w:val="single" w:sz="4" w:space="0" w:color="000000"/>
              <w:bottom w:val="single" w:sz="4" w:space="0" w:color="000000"/>
            </w:tcBorders>
            <w:shd w:val="clear" w:color="auto" w:fill="auto"/>
            <w:vAlign w:val="center"/>
          </w:tcPr>
          <w:p w14:paraId="770782B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8,2</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FC9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9,5</w:t>
            </w:r>
          </w:p>
        </w:tc>
      </w:tr>
    </w:tbl>
    <w:p w14:paraId="7F238489" w14:textId="77777777" w:rsidR="00AC1D5B" w:rsidRPr="00F0736F" w:rsidRDefault="00AC1D5B" w:rsidP="00AC1D5B">
      <w:pPr>
        <w:ind w:firstLine="709"/>
        <w:jc w:val="both"/>
        <w:rPr>
          <w:rFonts w:ascii="Times New Roman" w:hAnsi="Times New Roman" w:cs="Times New Roman"/>
          <w:color w:val="000000" w:themeColor="text1"/>
        </w:rPr>
      </w:pPr>
    </w:p>
    <w:p w14:paraId="10A06C0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Существенным фактором, влияющим на состояние поверхностных и подземных вод, являются исторические загрязнения (отвалы горных пород, хвостохранилища, накопители промышленных отходов).</w:t>
      </w:r>
    </w:p>
    <w:p w14:paraId="755C8CD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Состояние качества поверхностных вод бассейна реки Ертис зависит от состояния качества притоков. Улучшая качественный состав вод Красноярки, Глубочанки, Брексы, Тихой, Ульбы, можно рассчитывать на улучшение класса качества всего бассейна.</w:t>
      </w:r>
    </w:p>
    <w:p w14:paraId="7A935D6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02734836"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Утилизация и захоронение твердых бытовых отходов. </w:t>
      </w:r>
      <w:r w:rsidRPr="00F0736F">
        <w:rPr>
          <w:rFonts w:ascii="Times New Roman" w:hAnsi="Times New Roman" w:cs="Times New Roman"/>
          <w:color w:val="000000" w:themeColor="text1"/>
          <w:spacing w:val="-2"/>
        </w:rPr>
        <w:t xml:space="preserve">Ежегодно в области образуется около 200 тыс. т. твердых бытовых отходов (ТБО) и лишь незначительная доля подвергается переработке. </w:t>
      </w:r>
      <w:r w:rsidRPr="00F0736F">
        <w:rPr>
          <w:rFonts w:ascii="Times New Roman" w:hAnsi="Times New Roman" w:cs="Times New Roman"/>
          <w:color w:val="000000" w:themeColor="text1"/>
        </w:rPr>
        <w:t>Доля утилизации ТБО к их образованию в 2017 году составил 0,03% при плане 3,2%.</w:t>
      </w:r>
    </w:p>
    <w:p w14:paraId="1BA5E2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образовано 183,6 тыс. т. ТБО, из них переработано 4,84%. Охват населения области услугами по сбору и транспортировке отходов в 2017 году составила 43,4%, а в 2018 году – 70%. </w:t>
      </w:r>
    </w:p>
    <w:p w14:paraId="45F34D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2"/>
        </w:rPr>
        <w:t>Большинство отходов потребления складируется на полигонах, не соответствующих требованиям природоохранного законодательства РК. Д</w:t>
      </w:r>
      <w:r w:rsidRPr="00F0736F">
        <w:rPr>
          <w:rFonts w:ascii="Times New Roman" w:hAnsi="Times New Roman" w:cs="Times New Roman"/>
          <w:color w:val="000000" w:themeColor="text1"/>
        </w:rPr>
        <w:t>оля объектов размещения твердых бытовых отходов, соответствующих экологическим требованиям и санитарным правилам (от общего количества мест захоронения) в 2017 году составила 3,3%. В 2018 году и</w:t>
      </w:r>
      <w:r w:rsidRPr="00F0736F">
        <w:rPr>
          <w:rFonts w:ascii="Times New Roman" w:hAnsi="Times New Roman" w:cs="Times New Roman"/>
          <w:color w:val="000000" w:themeColor="text1"/>
          <w:lang w:val="kk-KZ"/>
        </w:rPr>
        <w:t>з 430 объектов размещения ТБО всего лишь 30 соответствуют экологическим и санитарным требованиям и нормам, что составляет 6,98</w:t>
      </w:r>
      <w:r w:rsidRPr="00F0736F">
        <w:rPr>
          <w:rFonts w:ascii="Times New Roman" w:hAnsi="Times New Roman" w:cs="Times New Roman"/>
          <w:color w:val="000000" w:themeColor="text1"/>
        </w:rPr>
        <w:t>%.</w:t>
      </w:r>
    </w:p>
    <w:p w14:paraId="21FE39C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связи с неэффективными способами захоронения ТБО на большинстве свалок происходит их быстрое заполнение, несмотря на небольшие объемы поступающих ТБО и значительные площади, выделенные под их захоронение. </w:t>
      </w:r>
    </w:p>
    <w:p w14:paraId="30FB46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Ввиду высокой затратности и низкой инвестиционной привлекательности слабо внедряются технологии переработки, вторичного использования и утилизации.</w:t>
      </w:r>
    </w:p>
    <w:p w14:paraId="32D6548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регионе налажена система сбора отработанных ртутьсодержащих приборов и изделий (относящихся к опасным отходам) и проводится их последующая переработка. В связи с внесением изменений в законодательные акты по вопросам перехода Республики Казахстан к «зеленой экономике»:</w:t>
      </w:r>
    </w:p>
    <w:p w14:paraId="637651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установлены требования к раздельному сбору и утилизации некоторых видов опасных отходов (электронное и электрическое оборудование, ртутьсодержащие отходы, батарейки, аккумуляторы);</w:t>
      </w:r>
    </w:p>
    <w:p w14:paraId="4D1069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утверждены тарифы на сбор, вывоз, утилизацию, переработку и захоронение твердых бытовых отходов, а также порядка </w:t>
      </w:r>
      <w:r w:rsidRPr="00F0736F">
        <w:rPr>
          <w:rFonts w:ascii="Times New Roman" w:hAnsi="Times New Roman" w:cs="Times New Roman"/>
          <w:color w:val="000000" w:themeColor="text1"/>
          <w:szCs w:val="20"/>
        </w:rPr>
        <w:t xml:space="preserve">распределения его между </w:t>
      </w:r>
      <w:r w:rsidRPr="00F0736F">
        <w:rPr>
          <w:rFonts w:ascii="Times New Roman" w:hAnsi="Times New Roman" w:cs="Times New Roman"/>
          <w:color w:val="000000" w:themeColor="text1"/>
        </w:rPr>
        <w:t>субъектами, осуществляющими эти операции;</w:t>
      </w:r>
    </w:p>
    <w:p w14:paraId="09BB279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 1 января 2019 года вводится запрет на захоронение ТБО без их предварительной переработки, в частности, пластмассовых и пластиковых отходов, макулатуры, ртутьсодержащих ламп и приборов, стеклобоя, лома цветных и черных металлов, отработанных автомобильных масел, оргтехники, строительных и пищевых отходов.</w:t>
      </w:r>
    </w:p>
    <w:p w14:paraId="6BE9DA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выполнения поставленных задач разработана Дорожная карта по модернизации инфраструктуры в области обращения с отходами до 2020 года по Восточно-Казахстанской области, согласно которой планируется: </w:t>
      </w:r>
    </w:p>
    <w:p w14:paraId="056CEE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внедрение раздельного сбора отходов в городах Усть-Каменогорск, Семей, Аягоз, Зыряновск, Шемонаиха;</w:t>
      </w:r>
    </w:p>
    <w:p w14:paraId="3EFADE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 мусороперерабатывающих заводов в городах Усть-Каменогорск и Семей.</w:t>
      </w:r>
    </w:p>
    <w:p w14:paraId="393071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Усть-Каменогорск 3 компании (ТОО «ЭкоВостокЛидер», ТОО «Оскеменспецкоммунтранс», ИП «Чистое небо») осуществляют раздельный сбор (пластик, бумага) с дальнейшей их реализацией переработчикам за пределами города, ими установлены сетки для раздельного сбора: 167 - на контейнерных площадках; 24 - на территориях школ; 6 – в гос. организациях. Также в городе имеются предприятия, которые занимаются сбором отходов без установки контейнеров для сбора ТБО: ИП ВТС Оскемен (макулатура, картон), ТОО «Полигранд» (пластик, пластмасса), ИП Тураров (ПЭТ тары). Всего за 2018 год собрано 20 400 т. макулатуры, 2 400 т. пластика, из них переработаны в городе 1 600 т. макулатуры, 1 000 т. пластика. Остальные вывезены за пределами города для переработки. В ноябре 2018 г. ТОО «Оскеменспецкоммунтранс» совместно с ТОО «Оскемен-Тазалык» на территории действующего полигона ТБО установлены сортировочные линии мощностью до 100 тыс. т./год.</w:t>
      </w:r>
    </w:p>
    <w:p w14:paraId="128C34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городе Риддер ТОО «Фирма Эталон» в рамках ГЧП ведется строительство цеха сортировки ТБО с глубиной переработки 80%. </w:t>
      </w:r>
    </w:p>
    <w:p w14:paraId="27D355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Шемонаиха в рамках своевременной утилизации и переработки ТБО организацией ТОО «Шемонаихинский Ком Хоз», осуществляющей деятельность по сбору и вывоз ТБО по Шемонаихинскому району, разработан проект по строительству и установке сортировочной линии на полигоне ТБО. Организацией ТОО «Шемонаихинский Ком-Хоз» ведется работа по подаче проекта на рассмотрение государственной экспертизы. В настоящее время организацией проводится работа по сортировке отходов ручным способом, в процессе данной сортировки разделенный мусор делится на две группы: пищевые отходы и ТБО. Пищевые отходы подвергаются процессу захоронения, остальные отходы (пластик, бумага, метал и картон) после прохождения через гидропресс складируется для дальнейшей отправки на заводы по вторичной переработке.</w:t>
      </w:r>
    </w:p>
    <w:p w14:paraId="71904AF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целом, в городах и районах области активизирована работа по агитации населения к раздельному сбору отходов (собрания в КСК, агитационные материалы в виде брошюр, листовок, видеороликов, различные акции и т.п.), а также привлечению предприятий для организации работ по раздельному сбору ТБО.</w:t>
      </w:r>
    </w:p>
    <w:p w14:paraId="4798618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Акиматами городов Усть-Каменогорск и Семей совместно с Европейским банком реконструкции и развития ведется работа по проектам модернизации систем управления ТБО, в рамках которого рассматривается вопрос строительства комплексов по механико-биологической обработке ТБО, строительство новых санитарных полигонов, закрытие существующих полигонов, закуп специализированного оборудования и техники. </w:t>
      </w:r>
    </w:p>
    <w:p w14:paraId="3BE29804"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iCs/>
          <w:color w:val="000000" w:themeColor="text1"/>
        </w:rPr>
        <w:t xml:space="preserve">Состояние биологических ресурсов и развитие лесного, рыбного и охотничьего хозяйств, </w:t>
      </w:r>
      <w:r w:rsidRPr="00F0736F">
        <w:rPr>
          <w:rFonts w:ascii="Times New Roman" w:hAnsi="Times New Roman" w:cs="Times New Roman"/>
          <w:b/>
          <w:bCs/>
          <w:i/>
          <w:iCs/>
          <w:color w:val="000000" w:themeColor="text1"/>
          <w:lang w:eastAsia="ru-RU" w:bidi="ru-RU"/>
        </w:rPr>
        <w:t xml:space="preserve">ООПТ </w:t>
      </w:r>
      <w:r w:rsidRPr="00F0736F">
        <w:rPr>
          <w:rFonts w:ascii="Times New Roman" w:eastAsia="Calibri" w:hAnsi="Times New Roman" w:cs="Times New Roman"/>
          <w:b/>
          <w:bCs/>
          <w:i/>
          <w:iCs/>
          <w:color w:val="000000" w:themeColor="text1"/>
        </w:rPr>
        <w:t>и экологического туризма</w:t>
      </w:r>
      <w:r w:rsidRPr="00F0736F">
        <w:rPr>
          <w:rFonts w:ascii="Times New Roman" w:hAnsi="Times New Roman" w:cs="Times New Roman"/>
          <w:color w:val="000000" w:themeColor="text1"/>
        </w:rPr>
        <w:t xml:space="preserve"> </w:t>
      </w:r>
    </w:p>
    <w:p w14:paraId="7EEEA3B9"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xml:space="preserve">Общая площадь земель государственного лесного фонда области на 01.01.2020 года составляет 3 843 315 га, в том числе покрытая лесом 2 023 405 га. Лесистость области составляет 7,14%. </w:t>
      </w:r>
    </w:p>
    <w:p w14:paraId="240BDAFB"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xml:space="preserve">В области функционирует </w:t>
      </w:r>
      <w:r w:rsidRPr="00F0736F">
        <w:rPr>
          <w:rFonts w:ascii="Times New Roman" w:eastAsia="Times New Roman" w:hAnsi="Times New Roman" w:cs="Times New Roman"/>
          <w:color w:val="000000" w:themeColor="text1"/>
          <w:lang w:val="kk-KZ"/>
        </w:rPr>
        <w:t>20</w:t>
      </w:r>
      <w:r w:rsidRPr="00F0736F">
        <w:rPr>
          <w:rFonts w:ascii="Times New Roman" w:eastAsia="Times New Roman" w:hAnsi="Times New Roman" w:cs="Times New Roman"/>
          <w:color w:val="000000" w:themeColor="text1"/>
        </w:rPr>
        <w:t xml:space="preserve"> государственных лесовладельцев. </w:t>
      </w:r>
      <w:r w:rsidRPr="00F0736F">
        <w:rPr>
          <w:rFonts w:ascii="Times New Roman" w:hAnsi="Times New Roman" w:cs="Times New Roman"/>
          <w:color w:val="000000" w:themeColor="text1"/>
        </w:rPr>
        <w:t>На балансе учреждений лесного хозяйства числится 2 154,5 тыс. га (</w:t>
      </w:r>
      <w:r w:rsidRPr="00F0736F">
        <w:rPr>
          <w:rFonts w:ascii="Times New Roman" w:hAnsi="Times New Roman" w:cs="Times New Roman"/>
          <w:color w:val="000000" w:themeColor="text1"/>
          <w:lang w:val="kk-KZ"/>
        </w:rPr>
        <w:t>56,1</w:t>
      </w:r>
      <w:r w:rsidRPr="00F0736F">
        <w:rPr>
          <w:rFonts w:ascii="Times New Roman" w:hAnsi="Times New Roman" w:cs="Times New Roman"/>
          <w:color w:val="000000" w:themeColor="text1"/>
        </w:rPr>
        <w:t>%), в том числе покрытых лесом 1 283,9 тыс. га с запасом древесины 128,2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Общий средний прирост составляет 1,9 млн. м</w:t>
      </w:r>
      <w:r w:rsidRPr="00F0736F">
        <w:rPr>
          <w:rFonts w:ascii="Times New Roman" w:hAnsi="Times New Roman" w:cs="Times New Roman"/>
          <w:color w:val="000000" w:themeColor="text1"/>
          <w:vertAlign w:val="superscript"/>
        </w:rPr>
        <w:t xml:space="preserve">3 </w:t>
      </w:r>
      <w:r w:rsidRPr="00F0736F">
        <w:rPr>
          <w:rFonts w:ascii="Times New Roman" w:hAnsi="Times New Roman" w:cs="Times New Roman"/>
          <w:color w:val="000000" w:themeColor="text1"/>
        </w:rPr>
        <w:t xml:space="preserve">в год. Леса по составу лесных пород и ввиду природно-климатических особенностей региона характеризуются высокой пожароопасностью. </w:t>
      </w:r>
    </w:p>
    <w:p w14:paraId="75DCA2E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2019 году посадка лесных культур выполнена на общей  площади 4 636  га, из них учреждениями акимата</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532  га, ГЛПР «Семей орманы» - 4 076 га</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Проведено дополнение лесных культур на площади 2288 га.</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 xml:space="preserve">Произведен посев лесных семян в питомниках на площади 20,06 га. Выявлено </w:t>
      </w:r>
      <w:r w:rsidRPr="00F0736F">
        <w:rPr>
          <w:rFonts w:ascii="Times New Roman" w:eastAsia="Times New Roman" w:hAnsi="Times New Roman" w:cs="Times New Roman"/>
          <w:color w:val="000000" w:themeColor="text1"/>
          <w:lang w:val="kk-KZ"/>
        </w:rPr>
        <w:t>73</w:t>
      </w:r>
      <w:r w:rsidRPr="00F0736F">
        <w:rPr>
          <w:rFonts w:ascii="Times New Roman" w:eastAsia="Times New Roman" w:hAnsi="Times New Roman" w:cs="Times New Roman"/>
          <w:color w:val="000000" w:themeColor="text1"/>
        </w:rPr>
        <w:t xml:space="preserve"> случая незаконных рубок и повреждени</w:t>
      </w:r>
      <w:r w:rsidRPr="00F0736F">
        <w:rPr>
          <w:rFonts w:ascii="Times New Roman" w:eastAsia="Times New Roman" w:hAnsi="Times New Roman" w:cs="Times New Roman"/>
          <w:color w:val="000000" w:themeColor="text1"/>
          <w:lang w:val="kk-KZ"/>
        </w:rPr>
        <w:t>й</w:t>
      </w:r>
      <w:r w:rsidRPr="00F0736F">
        <w:rPr>
          <w:rFonts w:ascii="Times New Roman" w:eastAsia="Times New Roman" w:hAnsi="Times New Roman" w:cs="Times New Roman"/>
          <w:color w:val="000000" w:themeColor="text1"/>
        </w:rPr>
        <w:t xml:space="preserve"> деревьев и кустарников.</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 xml:space="preserve">Общий объем незаконно срубленной древесины составил </w:t>
      </w:r>
      <w:r w:rsidRPr="00F0736F">
        <w:rPr>
          <w:rFonts w:ascii="Times New Roman" w:eastAsia="Times New Roman" w:hAnsi="Times New Roman" w:cs="Times New Roman"/>
          <w:color w:val="000000" w:themeColor="text1"/>
          <w:lang w:val="kk-KZ"/>
        </w:rPr>
        <w:t>1 153,3</w:t>
      </w:r>
      <w:r w:rsidRPr="00F0736F">
        <w:rPr>
          <w:rFonts w:ascii="Times New Roman" w:eastAsia="Times New Roman" w:hAnsi="Times New Roman" w:cs="Times New Roman"/>
          <w:color w:val="000000" w:themeColor="text1"/>
        </w:rPr>
        <w:t xml:space="preserve">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xml:space="preserve">, общий нанесенный ущерб государству составляет </w:t>
      </w:r>
      <w:r w:rsidRPr="00F0736F">
        <w:rPr>
          <w:rFonts w:ascii="Times New Roman" w:eastAsia="Times New Roman" w:hAnsi="Times New Roman" w:cs="Times New Roman"/>
          <w:color w:val="000000" w:themeColor="text1"/>
          <w:lang w:val="kk-KZ"/>
        </w:rPr>
        <w:t>11 576,0</w:t>
      </w:r>
      <w:r w:rsidRPr="00F0736F">
        <w:rPr>
          <w:rFonts w:ascii="Times New Roman" w:eastAsia="Times New Roman" w:hAnsi="Times New Roman" w:cs="Times New Roman"/>
          <w:color w:val="000000" w:themeColor="text1"/>
        </w:rPr>
        <w:t xml:space="preserve"> тыс. тенге.</w:t>
      </w:r>
      <w:r w:rsidRPr="00F0736F">
        <w:rPr>
          <w:rFonts w:ascii="Times New Roman" w:eastAsia="Times New Roman" w:hAnsi="Times New Roman" w:cs="Times New Roman"/>
          <w:color w:val="000000" w:themeColor="text1"/>
          <w:lang w:val="kk-KZ"/>
        </w:rPr>
        <w:t xml:space="preserve"> </w:t>
      </w:r>
    </w:p>
    <w:p w14:paraId="2C61677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За пожароопасный сезон 2019 года зарегистрировано 1</w:t>
      </w:r>
      <w:r w:rsidRPr="00F0736F">
        <w:rPr>
          <w:rFonts w:ascii="Times New Roman" w:eastAsia="Times New Roman" w:hAnsi="Times New Roman" w:cs="Times New Roman"/>
          <w:color w:val="000000" w:themeColor="text1"/>
          <w:lang w:val="kk-KZ"/>
        </w:rPr>
        <w:t>44</w:t>
      </w:r>
      <w:r w:rsidRPr="00F0736F">
        <w:rPr>
          <w:rFonts w:ascii="Times New Roman" w:eastAsia="Times New Roman" w:hAnsi="Times New Roman" w:cs="Times New Roman"/>
          <w:color w:val="000000" w:themeColor="text1"/>
        </w:rPr>
        <w:t xml:space="preserve"> случая лесных пожаров на общ</w:t>
      </w:r>
      <w:r w:rsidRPr="00F0736F">
        <w:rPr>
          <w:rFonts w:ascii="Times New Roman" w:eastAsia="Times New Roman" w:hAnsi="Times New Roman" w:cs="Times New Roman"/>
          <w:color w:val="000000" w:themeColor="text1"/>
          <w:lang w:val="kk-KZ"/>
        </w:rPr>
        <w:t>ей</w:t>
      </w:r>
      <w:r w:rsidRPr="00F0736F">
        <w:rPr>
          <w:rFonts w:ascii="Times New Roman" w:eastAsia="Times New Roman" w:hAnsi="Times New Roman" w:cs="Times New Roman"/>
          <w:color w:val="000000" w:themeColor="text1"/>
        </w:rPr>
        <w:t xml:space="preserve"> площади </w:t>
      </w:r>
      <w:r w:rsidRPr="00F0736F">
        <w:rPr>
          <w:rFonts w:ascii="Times New Roman" w:eastAsia="Times New Roman" w:hAnsi="Times New Roman" w:cs="Times New Roman"/>
          <w:color w:val="000000" w:themeColor="text1"/>
          <w:lang w:val="kk-KZ"/>
        </w:rPr>
        <w:t>200,4</w:t>
      </w:r>
      <w:r w:rsidRPr="00F0736F">
        <w:rPr>
          <w:rFonts w:ascii="Times New Roman" w:eastAsia="Times New Roman" w:hAnsi="Times New Roman" w:cs="Times New Roman"/>
          <w:color w:val="000000" w:themeColor="text1"/>
        </w:rPr>
        <w:t xml:space="preserve"> га, в.т.ч </w:t>
      </w:r>
      <w:r w:rsidRPr="00F0736F">
        <w:rPr>
          <w:rFonts w:ascii="Times New Roman" w:eastAsia="Times New Roman" w:hAnsi="Times New Roman" w:cs="Times New Roman"/>
          <w:color w:val="000000" w:themeColor="text1"/>
          <w:lang w:val="kk-KZ"/>
        </w:rPr>
        <w:t>129,68</w:t>
      </w:r>
      <w:r w:rsidRPr="00F0736F">
        <w:rPr>
          <w:rFonts w:ascii="Times New Roman" w:eastAsia="Times New Roman" w:hAnsi="Times New Roman" w:cs="Times New Roman"/>
          <w:color w:val="000000" w:themeColor="text1"/>
        </w:rPr>
        <w:t xml:space="preserve"> га лесная, </w:t>
      </w:r>
      <w:r w:rsidRPr="00F0736F">
        <w:rPr>
          <w:rFonts w:ascii="Times New Roman" w:eastAsia="Times New Roman" w:hAnsi="Times New Roman" w:cs="Times New Roman"/>
          <w:color w:val="000000" w:themeColor="text1"/>
          <w:lang w:val="kk-KZ"/>
        </w:rPr>
        <w:t>55,3</w:t>
      </w:r>
      <w:r w:rsidRPr="00F0736F">
        <w:rPr>
          <w:rFonts w:ascii="Times New Roman" w:eastAsia="Times New Roman" w:hAnsi="Times New Roman" w:cs="Times New Roman"/>
          <w:color w:val="000000" w:themeColor="text1"/>
        </w:rPr>
        <w:t xml:space="preserve"> га лесопокрытая, 0,5 га верховая и </w:t>
      </w:r>
      <w:r w:rsidRPr="00F0736F">
        <w:rPr>
          <w:rFonts w:ascii="Times New Roman" w:eastAsia="Times New Roman" w:hAnsi="Times New Roman" w:cs="Times New Roman"/>
          <w:color w:val="000000" w:themeColor="text1"/>
          <w:lang w:val="kk-KZ"/>
        </w:rPr>
        <w:t>70,7</w:t>
      </w:r>
      <w:r w:rsidRPr="00F0736F">
        <w:rPr>
          <w:rFonts w:ascii="Times New Roman" w:eastAsia="Times New Roman" w:hAnsi="Times New Roman" w:cs="Times New Roman"/>
          <w:color w:val="000000" w:themeColor="text1"/>
        </w:rPr>
        <w:t xml:space="preserve"> га нелесная площадь. Общий ущерб от лесных пожаров составил </w:t>
      </w:r>
      <w:r w:rsidRPr="00F0736F">
        <w:rPr>
          <w:rFonts w:ascii="Times New Roman" w:eastAsia="Times New Roman" w:hAnsi="Times New Roman" w:cs="Times New Roman"/>
          <w:color w:val="000000" w:themeColor="text1"/>
          <w:lang w:val="kk-KZ"/>
        </w:rPr>
        <w:t>12 880,2</w:t>
      </w:r>
      <w:r w:rsidRPr="00F0736F">
        <w:rPr>
          <w:rFonts w:ascii="Times New Roman" w:eastAsia="Times New Roman" w:hAnsi="Times New Roman" w:cs="Times New Roman"/>
          <w:color w:val="000000" w:themeColor="text1"/>
        </w:rPr>
        <w:t xml:space="preserve"> тыс. тенге.</w:t>
      </w:r>
    </w:p>
    <w:p w14:paraId="2FCAC58D" w14:textId="77777777" w:rsidR="00AC1D5B" w:rsidRPr="00F0736F" w:rsidRDefault="00AC1D5B" w:rsidP="00AC1D5B">
      <w:pPr>
        <w:ind w:firstLine="709"/>
        <w:jc w:val="both"/>
        <w:rPr>
          <w:rFonts w:ascii="Times New Roman" w:hAnsi="Times New Roman" w:cs="Times New Roman"/>
          <w:color w:val="000000" w:themeColor="text1"/>
        </w:rPr>
      </w:pPr>
    </w:p>
    <w:p w14:paraId="110988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2.5.6. Восстановление лесов на территориях государственного лесного фонда</w:t>
      </w:r>
    </w:p>
    <w:p w14:paraId="35B6BA57"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213" w:type="dxa"/>
        <w:tblLayout w:type="fixed"/>
        <w:tblLook w:val="0000" w:firstRow="0" w:lastRow="0" w:firstColumn="0" w:lastColumn="0" w:noHBand="0" w:noVBand="0"/>
      </w:tblPr>
      <w:tblGrid>
        <w:gridCol w:w="5040"/>
        <w:gridCol w:w="1050"/>
        <w:gridCol w:w="893"/>
        <w:gridCol w:w="1035"/>
        <w:gridCol w:w="1485"/>
      </w:tblGrid>
      <w:tr w:rsidR="00F0736F" w:rsidRPr="00F0736F" w14:paraId="0B2D8135" w14:textId="77777777" w:rsidTr="000B2B8A">
        <w:trPr>
          <w:trHeight w:val="401"/>
          <w:tblHeader/>
        </w:trPr>
        <w:tc>
          <w:tcPr>
            <w:tcW w:w="5040" w:type="dxa"/>
            <w:vMerge w:val="restart"/>
            <w:tcBorders>
              <w:top w:val="single" w:sz="4" w:space="0" w:color="000000"/>
              <w:left w:val="single" w:sz="4" w:space="0" w:color="000000"/>
              <w:bottom w:val="single" w:sz="4" w:space="0" w:color="000000"/>
            </w:tcBorders>
            <w:shd w:val="clear" w:color="auto" w:fill="auto"/>
            <w:vAlign w:val="center"/>
          </w:tcPr>
          <w:p w14:paraId="3E17693B" w14:textId="77777777" w:rsidR="00AC1D5B" w:rsidRPr="00F0736F" w:rsidRDefault="00AC1D5B" w:rsidP="00AC1D5B">
            <w:pPr>
              <w:ind w:firstLine="709"/>
              <w:jc w:val="both"/>
              <w:rPr>
                <w:color w:val="000000" w:themeColor="text1"/>
                <w:sz w:val="20"/>
                <w:szCs w:val="20"/>
              </w:rPr>
            </w:pPr>
            <w:r w:rsidRPr="00F0736F">
              <w:rPr>
                <w:rFonts w:ascii="Times New Roman" w:hAnsi="Times New Roman" w:cs="Times New Roman"/>
                <w:color w:val="000000" w:themeColor="text1"/>
                <w:sz w:val="20"/>
                <w:szCs w:val="20"/>
              </w:rPr>
              <w:t>Целевые индикаторы</w:t>
            </w:r>
          </w:p>
        </w:tc>
        <w:tc>
          <w:tcPr>
            <w:tcW w:w="44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2CDD2B" w14:textId="77777777" w:rsidR="00AC1D5B" w:rsidRPr="00F0736F" w:rsidRDefault="00AC1D5B" w:rsidP="00AC1D5B">
            <w:pPr>
              <w:ind w:firstLine="709"/>
              <w:jc w:val="both"/>
              <w:rPr>
                <w:color w:val="000000" w:themeColor="text1"/>
                <w:sz w:val="20"/>
                <w:szCs w:val="20"/>
              </w:rPr>
            </w:pPr>
            <w:r w:rsidRPr="00F0736F">
              <w:rPr>
                <w:rFonts w:ascii="Times New Roman" w:hAnsi="Times New Roman" w:cs="Times New Roman"/>
                <w:color w:val="000000" w:themeColor="text1"/>
                <w:sz w:val="20"/>
                <w:szCs w:val="20"/>
              </w:rPr>
              <w:t>Выполнение по годам</w:t>
            </w:r>
          </w:p>
        </w:tc>
      </w:tr>
      <w:tr w:rsidR="00F0736F" w:rsidRPr="00F0736F" w14:paraId="1BC12BDA" w14:textId="77777777" w:rsidTr="000B2B8A">
        <w:trPr>
          <w:trHeight w:val="144"/>
        </w:trPr>
        <w:tc>
          <w:tcPr>
            <w:tcW w:w="5040" w:type="dxa"/>
            <w:vMerge/>
            <w:tcBorders>
              <w:top w:val="single" w:sz="4" w:space="0" w:color="000000"/>
              <w:left w:val="single" w:sz="4" w:space="0" w:color="000000"/>
              <w:bottom w:val="single" w:sz="4" w:space="0" w:color="000000"/>
            </w:tcBorders>
            <w:shd w:val="clear" w:color="auto" w:fill="auto"/>
            <w:vAlign w:val="center"/>
          </w:tcPr>
          <w:p w14:paraId="6BC285C6"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050" w:type="dxa"/>
            <w:tcBorders>
              <w:top w:val="single" w:sz="4" w:space="0" w:color="000000"/>
              <w:left w:val="single" w:sz="4" w:space="0" w:color="000000"/>
              <w:bottom w:val="single" w:sz="4" w:space="0" w:color="000000"/>
            </w:tcBorders>
            <w:shd w:val="clear" w:color="auto" w:fill="auto"/>
            <w:vAlign w:val="center"/>
          </w:tcPr>
          <w:p w14:paraId="2092EDA0"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2017 г.</w:t>
            </w:r>
          </w:p>
        </w:tc>
        <w:tc>
          <w:tcPr>
            <w:tcW w:w="893" w:type="dxa"/>
            <w:tcBorders>
              <w:top w:val="single" w:sz="4" w:space="0" w:color="000000"/>
              <w:left w:val="single" w:sz="4" w:space="0" w:color="000000"/>
              <w:bottom w:val="single" w:sz="4" w:space="0" w:color="000000"/>
            </w:tcBorders>
            <w:shd w:val="clear" w:color="auto" w:fill="auto"/>
            <w:vAlign w:val="center"/>
          </w:tcPr>
          <w:p w14:paraId="3FB2CDCB"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2018 г.</w:t>
            </w:r>
          </w:p>
        </w:tc>
        <w:tc>
          <w:tcPr>
            <w:tcW w:w="1035" w:type="dxa"/>
            <w:tcBorders>
              <w:top w:val="single" w:sz="4" w:space="0" w:color="000000"/>
              <w:left w:val="single" w:sz="4" w:space="0" w:color="000000"/>
              <w:bottom w:val="single" w:sz="4" w:space="0" w:color="000000"/>
            </w:tcBorders>
            <w:shd w:val="clear" w:color="auto" w:fill="auto"/>
            <w:vAlign w:val="center"/>
          </w:tcPr>
          <w:p w14:paraId="498DC734"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2019 г.</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FE34A" w14:textId="77777777" w:rsidR="00AC1D5B" w:rsidRPr="00F0736F" w:rsidRDefault="00AC1D5B" w:rsidP="00AC1D5B">
            <w:pPr>
              <w:ind w:firstLine="22"/>
              <w:jc w:val="center"/>
              <w:rPr>
                <w:color w:val="000000" w:themeColor="text1"/>
                <w:sz w:val="20"/>
                <w:szCs w:val="20"/>
              </w:rPr>
            </w:pPr>
            <w:r w:rsidRPr="00F0736F">
              <w:rPr>
                <w:rFonts w:ascii="Times New Roman" w:hAnsi="Times New Roman" w:cs="Times New Roman"/>
                <w:color w:val="000000" w:themeColor="text1"/>
                <w:sz w:val="20"/>
                <w:szCs w:val="20"/>
              </w:rPr>
              <w:t>2020 г.</w:t>
            </w:r>
          </w:p>
          <w:p w14:paraId="655F8012" w14:textId="77777777" w:rsidR="00AC1D5B" w:rsidRPr="00F0736F" w:rsidRDefault="00AC1D5B" w:rsidP="00AC1D5B">
            <w:pPr>
              <w:ind w:firstLine="22"/>
              <w:jc w:val="center"/>
              <w:rPr>
                <w:color w:val="000000" w:themeColor="text1"/>
                <w:sz w:val="20"/>
                <w:szCs w:val="20"/>
              </w:rPr>
            </w:pPr>
            <w:r w:rsidRPr="00F0736F">
              <w:rPr>
                <w:rFonts w:ascii="Times New Roman" w:hAnsi="Times New Roman" w:cs="Times New Roman"/>
                <w:color w:val="000000" w:themeColor="text1"/>
                <w:sz w:val="20"/>
                <w:szCs w:val="20"/>
              </w:rPr>
              <w:t>план</w:t>
            </w:r>
          </w:p>
        </w:tc>
      </w:tr>
      <w:tr w:rsidR="00F0736F" w:rsidRPr="00F0736F" w14:paraId="642C4E97" w14:textId="77777777" w:rsidTr="000B2B8A">
        <w:trPr>
          <w:trHeight w:val="144"/>
        </w:trPr>
        <w:tc>
          <w:tcPr>
            <w:tcW w:w="5040" w:type="dxa"/>
            <w:tcBorders>
              <w:top w:val="single" w:sz="4" w:space="0" w:color="000000"/>
              <w:left w:val="single" w:sz="4" w:space="0" w:color="000000"/>
              <w:bottom w:val="single" w:sz="4" w:space="0" w:color="000000"/>
            </w:tcBorders>
            <w:shd w:val="clear" w:color="auto" w:fill="auto"/>
            <w:vAlign w:val="center"/>
          </w:tcPr>
          <w:p w14:paraId="5CBC0098" w14:textId="77777777" w:rsidR="00AC1D5B" w:rsidRPr="00F0736F" w:rsidRDefault="00AC1D5B" w:rsidP="00AC1D5B">
            <w:pPr>
              <w:jc w:val="both"/>
              <w:rPr>
                <w:color w:val="000000" w:themeColor="text1"/>
                <w:sz w:val="20"/>
                <w:szCs w:val="20"/>
              </w:rPr>
            </w:pPr>
            <w:r w:rsidRPr="00F0736F">
              <w:rPr>
                <w:rFonts w:ascii="Times New Roman" w:hAnsi="Times New Roman" w:cs="Times New Roman"/>
                <w:color w:val="000000" w:themeColor="text1"/>
                <w:sz w:val="20"/>
                <w:szCs w:val="20"/>
              </w:rPr>
              <w:t>Площадь покрытых лесом угодий на территории государственного лесного фонда, находящегося в ведении местных исполнительных органов, тыс. га</w:t>
            </w:r>
          </w:p>
        </w:tc>
        <w:tc>
          <w:tcPr>
            <w:tcW w:w="1050" w:type="dxa"/>
            <w:tcBorders>
              <w:top w:val="single" w:sz="4" w:space="0" w:color="000000"/>
              <w:left w:val="single" w:sz="4" w:space="0" w:color="000000"/>
              <w:bottom w:val="single" w:sz="4" w:space="0" w:color="000000"/>
            </w:tcBorders>
            <w:shd w:val="clear" w:color="auto" w:fill="auto"/>
            <w:vAlign w:val="center"/>
          </w:tcPr>
          <w:p w14:paraId="336F9C1D"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1278,9</w:t>
            </w:r>
          </w:p>
        </w:tc>
        <w:tc>
          <w:tcPr>
            <w:tcW w:w="893" w:type="dxa"/>
            <w:tcBorders>
              <w:top w:val="single" w:sz="4" w:space="0" w:color="000000"/>
              <w:left w:val="single" w:sz="4" w:space="0" w:color="000000"/>
              <w:bottom w:val="single" w:sz="4" w:space="0" w:color="000000"/>
            </w:tcBorders>
            <w:shd w:val="clear" w:color="auto" w:fill="auto"/>
            <w:vAlign w:val="center"/>
          </w:tcPr>
          <w:p w14:paraId="5BC4D6A8"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1280,3</w:t>
            </w:r>
          </w:p>
        </w:tc>
        <w:tc>
          <w:tcPr>
            <w:tcW w:w="1035" w:type="dxa"/>
            <w:tcBorders>
              <w:top w:val="single" w:sz="4" w:space="0" w:color="000000"/>
              <w:left w:val="single" w:sz="4" w:space="0" w:color="000000"/>
              <w:bottom w:val="single" w:sz="4" w:space="0" w:color="000000"/>
            </w:tcBorders>
            <w:shd w:val="clear" w:color="auto" w:fill="auto"/>
            <w:vAlign w:val="center"/>
          </w:tcPr>
          <w:p w14:paraId="296BC7DE"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1283,9</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6B83" w14:textId="77777777" w:rsidR="00AC1D5B" w:rsidRPr="00F0736F" w:rsidRDefault="00AC1D5B" w:rsidP="00AC1D5B">
            <w:pPr>
              <w:ind w:firstLine="22"/>
              <w:jc w:val="center"/>
              <w:rPr>
                <w:color w:val="000000" w:themeColor="text1"/>
                <w:sz w:val="20"/>
                <w:szCs w:val="20"/>
              </w:rPr>
            </w:pPr>
            <w:r w:rsidRPr="00F0736F">
              <w:rPr>
                <w:rFonts w:ascii="Times New Roman" w:hAnsi="Times New Roman" w:cs="Times New Roman"/>
                <w:color w:val="000000" w:themeColor="text1"/>
                <w:sz w:val="20"/>
                <w:szCs w:val="20"/>
              </w:rPr>
              <w:t>1277,7</w:t>
            </w:r>
          </w:p>
        </w:tc>
      </w:tr>
      <w:tr w:rsidR="00AC1D5B" w:rsidRPr="00F0736F" w14:paraId="29F8A496" w14:textId="77777777" w:rsidTr="000B2B8A">
        <w:trPr>
          <w:trHeight w:val="144"/>
        </w:trPr>
        <w:tc>
          <w:tcPr>
            <w:tcW w:w="5040" w:type="dxa"/>
            <w:tcBorders>
              <w:top w:val="single" w:sz="4" w:space="0" w:color="000000"/>
              <w:left w:val="single" w:sz="4" w:space="0" w:color="000000"/>
              <w:bottom w:val="single" w:sz="4" w:space="0" w:color="000000"/>
            </w:tcBorders>
            <w:shd w:val="clear" w:color="auto" w:fill="auto"/>
            <w:vAlign w:val="center"/>
          </w:tcPr>
          <w:p w14:paraId="12CFD412" w14:textId="77777777" w:rsidR="00AC1D5B" w:rsidRPr="00F0736F" w:rsidRDefault="00AC1D5B" w:rsidP="00AC1D5B">
            <w:pPr>
              <w:jc w:val="both"/>
              <w:rPr>
                <w:color w:val="000000" w:themeColor="text1"/>
                <w:sz w:val="20"/>
                <w:szCs w:val="20"/>
              </w:rPr>
            </w:pPr>
            <w:r w:rsidRPr="00F0736F">
              <w:rPr>
                <w:rFonts w:ascii="Times New Roman" w:hAnsi="Times New Roman" w:cs="Times New Roman"/>
                <w:color w:val="000000" w:themeColor="text1"/>
                <w:sz w:val="20"/>
                <w:szCs w:val="20"/>
              </w:rPr>
              <w:t>Средняя площадь одного лесного пожара на территории государственного лесного фонда, находящегося в ведении местных исполнительных органов, тыс. га</w:t>
            </w:r>
          </w:p>
        </w:tc>
        <w:tc>
          <w:tcPr>
            <w:tcW w:w="1050" w:type="dxa"/>
            <w:tcBorders>
              <w:top w:val="single" w:sz="4" w:space="0" w:color="000000"/>
              <w:left w:val="single" w:sz="4" w:space="0" w:color="000000"/>
              <w:bottom w:val="single" w:sz="4" w:space="0" w:color="000000"/>
            </w:tcBorders>
            <w:shd w:val="clear" w:color="auto" w:fill="auto"/>
            <w:vAlign w:val="center"/>
          </w:tcPr>
          <w:p w14:paraId="4A076884" w14:textId="77777777" w:rsidR="00AC1D5B" w:rsidRPr="00F0736F" w:rsidRDefault="00AC1D5B" w:rsidP="00AC1D5B">
            <w:pPr>
              <w:jc w:val="center"/>
              <w:rPr>
                <w:color w:val="000000" w:themeColor="text1"/>
                <w:sz w:val="20"/>
                <w:szCs w:val="20"/>
                <w:lang w:val="kk-KZ"/>
              </w:rPr>
            </w:pPr>
            <w:r w:rsidRPr="00F0736F">
              <w:rPr>
                <w:rFonts w:ascii="Times New Roman" w:hAnsi="Times New Roman" w:cs="Times New Roman"/>
                <w:color w:val="000000" w:themeColor="text1"/>
                <w:sz w:val="20"/>
                <w:szCs w:val="20"/>
                <w:lang w:val="kk-KZ"/>
              </w:rPr>
              <w:t>0,0017</w:t>
            </w:r>
          </w:p>
        </w:tc>
        <w:tc>
          <w:tcPr>
            <w:tcW w:w="893" w:type="dxa"/>
            <w:tcBorders>
              <w:top w:val="single" w:sz="4" w:space="0" w:color="000000"/>
              <w:left w:val="single" w:sz="4" w:space="0" w:color="000000"/>
              <w:bottom w:val="single" w:sz="4" w:space="0" w:color="000000"/>
            </w:tcBorders>
            <w:shd w:val="clear" w:color="auto" w:fill="auto"/>
            <w:vAlign w:val="center"/>
          </w:tcPr>
          <w:p w14:paraId="19416FB7" w14:textId="77777777" w:rsidR="00AC1D5B" w:rsidRPr="00F0736F" w:rsidRDefault="00AC1D5B" w:rsidP="00AC1D5B">
            <w:pPr>
              <w:jc w:val="center"/>
              <w:rPr>
                <w:color w:val="000000" w:themeColor="text1"/>
                <w:sz w:val="20"/>
                <w:szCs w:val="20"/>
              </w:rPr>
            </w:pPr>
            <w:r w:rsidRPr="00F0736F">
              <w:rPr>
                <w:rFonts w:ascii="Times New Roman" w:hAnsi="Times New Roman" w:cs="Times New Roman"/>
                <w:color w:val="000000" w:themeColor="text1"/>
                <w:sz w:val="20"/>
                <w:szCs w:val="20"/>
              </w:rPr>
              <w:t>0,003</w:t>
            </w:r>
          </w:p>
        </w:tc>
        <w:tc>
          <w:tcPr>
            <w:tcW w:w="1035" w:type="dxa"/>
            <w:tcBorders>
              <w:top w:val="single" w:sz="4" w:space="0" w:color="000000"/>
              <w:left w:val="single" w:sz="4" w:space="0" w:color="000000"/>
              <w:bottom w:val="single" w:sz="4" w:space="0" w:color="000000"/>
            </w:tcBorders>
            <w:shd w:val="clear" w:color="auto" w:fill="auto"/>
            <w:vAlign w:val="center"/>
          </w:tcPr>
          <w:p w14:paraId="7E677833" w14:textId="77777777" w:rsidR="00AC1D5B" w:rsidRPr="00F0736F" w:rsidRDefault="00AC1D5B" w:rsidP="00AC1D5B">
            <w:pPr>
              <w:jc w:val="center"/>
              <w:rPr>
                <w:color w:val="000000" w:themeColor="text1"/>
                <w:sz w:val="20"/>
                <w:szCs w:val="20"/>
                <w:lang w:val="kk-KZ"/>
              </w:rPr>
            </w:pPr>
            <w:r w:rsidRPr="00F0736F">
              <w:rPr>
                <w:rFonts w:ascii="Times New Roman" w:hAnsi="Times New Roman" w:cs="Times New Roman"/>
                <w:color w:val="000000" w:themeColor="text1"/>
                <w:sz w:val="20"/>
                <w:szCs w:val="20"/>
                <w:lang w:val="kk-KZ"/>
              </w:rPr>
              <w:t>0,004</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299F" w14:textId="77777777" w:rsidR="00AC1D5B" w:rsidRPr="00F0736F" w:rsidRDefault="00AC1D5B" w:rsidP="00AC1D5B">
            <w:pPr>
              <w:ind w:firstLine="22"/>
              <w:jc w:val="center"/>
              <w:rPr>
                <w:color w:val="000000" w:themeColor="text1"/>
                <w:sz w:val="20"/>
                <w:szCs w:val="20"/>
                <w:lang w:val="kk-KZ"/>
              </w:rPr>
            </w:pPr>
            <w:r w:rsidRPr="00F0736F">
              <w:rPr>
                <w:rFonts w:ascii="Times New Roman" w:hAnsi="Times New Roman" w:cs="Times New Roman"/>
                <w:color w:val="000000" w:themeColor="text1"/>
                <w:sz w:val="20"/>
                <w:szCs w:val="20"/>
                <w:lang w:val="kk-KZ"/>
              </w:rPr>
              <w:t>0,013</w:t>
            </w:r>
          </w:p>
        </w:tc>
      </w:tr>
    </w:tbl>
    <w:p w14:paraId="42CED094" w14:textId="77777777" w:rsidR="00AC1D5B" w:rsidRPr="00F0736F" w:rsidRDefault="00AC1D5B" w:rsidP="00AC1D5B">
      <w:pPr>
        <w:ind w:firstLine="709"/>
        <w:jc w:val="both"/>
        <w:rPr>
          <w:rFonts w:ascii="Times New Roman" w:hAnsi="Times New Roman" w:cs="Times New Roman"/>
          <w:color w:val="000000" w:themeColor="text1"/>
        </w:rPr>
      </w:pPr>
    </w:p>
    <w:p w14:paraId="13249F8D"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На территории области обитают 379 видов птиц и 110 видов млекопитающих, а также встречаются 50 видов</w:t>
      </w:r>
      <w:r w:rsidRPr="00F0736F">
        <w:rPr>
          <w:rFonts w:ascii="Times New Roman" w:hAnsi="Times New Roman" w:cs="Times New Roman"/>
          <w:color w:val="000000" w:themeColor="text1"/>
          <w:lang w:eastAsia="en-US"/>
        </w:rPr>
        <w:t xml:space="preserve"> редких и находящихся </w:t>
      </w:r>
      <w:r w:rsidRPr="00F0736F">
        <w:rPr>
          <w:rFonts w:ascii="Times New Roman" w:hAnsi="Times New Roman" w:cs="Times New Roman"/>
          <w:bCs/>
          <w:color w:val="000000" w:themeColor="text1"/>
        </w:rPr>
        <w:t xml:space="preserve">под угрозой исчезновения видов растений и животных, занесенных в Красную книгу Республики Казахстан. В области имеется 57 охотничьих хозяйств, площадь которых составляет 15,9 млн. га. Процент закрепления площадей </w:t>
      </w:r>
      <w:r w:rsidRPr="00F0736F">
        <w:rPr>
          <w:rFonts w:ascii="Times New Roman" w:hAnsi="Times New Roman" w:cs="Times New Roman"/>
          <w:b/>
          <w:bCs/>
          <w:color w:val="000000" w:themeColor="text1"/>
        </w:rPr>
        <w:t>охотничьих угодий</w:t>
      </w:r>
      <w:r w:rsidRPr="00F0736F">
        <w:rPr>
          <w:rFonts w:ascii="Times New Roman" w:hAnsi="Times New Roman" w:cs="Times New Roman"/>
          <w:bCs/>
          <w:color w:val="000000" w:themeColor="text1"/>
        </w:rPr>
        <w:t xml:space="preserve"> по Восточно-Казахстанской области составляет 81,3%. </w:t>
      </w:r>
      <w:r w:rsidRPr="00F0736F">
        <w:rPr>
          <w:rFonts w:ascii="Times New Roman" w:hAnsi="Times New Roman" w:cs="Times New Roman"/>
          <w:color w:val="000000" w:themeColor="text1"/>
        </w:rPr>
        <w:t xml:space="preserve">Повсеместно ведутся работы по пропаганде охраны животного мира и бережного отношения к окружающей среде. В целом, в результате проводимых </w:t>
      </w:r>
      <w:r w:rsidRPr="00F0736F">
        <w:rPr>
          <w:rFonts w:ascii="Times New Roman" w:hAnsi="Times New Roman" w:cs="Times New Roman"/>
          <w:color w:val="000000" w:themeColor="text1"/>
          <w:lang w:eastAsia="en-US"/>
        </w:rPr>
        <w:t>биотехнических</w:t>
      </w:r>
      <w:r w:rsidRPr="00F0736F">
        <w:rPr>
          <w:rFonts w:ascii="Times New Roman" w:hAnsi="Times New Roman" w:cs="Times New Roman"/>
          <w:color w:val="000000" w:themeColor="text1"/>
        </w:rPr>
        <w:t xml:space="preserve"> мероприятий удалось стабилизировать состояние популяций основных охотничье-промысловых видов диких животных в государственном лесном фонде и добиться устойчивого роста их численности. Всего в области имеется 37 охотничье-промысловых видов </w:t>
      </w:r>
      <w:r w:rsidRPr="00F0736F">
        <w:rPr>
          <w:rFonts w:ascii="Times New Roman" w:hAnsi="Times New Roman" w:cs="Times New Roman"/>
          <w:b/>
          <w:bCs/>
          <w:color w:val="000000" w:themeColor="text1"/>
        </w:rPr>
        <w:t>диких животных</w:t>
      </w:r>
      <w:r w:rsidRPr="00F0736F">
        <w:rPr>
          <w:rFonts w:ascii="Times New Roman" w:hAnsi="Times New Roman" w:cs="Times New Roman"/>
          <w:color w:val="000000" w:themeColor="text1"/>
        </w:rPr>
        <w:t xml:space="preserve">. Эффективно проводятся биотехнические мероприятия по снижению пресса хищничества волка, одичавших собак в охотничьих угодьях, серой вороны в местах гнездования боровой и водоплавающей дичи. </w:t>
      </w:r>
    </w:p>
    <w:p w14:paraId="7F09994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сохранения популяции рыб ежегодно проводятся работы по увеличению зарыбления водоемов с 4 млн. шт. (в 2016 году) до 11,6 млн. шт. (в 2018 году). </w:t>
      </w:r>
      <w:r w:rsidRPr="00F0736F">
        <w:rPr>
          <w:rFonts w:ascii="Times New Roman" w:eastAsia="Calibri" w:hAnsi="Times New Roman" w:cs="Times New Roman"/>
          <w:color w:val="000000" w:themeColor="text1"/>
          <w:lang w:eastAsia="en-US"/>
        </w:rPr>
        <w:t xml:space="preserve">Лимит вылова рыбы на 2019 год – 9,2 тысяч т. Освоение лимита — </w:t>
      </w:r>
      <w:r w:rsidRPr="00F0736F">
        <w:rPr>
          <w:rFonts w:ascii="Times New Roman" w:eastAsia="Calibri" w:hAnsi="Times New Roman" w:cs="Times New Roman"/>
          <w:color w:val="000000" w:themeColor="text1"/>
          <w:lang w:val="kk-KZ" w:eastAsia="en-US"/>
        </w:rPr>
        <w:t>67</w:t>
      </w:r>
      <w:r w:rsidRPr="00F0736F">
        <w:rPr>
          <w:rFonts w:ascii="Times New Roman" w:eastAsia="Calibri" w:hAnsi="Times New Roman" w:cs="Times New Roman"/>
          <w:color w:val="000000" w:themeColor="text1"/>
          <w:lang w:eastAsia="en-US"/>
        </w:rPr>
        <w:t>%. На водоемах международного и республиканского значения –</w:t>
      </w:r>
      <w:r w:rsidRPr="00F0736F">
        <w:rPr>
          <w:rFonts w:ascii="Times New Roman" w:eastAsia="Calibri" w:hAnsi="Times New Roman" w:cs="Times New Roman"/>
          <w:color w:val="000000" w:themeColor="text1"/>
          <w:lang w:val="kk-KZ" w:eastAsia="en-US"/>
        </w:rPr>
        <w:t xml:space="preserve"> </w:t>
      </w:r>
      <w:r w:rsidRPr="00F0736F">
        <w:rPr>
          <w:rFonts w:ascii="Times New Roman" w:eastAsia="Calibri" w:hAnsi="Times New Roman" w:cs="Times New Roman"/>
          <w:color w:val="000000" w:themeColor="text1"/>
          <w:lang w:eastAsia="en-US"/>
        </w:rPr>
        <w:t>60 участков, из них закреплено 25. Незакрепленными остаются 35 участков. Из 96 водоемов местного значения закреплено 27 водоемов. Незакрепленными остаются 69 водоемов.</w:t>
      </w:r>
    </w:p>
    <w:p w14:paraId="2E49DCFC"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По состоянию на 1 января 2020 года по Восточно-Казахстанской области площадь природоохранных учреждений составила 1680311 га:</w:t>
      </w:r>
    </w:p>
    <w:p w14:paraId="62AF7F32"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- 3 государственных природных заповедника</w:t>
      </w:r>
      <w:r w:rsidRPr="00F0736F">
        <w:rPr>
          <w:rFonts w:ascii="Times New Roman" w:eastAsia="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rPr>
        <w:t>(Западно-Алтайский, Маркакольский, Алакольский);</w:t>
      </w:r>
    </w:p>
    <w:p w14:paraId="01AF7E3B"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- 2 государственных национальных природных парка (Катон-Карагайский, «Тарбагатай»);</w:t>
      </w:r>
    </w:p>
    <w:p w14:paraId="448A4179"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- 1 государственный лесной природный резерват («Семей Орманы»);</w:t>
      </w:r>
    </w:p>
    <w:p w14:paraId="06FEA6F7"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rPr>
        <w:t xml:space="preserve">- 5 государственных природных заказников республиканского значения (Нижне-Тургусунский, Каратальские пески, Кулуджунский (зоологический), Тарбагатайский (зоологический), «Онтүстік </w:t>
      </w:r>
      <w:r w:rsidRPr="00F0736F">
        <w:rPr>
          <w:rFonts w:ascii="Times New Roman" w:eastAsia="Times New Roman" w:hAnsi="Times New Roman" w:cs="Times New Roman"/>
          <w:color w:val="000000" w:themeColor="text1"/>
          <w:lang w:val="kk-KZ"/>
        </w:rPr>
        <w:t>Алтай» (комплексный);</w:t>
      </w:r>
    </w:p>
    <w:p w14:paraId="7257FA57" w14:textId="77777777" w:rsidR="00AC1D5B" w:rsidRPr="00F0736F" w:rsidRDefault="00AC1D5B" w:rsidP="00AC1D5B">
      <w:pPr>
        <w:ind w:firstLine="709"/>
        <w:contextualSpacing/>
        <w:jc w:val="both"/>
        <w:rPr>
          <w:color w:val="000000" w:themeColor="text1"/>
        </w:rPr>
      </w:pPr>
      <w:r w:rsidRPr="00F0736F">
        <w:rPr>
          <w:rFonts w:ascii="Times New Roman" w:eastAsia="Times New Roman" w:hAnsi="Times New Roman" w:cs="Times New Roman"/>
          <w:color w:val="000000" w:themeColor="text1"/>
          <w:lang w:val="kk-KZ"/>
        </w:rPr>
        <w:t>- 1 памятник природы республиканского значения</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kk-KZ"/>
        </w:rPr>
        <w:t>«Синегорская пихтовая роща».</w:t>
      </w:r>
    </w:p>
    <w:p w14:paraId="342BC6AE"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Создание особо охраняемых природных территорий способствовует сохранению и увеличению числа редких и находящихся под угрозой исчезновения видов животных. На территории области обитают и охраняются такие животные, как снежный барс, манул, алтайский горный баран, казахстанский архар, каменная куница, алтайский улар, черный аист, беркут, балобан, сапсан, орлан-белохвост, дрофа, эндемичные виды рыб – ленок, ускуч, таймень. Каждый из этих видов является драгоценным камнем в копилке сокровищ природы Западного и Южного Алтая.</w:t>
      </w:r>
    </w:p>
    <w:p w14:paraId="0E71CA6B"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Восточный Казахстан, несмотря на особенности климатических условий, обладает потенциалом развития </w:t>
      </w:r>
      <w:r w:rsidRPr="00F0736F">
        <w:rPr>
          <w:rFonts w:ascii="Times New Roman" w:hAnsi="Times New Roman" w:cs="Times New Roman"/>
          <w:b/>
          <w:color w:val="000000" w:themeColor="text1"/>
        </w:rPr>
        <w:t>туризма</w:t>
      </w:r>
      <w:r w:rsidRPr="00F0736F">
        <w:rPr>
          <w:rFonts w:ascii="Times New Roman" w:hAnsi="Times New Roman" w:cs="Times New Roman"/>
          <w:color w:val="000000" w:themeColor="text1"/>
        </w:rPr>
        <w:t xml:space="preserve">: в регионе 24 природоохранные зоны общенационального значения площадью 1,7 млн. га, свыше 600 памятников истории и свыше 100 памятников туризма. </w:t>
      </w:r>
    </w:p>
    <w:p w14:paraId="3E6F301B"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Зарегистрировано 17 памятников истории и культуры республиканского значения и 592 памятника местного значения, реализуется масштабный проект в сфере археологии с участием ведущих ученых мира. По результатам археологических исследований за 3 года выявлено 424 объекта историко-культурного наследия, проведена паспортизация 226 памятников. За 2016 - 2017 годы исследовано 5 выдающихся объектов археологии, обладающих туристским потенциалом. Около 4807 артефактов, выявленных в ходе проведенных в 2017 году работ, пополнили фонд областного историко-краеведческого музея. В археологических исследованиях приняли участие авторитетные археологи из 9 зарубежных стран. Одним из весомых результатов является создание музея под открытым небом на уникальном комплексе Берель в Катон-Карагайском районе.</w:t>
      </w:r>
    </w:p>
    <w:p w14:paraId="4A954F5A" w14:textId="77777777" w:rsidR="00AC1D5B" w:rsidRPr="00F0736F" w:rsidRDefault="00AC1D5B" w:rsidP="00AC1D5B">
      <w:pPr>
        <w:pBdr>
          <w:bottom w:val="single" w:sz="4" w:space="23" w:color="FFFFFF"/>
        </w:pBdr>
        <w:suppressAutoHyphens w:val="0"/>
        <w:overflowPunct/>
        <w:ind w:firstLine="709"/>
        <w:jc w:val="both"/>
        <w:rPr>
          <w:color w:val="000000" w:themeColor="text1"/>
        </w:rPr>
      </w:pPr>
      <w:r w:rsidRPr="00F0736F">
        <w:rPr>
          <w:rFonts w:ascii="Times New Roman" w:hAnsi="Times New Roman" w:cs="Times New Roman"/>
          <w:color w:val="000000" w:themeColor="text1"/>
        </w:rPr>
        <w:t xml:space="preserve">Ключевыми местами туристского интереса являются гора Белуха, Австрийская дорога, озера Алаколь и Маркаколь, Бухтарминское водохранилище, каньон Киин-Кериш, природно-исторический памятник Акбаур, мемориальный комплекс дома-музея Абая Кунанбаева в Жидебай-Борили, мавзолеи Козы Корпеш-Баян Сулу, Енлик-Кебек, памятник Ыргызбай-ата. </w:t>
      </w:r>
    </w:p>
    <w:p w14:paraId="5D121DD7"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w:t>
      </w:r>
      <w:r w:rsidRPr="00F0736F">
        <w:rPr>
          <w:rFonts w:ascii="Times New Roman" w:hAnsi="Times New Roman" w:cs="Times New Roman"/>
          <w:color w:val="000000" w:themeColor="text1"/>
          <w:lang w:val="kk-KZ"/>
        </w:rPr>
        <w:t>2019</w:t>
      </w:r>
      <w:r w:rsidRPr="00F0736F">
        <w:rPr>
          <w:rFonts w:ascii="Times New Roman" w:hAnsi="Times New Roman" w:cs="Times New Roman"/>
          <w:color w:val="000000" w:themeColor="text1"/>
        </w:rPr>
        <w:t xml:space="preserve"> года область занимает первое место в республике по количеству мест размещения, </w:t>
      </w:r>
      <w:r w:rsidRPr="00F0736F">
        <w:rPr>
          <w:rFonts w:ascii="Times New Roman" w:hAnsi="Times New Roman" w:cs="Times New Roman"/>
          <w:color w:val="000000" w:themeColor="text1"/>
          <w:lang w:val="kk-KZ"/>
        </w:rPr>
        <w:t>четвертое</w:t>
      </w:r>
      <w:r w:rsidRPr="00F0736F">
        <w:rPr>
          <w:rFonts w:ascii="Times New Roman" w:hAnsi="Times New Roman" w:cs="Times New Roman"/>
          <w:color w:val="000000" w:themeColor="text1"/>
        </w:rPr>
        <w:t xml:space="preserve"> место после городов Нур-Султан, Алматы</w:t>
      </w:r>
      <w:r w:rsidRPr="00F0736F">
        <w:rPr>
          <w:rFonts w:ascii="Times New Roman" w:hAnsi="Times New Roman" w:cs="Times New Roman"/>
          <w:color w:val="000000" w:themeColor="text1"/>
          <w:lang w:val="kk-KZ"/>
        </w:rPr>
        <w:t xml:space="preserve"> и Алматинской области</w:t>
      </w:r>
      <w:r w:rsidRPr="00F0736F">
        <w:rPr>
          <w:rFonts w:ascii="Times New Roman" w:hAnsi="Times New Roman" w:cs="Times New Roman"/>
          <w:color w:val="000000" w:themeColor="text1"/>
        </w:rPr>
        <w:t xml:space="preserve"> по объемам внутреннего туризма. </w:t>
      </w:r>
    </w:p>
    <w:p w14:paraId="1B0F9B66"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Согласно официальной статистике в прошлом году количество посетителей области составило более 600 тыс. человек (рост 8,4%).</w:t>
      </w:r>
    </w:p>
    <w:p w14:paraId="40C946CF"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Количество нерезидентов увеличилось на 3,1% и составило 29 741 человек.</w:t>
      </w:r>
    </w:p>
    <w:p w14:paraId="04AE5A3B"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Количество резидентов увеличилось на 8,7% и составило 582948 человек.</w:t>
      </w:r>
    </w:p>
    <w:p w14:paraId="2FC8338B" w14:textId="77777777" w:rsidR="00AC1D5B" w:rsidRPr="00F0736F" w:rsidRDefault="00AC1D5B" w:rsidP="00AC1D5B">
      <w:pPr>
        <w:pBdr>
          <w:bottom w:val="single" w:sz="4" w:space="23" w:color="FFFFFF"/>
        </w:pBdr>
        <w:suppressAutoHyphens w:val="0"/>
        <w:overflowPunct/>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 последние три года сохраняется положительная динамика роста туристского потока, который увеличился на 33%.</w:t>
      </w:r>
    </w:p>
    <w:p w14:paraId="2E6E387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2.5.7 Количество посетителей области</w:t>
      </w:r>
    </w:p>
    <w:tbl>
      <w:tblPr>
        <w:tblW w:w="87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2060"/>
        <w:gridCol w:w="2060"/>
        <w:gridCol w:w="2060"/>
      </w:tblGrid>
      <w:tr w:rsidR="00F0736F" w:rsidRPr="00F0736F" w14:paraId="3FC977B1" w14:textId="77777777" w:rsidTr="000B2B8A">
        <w:trPr>
          <w:trHeight w:val="259"/>
        </w:trPr>
        <w:tc>
          <w:tcPr>
            <w:tcW w:w="2575" w:type="dxa"/>
            <w:shd w:val="clear" w:color="auto" w:fill="auto"/>
          </w:tcPr>
          <w:p w14:paraId="5579B07B" w14:textId="77777777" w:rsidR="00AC1D5B" w:rsidRPr="00F0736F" w:rsidRDefault="00AC1D5B" w:rsidP="00AC1D5B">
            <w:pPr>
              <w:ind w:firstLine="709"/>
              <w:jc w:val="both"/>
              <w:rPr>
                <w:rFonts w:ascii="Times New Roman" w:hAnsi="Times New Roman" w:cs="Times New Roman"/>
                <w:color w:val="000000" w:themeColor="text1"/>
                <w:sz w:val="20"/>
                <w:szCs w:val="20"/>
              </w:rPr>
            </w:pPr>
          </w:p>
        </w:tc>
        <w:tc>
          <w:tcPr>
            <w:tcW w:w="2060" w:type="dxa"/>
            <w:shd w:val="clear" w:color="auto" w:fill="auto"/>
          </w:tcPr>
          <w:p w14:paraId="38744ACE"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2017</w:t>
            </w:r>
          </w:p>
        </w:tc>
        <w:tc>
          <w:tcPr>
            <w:tcW w:w="2060" w:type="dxa"/>
            <w:shd w:val="clear" w:color="auto" w:fill="auto"/>
          </w:tcPr>
          <w:p w14:paraId="60669ECB"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2018</w:t>
            </w:r>
          </w:p>
        </w:tc>
        <w:tc>
          <w:tcPr>
            <w:tcW w:w="2060" w:type="dxa"/>
            <w:shd w:val="clear" w:color="auto" w:fill="auto"/>
          </w:tcPr>
          <w:p w14:paraId="5BE6C968"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w:t>
            </w:r>
          </w:p>
        </w:tc>
      </w:tr>
      <w:tr w:rsidR="00AC1D5B" w:rsidRPr="00F0736F" w14:paraId="17F7473E" w14:textId="77777777" w:rsidTr="000B2B8A">
        <w:trPr>
          <w:trHeight w:val="243"/>
        </w:trPr>
        <w:tc>
          <w:tcPr>
            <w:tcW w:w="2575" w:type="dxa"/>
            <w:shd w:val="clear" w:color="auto" w:fill="auto"/>
          </w:tcPr>
          <w:p w14:paraId="2F01A422"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ВКО</w:t>
            </w:r>
          </w:p>
        </w:tc>
        <w:tc>
          <w:tcPr>
            <w:tcW w:w="2060" w:type="dxa"/>
            <w:shd w:val="clear" w:color="auto" w:fill="auto"/>
          </w:tcPr>
          <w:p w14:paraId="6D02763A"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486 157</w:t>
            </w:r>
          </w:p>
        </w:tc>
        <w:tc>
          <w:tcPr>
            <w:tcW w:w="2060" w:type="dxa"/>
            <w:shd w:val="clear" w:color="auto" w:fill="auto"/>
          </w:tcPr>
          <w:p w14:paraId="127E9306"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565 030</w:t>
            </w:r>
          </w:p>
        </w:tc>
        <w:tc>
          <w:tcPr>
            <w:tcW w:w="2060" w:type="dxa"/>
            <w:shd w:val="clear" w:color="auto" w:fill="auto"/>
          </w:tcPr>
          <w:p w14:paraId="1CDAFBB6"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612 689</w:t>
            </w:r>
          </w:p>
        </w:tc>
      </w:tr>
    </w:tbl>
    <w:p w14:paraId="0474CC00" w14:textId="77777777" w:rsidR="00AC1D5B" w:rsidRPr="00F0736F" w:rsidRDefault="00AC1D5B" w:rsidP="00AC1D5B">
      <w:pPr>
        <w:ind w:firstLine="709"/>
        <w:jc w:val="both"/>
        <w:rPr>
          <w:rFonts w:ascii="Times New Roman" w:hAnsi="Times New Roman" w:cs="Times New Roman"/>
          <w:color w:val="000000" w:themeColor="text1"/>
        </w:rPr>
      </w:pPr>
    </w:p>
    <w:p w14:paraId="0FC2D18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сегодня, в области действуют 576 мест размещений, с единовременной вместимостью более тридцати трех тысяч койко-мест (33 тыс).</w:t>
      </w:r>
    </w:p>
    <w:p w14:paraId="3FEBE980" w14:textId="673B32C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Туристские услуги оказывают 115 фирм (51 туроператор и 64 турагента), количество зарегистрированных мест размещения в 2017 году – 505 объектов (2016 г. – 455), с номерным фондом 8958 номеров (2016 г. – 8320) и единовременной вместимостью 27</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841 койко-мест (2016 г. – 25</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 xml:space="preserve">847). Объем оказанных услуг составил более 6 млрд. </w:t>
      </w:r>
      <w:r w:rsidRPr="00F0736F">
        <w:rPr>
          <w:rFonts w:ascii="Times New Roman" w:hAnsi="Times New Roman" w:cs="Times New Roman"/>
          <w:color w:val="000000" w:themeColor="text1"/>
          <w:lang w:val="kk-KZ"/>
        </w:rPr>
        <w:t xml:space="preserve">338 млн. </w:t>
      </w:r>
      <w:r w:rsidRPr="00F0736F">
        <w:rPr>
          <w:rFonts w:ascii="Times New Roman" w:hAnsi="Times New Roman" w:cs="Times New Roman"/>
          <w:color w:val="000000" w:themeColor="text1"/>
        </w:rPr>
        <w:t>тенге (рост на 7,6%).</w:t>
      </w:r>
    </w:p>
    <w:p w14:paraId="5869B0B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соответствии с Концепцией развития туристской отрасли Республики Казахстан до 2023 года в </w:t>
      </w:r>
      <w:r w:rsidRPr="00F0736F">
        <w:rPr>
          <w:rFonts w:ascii="Times New Roman" w:hAnsi="Times New Roman" w:cs="Times New Roman"/>
          <w:color w:val="000000" w:themeColor="text1"/>
          <w:lang w:val="kk-KZ"/>
        </w:rPr>
        <w:t xml:space="preserve">Восточно-Казахстанской </w:t>
      </w:r>
      <w:r w:rsidRPr="00F0736F">
        <w:rPr>
          <w:rFonts w:ascii="Times New Roman" w:hAnsi="Times New Roman" w:cs="Times New Roman"/>
          <w:color w:val="000000" w:themeColor="text1"/>
        </w:rPr>
        <w:t xml:space="preserve">области </w:t>
      </w:r>
      <w:r w:rsidRPr="00F0736F">
        <w:rPr>
          <w:rFonts w:ascii="Times New Roman" w:hAnsi="Times New Roman" w:cs="Times New Roman"/>
          <w:color w:val="000000" w:themeColor="text1"/>
          <w:lang w:val="kk-KZ"/>
        </w:rPr>
        <w:t xml:space="preserve">проводится комплексная </w:t>
      </w:r>
      <w:r w:rsidRPr="00F0736F">
        <w:rPr>
          <w:rFonts w:ascii="Times New Roman" w:hAnsi="Times New Roman" w:cs="Times New Roman"/>
          <w:color w:val="000000" w:themeColor="text1"/>
        </w:rPr>
        <w:t xml:space="preserve">работа по формированию туристского кластера «Жемчужина Алтая». Составлена туристская карта сакральных мест области, разработано 23 тематических туристских маршрута. Поэтапно принимаются меры по развитию туристской инфраструктуры к сакральным объектам. </w:t>
      </w:r>
    </w:p>
    <w:p w14:paraId="69AD0E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«Дорожной карты развития туристской отрасли ВКО на 2017 - 2023 годы» реализуется 25 проектов на 7,2 млрд. тенге, 2017 году реализовано 4 проекта на 242,8 млн. тенге.</w:t>
      </w:r>
    </w:p>
    <w:p w14:paraId="2F107E4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улучшена туристская инфраструктура в пещере Коныр-аулие в Абайском районе, проведена ЛЭП и благоустроена территория вокруг мавзолея Ыргызбай (Аулие) в Тарбагатайском районе, благоустроен пляж на побережье озера Шалкар (или 3-го Сибинского озера). Проведено благоустройство побережья озера Алаколь, построен парк, объекты приведены в соответствие требованиям пожарной и санитарной безопасности. </w:t>
      </w:r>
    </w:p>
    <w:p w14:paraId="26C8AF6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последние 2 года отремонтированы автомобильные дороги по основным туристическим направлениям (к озёрам Алаколь, Сибины, Маркаколь, горнолыжным базам «Нуртау», «Алтайские Альпы») на общую сумму 4,3 млрд. тенге. В </w:t>
      </w:r>
      <w:r w:rsidRPr="00F0736F">
        <w:rPr>
          <w:rFonts w:ascii="Times New Roman" w:hAnsi="Times New Roman" w:cs="Times New Roman"/>
          <w:color w:val="000000" w:themeColor="text1"/>
          <w:lang w:val="kk-KZ"/>
        </w:rPr>
        <w:t xml:space="preserve">ближайшие годы на озере Алаколь </w:t>
      </w:r>
      <w:r w:rsidRPr="00F0736F">
        <w:rPr>
          <w:rFonts w:ascii="Times New Roman" w:hAnsi="Times New Roman" w:cs="Times New Roman"/>
          <w:color w:val="000000" w:themeColor="text1"/>
        </w:rPr>
        <w:t>планируется строительство 10 пирсов</w:t>
      </w:r>
      <w:r w:rsidRPr="00F0736F">
        <w:rPr>
          <w:rFonts w:ascii="Times New Roman" w:hAnsi="Times New Roman" w:cs="Times New Roman"/>
          <w:color w:val="000000" w:themeColor="text1"/>
          <w:lang w:val="kk-KZ"/>
        </w:rPr>
        <w:t>. П</w:t>
      </w:r>
      <w:r w:rsidRPr="00F0736F">
        <w:rPr>
          <w:rFonts w:ascii="Times New Roman" w:hAnsi="Times New Roman" w:cs="Times New Roman"/>
          <w:color w:val="000000" w:themeColor="text1"/>
        </w:rPr>
        <w:t xml:space="preserve">ланируется завершить ремонт автодороги от станции Жаланашколь до с. Кабанбай (оз. Алаколь) и благоустройство побережья озера Алаколь. </w:t>
      </w:r>
    </w:p>
    <w:p w14:paraId="7BFEAF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Ежегодно с </w:t>
      </w:r>
      <w:r w:rsidRPr="00F0736F">
        <w:rPr>
          <w:rFonts w:ascii="Times New Roman" w:hAnsi="Times New Roman" w:cs="Times New Roman"/>
          <w:color w:val="000000" w:themeColor="text1"/>
          <w:lang w:val="kk-KZ"/>
        </w:rPr>
        <w:t>июля</w:t>
      </w:r>
      <w:r w:rsidRPr="00F0736F">
        <w:rPr>
          <w:rFonts w:ascii="Times New Roman" w:hAnsi="Times New Roman" w:cs="Times New Roman"/>
          <w:color w:val="000000" w:themeColor="text1"/>
        </w:rPr>
        <w:t xml:space="preserve"> по сентябрь из городов Семей и Усть-Каменогорск до ст. Жаланашколь курсируют поезда. Авиасообщение до села Урджар обеспечено 3 маршрутами, также до озера Алаколь выполняются 4 прямых автобусных маршрута.</w:t>
      </w:r>
    </w:p>
    <w:p w14:paraId="749915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Совместно с Восточно-Казахстанским государственным техническим университетом им. Д. Серикбаева проведено </w:t>
      </w:r>
      <w:r w:rsidRPr="00F0736F">
        <w:rPr>
          <w:rFonts w:ascii="Times New Roman" w:hAnsi="Times New Roman" w:cs="Times New Roman"/>
          <w:bCs/>
          <w:color w:val="000000" w:themeColor="text1"/>
        </w:rPr>
        <w:t>исследование физико-химических свойств воды и грязи 8 озер и 2 родников области для получения бальнеологического заключения и развития лечебно-оздоровительного туризма в регионе (</w:t>
      </w:r>
      <w:r w:rsidRPr="00F0736F">
        <w:rPr>
          <w:rFonts w:ascii="Times New Roman" w:hAnsi="Times New Roman" w:cs="Times New Roman"/>
          <w:color w:val="000000" w:themeColor="text1"/>
        </w:rPr>
        <w:t>озера: Алаколь, Маркаколь, Зайсан, Сибинские, Дубыгалинское (Окуньки), Шыбындыколь и Рахмановские ключи, Санаторий «Барлык-Арасан», родник Коныр-Аулие, родник Святой Ключ</w:t>
      </w:r>
      <w:r w:rsidRPr="00F0736F">
        <w:rPr>
          <w:rFonts w:ascii="Times New Roman" w:hAnsi="Times New Roman" w:cs="Times New Roman"/>
          <w:bCs/>
          <w:color w:val="000000" w:themeColor="text1"/>
        </w:rPr>
        <w:t>).</w:t>
      </w:r>
      <w:r w:rsidRPr="00F0736F">
        <w:rPr>
          <w:rFonts w:ascii="Times New Roman" w:hAnsi="Times New Roman" w:cs="Times New Roman"/>
          <w:color w:val="000000" w:themeColor="text1"/>
          <w:sz w:val="28"/>
          <w:szCs w:val="28"/>
        </w:rPr>
        <w:t xml:space="preserve"> </w:t>
      </w:r>
    </w:p>
    <w:p w14:paraId="2FD46C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Разработаны карты баз отдыха на Бухтарминском водохранилище, озере Алаколь, готовится карта по Сибинским озерам.</w:t>
      </w:r>
    </w:p>
    <w:p w14:paraId="035D840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Сформирован единый информационный ресурс с функцией онлайн-бронирования мест размещения по побережью озера Алаколь. </w:t>
      </w:r>
    </w:p>
    <w:p w14:paraId="359EDEC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w:t>
      </w:r>
      <w:r w:rsidRPr="00F0736F">
        <w:rPr>
          <w:rFonts w:ascii="Times New Roman" w:hAnsi="Times New Roman" w:cs="Times New Roman"/>
          <w:color w:val="000000" w:themeColor="text1"/>
          <w:lang w:val="kk-KZ"/>
        </w:rPr>
        <w:t xml:space="preserve">рамках </w:t>
      </w:r>
      <w:r w:rsidRPr="00F0736F">
        <w:rPr>
          <w:rFonts w:ascii="Times New Roman" w:hAnsi="Times New Roman" w:cs="Times New Roman"/>
          <w:color w:val="000000" w:themeColor="text1"/>
        </w:rPr>
        <w:t>Гос</w:t>
      </w:r>
      <w:r w:rsidRPr="00F0736F">
        <w:rPr>
          <w:rFonts w:ascii="Times New Roman" w:hAnsi="Times New Roman" w:cs="Times New Roman"/>
          <w:color w:val="000000" w:themeColor="text1"/>
          <w:lang w:val="kk-KZ"/>
        </w:rPr>
        <w:t xml:space="preserve">ударственной </w:t>
      </w:r>
      <w:r w:rsidRPr="00F0736F">
        <w:rPr>
          <w:rFonts w:ascii="Times New Roman" w:hAnsi="Times New Roman" w:cs="Times New Roman"/>
          <w:color w:val="000000" w:themeColor="text1"/>
        </w:rPr>
        <w:t>программ</w:t>
      </w:r>
      <w:r w:rsidRPr="00F0736F">
        <w:rPr>
          <w:rFonts w:ascii="Times New Roman" w:hAnsi="Times New Roman" w:cs="Times New Roman"/>
          <w:color w:val="000000" w:themeColor="text1"/>
          <w:lang w:val="kk-KZ"/>
        </w:rPr>
        <w:t>ы</w:t>
      </w:r>
      <w:r w:rsidRPr="00F0736F">
        <w:rPr>
          <w:rFonts w:ascii="Times New Roman" w:hAnsi="Times New Roman" w:cs="Times New Roman"/>
          <w:color w:val="000000" w:themeColor="text1"/>
        </w:rPr>
        <w:t xml:space="preserve"> развития туризма до 2025 года</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планируется развитие основных точек роста туризма в регионе, в первую очередь это озеро Алаколь, которое признано одним из 10 приоритетных туристских </w:t>
      </w:r>
      <w:r w:rsidRPr="00F0736F">
        <w:rPr>
          <w:rFonts w:ascii="Times New Roman" w:hAnsi="Times New Roman" w:cs="Times New Roman"/>
          <w:color w:val="000000" w:themeColor="text1"/>
          <w:lang w:val="kk-KZ"/>
        </w:rPr>
        <w:t>дестинаций</w:t>
      </w:r>
      <w:r w:rsidRPr="00F0736F">
        <w:rPr>
          <w:rFonts w:ascii="Times New Roman" w:hAnsi="Times New Roman" w:cs="Times New Roman"/>
          <w:color w:val="000000" w:themeColor="text1"/>
        </w:rPr>
        <w:t xml:space="preserve"> республиканского масштаба и вошло в ТОП 10 Карты туристификации.</w:t>
      </w:r>
    </w:p>
    <w:p w14:paraId="2AD64BA5"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В целях развития туризма на побережье проведена поэтапная, комплексная работа, разработан мастер-план и детальный план развития.</w:t>
      </w:r>
    </w:p>
    <w:p w14:paraId="7A20C55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благоустройство и улучшение инфраструктуры озера Алаколь в 2016-2019 годы из областного бюджета выделено более 6 млрд. тенге, которые направлены на ремонт дорог, субсидирование железнодорожных и авиаперевозок, приобретение спецтехники для обслуживания баз отдыха, благоустройство побережья, строительство прогулочной зоны «Арбата», реконструкцию дома культуры и музея в с.Кабанбай. Для удобства отдыхающих проведен высокоскоростной интернет на набережную, открыт туристский информационный центр.</w:t>
      </w:r>
    </w:p>
    <w:p w14:paraId="56408B7A"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В ближайшие 4 года планируется реализация </w:t>
      </w:r>
      <w:r w:rsidRPr="00F0736F">
        <w:rPr>
          <w:rFonts w:ascii="Times New Roman" w:hAnsi="Times New Roman" w:cs="Times New Roman"/>
          <w:color w:val="000000" w:themeColor="text1"/>
          <w:lang w:val="kk-KZ"/>
        </w:rPr>
        <w:t>6</w:t>
      </w:r>
      <w:r w:rsidRPr="00F0736F">
        <w:rPr>
          <w:rFonts w:ascii="Times New Roman" w:hAnsi="Times New Roman" w:cs="Times New Roman"/>
          <w:color w:val="000000" w:themeColor="text1"/>
        </w:rPr>
        <w:t xml:space="preserve"> крупных инфраструктурных проектов на общую сумму порядка </w:t>
      </w:r>
      <w:r w:rsidRPr="00F0736F">
        <w:rPr>
          <w:rFonts w:ascii="Times New Roman" w:hAnsi="Times New Roman" w:cs="Times New Roman"/>
          <w:color w:val="000000" w:themeColor="text1"/>
          <w:lang w:val="kk-KZ"/>
        </w:rPr>
        <w:t>30</w:t>
      </w:r>
      <w:r w:rsidRPr="00F0736F">
        <w:rPr>
          <w:rFonts w:ascii="Times New Roman" w:hAnsi="Times New Roman" w:cs="Times New Roman"/>
          <w:color w:val="000000" w:themeColor="text1"/>
        </w:rPr>
        <w:t xml:space="preserve"> млрд. тенге. В том числе: строительство системы водоснабжения и водоотведения, </w:t>
      </w:r>
      <w:r w:rsidRPr="00F0736F">
        <w:rPr>
          <w:rFonts w:ascii="Times New Roman" w:hAnsi="Times New Roman" w:cs="Times New Roman"/>
          <w:color w:val="000000" w:themeColor="text1"/>
          <w:lang w:val="kk-KZ"/>
        </w:rPr>
        <w:t>линии электропередач</w:t>
      </w:r>
      <w:r w:rsidRPr="00F0736F">
        <w:rPr>
          <w:rFonts w:ascii="Times New Roman" w:hAnsi="Times New Roman" w:cs="Times New Roman"/>
          <w:color w:val="000000" w:themeColor="text1"/>
        </w:rPr>
        <w:t>; берегоукрепление</w:t>
      </w:r>
      <w:r w:rsidRPr="00F0736F">
        <w:rPr>
          <w:rFonts w:ascii="Times New Roman" w:hAnsi="Times New Roman" w:cs="Times New Roman"/>
          <w:color w:val="000000" w:themeColor="text1"/>
          <w:lang w:val="kk-KZ"/>
        </w:rPr>
        <w:t xml:space="preserve"> побережья</w:t>
      </w:r>
      <w:r w:rsidRPr="00F0736F">
        <w:rPr>
          <w:rFonts w:ascii="Times New Roman" w:hAnsi="Times New Roman" w:cs="Times New Roman"/>
          <w:color w:val="000000" w:themeColor="text1"/>
        </w:rPr>
        <w:t>; реконструкция взлетно-посадочной полосы аэропорта с. Урджар; осушение новой зоны побережья озера.</w:t>
      </w:r>
    </w:p>
    <w:p w14:paraId="0533A98E"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Также развивается инфраструктура на сакральных объектах. Благоустроена территория вокруг мавзолея Ыргызбай ата в Тарбагатайском районе на сумму 50 млн. тенге.</w:t>
      </w:r>
    </w:p>
    <w:p w14:paraId="29FC6515"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На сумму 25 млн. тенге проведено благоустройство Пещеры Коныр-Аулие. На 2,2 млрд. тенге </w:t>
      </w:r>
      <w:r w:rsidRPr="00F0736F">
        <w:rPr>
          <w:rFonts w:ascii="Times New Roman" w:hAnsi="Times New Roman" w:cs="Times New Roman"/>
          <w:color w:val="000000" w:themeColor="text1"/>
          <w:lang w:val="kk-KZ"/>
        </w:rPr>
        <w:t>от</w:t>
      </w:r>
      <w:r w:rsidRPr="00F0736F">
        <w:rPr>
          <w:rFonts w:ascii="Times New Roman" w:hAnsi="Times New Roman" w:cs="Times New Roman"/>
          <w:color w:val="000000" w:themeColor="text1"/>
        </w:rPr>
        <w:t>ремонт</w:t>
      </w:r>
      <w:r w:rsidRPr="00F0736F">
        <w:rPr>
          <w:rFonts w:ascii="Times New Roman" w:hAnsi="Times New Roman" w:cs="Times New Roman"/>
          <w:color w:val="000000" w:themeColor="text1"/>
          <w:lang w:val="kk-KZ"/>
        </w:rPr>
        <w:t>ирована</w:t>
      </w:r>
      <w:r w:rsidRPr="00F0736F">
        <w:rPr>
          <w:rFonts w:ascii="Times New Roman" w:hAnsi="Times New Roman" w:cs="Times New Roman"/>
          <w:color w:val="000000" w:themeColor="text1"/>
        </w:rPr>
        <w:t xml:space="preserve"> дорог</w:t>
      </w:r>
      <w:r w:rsidRPr="00F0736F">
        <w:rPr>
          <w:rFonts w:ascii="Times New Roman" w:hAnsi="Times New Roman" w:cs="Times New Roman"/>
          <w:color w:val="000000" w:themeColor="text1"/>
          <w:lang w:val="kk-KZ"/>
        </w:rPr>
        <w:t>а</w:t>
      </w:r>
      <w:r w:rsidRPr="00F0736F">
        <w:rPr>
          <w:rFonts w:ascii="Times New Roman" w:hAnsi="Times New Roman" w:cs="Times New Roman"/>
          <w:color w:val="000000" w:themeColor="text1"/>
        </w:rPr>
        <w:t xml:space="preserve"> от г.</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Семей до с. Караул. </w:t>
      </w:r>
    </w:p>
    <w:p w14:paraId="52BEAED2"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На Берельских курганах Катон-Карагайского района создан музей под открытом небом. </w:t>
      </w:r>
    </w:p>
    <w:p w14:paraId="7845801C"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В рамках программы «Рухани жангыру» совместно с туроператорами области разработан туристский маршрут «Литературный Восток», который проходит по сакральным местам области и построен на именах известных писателей и других выдающихся личностей Восточного Казахстана. Участниками проекта стали 2 200 школьников региона, из областного бюджета выделено </w:t>
      </w:r>
      <w:r w:rsidRPr="00F0736F">
        <w:rPr>
          <w:rFonts w:ascii="Times New Roman" w:hAnsi="Times New Roman" w:cs="Times New Roman"/>
          <w:color w:val="000000" w:themeColor="text1"/>
          <w:lang w:val="kk-KZ"/>
        </w:rPr>
        <w:t>порядка 80 млн</w:t>
      </w:r>
      <w:r w:rsidRPr="00F0736F">
        <w:rPr>
          <w:rFonts w:ascii="Times New Roman" w:hAnsi="Times New Roman" w:cs="Times New Roman"/>
          <w:color w:val="000000" w:themeColor="text1"/>
        </w:rPr>
        <w:t xml:space="preserve">.тенге. </w:t>
      </w:r>
    </w:p>
    <w:p w14:paraId="1D509980" w14:textId="77777777" w:rsidR="00AC1D5B" w:rsidRPr="00F0736F" w:rsidRDefault="00AC1D5B" w:rsidP="00AC1D5B">
      <w:pPr>
        <w:ind w:firstLine="709"/>
        <w:jc w:val="both"/>
        <w:rPr>
          <w:rFonts w:ascii="Times New Roman" w:hAnsi="Times New Roman" w:cs="Times New Roman"/>
          <w:i/>
          <w:color w:val="000000" w:themeColor="text1"/>
          <w:lang w:val="kk-KZ"/>
        </w:rPr>
      </w:pPr>
      <w:r w:rsidRPr="00F0736F">
        <w:rPr>
          <w:rFonts w:ascii="Times New Roman" w:hAnsi="Times New Roman" w:cs="Times New Roman"/>
          <w:i/>
          <w:color w:val="000000" w:themeColor="text1"/>
        </w:rPr>
        <w:t>Справочно: Объекты проекта: Мемориальный комплекс Абая-Шакарима, дом-музей имени Абая Кунанбаева, музей имени Абая в г. Семей, родник у перевала Кушикбай, географический центр Евразийского континента, памятник «Енлик-Кебек», Восточно-Казахстанский областной музей изобразительных искусств имени семьи Невзоровых, дом-музей имени Ф.М. Достоевского, историко-краеведческий музей, памятник А. Иванову, комплекс Марьин Утес.</w:t>
      </w:r>
    </w:p>
    <w:p w14:paraId="381D898F" w14:textId="77777777" w:rsidR="00AC1D5B" w:rsidRPr="00F0736F" w:rsidRDefault="00AC1D5B" w:rsidP="00AC1D5B">
      <w:pPr>
        <w:ind w:firstLine="709"/>
        <w:jc w:val="both"/>
        <w:rPr>
          <w:rFonts w:ascii="Times New Roman" w:hAnsi="Times New Roman" w:cs="Times New Roman"/>
          <w:i/>
          <w:color w:val="000000" w:themeColor="text1"/>
          <w:lang w:val="kk-KZ"/>
        </w:rPr>
      </w:pPr>
      <w:r w:rsidRPr="00F0736F">
        <w:rPr>
          <w:rFonts w:ascii="Times New Roman" w:hAnsi="Times New Roman" w:cs="Times New Roman"/>
          <w:color w:val="000000" w:themeColor="text1"/>
        </w:rPr>
        <w:t>Продолжением данного проекта является создание комплексных тур маршрутов в рамках инициативы Первого Президента «Познай свою землю!» которая предусматривает возрождение массового и школьного туризма с ознакомлением культурных, сакральных, природных объектов и промышленных предприятий области.</w:t>
      </w:r>
    </w:p>
    <w:p w14:paraId="6033066B" w14:textId="77777777" w:rsidR="00AC1D5B" w:rsidRPr="00F0736F" w:rsidRDefault="00AC1D5B" w:rsidP="00AC1D5B">
      <w:pPr>
        <w:ind w:firstLine="709"/>
        <w:jc w:val="both"/>
        <w:rPr>
          <w:rFonts w:ascii="Times New Roman" w:hAnsi="Times New Roman" w:cs="Times New Roman"/>
          <w:i/>
          <w:color w:val="000000" w:themeColor="text1"/>
          <w:lang w:val="kk-KZ"/>
        </w:rPr>
      </w:pPr>
      <w:r w:rsidRPr="00F0736F">
        <w:rPr>
          <w:rFonts w:ascii="Times New Roman" w:hAnsi="Times New Roman" w:cs="Times New Roman"/>
          <w:color w:val="000000" w:themeColor="text1"/>
        </w:rPr>
        <w:t xml:space="preserve">Разработан аудиогид по сакральным местам «Тарихи Жол», который размещен на сайте toureast.kz. Выпущена электронная книга для детской аудитории «Легенды и сказания Восточного Казахстана», куда вошли 15 сакральных мест области.  </w:t>
      </w:r>
    </w:p>
    <w:p w14:paraId="208A1E0D" w14:textId="77777777" w:rsidR="00AC1D5B" w:rsidRPr="00F0736F" w:rsidRDefault="00AC1D5B" w:rsidP="00AC1D5B">
      <w:pPr>
        <w:suppressAutoHyphens w:val="0"/>
        <w:overflowPunct/>
        <w:ind w:firstLine="709"/>
        <w:jc w:val="both"/>
        <w:rPr>
          <w:rFonts w:ascii="Times New Roman" w:hAnsi="Times New Roman" w:cs="Times New Roman"/>
          <w:i/>
          <w:color w:val="000000" w:themeColor="text1"/>
          <w:lang w:val="kk-KZ"/>
        </w:rPr>
      </w:pPr>
      <w:r w:rsidRPr="00F0736F">
        <w:rPr>
          <w:rFonts w:ascii="Times New Roman" w:hAnsi="Times New Roman" w:cs="Times New Roman"/>
          <w:i/>
          <w:color w:val="000000" w:themeColor="text1"/>
        </w:rPr>
        <w:t xml:space="preserve">Справочно: природные объекты: река Иртыш, урочище Киин-Кириш, озера Маркаколь, Рахмановское, гора Белуха; духовные объекты: Коныр-Аулие; Святой ключ; Ыргызбай ата; исторические объекты: Берельские курганы; Некрополь Шиликты, Мазар Енлик-Кебек, Козы-Корпеш и Баян Сулу, Кушикбай, Аблайкит, Ак Баур. </w:t>
      </w:r>
    </w:p>
    <w:p w14:paraId="6DAF90C4" w14:textId="77777777" w:rsidR="00AC1D5B" w:rsidRPr="00F0736F" w:rsidRDefault="00AC1D5B" w:rsidP="00AC1D5B">
      <w:pPr>
        <w:suppressAutoHyphens w:val="0"/>
        <w:overflowPunct/>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Книга повествует о сакральных местах региона, подвигах героев, старинных преданиях и истории предков.</w:t>
      </w:r>
    </w:p>
    <w:p w14:paraId="0351AA5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информационного продвижения</w:t>
      </w:r>
      <w:r w:rsidRPr="00F0736F">
        <w:rPr>
          <w:rFonts w:ascii="Times New Roman" w:hAnsi="Times New Roman" w:cs="Times New Roman"/>
          <w:color w:val="000000" w:themeColor="text1"/>
          <w:lang w:val="kk-KZ"/>
        </w:rPr>
        <w:t xml:space="preserve"> модернизирован</w:t>
      </w:r>
      <w:r w:rsidRPr="00F0736F">
        <w:rPr>
          <w:rFonts w:ascii="Times New Roman" w:hAnsi="Times New Roman" w:cs="Times New Roman"/>
          <w:color w:val="000000" w:themeColor="text1"/>
        </w:rPr>
        <w:t xml:space="preserve"> областной туристский портал Toureast.kz, на котором представлена вся необходимая туристу информация.</w:t>
      </w:r>
    </w:p>
    <w:p w14:paraId="6EFF835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на сайте размещено 73 туристских маршрута, в том числе 14 маршрутов разработано в рамках празднования 175-летия Абая Кунанбаева, с посещением объектов комплекса Жидебай-Борли.</w:t>
      </w:r>
    </w:p>
    <w:p w14:paraId="5B5DCCD6"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Помимо этого, разработан</w:t>
      </w:r>
      <w:r w:rsidRPr="00F0736F">
        <w:rPr>
          <w:rFonts w:ascii="Times New Roman" w:hAnsi="Times New Roman" w:cs="Times New Roman"/>
          <w:color w:val="000000" w:themeColor="text1"/>
          <w:lang w:val="kk-KZ"/>
        </w:rPr>
        <w:t>ы</w:t>
      </w:r>
      <w:r w:rsidRPr="00F0736F">
        <w:rPr>
          <w:rFonts w:ascii="Times New Roman" w:hAnsi="Times New Roman" w:cs="Times New Roman"/>
          <w:color w:val="000000" w:themeColor="text1"/>
        </w:rPr>
        <w:t xml:space="preserve"> карт</w:t>
      </w:r>
      <w:r w:rsidRPr="00F0736F">
        <w:rPr>
          <w:rFonts w:ascii="Times New Roman" w:hAnsi="Times New Roman" w:cs="Times New Roman"/>
          <w:color w:val="000000" w:themeColor="text1"/>
          <w:lang w:val="kk-KZ"/>
        </w:rPr>
        <w:t>ы</w:t>
      </w:r>
      <w:r w:rsidRPr="00F0736F">
        <w:rPr>
          <w:rFonts w:ascii="Times New Roman" w:hAnsi="Times New Roman" w:cs="Times New Roman"/>
          <w:color w:val="000000" w:themeColor="text1"/>
        </w:rPr>
        <w:t xml:space="preserve"> летнего</w:t>
      </w:r>
      <w:r w:rsidRPr="00F0736F">
        <w:rPr>
          <w:rFonts w:ascii="Times New Roman" w:hAnsi="Times New Roman" w:cs="Times New Roman"/>
          <w:color w:val="000000" w:themeColor="text1"/>
          <w:lang w:val="kk-KZ"/>
        </w:rPr>
        <w:t xml:space="preserve"> и зимнего</w:t>
      </w:r>
      <w:r w:rsidRPr="00F0736F">
        <w:rPr>
          <w:rFonts w:ascii="Times New Roman" w:hAnsi="Times New Roman" w:cs="Times New Roman"/>
          <w:color w:val="000000" w:themeColor="text1"/>
        </w:rPr>
        <w:t xml:space="preserve"> отдыха, в котор</w:t>
      </w:r>
      <w:r w:rsidRPr="00F0736F">
        <w:rPr>
          <w:rFonts w:ascii="Times New Roman" w:hAnsi="Times New Roman" w:cs="Times New Roman"/>
          <w:color w:val="000000" w:themeColor="text1"/>
          <w:lang w:val="kk-KZ"/>
        </w:rPr>
        <w:t>ых</w:t>
      </w:r>
      <w:r w:rsidRPr="00F0736F">
        <w:rPr>
          <w:rFonts w:ascii="Times New Roman" w:hAnsi="Times New Roman" w:cs="Times New Roman"/>
          <w:color w:val="000000" w:themeColor="text1"/>
        </w:rPr>
        <w:t xml:space="preserve"> размещены все базы отдыха, развлекательные объекты</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и др.</w:t>
      </w:r>
      <w:r w:rsidRPr="00F0736F">
        <w:rPr>
          <w:rFonts w:ascii="Times New Roman" w:hAnsi="Times New Roman" w:cs="Times New Roman"/>
          <w:color w:val="000000" w:themeColor="text1"/>
          <w:lang w:val="kk-KZ"/>
        </w:rPr>
        <w:t xml:space="preserve"> </w:t>
      </w:r>
    </w:p>
    <w:p w14:paraId="38881BD0"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Е</w:t>
      </w:r>
      <w:r w:rsidRPr="00F0736F">
        <w:rPr>
          <w:rFonts w:ascii="Times New Roman" w:hAnsi="Times New Roman" w:cs="Times New Roman"/>
          <w:color w:val="000000" w:themeColor="text1"/>
        </w:rPr>
        <w:t>жегодно на побережье озера Алаколь в течение 2-х дней проходит фестиваль «Алаколь алаулары», на Сибинских озерах проводится открытие пляжного сезона</w:t>
      </w:r>
      <w:r w:rsidRPr="00F0736F">
        <w:rPr>
          <w:rFonts w:ascii="Times New Roman" w:hAnsi="Times New Roman" w:cs="Times New Roman"/>
          <w:color w:val="000000" w:themeColor="text1"/>
          <w:lang w:val="kk-KZ"/>
        </w:rPr>
        <w:t>, на горнолыжных комплексах области открытие зимнего сезона.</w:t>
      </w:r>
    </w:p>
    <w:p w14:paraId="589FCDE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целях продвижения внутреннего туризма </w:t>
      </w:r>
      <w:r w:rsidRPr="00F0736F">
        <w:rPr>
          <w:rFonts w:ascii="Times New Roman" w:hAnsi="Times New Roman" w:cs="Times New Roman"/>
          <w:color w:val="000000" w:themeColor="text1"/>
          <w:lang w:val="kk-KZ"/>
        </w:rPr>
        <w:t xml:space="preserve">за последние 2 года </w:t>
      </w:r>
      <w:r w:rsidRPr="00F0736F">
        <w:rPr>
          <w:rFonts w:ascii="Times New Roman" w:hAnsi="Times New Roman" w:cs="Times New Roman"/>
          <w:color w:val="000000" w:themeColor="text1"/>
        </w:rPr>
        <w:t xml:space="preserve">проведено 10 инфо- и пресс-туров в том числе: визиты казахстанских туроператоров, Британского телеканала ВВС, международного телеканала «МИР» и казахстанских телеканалов. </w:t>
      </w:r>
      <w:r w:rsidRPr="00F0736F">
        <w:rPr>
          <w:rFonts w:ascii="Times New Roman" w:hAnsi="Times New Roman" w:cs="Times New Roman"/>
          <w:color w:val="000000" w:themeColor="text1"/>
          <w:lang w:val="kk-KZ"/>
        </w:rPr>
        <w:t xml:space="preserve"> Также выпущено 5 видеороликов </w:t>
      </w:r>
      <w:r w:rsidRPr="00F0736F">
        <w:rPr>
          <w:rFonts w:ascii="Times New Roman" w:hAnsi="Times New Roman" w:cs="Times New Roman"/>
          <w:color w:val="000000" w:themeColor="text1"/>
        </w:rPr>
        <w:t>о развитии туризма в регионе.</w:t>
      </w:r>
    </w:p>
    <w:p w14:paraId="05AA3058" w14:textId="77777777" w:rsidR="00AC1D5B" w:rsidRPr="00F0736F" w:rsidRDefault="00AC1D5B" w:rsidP="00AC1D5B">
      <w:pPr>
        <w:ind w:firstLine="709"/>
        <w:jc w:val="both"/>
        <w:rPr>
          <w:rFonts w:ascii="Times New Roman" w:hAnsi="Times New Roman" w:cs="Times New Roman"/>
          <w:color w:val="000000" w:themeColor="text1"/>
        </w:rPr>
      </w:pPr>
    </w:p>
    <w:p w14:paraId="6D0D6041" w14:textId="77777777" w:rsidR="00AC1D5B" w:rsidRPr="00F0736F" w:rsidRDefault="00AC1D5B" w:rsidP="00AC1D5B">
      <w:pPr>
        <w:ind w:firstLine="709"/>
        <w:jc w:val="both"/>
        <w:rPr>
          <w:rFonts w:ascii="Times New Roman" w:hAnsi="Times New Roman" w:cs="Times New Roman"/>
          <w:color w:val="000000" w:themeColor="text1"/>
        </w:rPr>
      </w:pPr>
    </w:p>
    <w:p w14:paraId="353297F9"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8" w:name="_Toc57818740"/>
      <w:r w:rsidRPr="007272FB">
        <w:rPr>
          <w:rFonts w:ascii="Times New Roman" w:eastAsia="Times New Roman" w:hAnsi="Times New Roman" w:cs="Times New Roman"/>
          <w:color w:val="000000" w:themeColor="text1"/>
          <w:sz w:val="24"/>
          <w:szCs w:val="24"/>
        </w:rPr>
        <w:t>2.6. Жамбылская область</w:t>
      </w:r>
      <w:bookmarkEnd w:id="48"/>
    </w:p>
    <w:p w14:paraId="70FCF6C2" w14:textId="77777777" w:rsidR="00AC1D5B" w:rsidRPr="00F0736F" w:rsidRDefault="00AC1D5B" w:rsidP="00AC1D5B">
      <w:pPr>
        <w:ind w:firstLine="709"/>
        <w:jc w:val="both"/>
        <w:rPr>
          <w:rFonts w:ascii="Times New Roman" w:hAnsi="Times New Roman" w:cs="Times New Roman"/>
          <w:color w:val="000000" w:themeColor="text1"/>
        </w:rPr>
      </w:pPr>
    </w:p>
    <w:p w14:paraId="33935F5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37BE92C2" w14:textId="3130BC4C"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Территория области равна 144,3 тыс. кв. км. По данным Комитета по статистике численность населения Жамбылской области на конец 2017 года составила </w:t>
      </w:r>
      <w:r w:rsidRPr="00F0736F">
        <w:rPr>
          <w:rFonts w:ascii="Times New Roman" w:hAnsi="Times New Roman" w:cs="Times New Roman"/>
          <w:color w:val="000000" w:themeColor="text1"/>
          <w:lang w:val="kk-KZ"/>
        </w:rPr>
        <w:t>1117,2</w:t>
      </w:r>
      <w:r w:rsidRPr="00F0736F">
        <w:rPr>
          <w:rFonts w:ascii="Times New Roman" w:hAnsi="Times New Roman" w:cs="Times New Roman"/>
          <w:color w:val="000000" w:themeColor="text1"/>
        </w:rPr>
        <w:t xml:space="preserve"> тыс. человек, а на конец 2019 года – 1130,1 тыс. человек</w:t>
      </w:r>
      <w:r w:rsidRPr="00F0736F">
        <w:rPr>
          <w:rFonts w:ascii="Times New Roman" w:hAnsi="Times New Roman" w:cs="Times New Roman"/>
          <w:color w:val="000000" w:themeColor="text1"/>
          <w:vertAlign w:val="superscript"/>
        </w:rPr>
        <w:footnoteReference w:id="146"/>
      </w:r>
      <w:r w:rsidRPr="00F0736F">
        <w:rPr>
          <w:rFonts w:ascii="Times New Roman" w:hAnsi="Times New Roman" w:cs="Times New Roman"/>
          <w:color w:val="000000" w:themeColor="text1"/>
        </w:rPr>
        <w:t>. Валовой региональный продукт за 2017 год по области составил 1350,7 млрд. тенге, а на душу населения в 2017 году – 1210,0 тыс. тенге, за 2018 год, соответственно, 1 532,1 млрд. тенге и 1 366,3 тыс. человек, за 2019 год — 1712,9 и 1 518,8.</w:t>
      </w:r>
    </w:p>
    <w:p w14:paraId="2510EE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в 2017 году в области было произведено </w:t>
      </w:r>
      <w:r w:rsidRPr="00F0736F">
        <w:rPr>
          <w:rFonts w:ascii="Times New Roman" w:hAnsi="Times New Roman" w:cs="Times New Roman"/>
          <w:b/>
          <w:bCs/>
          <w:color w:val="000000" w:themeColor="text1"/>
        </w:rPr>
        <w:t>промышленной продукции</w:t>
      </w:r>
      <w:r w:rsidRPr="00F0736F">
        <w:rPr>
          <w:rFonts w:ascii="Times New Roman" w:hAnsi="Times New Roman" w:cs="Times New Roman"/>
          <w:color w:val="000000" w:themeColor="text1"/>
        </w:rPr>
        <w:t xml:space="preserve"> на </w:t>
      </w:r>
      <w:r w:rsidRPr="00F0736F">
        <w:rPr>
          <w:rFonts w:ascii="Times New Roman" w:hAnsi="Times New Roman" w:cs="Times New Roman"/>
          <w:color w:val="000000" w:themeColor="text1"/>
          <w:lang w:val="kk-KZ"/>
        </w:rPr>
        <w:t xml:space="preserve">374,0 </w:t>
      </w:r>
      <w:r w:rsidRPr="00F0736F">
        <w:rPr>
          <w:rFonts w:ascii="Times New Roman" w:hAnsi="Times New Roman" w:cs="Times New Roman"/>
          <w:color w:val="000000" w:themeColor="text1"/>
        </w:rPr>
        <w:t>млрд. тенге, в 2018 году – 421,1 млрд. тенге, а в 2019 году —</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477,0 млрд. тенге, в том числе продукции </w:t>
      </w:r>
      <w:r w:rsidRPr="00F0736F">
        <w:rPr>
          <w:rFonts w:ascii="Times New Roman" w:hAnsi="Times New Roman" w:cs="Times New Roman"/>
          <w:b/>
          <w:color w:val="000000" w:themeColor="text1"/>
        </w:rPr>
        <w:t>обрабатывающей промышленности</w:t>
      </w:r>
      <w:r w:rsidRPr="00F0736F">
        <w:rPr>
          <w:rFonts w:ascii="Times New Roman" w:hAnsi="Times New Roman" w:cs="Times New Roman"/>
          <w:color w:val="000000" w:themeColor="text1"/>
        </w:rPr>
        <w:t xml:space="preserve"> в 2017 году – 257,6 млрд. тенге, в 2018 году – 301,6 млрд. тенге, в 2019 году — 52,1 млрд. тенге. Объем инвестиций в основной капитал в 201</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 xml:space="preserve"> году составил 293</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млрд. тенге, или 10</w:t>
      </w:r>
      <w:r w:rsidRPr="00F0736F">
        <w:rPr>
          <w:rFonts w:ascii="Times New Roman" w:hAnsi="Times New Roman" w:cs="Times New Roman"/>
          <w:color w:val="000000" w:themeColor="text1"/>
          <w:lang w:val="kk-KZ"/>
        </w:rPr>
        <w:t>9,3</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по сравнению с</w:t>
      </w:r>
      <w:r w:rsidRPr="00F0736F">
        <w:rPr>
          <w:rFonts w:ascii="Times New Roman" w:hAnsi="Times New Roman" w:cs="Times New Roman"/>
          <w:color w:val="000000" w:themeColor="text1"/>
        </w:rPr>
        <w:t xml:space="preserve">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w:t>
      </w:r>
      <w:r w:rsidRPr="00F0736F">
        <w:rPr>
          <w:rFonts w:ascii="Times New Roman" w:hAnsi="Times New Roman" w:cs="Times New Roman"/>
          <w:color w:val="000000" w:themeColor="text1"/>
          <w:lang w:val="kk-KZ"/>
        </w:rPr>
        <w:t>ом</w:t>
      </w:r>
      <w:r w:rsidRPr="00F0736F">
        <w:rPr>
          <w:rFonts w:ascii="Times New Roman" w:hAnsi="Times New Roman" w:cs="Times New Roman"/>
          <w:color w:val="000000" w:themeColor="text1"/>
        </w:rPr>
        <w:t>.</w:t>
      </w:r>
    </w:p>
    <w:p w14:paraId="15A4002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валовой выпуск продукции (услуг)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за 2017 год составил 251</w:t>
      </w:r>
      <w:r w:rsidRPr="00F0736F">
        <w:rPr>
          <w:rFonts w:ascii="Times New Roman" w:hAnsi="Times New Roman" w:cs="Times New Roman"/>
          <w:color w:val="000000" w:themeColor="text1"/>
          <w:lang w:val="kk-KZ"/>
        </w:rPr>
        <w:t>,3</w:t>
      </w:r>
      <w:r w:rsidRPr="00F0736F">
        <w:rPr>
          <w:rFonts w:ascii="Times New Roman" w:hAnsi="Times New Roman" w:cs="Times New Roman"/>
          <w:color w:val="000000" w:themeColor="text1"/>
        </w:rPr>
        <w:t xml:space="preserve"> млрд. тенге. Валовой сбор зерновых культур (в весе после доработки) составил </w:t>
      </w:r>
      <w:r w:rsidRPr="00F0736F">
        <w:rPr>
          <w:rFonts w:ascii="Times New Roman" w:hAnsi="Times New Roman" w:cs="Times New Roman"/>
          <w:color w:val="000000" w:themeColor="text1"/>
          <w:lang w:val="kk-KZ"/>
        </w:rPr>
        <w:t>672,5</w:t>
      </w:r>
      <w:r w:rsidRPr="00F0736F">
        <w:rPr>
          <w:rFonts w:ascii="Times New Roman" w:hAnsi="Times New Roman" w:cs="Times New Roman"/>
          <w:color w:val="000000" w:themeColor="text1"/>
        </w:rPr>
        <w:t xml:space="preserve"> тыс. т., овощей открытого грунта – 746,1 тыс. т., картофеля</w:t>
      </w:r>
      <w:r w:rsidRPr="00F0736F">
        <w:rPr>
          <w:rFonts w:ascii="Times New Roman" w:hAnsi="Times New Roman" w:cs="Times New Roman"/>
          <w:color w:val="000000" w:themeColor="text1"/>
          <w:lang w:val="kk-KZ"/>
        </w:rPr>
        <w:t xml:space="preserve"> – 204,6 </w:t>
      </w:r>
      <w:r w:rsidRPr="00F0736F">
        <w:rPr>
          <w:rFonts w:ascii="Times New Roman" w:hAnsi="Times New Roman" w:cs="Times New Roman"/>
          <w:color w:val="000000" w:themeColor="text1"/>
        </w:rPr>
        <w:t>тыс. т.</w:t>
      </w:r>
    </w:p>
    <w:p w14:paraId="4FA6F8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2018 год объем валовой продукции сельского хозяйства составил 268,2 млрд. тенге, или 105,6% к 2017 году, в том числе объем продукции растениеводства – 146,7 млрд. тенге (ИФО – 106,4%), животноводства – 120,8 млрд. тенге (ИФО - 104,7%). </w:t>
      </w:r>
    </w:p>
    <w:p w14:paraId="5398AEB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сельскохозяйственные культуры размещены на площади 669,1 тыс. га, или на 38,9 тыс. га больше, чем в 2017 году, в том числе сахарной свеклы – на 8,4 тыс. га. Средняя урожайность зерновых по области составляет 24,1 ц/га. </w:t>
      </w:r>
      <w:r w:rsidRPr="00F0736F">
        <w:rPr>
          <w:rFonts w:ascii="Times New Roman" w:hAnsi="Times New Roman" w:cs="Times New Roman"/>
          <w:color w:val="000000" w:themeColor="text1"/>
          <w:lang w:val="kk-KZ"/>
        </w:rPr>
        <w:t>Объем валовой продукции сельского хозяйства в 2019 году по области составил 325,7 млрд. тенге, исполнено на 104,9% в сравнении с 2018 годом</w:t>
      </w:r>
      <w:r w:rsidRPr="00F0736F">
        <w:rPr>
          <w:rFonts w:ascii="Times New Roman" w:hAnsi="Times New Roman" w:cs="Times New Roman"/>
          <w:i/>
          <w:color w:val="000000" w:themeColor="text1"/>
          <w:lang w:val="kk-KZ"/>
        </w:rPr>
        <w:t xml:space="preserve">. </w:t>
      </w:r>
      <w:r w:rsidRPr="00F0736F">
        <w:rPr>
          <w:rFonts w:ascii="Times New Roman" w:hAnsi="Times New Roman" w:cs="Times New Roman"/>
          <w:color w:val="000000" w:themeColor="text1"/>
          <w:lang w:val="kk-KZ"/>
        </w:rPr>
        <w:t>В том числе объем продукции растениеводства составил 183,5 млрд. тенге, по сравнению с 2018 годом исполнен на 106,7%</w:t>
      </w:r>
      <w:r w:rsidRPr="00F0736F">
        <w:rPr>
          <w:rFonts w:ascii="Times New Roman" w:hAnsi="Times New Roman" w:cs="Times New Roman"/>
          <w:i/>
          <w:color w:val="000000" w:themeColor="text1"/>
          <w:lang w:val="kk-KZ"/>
        </w:rPr>
        <w:t xml:space="preserve">. </w:t>
      </w:r>
      <w:r w:rsidRPr="00F0736F">
        <w:rPr>
          <w:rFonts w:ascii="Times New Roman" w:hAnsi="Times New Roman" w:cs="Times New Roman"/>
          <w:color w:val="000000" w:themeColor="text1"/>
          <w:lang w:val="kk-KZ"/>
        </w:rPr>
        <w:t>Объем продукции животноводства составил 141,5 млрд. тенге, в сравнении с 2018 годом исполнен на 102,8%</w:t>
      </w:r>
      <w:r w:rsidRPr="00F0736F">
        <w:rPr>
          <w:rFonts w:ascii="Times New Roman" w:hAnsi="Times New Roman" w:cs="Times New Roman"/>
          <w:i/>
          <w:color w:val="000000" w:themeColor="text1"/>
          <w:lang w:val="kk-KZ"/>
        </w:rPr>
        <w:t>.</w:t>
      </w:r>
    </w:p>
    <w:p w14:paraId="237305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 xml:space="preserve"> году посевные площади сельскохозяйственных культур по области составили </w:t>
      </w:r>
      <w:r w:rsidRPr="00F0736F">
        <w:rPr>
          <w:rFonts w:ascii="Times New Roman" w:hAnsi="Times New Roman" w:cs="Times New Roman"/>
          <w:color w:val="000000" w:themeColor="text1"/>
          <w:lang w:val="kk-KZ"/>
        </w:rPr>
        <w:t>687,4</w:t>
      </w:r>
      <w:r w:rsidRPr="00F0736F">
        <w:rPr>
          <w:rFonts w:ascii="Times New Roman" w:hAnsi="Times New Roman" w:cs="Times New Roman"/>
          <w:color w:val="000000" w:themeColor="text1"/>
        </w:rPr>
        <w:t xml:space="preserve"> тыс. га, что по сравнению с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годом больше на </w:t>
      </w:r>
      <w:r w:rsidRPr="00F0736F">
        <w:rPr>
          <w:rFonts w:ascii="Times New Roman" w:hAnsi="Times New Roman" w:cs="Times New Roman"/>
          <w:color w:val="000000" w:themeColor="text1"/>
          <w:lang w:val="kk-KZ"/>
        </w:rPr>
        <w:t>18,6</w:t>
      </w:r>
      <w:r w:rsidRPr="00F0736F">
        <w:rPr>
          <w:rFonts w:ascii="Times New Roman" w:hAnsi="Times New Roman" w:cs="Times New Roman"/>
          <w:color w:val="000000" w:themeColor="text1"/>
        </w:rPr>
        <w:t xml:space="preserve"> тыс. га 10</w:t>
      </w:r>
      <w:r w:rsidRPr="00F0736F">
        <w:rPr>
          <w:rFonts w:ascii="Times New Roman" w:hAnsi="Times New Roman" w:cs="Times New Roman"/>
          <w:color w:val="000000" w:themeColor="text1"/>
          <w:lang w:val="kk-KZ"/>
        </w:rPr>
        <w:t>2</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С</w:t>
      </w:r>
      <w:r w:rsidRPr="00F0736F">
        <w:rPr>
          <w:rFonts w:ascii="Times New Roman" w:hAnsi="Times New Roman" w:cs="Times New Roman"/>
          <w:color w:val="000000" w:themeColor="text1"/>
        </w:rPr>
        <w:t>редняя урожайность зерновых культур составила 2</w:t>
      </w:r>
      <w:r w:rsidRPr="00F0736F">
        <w:rPr>
          <w:rFonts w:ascii="Times New Roman" w:hAnsi="Times New Roman" w:cs="Times New Roman"/>
          <w:color w:val="000000" w:themeColor="text1"/>
          <w:lang w:val="kk-KZ"/>
        </w:rPr>
        <w:t>3</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0</w:t>
      </w:r>
      <w:r w:rsidRPr="00F0736F">
        <w:rPr>
          <w:rFonts w:ascii="Times New Roman" w:hAnsi="Times New Roman" w:cs="Times New Roman"/>
          <w:color w:val="000000" w:themeColor="text1"/>
        </w:rPr>
        <w:t xml:space="preserve"> центнера с гектара, всего собрано </w:t>
      </w:r>
      <w:r w:rsidRPr="00F0736F">
        <w:rPr>
          <w:rFonts w:ascii="Times New Roman" w:hAnsi="Times New Roman" w:cs="Times New Roman"/>
          <w:color w:val="000000" w:themeColor="text1"/>
          <w:lang w:val="kk-KZ"/>
        </w:rPr>
        <w:t>763,2</w:t>
      </w:r>
      <w:r w:rsidRPr="00F0736F">
        <w:rPr>
          <w:rFonts w:ascii="Times New Roman" w:hAnsi="Times New Roman" w:cs="Times New Roman"/>
          <w:color w:val="000000" w:themeColor="text1"/>
        </w:rPr>
        <w:t xml:space="preserve"> тыс. т. продукции</w:t>
      </w:r>
      <w:r w:rsidRPr="00F0736F">
        <w:rPr>
          <w:rFonts w:ascii="Times New Roman" w:hAnsi="Times New Roman" w:cs="Times New Roman"/>
          <w:color w:val="000000" w:themeColor="text1"/>
          <w:lang w:val="kk-KZ"/>
        </w:rPr>
        <w:t>, что исполнено на 122</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по сравнению с 2018 годом </w:t>
      </w:r>
      <w:r w:rsidRPr="00F0736F">
        <w:rPr>
          <w:rFonts w:ascii="Times New Roman" w:hAnsi="Times New Roman" w:cs="Times New Roman"/>
          <w:color w:val="000000" w:themeColor="text1"/>
        </w:rPr>
        <w:t>(валовой сбор</w:t>
      </w:r>
      <w:r w:rsidRPr="00F0736F">
        <w:rPr>
          <w:rFonts w:ascii="Times New Roman" w:hAnsi="Times New Roman" w:cs="Times New Roman"/>
          <w:color w:val="000000" w:themeColor="text1"/>
          <w:lang w:val="kk-KZ"/>
        </w:rPr>
        <w:t xml:space="preserve"> 2018 года 624,0</w:t>
      </w:r>
      <w:r w:rsidRPr="00F0736F">
        <w:rPr>
          <w:rFonts w:ascii="Times New Roman" w:hAnsi="Times New Roman" w:cs="Times New Roman"/>
          <w:color w:val="000000" w:themeColor="text1"/>
        </w:rPr>
        <w:t xml:space="preserve"> тыс. т.), валовой </w:t>
      </w:r>
      <w:r w:rsidRPr="00F0736F">
        <w:rPr>
          <w:rFonts w:ascii="Times New Roman" w:hAnsi="Times New Roman" w:cs="Times New Roman"/>
          <w:color w:val="000000" w:themeColor="text1"/>
          <w:lang w:val="kk-KZ"/>
        </w:rPr>
        <w:t>сбор</w:t>
      </w:r>
      <w:r w:rsidRPr="00F0736F">
        <w:rPr>
          <w:rFonts w:ascii="Times New Roman" w:hAnsi="Times New Roman" w:cs="Times New Roman"/>
          <w:color w:val="000000" w:themeColor="text1"/>
        </w:rPr>
        <w:t xml:space="preserve"> овощных и бахчевых культур</w:t>
      </w:r>
      <w:r w:rsidRPr="00F0736F">
        <w:rPr>
          <w:rFonts w:ascii="Times New Roman" w:hAnsi="Times New Roman" w:cs="Times New Roman"/>
          <w:color w:val="000000" w:themeColor="text1"/>
          <w:lang w:val="kk-KZ"/>
        </w:rPr>
        <w:t xml:space="preserve"> – 1428,2</w:t>
      </w:r>
      <w:r w:rsidRPr="00F0736F">
        <w:rPr>
          <w:rFonts w:ascii="Times New Roman" w:hAnsi="Times New Roman" w:cs="Times New Roman"/>
          <w:color w:val="000000" w:themeColor="text1"/>
        </w:rPr>
        <w:t xml:space="preserve"> тыс. т..</w:t>
      </w:r>
    </w:p>
    <w:p w14:paraId="0EA91472"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078216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увеличивается площадь интенсивного сада. В 2019 году о</w:t>
      </w:r>
      <w:r w:rsidRPr="00F0736F">
        <w:rPr>
          <w:rFonts w:ascii="Times New Roman" w:hAnsi="Times New Roman" w:cs="Times New Roman"/>
          <w:color w:val="000000" w:themeColor="text1"/>
          <w:lang w:val="kk-KZ"/>
        </w:rPr>
        <w:t xml:space="preserve">бщая площадь </w:t>
      </w:r>
      <w:r w:rsidRPr="00F0736F">
        <w:rPr>
          <w:rFonts w:ascii="Times New Roman" w:hAnsi="Times New Roman" w:cs="Times New Roman"/>
          <w:color w:val="000000" w:themeColor="text1"/>
        </w:rPr>
        <w:t>в целом по области составила 1064 га</w:t>
      </w:r>
      <w:r w:rsidRPr="00F0736F">
        <w:rPr>
          <w:rFonts w:ascii="Times New Roman" w:hAnsi="Times New Roman" w:cs="Times New Roman"/>
          <w:color w:val="000000" w:themeColor="text1"/>
          <w:lang w:val="kk-KZ"/>
        </w:rPr>
        <w:t xml:space="preserve">, увеличившись </w:t>
      </w:r>
      <w:r w:rsidRPr="00F0736F">
        <w:rPr>
          <w:rFonts w:ascii="Times New Roman" w:hAnsi="Times New Roman" w:cs="Times New Roman"/>
          <w:color w:val="000000" w:themeColor="text1"/>
        </w:rPr>
        <w:t>на 439 га. В этих садах собрано 7</w:t>
      </w:r>
      <w:r w:rsidRPr="00F0736F">
        <w:rPr>
          <w:rFonts w:ascii="Times New Roman" w:hAnsi="Times New Roman" w:cs="Times New Roman"/>
          <w:color w:val="000000" w:themeColor="text1"/>
          <w:lang w:val="kk-KZ"/>
        </w:rPr>
        <w:t>,3</w:t>
      </w:r>
      <w:r w:rsidRPr="00F0736F">
        <w:rPr>
          <w:rFonts w:ascii="Times New Roman" w:hAnsi="Times New Roman" w:cs="Times New Roman"/>
          <w:color w:val="000000" w:themeColor="text1"/>
        </w:rPr>
        <w:t xml:space="preserve"> тыс. т. яблок.</w:t>
      </w:r>
    </w:p>
    <w:p w14:paraId="24A827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2019 год влагоресурсосберегающая технология внедрена на площади 2</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тыс. га, по сравнению с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годом исполнено на 10</w:t>
      </w:r>
      <w:r w:rsidRPr="00F0736F">
        <w:rPr>
          <w:rFonts w:ascii="Times New Roman" w:hAnsi="Times New Roman" w:cs="Times New Roman"/>
          <w:color w:val="000000" w:themeColor="text1"/>
          <w:lang w:val="kk-KZ"/>
        </w:rPr>
        <w:t>6</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 – </w:t>
      </w:r>
      <w:r w:rsidRPr="00F0736F">
        <w:rPr>
          <w:rFonts w:ascii="Times New Roman" w:hAnsi="Times New Roman" w:cs="Times New Roman"/>
          <w:color w:val="000000" w:themeColor="text1"/>
          <w:lang w:val="kk-KZ"/>
        </w:rPr>
        <w:t xml:space="preserve">28,0 </w:t>
      </w:r>
      <w:r w:rsidRPr="00F0736F">
        <w:rPr>
          <w:rFonts w:ascii="Times New Roman" w:hAnsi="Times New Roman" w:cs="Times New Roman"/>
          <w:color w:val="000000" w:themeColor="text1"/>
        </w:rPr>
        <w:t xml:space="preserve">тыс. га), водосберегающая технология внедрена на </w:t>
      </w:r>
      <w:r w:rsidRPr="00F0736F">
        <w:rPr>
          <w:rFonts w:ascii="Times New Roman" w:hAnsi="Times New Roman" w:cs="Times New Roman"/>
          <w:color w:val="000000" w:themeColor="text1"/>
          <w:lang w:val="kk-KZ"/>
        </w:rPr>
        <w:t>20,4</w:t>
      </w:r>
      <w:r w:rsidRPr="00F0736F">
        <w:rPr>
          <w:rFonts w:ascii="Times New Roman" w:hAnsi="Times New Roman" w:cs="Times New Roman"/>
          <w:color w:val="000000" w:themeColor="text1"/>
        </w:rPr>
        <w:t xml:space="preserve"> тыс. га и исполнена на 1</w:t>
      </w:r>
      <w:r w:rsidRPr="00F0736F">
        <w:rPr>
          <w:rFonts w:ascii="Times New Roman" w:hAnsi="Times New Roman" w:cs="Times New Roman"/>
          <w:color w:val="000000" w:themeColor="text1"/>
          <w:lang w:val="kk-KZ"/>
        </w:rPr>
        <w:t>11,2</w:t>
      </w:r>
      <w:r w:rsidRPr="00F0736F">
        <w:rPr>
          <w:rFonts w:ascii="Times New Roman" w:hAnsi="Times New Roman" w:cs="Times New Roman"/>
          <w:color w:val="000000" w:themeColor="text1"/>
        </w:rPr>
        <w:t xml:space="preserve">%. </w:t>
      </w:r>
      <w:r w:rsidRPr="00F0736F">
        <w:rPr>
          <w:rFonts w:ascii="Times New Roman" w:eastAsia="Calibri" w:hAnsi="Times New Roman" w:cs="Times New Roman"/>
          <w:color w:val="000000" w:themeColor="text1"/>
          <w:lang w:val="kk-KZ"/>
        </w:rPr>
        <w:t xml:space="preserve">Минеральные удобрения внедрены на площади 150,6 тыс. га, что составляет 22,4% от общей площади посевов, или увеличена на 101,6%. На </w:t>
      </w:r>
      <w:r w:rsidRPr="00F0736F">
        <w:rPr>
          <w:rFonts w:ascii="Times New Roman" w:eastAsia="Calibri" w:hAnsi="Times New Roman" w:cs="Times New Roman"/>
          <w:color w:val="000000" w:themeColor="text1"/>
        </w:rPr>
        <w:t>начало 2020 года</w:t>
      </w:r>
      <w:r w:rsidRPr="00F0736F">
        <w:rPr>
          <w:rFonts w:ascii="Times New Roman" w:eastAsia="Calibri" w:hAnsi="Times New Roman" w:cs="Times New Roman"/>
          <w:color w:val="000000" w:themeColor="text1"/>
          <w:lang w:val="kk-KZ"/>
        </w:rPr>
        <w:t xml:space="preserve"> по области с теплиц общей площадью 32 га собрано 3950 т. овощных культур.</w:t>
      </w:r>
    </w:p>
    <w:p w14:paraId="620C5BC9"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contextualSpacing/>
        <w:jc w:val="both"/>
        <w:rPr>
          <w:rFonts w:ascii="Calibri" w:eastAsia="font275" w:hAnsi="Calibri" w:cs="font275"/>
          <w:color w:val="000000" w:themeColor="text1"/>
          <w:kern w:val="0"/>
          <w:sz w:val="22"/>
          <w:szCs w:val="22"/>
          <w:lang w:eastAsia="ru-RU" w:bidi="ar-SA"/>
        </w:rPr>
      </w:pPr>
      <w:r w:rsidRPr="00F0736F">
        <w:rPr>
          <w:rFonts w:ascii="Times New Roman" w:eastAsia="font275" w:hAnsi="Times New Roman" w:cs="Times New Roman"/>
          <w:color w:val="000000" w:themeColor="text1"/>
          <w:kern w:val="0"/>
          <w:lang w:eastAsia="ru-RU" w:bidi="ar-SA"/>
        </w:rPr>
        <w:t>За счет займа Европейского Банка Реконструкции и Развития в</w:t>
      </w:r>
      <w:r w:rsidRPr="00F0736F">
        <w:rPr>
          <w:rFonts w:ascii="Times New Roman" w:eastAsia="Calibri" w:hAnsi="Times New Roman" w:cs="Times New Roman"/>
          <w:color w:val="000000" w:themeColor="text1"/>
          <w:kern w:val="0"/>
          <w:lang w:eastAsia="ru-RU" w:bidi="ar-SA"/>
        </w:rPr>
        <w:t xml:space="preserve"> Жамбылской области предусмотрено </w:t>
      </w:r>
      <w:r w:rsidRPr="00F0736F">
        <w:rPr>
          <w:rFonts w:ascii="Times New Roman" w:eastAsia="Calibri" w:hAnsi="Times New Roman" w:cs="Times New Roman"/>
          <w:color w:val="000000" w:themeColor="text1"/>
          <w:kern w:val="0"/>
          <w:sz w:val="22"/>
          <w:szCs w:val="22"/>
          <w:lang w:eastAsia="ru-RU" w:bidi="ar-SA"/>
        </w:rPr>
        <w:t>восстановление орошаемых земель в 5-ти районах общей площадью 55,3 тыс. га.</w:t>
      </w:r>
      <w:r w:rsidRPr="00F0736F">
        <w:rPr>
          <w:rFonts w:ascii="Times New Roman" w:eastAsia="Calibri" w:hAnsi="Times New Roman" w:cs="Times New Roman"/>
          <w:color w:val="000000" w:themeColor="text1"/>
          <w:kern w:val="0"/>
          <w:lang w:eastAsia="ru-RU" w:bidi="ar-SA"/>
        </w:rPr>
        <w:t xml:space="preserve"> Завершение всех строительно-монтажных работ намечается на середину 2022 года.</w:t>
      </w:r>
    </w:p>
    <w:p w14:paraId="0F2A0637"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contextualSpacing/>
        <w:jc w:val="both"/>
        <w:rPr>
          <w:rFonts w:ascii="Calibri" w:eastAsia="font275" w:hAnsi="Calibri" w:cs="font275"/>
          <w:color w:val="000000" w:themeColor="text1"/>
          <w:kern w:val="0"/>
          <w:sz w:val="22"/>
          <w:szCs w:val="22"/>
          <w:lang w:eastAsia="ru-RU" w:bidi="ar-SA"/>
        </w:rPr>
      </w:pPr>
      <w:r w:rsidRPr="00F0736F">
        <w:rPr>
          <w:rFonts w:ascii="Times New Roman" w:eastAsia="Calibri" w:hAnsi="Times New Roman" w:cs="Times New Roman"/>
          <w:color w:val="000000" w:themeColor="text1"/>
          <w:kern w:val="0"/>
          <w:lang w:val="kk-KZ" w:eastAsia="ru-RU" w:bidi="ar-SA"/>
        </w:rPr>
        <w:t xml:space="preserve">В области была приобретена новая селькохозяйственная техника на сумму 6,0 млрд. тенге, показатель обновления составил 7,3%, или исполнена на 101,7% </w:t>
      </w:r>
      <w:r w:rsidRPr="00F0736F">
        <w:rPr>
          <w:rFonts w:ascii="Times New Roman" w:eastAsia="Calibri" w:hAnsi="Times New Roman" w:cs="Times New Roman"/>
          <w:color w:val="000000" w:themeColor="text1"/>
          <w:kern w:val="0"/>
          <w:lang w:val="kk-KZ" w:eastAsia="ru-RU" w:bidi="ar-SA"/>
        </w:rPr>
        <w:br/>
        <w:t>(в 2018 г. – 5,6%). (РК – 4,5%).</w:t>
      </w:r>
    </w:p>
    <w:p w14:paraId="5A3D1770"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b/>
          <w:bCs/>
          <w:color w:val="000000" w:themeColor="text1"/>
          <w:kern w:val="0"/>
          <w:lang w:val="kk-KZ" w:eastAsia="ru-RU" w:bidi="ar-SA"/>
        </w:rPr>
        <w:t>Земельный фонд</w:t>
      </w:r>
      <w:r w:rsidRPr="00F0736F">
        <w:rPr>
          <w:rFonts w:ascii="Times New Roman" w:eastAsia="font275" w:hAnsi="Times New Roman" w:cs="Times New Roman"/>
          <w:color w:val="000000" w:themeColor="text1"/>
          <w:kern w:val="0"/>
          <w:lang w:val="kk-KZ" w:eastAsia="ru-RU" w:bidi="ar-SA"/>
        </w:rPr>
        <w:t xml:space="preserve"> области на </w:t>
      </w:r>
      <w:r w:rsidRPr="00F0736F">
        <w:rPr>
          <w:rFonts w:ascii="Times New Roman" w:hAnsi="Times New Roman" w:cs="Times New Roman"/>
          <w:color w:val="000000" w:themeColor="text1"/>
        </w:rPr>
        <w:t>конец</w:t>
      </w:r>
      <w:r w:rsidRPr="00F0736F">
        <w:rPr>
          <w:rFonts w:ascii="Times New Roman" w:eastAsia="font275" w:hAnsi="Times New Roman" w:cs="Times New Roman"/>
          <w:color w:val="000000" w:themeColor="text1"/>
          <w:kern w:val="0"/>
          <w:lang w:val="kk-KZ" w:eastAsia="ru-RU" w:bidi="ar-SA"/>
        </w:rPr>
        <w:t xml:space="preserve"> 2019 года составляет 14,4 млн. га. Из них земли сельскохозяйственного назначения – 4,6 млн. </w:t>
      </w:r>
      <w:r w:rsidRPr="00F0736F">
        <w:rPr>
          <w:rFonts w:ascii="Times New Roman" w:eastAsia="font275" w:hAnsi="Times New Roman" w:cs="Times New Roman"/>
          <w:color w:val="000000" w:themeColor="text1"/>
          <w:kern w:val="0"/>
          <w:lang w:eastAsia="ru-RU" w:bidi="ar-SA"/>
        </w:rPr>
        <w:t>га</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Calibri" w:hAnsi="Times New Roman" w:cs="Times New Roman"/>
          <w:color w:val="000000" w:themeColor="text1"/>
          <w:kern w:val="0"/>
          <w:lang w:val="kk-KZ" w:eastAsia="ru-RU" w:bidi="ar-SA"/>
        </w:rPr>
        <w:t xml:space="preserve">Из земель сельскохозяйственного назначения площадь пашни составляет 772,6 тыс. га (177,4 тыс. га орошаемых), многолетних насаждений-3,8 тыс. га, сенокосов - 116,5 тыс. га, пастбищных угодий - 3,58 млн. </w:t>
      </w:r>
      <w:r w:rsidRPr="00F0736F">
        <w:rPr>
          <w:rFonts w:ascii="Times New Roman" w:eastAsia="Calibri" w:hAnsi="Times New Roman" w:cs="Times New Roman"/>
          <w:color w:val="000000" w:themeColor="text1"/>
          <w:kern w:val="0"/>
          <w:lang w:eastAsia="ru-RU" w:bidi="ar-SA"/>
        </w:rPr>
        <w:t>га</w:t>
      </w:r>
      <w:r w:rsidRPr="00F0736F">
        <w:rPr>
          <w:rFonts w:ascii="Times New Roman" w:eastAsia="Calibri"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обводненных 3,10 млн. га, или 86%. В результате принятых мер возвращены в государственную собственность 104</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1</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w:t>
      </w:r>
      <w:r w:rsidRPr="00F0736F">
        <w:rPr>
          <w:rFonts w:ascii="Times New Roman" w:eastAsia="font275" w:hAnsi="Times New Roman" w:cs="Times New Roman"/>
          <w:color w:val="000000" w:themeColor="text1"/>
          <w:kern w:val="0"/>
          <w:lang w:val="kk-KZ" w:eastAsia="ru-RU" w:bidi="ar-SA"/>
        </w:rPr>
        <w:t xml:space="preserve"> сельскохозяйственных земель</w:t>
      </w:r>
      <w:r w:rsidRPr="00F0736F">
        <w:rPr>
          <w:rFonts w:ascii="Times New Roman" w:eastAsia="font275" w:hAnsi="Times New Roman" w:cs="Times New Roman"/>
          <w:color w:val="000000" w:themeColor="text1"/>
          <w:kern w:val="0"/>
          <w:lang w:eastAsia="ru-RU" w:bidi="ar-SA"/>
        </w:rPr>
        <w:t xml:space="preserve"> (в т.ч. 10</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5</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 пашни, 93</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6</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 пастбищных земель). </w:t>
      </w:r>
      <w:r w:rsidRPr="00F0736F">
        <w:rPr>
          <w:rFonts w:ascii="Times New Roman" w:eastAsia="font275" w:hAnsi="Times New Roman" w:cs="Times New Roman"/>
          <w:color w:val="000000" w:themeColor="text1"/>
          <w:kern w:val="0"/>
          <w:lang w:val="kk-KZ" w:eastAsia="ru-RU" w:bidi="ar-SA"/>
        </w:rPr>
        <w:t xml:space="preserve">По неосвоенным </w:t>
      </w:r>
      <w:r w:rsidRPr="00F0736F">
        <w:rPr>
          <w:rFonts w:ascii="Times New Roman" w:eastAsia="font275" w:hAnsi="Times New Roman" w:cs="Times New Roman"/>
          <w:color w:val="000000" w:themeColor="text1"/>
          <w:kern w:val="0"/>
          <w:lang w:eastAsia="ru-RU" w:bidi="ar-SA"/>
        </w:rPr>
        <w:t>46</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9</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 (</w:t>
      </w:r>
      <w:r w:rsidRPr="00F0736F">
        <w:rPr>
          <w:rFonts w:ascii="Times New Roman" w:eastAsia="font275" w:hAnsi="Times New Roman" w:cs="Times New Roman"/>
          <w:color w:val="000000" w:themeColor="text1"/>
          <w:kern w:val="0"/>
          <w:lang w:val="kk-KZ" w:eastAsia="ru-RU" w:bidi="ar-SA"/>
        </w:rPr>
        <w:t>пашни</w:t>
      </w:r>
      <w:r w:rsidRPr="00F0736F">
        <w:rPr>
          <w:rFonts w:ascii="Times New Roman" w:eastAsia="font275" w:hAnsi="Times New Roman" w:cs="Times New Roman"/>
          <w:color w:val="000000" w:themeColor="text1"/>
          <w:kern w:val="0"/>
          <w:lang w:eastAsia="ru-RU" w:bidi="ar-SA"/>
        </w:rPr>
        <w:t xml:space="preserve"> - 7</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1</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 пастбищ - 39</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7</w:t>
      </w:r>
      <w:r w:rsidRPr="00F0736F">
        <w:rPr>
          <w:rFonts w:ascii="Times New Roman" w:eastAsia="font275" w:hAnsi="Times New Roman" w:cs="Times New Roman"/>
          <w:color w:val="000000" w:themeColor="text1"/>
          <w:kern w:val="0"/>
          <w:lang w:val="kk-KZ" w:eastAsia="ru-RU" w:bidi="ar-SA"/>
        </w:rPr>
        <w:t xml:space="preserve"> тыс.</w:t>
      </w:r>
      <w:r w:rsidRPr="00F0736F">
        <w:rPr>
          <w:rFonts w:ascii="Times New Roman" w:eastAsia="font275" w:hAnsi="Times New Roman" w:cs="Times New Roman"/>
          <w:color w:val="000000" w:themeColor="text1"/>
          <w:kern w:val="0"/>
          <w:lang w:eastAsia="ru-RU" w:bidi="ar-SA"/>
        </w:rPr>
        <w:t xml:space="preserve"> га) </w:t>
      </w:r>
      <w:r w:rsidRPr="00F0736F">
        <w:rPr>
          <w:rFonts w:ascii="Times New Roman" w:eastAsia="font275" w:hAnsi="Times New Roman" w:cs="Times New Roman"/>
          <w:color w:val="000000" w:themeColor="text1"/>
          <w:kern w:val="0"/>
          <w:lang w:val="kk-KZ" w:eastAsia="ru-RU" w:bidi="ar-SA"/>
        </w:rPr>
        <w:t xml:space="preserve">приняты меры по 10 кратному </w:t>
      </w:r>
      <w:r w:rsidRPr="00F0736F">
        <w:rPr>
          <w:rFonts w:ascii="Times New Roman" w:eastAsia="font275" w:hAnsi="Times New Roman" w:cs="Times New Roman"/>
          <w:color w:val="000000" w:themeColor="text1"/>
          <w:kern w:val="0"/>
          <w:lang w:eastAsia="ru-RU" w:bidi="ar-SA"/>
        </w:rPr>
        <w:t>повышен</w:t>
      </w:r>
      <w:r w:rsidRPr="00F0736F">
        <w:rPr>
          <w:rFonts w:ascii="Times New Roman" w:eastAsia="font275" w:hAnsi="Times New Roman" w:cs="Times New Roman"/>
          <w:color w:val="000000" w:themeColor="text1"/>
          <w:kern w:val="0"/>
          <w:lang w:val="kk-KZ" w:eastAsia="ru-RU" w:bidi="ar-SA"/>
        </w:rPr>
        <w:t>ию</w:t>
      </w:r>
      <w:r w:rsidRPr="00F0736F">
        <w:rPr>
          <w:rFonts w:ascii="Times New Roman" w:eastAsia="font275" w:hAnsi="Times New Roman" w:cs="Times New Roman"/>
          <w:color w:val="000000" w:themeColor="text1"/>
          <w:kern w:val="0"/>
          <w:lang w:eastAsia="ru-RU" w:bidi="ar-SA"/>
        </w:rPr>
        <w:t xml:space="preserve"> став</w:t>
      </w:r>
      <w:r w:rsidRPr="00F0736F">
        <w:rPr>
          <w:rFonts w:ascii="Times New Roman" w:eastAsia="font275" w:hAnsi="Times New Roman" w:cs="Times New Roman"/>
          <w:color w:val="000000" w:themeColor="text1"/>
          <w:kern w:val="0"/>
          <w:lang w:val="kk-KZ" w:eastAsia="ru-RU" w:bidi="ar-SA"/>
        </w:rPr>
        <w:t>ок земельного</w:t>
      </w:r>
      <w:r w:rsidRPr="00F0736F">
        <w:rPr>
          <w:rFonts w:ascii="Times New Roman" w:eastAsia="font275" w:hAnsi="Times New Roman" w:cs="Times New Roman"/>
          <w:color w:val="000000" w:themeColor="text1"/>
          <w:kern w:val="0"/>
          <w:lang w:eastAsia="ru-RU" w:bidi="ar-SA"/>
        </w:rPr>
        <w:t xml:space="preserve"> налога.</w:t>
      </w:r>
      <w:r w:rsidRPr="00F0736F">
        <w:rPr>
          <w:rFonts w:ascii="Times New Roman" w:eastAsia="font275" w:hAnsi="Times New Roman" w:cs="Times New Roman"/>
          <w:color w:val="000000" w:themeColor="text1"/>
          <w:kern w:val="0"/>
          <w:sz w:val="28"/>
          <w:szCs w:val="32"/>
          <w:lang w:val="kk-KZ" w:eastAsia="ru-RU" w:bidi="ar-SA"/>
        </w:rPr>
        <w:t xml:space="preserve"> </w:t>
      </w:r>
      <w:r w:rsidRPr="00F0736F">
        <w:rPr>
          <w:rFonts w:ascii="Times New Roman" w:eastAsia="font275" w:hAnsi="Times New Roman" w:cs="Times New Roman"/>
          <w:color w:val="000000" w:themeColor="text1"/>
          <w:kern w:val="0"/>
          <w:lang w:val="kk-KZ" w:eastAsia="ru-RU" w:bidi="ar-SA"/>
        </w:rPr>
        <w:t xml:space="preserve">В целях вовлечения в сельскохозяйственный оборот </w:t>
      </w:r>
      <w:r w:rsidRPr="00F0736F">
        <w:rPr>
          <w:rFonts w:ascii="Times New Roman" w:eastAsia="font275" w:hAnsi="Times New Roman" w:cs="Times New Roman"/>
          <w:color w:val="000000" w:themeColor="text1"/>
          <w:kern w:val="0"/>
          <w:lang w:eastAsia="ru-RU" w:bidi="ar-SA"/>
        </w:rPr>
        <w:t>возвращенных в государственную собственность земель проведено 18 конкурсов</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по</w:t>
      </w:r>
      <w:r w:rsidRPr="00F0736F">
        <w:rPr>
          <w:rFonts w:ascii="Times New Roman" w:eastAsia="font275" w:hAnsi="Times New Roman" w:cs="Times New Roman"/>
          <w:color w:val="000000" w:themeColor="text1"/>
          <w:kern w:val="0"/>
          <w:lang w:val="kk-KZ" w:eastAsia="ru-RU" w:bidi="ar-SA"/>
        </w:rPr>
        <w:t xml:space="preserve"> итогам которых переданы в аренду </w:t>
      </w:r>
      <w:r w:rsidRPr="00F0736F">
        <w:rPr>
          <w:rFonts w:ascii="Times New Roman" w:eastAsia="font275" w:hAnsi="Times New Roman" w:cs="Times New Roman"/>
          <w:color w:val="000000" w:themeColor="text1"/>
          <w:kern w:val="0"/>
          <w:lang w:eastAsia="ru-RU" w:bidi="ar-SA"/>
        </w:rPr>
        <w:t xml:space="preserve">199,1 тыс. га </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пашни 9,2 тыс. га, пастбищ 189,9 тыс. га</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w:t>
      </w:r>
      <w:r w:rsidRPr="00F0736F">
        <w:rPr>
          <w:rFonts w:ascii="Times New Roman" w:eastAsia="font275" w:hAnsi="Times New Roman" w:cs="Times New Roman"/>
          <w:color w:val="000000" w:themeColor="text1"/>
          <w:kern w:val="0"/>
          <w:lang w:val="kk-KZ" w:eastAsia="ru-RU" w:bidi="ar-SA"/>
        </w:rPr>
        <w:t>земель.</w:t>
      </w:r>
    </w:p>
    <w:p w14:paraId="74B90B03"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contextualSpacing/>
        <w:jc w:val="both"/>
        <w:rPr>
          <w:rFonts w:ascii="Times New Roman" w:eastAsia="font275" w:hAnsi="Times New Roman" w:cs="Times New Roman"/>
          <w:b/>
          <w:bCs/>
          <w:i/>
          <w:iCs/>
          <w:color w:val="000000" w:themeColor="text1"/>
          <w:kern w:val="0"/>
          <w:szCs w:val="22"/>
          <w:lang w:eastAsia="ru-RU" w:bidi="ar-SA"/>
        </w:rPr>
      </w:pPr>
      <w:r w:rsidRPr="00F0736F">
        <w:rPr>
          <w:rFonts w:ascii="Times New Roman" w:eastAsia="font275" w:hAnsi="Times New Roman" w:cs="Times New Roman"/>
          <w:b/>
          <w:bCs/>
          <w:i/>
          <w:iCs/>
          <w:color w:val="000000" w:themeColor="text1"/>
          <w:kern w:val="0"/>
          <w:szCs w:val="22"/>
          <w:lang w:eastAsia="ru-RU" w:bidi="ar-SA"/>
        </w:rPr>
        <w:t>Развитие энергетики, в том числе возобновляемой энергетики, и обеспечение населения энергией.</w:t>
      </w:r>
    </w:p>
    <w:p w14:paraId="79E85E6F"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b/>
          <w:color w:val="000000" w:themeColor="text1"/>
          <w:kern w:val="0"/>
          <w:szCs w:val="22"/>
          <w:lang w:eastAsia="ru-RU" w:bidi="ar-SA"/>
        </w:rPr>
        <w:t>Программой развития</w:t>
      </w:r>
      <w:r w:rsidRPr="00F0736F">
        <w:rPr>
          <w:rFonts w:ascii="Times New Roman" w:eastAsia="font275" w:hAnsi="Times New Roman" w:cs="Times New Roman"/>
          <w:color w:val="000000" w:themeColor="text1"/>
          <w:kern w:val="0"/>
          <w:szCs w:val="22"/>
          <w:lang w:eastAsia="ru-RU" w:bidi="ar-SA"/>
        </w:rPr>
        <w:t xml:space="preserve"> Жамбылской области на 2016 - 2020 годы предусмотрена реализация следующих индикаторов, соответствующих Концепции:</w:t>
      </w:r>
    </w:p>
    <w:p w14:paraId="627BBB56"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color w:val="000000" w:themeColor="text1"/>
          <w:kern w:val="0"/>
          <w:szCs w:val="22"/>
          <w:lang w:eastAsia="ru-RU" w:bidi="ar-SA"/>
        </w:rPr>
        <w:t>- Показатель энергоемкости внутреннего регионального продукта, тнэ на тыс. долл. США в ценах 2000 года (план - 0,0184, факт – 0,22 (за 2017 год);</w:t>
      </w:r>
    </w:p>
    <w:p w14:paraId="3FCECB8D"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color w:val="000000" w:themeColor="text1"/>
          <w:kern w:val="0"/>
          <w:szCs w:val="22"/>
          <w:lang w:eastAsia="ru-RU" w:bidi="ar-SA"/>
        </w:rPr>
        <w:t>- Доля выработанной электроэнергии возобновляемых источников энергии в общем объеме выработанной электроэнергии, (план – 14%, факт в 2017 году – 17,7%). По данным Комитета по статистике, доля ВИЭ по Жамбылской области за 2019 год составляет (включая гидроэлектростанции) – 70,6%, с учетом малых гидроэлектростанций составляет – 0,1%.</w:t>
      </w:r>
    </w:p>
    <w:p w14:paraId="7B63BCFB"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color w:val="000000" w:themeColor="text1"/>
          <w:kern w:val="0"/>
          <w:szCs w:val="22"/>
          <w:lang w:eastAsia="ru-RU" w:bidi="ar-SA"/>
        </w:rPr>
        <w:t>Учитывая природно-климатические условия Жамбылской области, а также значительный энергетический потенциал для использования ВИЭ, за последние годы в регионе проведены работы по строительству солнечных электростанций, ветроустановок и малых ГЭС.</w:t>
      </w:r>
    </w:p>
    <w:p w14:paraId="3C55E471"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color w:val="000000" w:themeColor="text1"/>
          <w:kern w:val="0"/>
          <w:szCs w:val="22"/>
          <w:lang w:eastAsia="ru-RU" w:bidi="ar-SA"/>
        </w:rPr>
        <w:t>В 2010 году установленная мощность всех объектов ВИЭ составляла порядка 1,5 - 2,0 МВт. На начало 2020 года на территории области функционируют</w:t>
      </w:r>
      <w:r w:rsidRPr="00F0736F">
        <w:rPr>
          <w:rFonts w:ascii="Times New Roman" w:eastAsia="font275" w:hAnsi="Times New Roman" w:cs="Times New Roman"/>
          <w:color w:val="000000" w:themeColor="text1"/>
          <w:kern w:val="0"/>
          <w:szCs w:val="22"/>
          <w:lang w:val="kk-KZ" w:eastAsia="ru-RU" w:bidi="ar-SA"/>
        </w:rPr>
        <w:t xml:space="preserve"> </w:t>
      </w:r>
      <w:r w:rsidRPr="00F0736F">
        <w:rPr>
          <w:rFonts w:ascii="Times New Roman" w:eastAsia="font275" w:hAnsi="Times New Roman" w:cs="Times New Roman"/>
          <w:color w:val="000000" w:themeColor="text1"/>
          <w:kern w:val="0"/>
          <w:szCs w:val="22"/>
          <w:lang w:eastAsia="ru-RU" w:bidi="ar-SA"/>
        </w:rPr>
        <w:t>1</w:t>
      </w:r>
      <w:r w:rsidRPr="00F0736F">
        <w:rPr>
          <w:rFonts w:ascii="Times New Roman" w:eastAsia="font275" w:hAnsi="Times New Roman" w:cs="Times New Roman"/>
          <w:color w:val="000000" w:themeColor="text1"/>
          <w:kern w:val="0"/>
          <w:szCs w:val="22"/>
          <w:lang w:val="kk-KZ" w:eastAsia="ru-RU" w:bidi="ar-SA"/>
        </w:rPr>
        <w:t>2</w:t>
      </w:r>
      <w:r w:rsidRPr="00F0736F">
        <w:rPr>
          <w:rFonts w:ascii="Times New Roman" w:eastAsia="font275" w:hAnsi="Times New Roman" w:cs="Times New Roman"/>
          <w:color w:val="000000" w:themeColor="text1"/>
          <w:kern w:val="0"/>
          <w:szCs w:val="22"/>
          <w:lang w:eastAsia="ru-RU" w:bidi="ar-SA"/>
        </w:rPr>
        <w:t xml:space="preserve"> объектов </w:t>
      </w:r>
      <w:r w:rsidRPr="00F0736F">
        <w:rPr>
          <w:rFonts w:ascii="Times New Roman" w:eastAsia="font275" w:hAnsi="Times New Roman" w:cs="Times New Roman"/>
          <w:b/>
          <w:bCs/>
          <w:color w:val="000000" w:themeColor="text1"/>
          <w:kern w:val="0"/>
          <w:szCs w:val="22"/>
          <w:lang w:eastAsia="ru-RU" w:bidi="ar-SA"/>
        </w:rPr>
        <w:t>возобновляемой энерг</w:t>
      </w:r>
      <w:r w:rsidRPr="00F0736F">
        <w:rPr>
          <w:rFonts w:ascii="Times New Roman" w:eastAsia="font275" w:hAnsi="Times New Roman" w:cs="Times New Roman"/>
          <w:b/>
          <w:bCs/>
          <w:color w:val="000000" w:themeColor="text1"/>
          <w:kern w:val="0"/>
          <w:szCs w:val="22"/>
          <w:lang w:val="kk-KZ" w:eastAsia="ru-RU" w:bidi="ar-SA"/>
        </w:rPr>
        <w:t>ии</w:t>
      </w:r>
      <w:r w:rsidRPr="00F0736F">
        <w:rPr>
          <w:rFonts w:ascii="Times New Roman" w:eastAsia="font275" w:hAnsi="Times New Roman" w:cs="Times New Roman"/>
          <w:bCs/>
          <w:color w:val="000000" w:themeColor="text1"/>
          <w:kern w:val="0"/>
          <w:szCs w:val="22"/>
          <w:lang w:val="kk-KZ" w:eastAsia="ru-RU" w:bidi="ar-SA"/>
        </w:rPr>
        <w:t>, суммарная мощность которых составляет 268,7 МВт. При этом - доля Жамбылской области по республике составляет 26%:</w:t>
      </w:r>
    </w:p>
    <w:p w14:paraId="4629953F"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bCs/>
          <w:color w:val="000000" w:themeColor="text1"/>
          <w:kern w:val="0"/>
          <w:szCs w:val="22"/>
          <w:lang w:val="kk-KZ" w:eastAsia="ru-RU" w:bidi="ar-SA"/>
        </w:rPr>
        <w:t>1) общая мощность 5 объектов гидроэлектростанций - 15,1 МВт («Меркенская ГЭС-1» - 1,1 МВт, «Меркенская ГЭС – 2» - 0,91 МВт, «Меркенская ГЭС-3» - 1,5 МВт, «Каракыстакская ГЭС» - 2,3 МВт, «Тасоткельская ГЭС» - 9,2 МВт);</w:t>
      </w:r>
    </w:p>
    <w:p w14:paraId="444F75B1"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bCs/>
          <w:color w:val="000000" w:themeColor="text1"/>
          <w:kern w:val="0"/>
          <w:szCs w:val="22"/>
          <w:lang w:val="kk-KZ" w:eastAsia="ru-RU" w:bidi="ar-SA"/>
        </w:rPr>
        <w:t>2) 3 объекта ветроэлектростанции общей мощностью 53,1 МВт (ТОО "Vista International» - 21 МВт, ТОО «Ветроинвест» - 30,65 МВт, «Кордай К-1 " мощностью 1,5 МВт);</w:t>
      </w:r>
    </w:p>
    <w:p w14:paraId="3762DF0B"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bCs/>
          <w:color w:val="000000" w:themeColor="text1"/>
          <w:kern w:val="0"/>
          <w:szCs w:val="22"/>
          <w:lang w:val="kk-KZ" w:eastAsia="ru-RU" w:bidi="ar-SA"/>
        </w:rPr>
        <w:t xml:space="preserve">3) 4 объекта солнечных электростанций общей мощностью 100,5 МВт (Отар СЭС мощностью 0,5 МВт ТОО «КазЭкоВатт», ТОО «Burnoe Solar-1» 50 МВт, ТОО «Burnoe Solar-2» 50 МВт, </w:t>
      </w:r>
      <w:r w:rsidRPr="00F0736F">
        <w:rPr>
          <w:rFonts w:ascii="Times New Roman" w:eastAsia="font275" w:hAnsi="Times New Roman" w:cs="Times New Roman"/>
          <w:color w:val="000000" w:themeColor="text1"/>
          <w:kern w:val="0"/>
          <w:szCs w:val="22"/>
          <w:lang w:val="kk-KZ" w:eastAsia="ru-RU" w:bidi="ar-SA"/>
        </w:rPr>
        <w:t>ТОО «М-КАТ Грин» 100 Мвт</w:t>
      </w:r>
      <w:r w:rsidRPr="00F0736F">
        <w:rPr>
          <w:rFonts w:ascii="Times New Roman" w:eastAsia="font275" w:hAnsi="Times New Roman" w:cs="Times New Roman"/>
          <w:bCs/>
          <w:color w:val="000000" w:themeColor="text1"/>
          <w:kern w:val="0"/>
          <w:szCs w:val="22"/>
          <w:lang w:val="kk-KZ" w:eastAsia="ru-RU" w:bidi="ar-SA"/>
        </w:rPr>
        <w:t>).</w:t>
      </w:r>
    </w:p>
    <w:p w14:paraId="6713775E"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bCs/>
          <w:color w:val="000000" w:themeColor="text1"/>
          <w:kern w:val="0"/>
          <w:szCs w:val="22"/>
          <w:lang w:val="kk-KZ" w:eastAsia="ru-RU" w:bidi="ar-SA"/>
        </w:rPr>
        <w:t xml:space="preserve">Объем выработанной электроэнергии по итогам  12 месяцев 2019 года (410,6 млн кВт*ч) по сравнению с аналогичным периодом 2018 года (376 млн. кВт*ч) вырос на 8,4%. По итогам года планируется довести долю электроэнергии, вырабатываемой от общего объема возобновляемых источников энергии, до 15%. </w:t>
      </w:r>
    </w:p>
    <w:p w14:paraId="70D75133"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szCs w:val="22"/>
          <w:lang w:val="kk-KZ" w:eastAsia="ru-RU" w:bidi="ar-SA"/>
        </w:rPr>
      </w:pPr>
      <w:r w:rsidRPr="00F0736F">
        <w:rPr>
          <w:rFonts w:ascii="Times New Roman" w:eastAsia="font275" w:hAnsi="Times New Roman" w:cs="Times New Roman"/>
          <w:bCs/>
          <w:color w:val="000000" w:themeColor="text1"/>
          <w:kern w:val="0"/>
          <w:szCs w:val="22"/>
          <w:lang w:val="kk-KZ" w:eastAsia="ru-RU" w:bidi="ar-SA"/>
        </w:rPr>
        <w:t xml:space="preserve">В 2020 году </w:t>
      </w:r>
      <w:r w:rsidRPr="00F0736F">
        <w:rPr>
          <w:rFonts w:ascii="Times New Roman" w:eastAsia="font275" w:hAnsi="Times New Roman" w:cs="Times New Roman"/>
          <w:bCs/>
          <w:color w:val="000000" w:themeColor="text1"/>
          <w:kern w:val="0"/>
          <w:szCs w:val="22"/>
          <w:lang w:eastAsia="ru-RU" w:bidi="ar-SA"/>
        </w:rPr>
        <w:t>начата</w:t>
      </w:r>
      <w:r w:rsidRPr="00F0736F">
        <w:rPr>
          <w:rFonts w:ascii="Times New Roman" w:eastAsia="font275" w:hAnsi="Times New Roman" w:cs="Times New Roman"/>
          <w:bCs/>
          <w:color w:val="000000" w:themeColor="text1"/>
          <w:kern w:val="0"/>
          <w:szCs w:val="22"/>
          <w:lang w:val="kk-KZ" w:eastAsia="ru-RU" w:bidi="ar-SA"/>
        </w:rPr>
        <w:t xml:space="preserve"> реализация </w:t>
      </w:r>
      <w:r w:rsidRPr="00F0736F">
        <w:rPr>
          <w:rFonts w:ascii="Times New Roman" w:eastAsia="font275" w:hAnsi="Times New Roman" w:cs="Times New Roman"/>
          <w:color w:val="000000" w:themeColor="text1"/>
          <w:kern w:val="0"/>
          <w:szCs w:val="22"/>
          <w:lang w:val="kk-KZ" w:eastAsia="ru-RU" w:bidi="ar-SA"/>
        </w:rPr>
        <w:t>4 проект</w:t>
      </w:r>
      <w:r w:rsidRPr="00F0736F">
        <w:rPr>
          <w:rFonts w:ascii="Times New Roman" w:eastAsia="font275" w:hAnsi="Times New Roman" w:cs="Times New Roman"/>
          <w:color w:val="000000" w:themeColor="text1"/>
          <w:kern w:val="0"/>
          <w:szCs w:val="22"/>
          <w:lang w:eastAsia="ru-RU" w:bidi="ar-SA"/>
        </w:rPr>
        <w:t>ов</w:t>
      </w:r>
      <w:r w:rsidRPr="00F0736F">
        <w:rPr>
          <w:rFonts w:ascii="Times New Roman" w:eastAsia="font275" w:hAnsi="Times New Roman" w:cs="Times New Roman"/>
          <w:bCs/>
          <w:color w:val="000000" w:themeColor="text1"/>
          <w:kern w:val="0"/>
          <w:szCs w:val="22"/>
          <w:lang w:val="kk-KZ" w:eastAsia="ru-RU" w:bidi="ar-SA"/>
        </w:rPr>
        <w:t xml:space="preserve"> общей мощностью </w:t>
      </w:r>
      <w:r w:rsidRPr="00F0736F">
        <w:rPr>
          <w:rFonts w:ascii="Times New Roman" w:eastAsia="font275" w:hAnsi="Times New Roman" w:cs="Times New Roman"/>
          <w:color w:val="000000" w:themeColor="text1"/>
          <w:kern w:val="0"/>
          <w:szCs w:val="22"/>
          <w:lang w:val="kk-KZ" w:eastAsia="ru-RU" w:bidi="ar-SA"/>
        </w:rPr>
        <w:t>133,8</w:t>
      </w:r>
      <w:r w:rsidRPr="00F0736F">
        <w:rPr>
          <w:rFonts w:ascii="Times New Roman" w:eastAsia="font275" w:hAnsi="Times New Roman" w:cs="Times New Roman"/>
          <w:bCs/>
          <w:color w:val="000000" w:themeColor="text1"/>
          <w:kern w:val="0"/>
          <w:szCs w:val="22"/>
          <w:lang w:val="kk-KZ" w:eastAsia="ru-RU" w:bidi="ar-SA"/>
        </w:rPr>
        <w:t xml:space="preserve"> МВт с завершением</w:t>
      </w:r>
      <w:r w:rsidRPr="00F0736F">
        <w:rPr>
          <w:rFonts w:ascii="Times New Roman" w:eastAsia="font275" w:hAnsi="Times New Roman" w:cs="Times New Roman"/>
          <w:b/>
          <w:bCs/>
          <w:color w:val="000000" w:themeColor="text1"/>
          <w:kern w:val="0"/>
          <w:szCs w:val="22"/>
          <w:lang w:val="kk-KZ" w:eastAsia="ru-RU" w:bidi="ar-SA"/>
        </w:rPr>
        <w:t xml:space="preserve"> </w:t>
      </w:r>
      <w:r w:rsidRPr="00F0736F">
        <w:rPr>
          <w:rFonts w:ascii="Times New Roman" w:eastAsia="font275" w:hAnsi="Times New Roman" w:cs="Times New Roman"/>
          <w:bCs/>
          <w:color w:val="000000" w:themeColor="text1"/>
          <w:kern w:val="0"/>
          <w:szCs w:val="22"/>
          <w:lang w:val="kk-KZ" w:eastAsia="ru-RU" w:bidi="ar-SA"/>
        </w:rPr>
        <w:t xml:space="preserve">в 2021 году. </w:t>
      </w:r>
    </w:p>
    <w:p w14:paraId="0F52FBA1"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color w:val="000000" w:themeColor="text1"/>
          <w:kern w:val="0"/>
          <w:szCs w:val="22"/>
          <w:lang w:eastAsia="ru-RU" w:bidi="ar-SA"/>
        </w:rPr>
        <w:t>Принимая во внимание развитие индустрии туризма, в 2019 году Жамбылская область приступила к вопросу внедрения «Экокапсул</w:t>
      </w:r>
      <w:r w:rsidRPr="00F0736F">
        <w:rPr>
          <w:rFonts w:ascii="Times New Roman" w:eastAsia="font275" w:hAnsi="Times New Roman" w:cs="Times New Roman"/>
          <w:color w:val="000000" w:themeColor="text1"/>
          <w:kern w:val="0"/>
          <w:szCs w:val="22"/>
          <w:lang w:val="kk-KZ" w:eastAsia="ru-RU" w:bidi="ar-SA"/>
        </w:rPr>
        <w:t xml:space="preserve">ьных </w:t>
      </w:r>
      <w:r w:rsidRPr="00F0736F">
        <w:rPr>
          <w:rFonts w:ascii="Times New Roman" w:eastAsia="font275" w:hAnsi="Times New Roman" w:cs="Times New Roman"/>
          <w:color w:val="000000" w:themeColor="text1"/>
          <w:kern w:val="0"/>
          <w:szCs w:val="22"/>
          <w:lang w:eastAsia="ru-RU" w:bidi="ar-SA"/>
        </w:rPr>
        <w:t>корпусов». Удобство эко-капсул в том, что они оснащены солнечными батареями и основаны на проекте «умного» дома.</w:t>
      </w:r>
      <w:r w:rsidRPr="00F0736F">
        <w:rPr>
          <w:rFonts w:ascii="Times New Roman" w:eastAsia="font275" w:hAnsi="Times New Roman" w:cs="Times New Roman"/>
          <w:color w:val="000000" w:themeColor="text1"/>
          <w:kern w:val="0"/>
          <w:szCs w:val="22"/>
          <w:lang w:val="kk-KZ" w:eastAsia="ru-RU" w:bidi="ar-SA"/>
        </w:rPr>
        <w:t xml:space="preserve"> Данные</w:t>
      </w:r>
      <w:r w:rsidRPr="00F0736F">
        <w:rPr>
          <w:rFonts w:ascii="Times New Roman" w:eastAsia="font275" w:hAnsi="Times New Roman" w:cs="Times New Roman"/>
          <w:color w:val="000000" w:themeColor="text1"/>
          <w:kern w:val="0"/>
          <w:szCs w:val="22"/>
          <w:lang w:eastAsia="ru-RU" w:bidi="ar-SA"/>
        </w:rPr>
        <w:t xml:space="preserve"> помещения предназначены для размещения в районах, где невыгодно привлечение инфраструктуры. Эко-капсулы оснащены системами обогрева и охлаждения, мультимедийными технологиями, а также системами пожаротушения.</w:t>
      </w:r>
      <w:r w:rsidRPr="00F0736F">
        <w:rPr>
          <w:rFonts w:ascii="Times New Roman" w:eastAsia="font275" w:hAnsi="Times New Roman" w:cs="Times New Roman"/>
          <w:color w:val="000000" w:themeColor="text1"/>
          <w:kern w:val="0"/>
          <w:szCs w:val="22"/>
          <w:lang w:val="kk-KZ" w:eastAsia="ru-RU" w:bidi="ar-SA"/>
        </w:rPr>
        <w:t xml:space="preserve"> </w:t>
      </w:r>
      <w:r w:rsidRPr="00F0736F">
        <w:rPr>
          <w:rFonts w:ascii="Times New Roman" w:eastAsia="font275" w:hAnsi="Times New Roman" w:cs="Times New Roman"/>
          <w:color w:val="000000" w:themeColor="text1"/>
          <w:kern w:val="0"/>
          <w:szCs w:val="22"/>
          <w:lang w:eastAsia="ru-RU" w:bidi="ar-SA"/>
        </w:rPr>
        <w:t>По этим проектам проведены переговоры и подписаны предварительные соглашения.</w:t>
      </w:r>
    </w:p>
    <w:p w14:paraId="7D8C0AC1"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xml:space="preserve">По итогам 2019 года из 377 населенных пунктов области проведена </w:t>
      </w:r>
      <w:r w:rsidRPr="00F0736F">
        <w:rPr>
          <w:rFonts w:ascii="Times New Roman" w:eastAsia="font275" w:hAnsi="Times New Roman" w:cs="Times New Roman"/>
          <w:b/>
          <w:bCs/>
          <w:color w:val="000000" w:themeColor="text1"/>
          <w:kern w:val="0"/>
          <w:lang w:val="kk-KZ" w:eastAsia="ru-RU" w:bidi="ar-SA"/>
        </w:rPr>
        <w:t>газификация</w:t>
      </w:r>
      <w:r w:rsidRPr="00F0736F">
        <w:rPr>
          <w:rFonts w:ascii="Times New Roman" w:eastAsia="font275" w:hAnsi="Times New Roman" w:cs="Times New Roman"/>
          <w:color w:val="000000" w:themeColor="text1"/>
          <w:kern w:val="0"/>
          <w:lang w:val="kk-KZ" w:eastAsia="ru-RU" w:bidi="ar-SA"/>
        </w:rPr>
        <w:t xml:space="preserve"> 190 населенных пунктов (в 2019 году – 9 н.п., численность населения – 6035 человек), уровень обеспеченности газоснабжением достигнут 50%, или 841 тыс.человек (74,6%).</w:t>
      </w:r>
    </w:p>
    <w:p w14:paraId="008581F5"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xml:space="preserve">Кроме того, из 35 жилых массивов, присоединенных к городу Тараз, 8 102 из 35 646 жителей (Кумшагал –760 домов, 2 892 человека, Шолдала – 375 домов, 1 600 человек, Кызыл-абад - 461 домов, 711 человек, Кольтоган – 232 домов, 740 человек, Лето – 374 домов, </w:t>
      </w:r>
      <w:r w:rsidRPr="00F0736F">
        <w:rPr>
          <w:rFonts w:ascii="Times New Roman" w:eastAsia="font275" w:hAnsi="Times New Roman" w:cs="Times New Roman"/>
          <w:color w:val="000000" w:themeColor="text1"/>
          <w:kern w:val="0"/>
          <w:lang w:val="kk-KZ" w:eastAsia="ru-RU" w:bidi="ar-SA"/>
        </w:rPr>
        <w:br/>
        <w:t>1 254 человека, Береке – 200 домов, 492 человека, Казарма – 37 домов, 174 человека, Дальняя Карасу-1 - 12 домов, 61 человек, Дальняя Карасу-3 - 39 домов, 178 человек) подключены к центральному газоснабжению. Данные работы планируется завершить к концу 2020 года.</w:t>
      </w:r>
    </w:p>
    <w:p w14:paraId="1CD74097"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В 2020 году с республиканского бюджета выделено 6,6 млрд. тенге на строительство подводящего газопровода к 86 населенным пунктам области (Шуский район (18 н.п. 22 130 чел.), Жамбылский район (13 н.п. 12 631 чел.), Жуалынский район (15 н.п. 9 457 чел.), Сарысуский район до города Жанатас (14 н.п. 39 539 чел.), Таласский район (5 н.п. 2923 чел.), Байзакский район (21 н.п. 17241 чел.), будут проведены соответствующие работы.</w:t>
      </w:r>
    </w:p>
    <w:p w14:paraId="08D59742"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
          <w:bCs/>
          <w:i/>
          <w:iCs/>
          <w:color w:val="000000" w:themeColor="text1"/>
          <w:kern w:val="0"/>
          <w:szCs w:val="22"/>
          <w:lang w:eastAsia="ru-RU" w:bidi="ar-SA"/>
        </w:rPr>
      </w:pPr>
      <w:r w:rsidRPr="00F0736F">
        <w:rPr>
          <w:rFonts w:ascii="Times New Roman" w:eastAsia="font275" w:hAnsi="Times New Roman" w:cs="Times New Roman"/>
          <w:b/>
          <w:bCs/>
          <w:i/>
          <w:iCs/>
          <w:color w:val="000000" w:themeColor="text1"/>
          <w:kern w:val="0"/>
          <w:szCs w:val="22"/>
          <w:lang w:eastAsia="ru-RU" w:bidi="ar-SA"/>
        </w:rPr>
        <w:t>Состояние водоснабжения и канализации, обеспечение населения централизованным водоснабжением и водоотведением.</w:t>
      </w:r>
    </w:p>
    <w:p w14:paraId="05187903"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sz w:val="22"/>
          <w:szCs w:val="22"/>
          <w:lang w:eastAsia="ru-RU" w:bidi="ar-SA"/>
        </w:rPr>
      </w:pPr>
      <w:r w:rsidRPr="00F0736F">
        <w:rPr>
          <w:rFonts w:ascii="Times New Roman" w:eastAsia="font275" w:hAnsi="Times New Roman" w:cs="Times New Roman"/>
          <w:b/>
          <w:color w:val="000000" w:themeColor="text1"/>
          <w:kern w:val="0"/>
          <w:sz w:val="22"/>
          <w:szCs w:val="22"/>
          <w:lang w:eastAsia="ru-RU" w:bidi="ar-SA"/>
        </w:rPr>
        <w:t>Основные реки</w:t>
      </w:r>
      <w:r w:rsidRPr="00F0736F">
        <w:rPr>
          <w:rFonts w:ascii="Times New Roman" w:eastAsia="font275" w:hAnsi="Times New Roman" w:cs="Times New Roman"/>
          <w:color w:val="000000" w:themeColor="text1"/>
          <w:kern w:val="0"/>
          <w:sz w:val="22"/>
          <w:szCs w:val="22"/>
          <w:lang w:eastAsia="ru-RU" w:bidi="ar-SA"/>
        </w:rPr>
        <w:t>: Шу с притоками (общая длина 1186 км, в пределах республики 800 км), Талас (661 км, в пределах Республики Казахстан - 453 км), Аса (253 км) и др.</w:t>
      </w:r>
    </w:p>
    <w:p w14:paraId="16E72280"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709"/>
        </w:tabs>
        <w:overflowPunct/>
        <w:jc w:val="both"/>
        <w:rPr>
          <w:rFonts w:ascii="Times New Roman" w:eastAsia="font275" w:hAnsi="Times New Roman" w:cs="Times New Roman"/>
          <w:color w:val="000000" w:themeColor="text1"/>
          <w:kern w:val="0"/>
          <w:szCs w:val="22"/>
          <w:lang w:eastAsia="ru-RU" w:bidi="ar-SA"/>
        </w:rPr>
      </w:pPr>
      <w:r w:rsidRPr="00F0736F">
        <w:rPr>
          <w:rFonts w:ascii="Times New Roman" w:eastAsia="font275" w:hAnsi="Times New Roman" w:cs="Times New Roman"/>
          <w:b/>
          <w:bCs/>
          <w:color w:val="000000" w:themeColor="text1"/>
          <w:kern w:val="0"/>
          <w:szCs w:val="22"/>
          <w:lang w:eastAsia="ru-RU" w:bidi="ar-SA"/>
        </w:rPr>
        <w:tab/>
      </w:r>
      <w:r w:rsidRPr="00F0736F">
        <w:rPr>
          <w:rFonts w:ascii="Times New Roman" w:eastAsia="font275" w:hAnsi="Times New Roman" w:cs="Times New Roman"/>
          <w:color w:val="000000" w:themeColor="text1"/>
          <w:kern w:val="0"/>
          <w:szCs w:val="22"/>
          <w:lang w:eastAsia="ru-RU" w:bidi="ar-SA"/>
        </w:rPr>
        <w:t>Крупные пресные озера: Балхаш (западная часть 18,2 тыс.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Бийликоль (33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Акколь (15,5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Улькен Камкалы (4,6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и другие; соленые: Акжар (7,2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Ащыколь (88,5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и другие. На реке Шу сооружено Тасоткельское водохранилище (площадь 78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объем воды - 290 млн. м</w:t>
      </w:r>
      <w:r w:rsidRPr="00F0736F">
        <w:rPr>
          <w:rFonts w:ascii="Times New Roman" w:eastAsia="font275" w:hAnsi="Times New Roman" w:cs="Times New Roman"/>
          <w:color w:val="000000" w:themeColor="text1"/>
          <w:kern w:val="0"/>
          <w:szCs w:val="22"/>
          <w:vertAlign w:val="superscript"/>
          <w:lang w:eastAsia="ru-RU" w:bidi="ar-SA"/>
        </w:rPr>
        <w:t>3</w:t>
      </w:r>
      <w:r w:rsidRPr="00F0736F">
        <w:rPr>
          <w:rFonts w:ascii="Times New Roman" w:eastAsia="font275" w:hAnsi="Times New Roman" w:cs="Times New Roman"/>
          <w:color w:val="000000" w:themeColor="text1"/>
          <w:kern w:val="0"/>
          <w:szCs w:val="22"/>
          <w:lang w:eastAsia="ru-RU" w:bidi="ar-SA"/>
        </w:rPr>
        <w:t>), на реке Асы-Терис Ащыбулакское водохранилище (площадь 24 км</w:t>
      </w:r>
      <w:r w:rsidRPr="00F0736F">
        <w:rPr>
          <w:rFonts w:ascii="Times New Roman" w:eastAsia="font275" w:hAnsi="Times New Roman" w:cs="Times New Roman"/>
          <w:color w:val="000000" w:themeColor="text1"/>
          <w:kern w:val="0"/>
          <w:szCs w:val="22"/>
          <w:vertAlign w:val="superscript"/>
          <w:lang w:eastAsia="ru-RU" w:bidi="ar-SA"/>
        </w:rPr>
        <w:t>2</w:t>
      </w:r>
      <w:r w:rsidRPr="00F0736F">
        <w:rPr>
          <w:rFonts w:ascii="Times New Roman" w:eastAsia="font275" w:hAnsi="Times New Roman" w:cs="Times New Roman"/>
          <w:color w:val="000000" w:themeColor="text1"/>
          <w:kern w:val="0"/>
          <w:szCs w:val="22"/>
          <w:lang w:eastAsia="ru-RU" w:bidi="ar-SA"/>
        </w:rPr>
        <w:t>, объем воды 158 млн. м</w:t>
      </w:r>
      <w:r w:rsidRPr="00F0736F">
        <w:rPr>
          <w:rFonts w:ascii="Times New Roman" w:eastAsia="font275" w:hAnsi="Times New Roman" w:cs="Times New Roman"/>
          <w:color w:val="000000" w:themeColor="text1"/>
          <w:kern w:val="0"/>
          <w:szCs w:val="22"/>
          <w:vertAlign w:val="superscript"/>
          <w:lang w:eastAsia="ru-RU" w:bidi="ar-SA"/>
        </w:rPr>
        <w:t>3</w:t>
      </w:r>
      <w:r w:rsidRPr="00F0736F">
        <w:rPr>
          <w:rFonts w:ascii="Times New Roman" w:eastAsia="font275" w:hAnsi="Times New Roman" w:cs="Times New Roman"/>
          <w:color w:val="000000" w:themeColor="text1"/>
          <w:kern w:val="0"/>
          <w:szCs w:val="22"/>
          <w:lang w:eastAsia="ru-RU" w:bidi="ar-SA"/>
        </w:rPr>
        <w:t>).</w:t>
      </w:r>
    </w:p>
    <w:p w14:paraId="3C233F63"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709"/>
        </w:tabs>
        <w:overflowPunct/>
        <w:ind w:firstLine="709"/>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В области имеется 120 водохранилищ</w:t>
      </w:r>
      <w:r w:rsidRPr="00F0736F">
        <w:rPr>
          <w:rFonts w:ascii="Times New Roman" w:eastAsia="font275" w:hAnsi="Times New Roman" w:cs="Times New Roman"/>
          <w:color w:val="000000" w:themeColor="text1"/>
          <w:kern w:val="0"/>
          <w:lang w:eastAsia="ru-RU" w:bidi="ar-SA"/>
        </w:rPr>
        <w:t>,</w:t>
      </w:r>
      <w:r w:rsidRPr="00F0736F">
        <w:rPr>
          <w:rFonts w:ascii="Times New Roman" w:eastAsia="font275" w:hAnsi="Times New Roman" w:cs="Times New Roman"/>
          <w:color w:val="000000" w:themeColor="text1"/>
          <w:kern w:val="0"/>
          <w:lang w:val="kk-KZ" w:eastAsia="ru-RU" w:bidi="ar-SA"/>
        </w:rPr>
        <w:t xml:space="preserve"> из которых в коммунальной собственности КГУ «Жамбыл су қоймалары» находится 106 водохранилищ (общий объем 140 млн.м</w:t>
      </w:r>
      <w:r w:rsidRPr="00F0736F">
        <w:rPr>
          <w:rFonts w:ascii="Times New Roman" w:eastAsia="font275" w:hAnsi="Times New Roman" w:cs="Times New Roman"/>
          <w:color w:val="000000" w:themeColor="text1"/>
          <w:kern w:val="0"/>
          <w:vertAlign w:val="superscript"/>
          <w:lang w:val="kk-KZ" w:eastAsia="ru-RU" w:bidi="ar-SA"/>
        </w:rPr>
        <w:t>3</w:t>
      </w:r>
      <w:r w:rsidRPr="00F0736F">
        <w:rPr>
          <w:rFonts w:ascii="Times New Roman" w:eastAsia="font275" w:hAnsi="Times New Roman" w:cs="Times New Roman"/>
          <w:color w:val="000000" w:themeColor="text1"/>
          <w:kern w:val="0"/>
          <w:lang w:val="kk-KZ" w:eastAsia="ru-RU" w:bidi="ar-SA"/>
        </w:rPr>
        <w:t>). Обследование технического состояния гидротехнических сооружений, водохранилищ и плотин проводится поэтапно. В 2019 году КГУ «Жамбыл су қоймалары» для содержания водохранилищ в технически хорошем состоянии произведен ремонт 16 водохранилищ на сумму 50,2 млн. тенге. На балансе республиканского учреждения «Казводхоз» есть 7 водохранилищ, их общий водный фонд – 840,86 млн.м</w:t>
      </w:r>
      <w:r w:rsidRPr="00F0736F">
        <w:rPr>
          <w:rFonts w:ascii="Times New Roman" w:eastAsia="font275" w:hAnsi="Times New Roman" w:cs="Times New Roman"/>
          <w:color w:val="000000" w:themeColor="text1"/>
          <w:kern w:val="0"/>
          <w:vertAlign w:val="superscript"/>
          <w:lang w:val="kk-KZ" w:eastAsia="ru-RU" w:bidi="ar-SA"/>
        </w:rPr>
        <w:t>3</w:t>
      </w:r>
      <w:r w:rsidRPr="00F0736F">
        <w:rPr>
          <w:rFonts w:ascii="Times New Roman" w:eastAsia="font275" w:hAnsi="Times New Roman" w:cs="Times New Roman"/>
          <w:color w:val="000000" w:themeColor="text1"/>
          <w:kern w:val="0"/>
          <w:lang w:val="kk-KZ" w:eastAsia="ru-RU" w:bidi="ar-SA"/>
        </w:rPr>
        <w:t>. В 2019 году учреждением «Казводхоз» доставлено 589 млн.м</w:t>
      </w:r>
      <w:r w:rsidRPr="00F0736F">
        <w:rPr>
          <w:rFonts w:ascii="Times New Roman" w:eastAsia="font275" w:hAnsi="Times New Roman" w:cs="Times New Roman"/>
          <w:color w:val="000000" w:themeColor="text1"/>
          <w:kern w:val="0"/>
          <w:vertAlign w:val="superscript"/>
          <w:lang w:val="kk-KZ" w:eastAsia="ru-RU" w:bidi="ar-SA"/>
        </w:rPr>
        <w:t>3</w:t>
      </w:r>
      <w:r w:rsidRPr="00F0736F">
        <w:rPr>
          <w:rFonts w:ascii="Times New Roman" w:eastAsia="font275" w:hAnsi="Times New Roman" w:cs="Times New Roman"/>
          <w:color w:val="000000" w:themeColor="text1"/>
          <w:kern w:val="0"/>
          <w:lang w:val="kk-KZ" w:eastAsia="ru-RU" w:bidi="ar-SA"/>
        </w:rPr>
        <w:t xml:space="preserve"> на 89,9 тыс.га. Проведены текущие ремонтные работы 2-х водохранилищ, общая сумма – 16,5 млн.м3 (Терс-Ащыбулак, Караконыз). Остальные 7 водохранилищ являются частными, их общий водный фонд составляет 7,7 млн.м</w:t>
      </w:r>
      <w:r w:rsidRPr="00F0736F">
        <w:rPr>
          <w:rFonts w:ascii="Times New Roman" w:eastAsia="font275" w:hAnsi="Times New Roman" w:cs="Times New Roman"/>
          <w:color w:val="000000" w:themeColor="text1"/>
          <w:kern w:val="0"/>
          <w:vertAlign w:val="superscript"/>
          <w:lang w:val="kk-KZ" w:eastAsia="ru-RU" w:bidi="ar-SA"/>
        </w:rPr>
        <w:t>3</w:t>
      </w:r>
      <w:r w:rsidRPr="00F0736F">
        <w:rPr>
          <w:rFonts w:ascii="Times New Roman" w:eastAsia="font275" w:hAnsi="Times New Roman" w:cs="Times New Roman"/>
          <w:color w:val="000000" w:themeColor="text1"/>
          <w:kern w:val="0"/>
          <w:lang w:val="kk-KZ" w:eastAsia="ru-RU" w:bidi="ar-SA"/>
        </w:rPr>
        <w:t>.</w:t>
      </w:r>
    </w:p>
    <w:p w14:paraId="2F43819C"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bCs/>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В 4 городах области на 1 января 2020 года обеспеченность централизованным водоснабжением составила</w:t>
      </w:r>
      <w:r w:rsidRPr="00F0736F">
        <w:rPr>
          <w:rFonts w:ascii="Times New Roman" w:eastAsia="font275" w:hAnsi="Times New Roman" w:cs="Times New Roman"/>
          <w:bCs/>
          <w:color w:val="000000" w:themeColor="text1"/>
          <w:kern w:val="0"/>
          <w:lang w:val="kk-KZ" w:eastAsia="ru-RU" w:bidi="ar-SA"/>
        </w:rPr>
        <w:t xml:space="preserve"> 88,0%:</w:t>
      </w:r>
    </w:p>
    <w:p w14:paraId="4BD00826"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eastAsia="ru-RU" w:bidi="ar-SA"/>
        </w:rPr>
      </w:pP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w:t>
      </w:r>
      <w:r w:rsidRPr="00F0736F">
        <w:rPr>
          <w:rFonts w:ascii="Times New Roman" w:eastAsia="font275" w:hAnsi="Times New Roman" w:cs="Times New Roman"/>
          <w:color w:val="000000" w:themeColor="text1"/>
          <w:kern w:val="0"/>
          <w:lang w:val="kk-KZ" w:eastAsia="ru-RU" w:bidi="ar-SA"/>
        </w:rPr>
        <w:t>г</w:t>
      </w:r>
      <w:r w:rsidRPr="00F0736F">
        <w:rPr>
          <w:rFonts w:ascii="Times New Roman" w:eastAsia="font275" w:hAnsi="Times New Roman" w:cs="Times New Roman"/>
          <w:color w:val="000000" w:themeColor="text1"/>
          <w:kern w:val="0"/>
          <w:lang w:eastAsia="ru-RU" w:bidi="ar-SA"/>
        </w:rPr>
        <w:t>. Тараз</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 xml:space="preserve">– охвачено 89,1% </w:t>
      </w:r>
      <w:r w:rsidRPr="00F0736F">
        <w:rPr>
          <w:rFonts w:ascii="Times New Roman" w:eastAsia="font275" w:hAnsi="Times New Roman" w:cs="Times New Roman"/>
          <w:color w:val="000000" w:themeColor="text1"/>
          <w:kern w:val="0"/>
          <w:lang w:val="kk-KZ" w:eastAsia="ru-RU" w:bidi="ar-SA"/>
        </w:rPr>
        <w:t xml:space="preserve">из </w:t>
      </w:r>
      <w:r w:rsidRPr="00F0736F">
        <w:rPr>
          <w:rFonts w:ascii="Times New Roman" w:eastAsia="font275" w:hAnsi="Times New Roman" w:cs="Times New Roman"/>
          <w:color w:val="000000" w:themeColor="text1"/>
          <w:kern w:val="0"/>
          <w:lang w:eastAsia="ru-RU" w:bidi="ar-SA"/>
        </w:rPr>
        <w:t xml:space="preserve">357 528 человек;  </w:t>
      </w:r>
    </w:p>
    <w:p w14:paraId="06D588C7"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eastAsia="ru-RU" w:bidi="ar-SA"/>
        </w:rPr>
      </w:pPr>
      <w:r w:rsidRPr="00F0736F">
        <w:rPr>
          <w:rFonts w:ascii="Times New Roman" w:eastAsia="font275" w:hAnsi="Times New Roman" w:cs="Times New Roman"/>
          <w:color w:val="000000" w:themeColor="text1"/>
          <w:kern w:val="0"/>
          <w:lang w:eastAsia="ru-RU" w:bidi="ar-SA"/>
        </w:rPr>
        <w:t xml:space="preserve">- </w:t>
      </w:r>
      <w:r w:rsidRPr="00F0736F">
        <w:rPr>
          <w:rFonts w:ascii="Times New Roman" w:eastAsia="font275" w:hAnsi="Times New Roman" w:cs="Times New Roman"/>
          <w:color w:val="000000" w:themeColor="text1"/>
          <w:kern w:val="0"/>
          <w:lang w:val="kk-KZ" w:eastAsia="ru-RU" w:bidi="ar-SA"/>
        </w:rPr>
        <w:t>г</w:t>
      </w:r>
      <w:r w:rsidRPr="00F0736F">
        <w:rPr>
          <w:rFonts w:ascii="Times New Roman" w:eastAsia="font275" w:hAnsi="Times New Roman" w:cs="Times New Roman"/>
          <w:color w:val="000000" w:themeColor="text1"/>
          <w:kern w:val="0"/>
          <w:lang w:eastAsia="ru-RU" w:bidi="ar-SA"/>
        </w:rPr>
        <w:t>. Каратау –</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охвачено 100%</w:t>
      </w:r>
      <w:r w:rsidRPr="00F0736F">
        <w:rPr>
          <w:rFonts w:ascii="Times New Roman" w:eastAsia="font275" w:hAnsi="Times New Roman" w:cs="Times New Roman"/>
          <w:color w:val="000000" w:themeColor="text1"/>
          <w:kern w:val="0"/>
          <w:lang w:val="kk-KZ" w:eastAsia="ru-RU" w:bidi="ar-SA"/>
        </w:rPr>
        <w:t xml:space="preserve"> из </w:t>
      </w:r>
      <w:r w:rsidRPr="00F0736F">
        <w:rPr>
          <w:rFonts w:ascii="Times New Roman" w:eastAsia="font275" w:hAnsi="Times New Roman" w:cs="Times New Roman"/>
          <w:color w:val="000000" w:themeColor="text1"/>
          <w:kern w:val="0"/>
          <w:lang w:eastAsia="ru-RU" w:bidi="ar-SA"/>
        </w:rPr>
        <w:t xml:space="preserve">30 214 человек; </w:t>
      </w:r>
    </w:p>
    <w:p w14:paraId="48ECEE25"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Times New Roman" w:eastAsia="font275" w:hAnsi="Times New Roman" w:cs="Times New Roman"/>
          <w:color w:val="000000" w:themeColor="text1"/>
          <w:kern w:val="0"/>
          <w:lang w:eastAsia="ru-RU" w:bidi="ar-SA"/>
        </w:rPr>
      </w:pPr>
      <w:r w:rsidRPr="00F0736F">
        <w:rPr>
          <w:rFonts w:ascii="Times New Roman" w:eastAsia="font275" w:hAnsi="Times New Roman" w:cs="Times New Roman"/>
          <w:color w:val="000000" w:themeColor="text1"/>
          <w:kern w:val="0"/>
          <w:lang w:eastAsia="ru-RU" w:bidi="ar-SA"/>
        </w:rPr>
        <w:t xml:space="preserve">- </w:t>
      </w:r>
      <w:r w:rsidRPr="00F0736F">
        <w:rPr>
          <w:rFonts w:ascii="Times New Roman" w:eastAsia="font275" w:hAnsi="Times New Roman" w:cs="Times New Roman"/>
          <w:color w:val="000000" w:themeColor="text1"/>
          <w:kern w:val="0"/>
          <w:lang w:val="kk-KZ" w:eastAsia="ru-RU" w:bidi="ar-SA"/>
        </w:rPr>
        <w:t>г</w:t>
      </w:r>
      <w:r w:rsidRPr="00F0736F">
        <w:rPr>
          <w:rFonts w:ascii="Times New Roman" w:eastAsia="font275" w:hAnsi="Times New Roman" w:cs="Times New Roman"/>
          <w:color w:val="000000" w:themeColor="text1"/>
          <w:kern w:val="0"/>
          <w:lang w:eastAsia="ru-RU" w:bidi="ar-SA"/>
        </w:rPr>
        <w:t>ород Жанатас – охвачено 100%</w:t>
      </w:r>
      <w:r w:rsidRPr="00F0736F">
        <w:rPr>
          <w:rFonts w:ascii="Times New Roman" w:eastAsia="font275" w:hAnsi="Times New Roman" w:cs="Times New Roman"/>
          <w:color w:val="000000" w:themeColor="text1"/>
          <w:kern w:val="0"/>
          <w:lang w:val="kk-KZ" w:eastAsia="ru-RU" w:bidi="ar-SA"/>
        </w:rPr>
        <w:t xml:space="preserve"> из </w:t>
      </w:r>
      <w:r w:rsidRPr="00F0736F">
        <w:rPr>
          <w:rFonts w:ascii="Times New Roman" w:eastAsia="font275" w:hAnsi="Times New Roman" w:cs="Times New Roman"/>
          <w:color w:val="000000" w:themeColor="text1"/>
          <w:kern w:val="0"/>
          <w:lang w:eastAsia="ru-RU" w:bidi="ar-SA"/>
        </w:rPr>
        <w:t xml:space="preserve">22 383 человек; </w:t>
      </w:r>
    </w:p>
    <w:p w14:paraId="4478CF97" w14:textId="77777777" w:rsidR="00AC1D5B" w:rsidRPr="00F0736F" w:rsidRDefault="00AC1D5B" w:rsidP="00AC1D5B">
      <w:pPr>
        <w:pBdr>
          <w:top w:val="none" w:sz="0" w:space="0" w:color="000000"/>
          <w:left w:val="none" w:sz="0" w:space="0" w:color="000000"/>
          <w:bottom w:val="single" w:sz="4" w:space="4" w:color="FFFFFF"/>
          <w:right w:val="none" w:sz="0" w:space="0" w:color="000000"/>
        </w:pBdr>
        <w:tabs>
          <w:tab w:val="left" w:pos="1134"/>
        </w:tabs>
        <w:overflowPunct/>
        <w:ind w:firstLine="709"/>
        <w:jc w:val="both"/>
        <w:rPr>
          <w:rFonts w:ascii="Calibri" w:eastAsia="font275" w:hAnsi="Calibri" w:cs="font275"/>
          <w:color w:val="000000" w:themeColor="text1"/>
          <w:kern w:val="0"/>
          <w:lang w:eastAsia="ru-RU" w:bidi="ar-SA"/>
        </w:rPr>
      </w:pPr>
      <w:r w:rsidRPr="00F0736F">
        <w:rPr>
          <w:rFonts w:ascii="Times New Roman" w:eastAsia="font275" w:hAnsi="Times New Roman" w:cs="Times New Roman"/>
          <w:color w:val="000000" w:themeColor="text1"/>
          <w:kern w:val="0"/>
          <w:lang w:eastAsia="ru-RU" w:bidi="ar-SA"/>
        </w:rPr>
        <w:t xml:space="preserve">- </w:t>
      </w:r>
      <w:r w:rsidRPr="00F0736F">
        <w:rPr>
          <w:rFonts w:ascii="Times New Roman" w:eastAsia="font275" w:hAnsi="Times New Roman" w:cs="Times New Roman"/>
          <w:color w:val="000000" w:themeColor="text1"/>
          <w:kern w:val="0"/>
          <w:lang w:val="kk-KZ" w:eastAsia="ru-RU" w:bidi="ar-SA"/>
        </w:rPr>
        <w:t>г</w:t>
      </w:r>
      <w:r w:rsidRPr="00F0736F">
        <w:rPr>
          <w:rFonts w:ascii="Times New Roman" w:eastAsia="font275" w:hAnsi="Times New Roman" w:cs="Times New Roman"/>
          <w:color w:val="000000" w:themeColor="text1"/>
          <w:kern w:val="0"/>
          <w:lang w:eastAsia="ru-RU" w:bidi="ar-SA"/>
        </w:rPr>
        <w:t>ород Шу –</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охвачено 60,0% из 36 665 человек.</w:t>
      </w:r>
    </w:p>
    <w:p w14:paraId="69C0BF00" w14:textId="77777777" w:rsidR="00AC1D5B" w:rsidRPr="00F0736F" w:rsidRDefault="00AC1D5B" w:rsidP="00AC1D5B">
      <w:pPr>
        <w:widowControl w:val="0"/>
        <w:pBdr>
          <w:top w:val="none" w:sz="0" w:space="0" w:color="000000"/>
          <w:left w:val="none" w:sz="0" w:space="0" w:color="000000"/>
          <w:bottom w:val="single" w:sz="4" w:space="4" w:color="FFFFFF"/>
          <w:right w:val="none" w:sz="0" w:space="0" w:color="000000"/>
        </w:pBdr>
        <w:tabs>
          <w:tab w:val="left" w:pos="0"/>
        </w:tabs>
        <w:ind w:firstLine="709"/>
        <w:jc w:val="both"/>
        <w:rPr>
          <w:color w:val="000000" w:themeColor="text1"/>
        </w:rPr>
      </w:pPr>
      <w:r w:rsidRPr="00F0736F">
        <w:rPr>
          <w:rFonts w:ascii="Times New Roman" w:hAnsi="Times New Roman" w:cs="Times New Roman"/>
          <w:color w:val="000000" w:themeColor="text1"/>
        </w:rPr>
        <w:t>В 2019 году и</w:t>
      </w:r>
      <w:r w:rsidRPr="00F0736F">
        <w:rPr>
          <w:rFonts w:ascii="Times New Roman" w:hAnsi="Times New Roman" w:cs="Times New Roman"/>
          <w:color w:val="000000" w:themeColor="text1"/>
          <w:lang w:val="kk-KZ"/>
        </w:rPr>
        <w:t>з 373 сельских населенных пунктов 57,4% (214) (</w:t>
      </w:r>
      <w:r w:rsidRPr="00F0736F">
        <w:rPr>
          <w:rFonts w:ascii="Times New Roman" w:hAnsi="Times New Roman" w:cs="Times New Roman"/>
          <w:color w:val="000000" w:themeColor="text1"/>
        </w:rPr>
        <w:t xml:space="preserve">в 2018 году — 53,3%) </w:t>
      </w:r>
      <w:r w:rsidRPr="00F0736F">
        <w:rPr>
          <w:rFonts w:ascii="Times New Roman" w:hAnsi="Times New Roman" w:cs="Times New Roman"/>
          <w:color w:val="000000" w:themeColor="text1"/>
          <w:lang w:val="kk-KZ"/>
        </w:rPr>
        <w:t xml:space="preserve">обеспечены централизованным водоснабжением (с численностью населения 493 449 или 72,6%). Протяженность сетей водоснабжения составила </w:t>
      </w:r>
      <w:r w:rsidRPr="00F0736F">
        <w:rPr>
          <w:rFonts w:ascii="Times New Roman" w:hAnsi="Times New Roman" w:cs="Times New Roman"/>
          <w:color w:val="000000" w:themeColor="text1"/>
        </w:rPr>
        <w:t>2 631,0</w:t>
      </w:r>
      <w:r w:rsidRPr="00F0736F">
        <w:rPr>
          <w:rFonts w:ascii="Times New Roman" w:hAnsi="Times New Roman" w:cs="Times New Roman"/>
          <w:color w:val="000000" w:themeColor="text1"/>
          <w:lang w:val="kk-KZ"/>
        </w:rPr>
        <w:t xml:space="preserve"> км, из них </w:t>
      </w:r>
      <w:r w:rsidRPr="00F0736F">
        <w:rPr>
          <w:rFonts w:ascii="Times New Roman" w:hAnsi="Times New Roman" w:cs="Times New Roman"/>
          <w:color w:val="000000" w:themeColor="text1"/>
        </w:rPr>
        <w:t>1 771,1</w:t>
      </w:r>
      <w:r w:rsidRPr="00F0736F">
        <w:rPr>
          <w:rFonts w:ascii="Times New Roman" w:hAnsi="Times New Roman" w:cs="Times New Roman"/>
          <w:color w:val="000000" w:themeColor="text1"/>
          <w:lang w:val="kk-KZ"/>
        </w:rPr>
        <w:t xml:space="preserve"> км нуждаются в замене, </w:t>
      </w:r>
      <w:r w:rsidRPr="00F0736F">
        <w:rPr>
          <w:rFonts w:ascii="Times New Roman" w:hAnsi="Times New Roman" w:cs="Times New Roman"/>
          <w:color w:val="000000" w:themeColor="text1"/>
        </w:rPr>
        <w:t>что привело к 80 аварийным случаям.</w:t>
      </w:r>
    </w:p>
    <w:p w14:paraId="226C5977" w14:textId="77777777" w:rsidR="00AC1D5B" w:rsidRPr="00F0736F" w:rsidRDefault="00AC1D5B" w:rsidP="00AC1D5B">
      <w:pPr>
        <w:widowControl w:val="0"/>
        <w:pBdr>
          <w:top w:val="none" w:sz="0" w:space="0" w:color="000000"/>
          <w:left w:val="none" w:sz="0" w:space="0" w:color="000000"/>
          <w:bottom w:val="single" w:sz="4" w:space="4" w:color="FFFFFF"/>
          <w:right w:val="none" w:sz="0" w:space="0" w:color="000000"/>
        </w:pBdr>
        <w:tabs>
          <w:tab w:val="left" w:pos="0"/>
        </w:tabs>
        <w:ind w:firstLine="709"/>
        <w:jc w:val="both"/>
        <w:rPr>
          <w:color w:val="000000" w:themeColor="text1"/>
        </w:rPr>
      </w:pPr>
      <w:r w:rsidRPr="00F0736F">
        <w:rPr>
          <w:rFonts w:ascii="Times New Roman" w:hAnsi="Times New Roman" w:cs="Times New Roman"/>
          <w:color w:val="000000" w:themeColor="text1"/>
          <w:lang w:val="kk-KZ"/>
        </w:rPr>
        <w:t xml:space="preserve">В 2019 году на строительство объектов питьевого водоснабжения выделено 5,3 млрд. </w:t>
      </w:r>
      <w:r w:rsidRPr="00F0736F">
        <w:rPr>
          <w:rFonts w:ascii="Times New Roman" w:hAnsi="Times New Roman" w:cs="Times New Roman"/>
          <w:color w:val="000000" w:themeColor="text1"/>
        </w:rPr>
        <w:t>т</w:t>
      </w:r>
      <w:r w:rsidRPr="00F0736F">
        <w:rPr>
          <w:rFonts w:ascii="Times New Roman" w:hAnsi="Times New Roman" w:cs="Times New Roman"/>
          <w:color w:val="000000" w:themeColor="text1"/>
          <w:lang w:val="kk-KZ"/>
        </w:rPr>
        <w:t xml:space="preserve">енге, сдано в эксплуатацию 10 объектов, в частности Жуалынский район – с.Карасаз, Кордайский район Альжан ана, Мойынкумский район – ст. Бурылбайтал, с.Мирный-Киякты, Сарысуский район – с.Кызылдихан, с.Арыстанды, Таласский район- с.Есейхан, с.Каскабулак и Шуский район- с.Мойынкум). </w:t>
      </w:r>
      <w:r w:rsidRPr="00F0736F">
        <w:rPr>
          <w:rFonts w:ascii="Times New Roman" w:hAnsi="Times New Roman" w:cs="Times New Roman"/>
          <w:color w:val="000000" w:themeColor="text1"/>
        </w:rPr>
        <w:t xml:space="preserve">Дополнительно за счет средств </w:t>
      </w:r>
      <w:r w:rsidRPr="00F0736F">
        <w:rPr>
          <w:rFonts w:ascii="Times New Roman" w:hAnsi="Times New Roman" w:cs="Times New Roman"/>
          <w:color w:val="000000" w:themeColor="text1"/>
          <w:lang w:val="kk-KZ"/>
        </w:rPr>
        <w:t>б</w:t>
      </w:r>
      <w:r w:rsidRPr="00F0736F">
        <w:rPr>
          <w:rFonts w:ascii="Times New Roman" w:hAnsi="Times New Roman" w:cs="Times New Roman"/>
          <w:color w:val="000000" w:themeColor="text1"/>
        </w:rPr>
        <w:t xml:space="preserve">юджета Меркенского района </w:t>
      </w:r>
      <w:r w:rsidRPr="00F0736F">
        <w:rPr>
          <w:rFonts w:ascii="Times New Roman" w:hAnsi="Times New Roman" w:cs="Times New Roman"/>
          <w:color w:val="000000" w:themeColor="text1"/>
          <w:lang w:val="kk-KZ"/>
        </w:rPr>
        <w:t>был произведен</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текущий ремонт в</w:t>
      </w:r>
      <w:r w:rsidRPr="00F0736F">
        <w:rPr>
          <w:rFonts w:ascii="Times New Roman" w:hAnsi="Times New Roman" w:cs="Times New Roman"/>
          <w:color w:val="000000" w:themeColor="text1"/>
        </w:rPr>
        <w:t xml:space="preserve"> двух населенных пункт</w:t>
      </w:r>
      <w:r w:rsidRPr="00F0736F">
        <w:rPr>
          <w:rFonts w:ascii="Times New Roman" w:hAnsi="Times New Roman" w:cs="Times New Roman"/>
          <w:color w:val="000000" w:themeColor="text1"/>
          <w:lang w:val="kk-KZ"/>
        </w:rPr>
        <w:t>ах</w:t>
      </w:r>
      <w:r w:rsidRPr="00F0736F">
        <w:rPr>
          <w:rFonts w:ascii="Times New Roman" w:hAnsi="Times New Roman" w:cs="Times New Roman"/>
          <w:color w:val="000000" w:themeColor="text1"/>
        </w:rPr>
        <w:t xml:space="preserve"> (с. Турлыбай батыра и с.Карасу)</w:t>
      </w:r>
      <w:r w:rsidRPr="00F0736F">
        <w:rPr>
          <w:rFonts w:ascii="Times New Roman" w:hAnsi="Times New Roman" w:cs="Times New Roman"/>
          <w:color w:val="000000" w:themeColor="text1"/>
          <w:lang w:val="kk-KZ"/>
        </w:rPr>
        <w:t xml:space="preserve"> на сумму </w:t>
      </w:r>
      <w:r w:rsidRPr="00F0736F">
        <w:rPr>
          <w:rFonts w:ascii="Times New Roman" w:hAnsi="Times New Roman" w:cs="Times New Roman"/>
          <w:color w:val="000000" w:themeColor="text1"/>
        </w:rPr>
        <w:t xml:space="preserve">44,7 млн. </w:t>
      </w:r>
      <w:r w:rsidRPr="00F0736F">
        <w:rPr>
          <w:rFonts w:ascii="Times New Roman" w:hAnsi="Times New Roman" w:cs="Times New Roman"/>
          <w:color w:val="000000" w:themeColor="text1"/>
          <w:lang w:val="kk-KZ"/>
        </w:rPr>
        <w:t xml:space="preserve">тенге, за счет этого данные села были </w:t>
      </w:r>
      <w:r w:rsidRPr="00F0736F">
        <w:rPr>
          <w:rFonts w:ascii="Times New Roman" w:hAnsi="Times New Roman" w:cs="Times New Roman"/>
          <w:color w:val="000000" w:themeColor="text1"/>
        </w:rPr>
        <w:t>обеспечен</w:t>
      </w:r>
      <w:r w:rsidRPr="00F0736F">
        <w:rPr>
          <w:rFonts w:ascii="Times New Roman" w:hAnsi="Times New Roman" w:cs="Times New Roman"/>
          <w:color w:val="000000" w:themeColor="text1"/>
          <w:lang w:val="kk-KZ"/>
        </w:rPr>
        <w:t>ы</w:t>
      </w:r>
      <w:r w:rsidRPr="00F0736F">
        <w:rPr>
          <w:rFonts w:ascii="Times New Roman" w:hAnsi="Times New Roman" w:cs="Times New Roman"/>
          <w:color w:val="000000" w:themeColor="text1"/>
        </w:rPr>
        <w:t xml:space="preserve"> централизованным водоснабжением.</w:t>
      </w:r>
    </w:p>
    <w:p w14:paraId="31B0E460" w14:textId="77777777" w:rsidR="00AC1D5B" w:rsidRPr="00F0736F" w:rsidRDefault="00AC1D5B" w:rsidP="00AC1D5B">
      <w:pPr>
        <w:widowControl w:val="0"/>
        <w:pBdr>
          <w:top w:val="none" w:sz="0" w:space="0" w:color="000000"/>
          <w:left w:val="none" w:sz="0" w:space="0" w:color="000000"/>
          <w:bottom w:val="single" w:sz="4" w:space="4" w:color="FFFFFF"/>
          <w:right w:val="none" w:sz="0" w:space="0" w:color="000000"/>
        </w:pBdr>
        <w:tabs>
          <w:tab w:val="left" w:pos="0"/>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2019 - 2020 годы </w:t>
      </w:r>
      <w:r w:rsidRPr="00F0736F">
        <w:rPr>
          <w:rFonts w:ascii="Times New Roman" w:hAnsi="Times New Roman" w:cs="Times New Roman"/>
          <w:color w:val="000000" w:themeColor="text1"/>
          <w:lang w:val="kk-KZ"/>
        </w:rPr>
        <w:t xml:space="preserve">компанией </w:t>
      </w:r>
      <w:r w:rsidRPr="00F0736F">
        <w:rPr>
          <w:rFonts w:ascii="Times New Roman" w:hAnsi="Times New Roman" w:cs="Times New Roman"/>
          <w:color w:val="000000" w:themeColor="text1"/>
        </w:rPr>
        <w:t>Финляндии</w:t>
      </w:r>
      <w:r w:rsidRPr="00F0736F">
        <w:rPr>
          <w:rFonts w:ascii="Times New Roman" w:eastAsia="Times New Roman" w:hAnsi="Times New Roman" w:cs="Times New Roman"/>
          <w:color w:val="000000" w:themeColor="text1"/>
          <w:lang w:val="kk-KZ"/>
        </w:rPr>
        <w:t xml:space="preserve"> «Вилкинмяки» </w:t>
      </w:r>
      <w:r w:rsidRPr="00F0736F">
        <w:rPr>
          <w:rFonts w:ascii="Times New Roman" w:hAnsi="Times New Roman" w:cs="Times New Roman"/>
          <w:color w:val="000000" w:themeColor="text1"/>
          <w:lang w:val="kk-KZ"/>
        </w:rPr>
        <w:t>п</w:t>
      </w:r>
      <w:r w:rsidRPr="00F0736F">
        <w:rPr>
          <w:rFonts w:ascii="Times New Roman" w:hAnsi="Times New Roman" w:cs="Times New Roman"/>
          <w:color w:val="000000" w:themeColor="text1"/>
        </w:rPr>
        <w:t>роводится соответствующий анализ внедрения технологии очистки питьевой воды в систему питьевого водоснабжения региона, в результате чего будет рассмотрена установка</w:t>
      </w:r>
      <w:r w:rsidRPr="00F0736F">
        <w:rPr>
          <w:rFonts w:ascii="Times New Roman" w:hAnsi="Times New Roman" w:cs="Times New Roman"/>
          <w:color w:val="000000" w:themeColor="text1"/>
          <w:lang w:val="kk-KZ"/>
        </w:rPr>
        <w:t xml:space="preserve"> данной технологии</w:t>
      </w:r>
      <w:r w:rsidRPr="00F0736F">
        <w:rPr>
          <w:rFonts w:ascii="Times New Roman" w:hAnsi="Times New Roman" w:cs="Times New Roman"/>
          <w:color w:val="000000" w:themeColor="text1"/>
        </w:rPr>
        <w:t>.</w:t>
      </w:r>
    </w:p>
    <w:p w14:paraId="6A360EEA" w14:textId="77777777" w:rsidR="00AC1D5B" w:rsidRPr="00F0736F" w:rsidRDefault="00AC1D5B" w:rsidP="00AC1D5B">
      <w:pPr>
        <w:widowControl w:val="0"/>
        <w:pBdr>
          <w:top w:val="none" w:sz="0" w:space="0" w:color="000000"/>
          <w:left w:val="none" w:sz="0" w:space="0" w:color="000000"/>
          <w:bottom w:val="single" w:sz="4" w:space="4" w:color="FFFFFF"/>
          <w:right w:val="none" w:sz="0" w:space="0" w:color="000000"/>
        </w:pBdr>
        <w:tabs>
          <w:tab w:val="left" w:pos="0"/>
        </w:tabs>
        <w:ind w:firstLine="709"/>
        <w:jc w:val="both"/>
        <w:rPr>
          <w:color w:val="000000" w:themeColor="text1"/>
        </w:rPr>
      </w:pPr>
      <w:r w:rsidRPr="00F0736F">
        <w:rPr>
          <w:rFonts w:ascii="Times New Roman" w:hAnsi="Times New Roman" w:cs="Times New Roman"/>
          <w:color w:val="000000" w:themeColor="text1"/>
          <w:lang w:val="kk-KZ"/>
        </w:rPr>
        <w:t>Совместно с Международным банком реконструкции и развития реализуется проект  «Вторая фаза проекта усовершенствования ирригационных и дренажных систем</w:t>
      </w:r>
      <w:r w:rsidRPr="00F0736F">
        <w:rPr>
          <w:rFonts w:ascii="Times New Roman" w:hAnsi="Times New Roman" w:cs="Times New Roman"/>
          <w:color w:val="000000" w:themeColor="text1"/>
        </w:rPr>
        <w:t>» (ПУИД-2) (реконструкция и модернизация).</w:t>
      </w:r>
    </w:p>
    <w:p w14:paraId="36E71142" w14:textId="77777777" w:rsidR="00AC1D5B" w:rsidRPr="00F0736F" w:rsidRDefault="00AC1D5B" w:rsidP="00AC1D5B">
      <w:pPr>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Calibri" w:eastAsia="font275" w:hAnsi="Calibri" w:cs="font275"/>
          <w:color w:val="000000" w:themeColor="text1"/>
          <w:kern w:val="0"/>
          <w:sz w:val="22"/>
          <w:szCs w:val="22"/>
          <w:lang w:eastAsia="ru-RU" w:bidi="ar-SA"/>
        </w:rPr>
      </w:pPr>
      <w:r w:rsidRPr="00F0736F">
        <w:rPr>
          <w:rFonts w:ascii="Times New Roman" w:eastAsia="font275" w:hAnsi="Times New Roman" w:cs="Times New Roman"/>
          <w:color w:val="000000" w:themeColor="text1"/>
          <w:kern w:val="0"/>
          <w:lang w:val="kk-KZ" w:eastAsia="ru-RU" w:bidi="ar-SA"/>
        </w:rPr>
        <w:t xml:space="preserve">В </w:t>
      </w:r>
      <w:r w:rsidRPr="00F0736F">
        <w:rPr>
          <w:rFonts w:ascii="Times New Roman" w:eastAsia="font275" w:hAnsi="Times New Roman" w:cs="Times New Roman"/>
          <w:color w:val="000000" w:themeColor="text1"/>
          <w:kern w:val="0"/>
          <w:lang w:eastAsia="ru-RU" w:bidi="ar-SA"/>
        </w:rPr>
        <w:t xml:space="preserve">Проект ПУИД-2 в Жамбылской области включены следующие объекты: </w:t>
      </w:r>
    </w:p>
    <w:p w14:paraId="598DDA2E" w14:textId="77777777" w:rsidR="00AC1D5B" w:rsidRPr="00F0736F" w:rsidRDefault="00AC1D5B" w:rsidP="00AC1D5B">
      <w:pPr>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Calibri" w:eastAsia="font275" w:hAnsi="Calibri" w:cs="font275"/>
          <w:color w:val="000000" w:themeColor="text1"/>
          <w:kern w:val="0"/>
          <w:sz w:val="22"/>
          <w:szCs w:val="22"/>
          <w:lang w:eastAsia="ru-RU" w:bidi="ar-SA"/>
        </w:rPr>
      </w:pPr>
      <w:r w:rsidRPr="00F0736F">
        <w:rPr>
          <w:rFonts w:ascii="Times New Roman" w:eastAsia="font275" w:hAnsi="Times New Roman" w:cs="Times New Roman"/>
          <w:color w:val="000000" w:themeColor="text1"/>
          <w:kern w:val="0"/>
          <w:lang w:eastAsia="ru-RU" w:bidi="ar-SA"/>
        </w:rPr>
        <w:t>- «Капал» в Жамбылском районе площадью 5 000 га.</w:t>
      </w:r>
    </w:p>
    <w:p w14:paraId="31F8024F"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«Георгиевский магистральный канал» в Кордайском районе площадью 5 000 га.</w:t>
      </w:r>
    </w:p>
    <w:p w14:paraId="127D643F"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«Правобережный магистральный канал» в Шуском районе площадью 5 172 га.</w:t>
      </w:r>
    </w:p>
    <w:p w14:paraId="6F7B8CAA"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xml:space="preserve">На всех указанных объектах проведены инженерные изыскания, подготовлена проектно-сметная документация. </w:t>
      </w:r>
    </w:p>
    <w:p w14:paraId="71D05668"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Общая протяженность сетей водоотведения в области в 2019 году достигла 489,5 км, из них 186,2 км нуждаются в замене, аварий не было.</w:t>
      </w:r>
    </w:p>
    <w:p w14:paraId="608FCF56"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В связи с отсутствием комплекса очистки сточных вод города Тараз на разработку технико-экономического обоснования ТОО «Водоканал-консалтинг, инжиниринг» в 2018 году было направлено 17,5 млн. тенге. Решением акимата города Тараза выделен земельный участок на 42,48 га и получен акт постоянного землепользования. Получены технические условия на подключение к действующим коммуникациям: водоснабжение, электроснабжение, газоснабжение, техническое состояние телефонной связи и Интернет. Мощность проектируемого объекта составляет 100 тыс. м</w:t>
      </w:r>
      <w:r w:rsidRPr="00F0736F">
        <w:rPr>
          <w:rFonts w:ascii="Times New Roman" w:eastAsia="font275" w:hAnsi="Times New Roman" w:cs="Times New Roman"/>
          <w:color w:val="000000" w:themeColor="text1"/>
          <w:kern w:val="0"/>
          <w:szCs w:val="22"/>
          <w:vertAlign w:val="superscript"/>
          <w:lang w:val="kk-KZ" w:eastAsia="ru-RU" w:bidi="ar-SA"/>
        </w:rPr>
        <w:t>3</w:t>
      </w:r>
      <w:r w:rsidRPr="00F0736F">
        <w:rPr>
          <w:rFonts w:ascii="Times New Roman" w:eastAsia="font275" w:hAnsi="Times New Roman" w:cs="Times New Roman"/>
          <w:color w:val="000000" w:themeColor="text1"/>
          <w:kern w:val="0"/>
          <w:lang w:val="kk-KZ" w:eastAsia="ru-RU" w:bidi="ar-SA"/>
        </w:rPr>
        <w:t xml:space="preserve"> в день. По технико-экономическому обоснованию принят вариант сброса очищенных сточных вод через канал «Талас-Аса» в реку Аса. </w:t>
      </w:r>
    </w:p>
    <w:p w14:paraId="08120451"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b/>
          <w:bCs/>
          <w:color w:val="000000" w:themeColor="text1"/>
          <w:kern w:val="0"/>
          <w:lang w:val="kk-KZ" w:eastAsia="ru-RU" w:bidi="ar-SA"/>
        </w:rPr>
        <w:t>Состояние окружающей среды, сокращение объемов загрязнения воздуха и воды</w:t>
      </w:r>
      <w:r w:rsidRPr="00F0736F">
        <w:rPr>
          <w:rFonts w:ascii="Times New Roman" w:eastAsia="font275" w:hAnsi="Times New Roman" w:cs="Times New Roman"/>
          <w:color w:val="000000" w:themeColor="text1"/>
          <w:kern w:val="0"/>
          <w:lang w:val="kk-KZ" w:eastAsia="ru-RU" w:bidi="ar-SA"/>
        </w:rPr>
        <w:t>.</w:t>
      </w:r>
    </w:p>
    <w:p w14:paraId="363C4462" w14:textId="77777777" w:rsidR="00AC1D5B" w:rsidRPr="00F0736F" w:rsidRDefault="00AC1D5B" w:rsidP="00AC1D5B">
      <w:pPr>
        <w:widowControl w:val="0"/>
        <w:pBdr>
          <w:top w:val="none" w:sz="0" w:space="0" w:color="000000"/>
          <w:left w:val="none" w:sz="0" w:space="0" w:color="000000"/>
          <w:bottom w:val="single" w:sz="4" w:space="31" w:color="FFFFFF"/>
          <w:right w:val="none" w:sz="0" w:space="0" w:color="000000"/>
        </w:pBdr>
        <w:tabs>
          <w:tab w:val="left" w:pos="1134"/>
        </w:tabs>
        <w:ind w:firstLine="709"/>
        <w:contextualSpacing/>
        <w:jc w:val="both"/>
        <w:rPr>
          <w:rFonts w:ascii="Times New Roman" w:eastAsia="font275" w:hAnsi="Times New Roman" w:cs="Times New Roman"/>
          <w:color w:val="000000" w:themeColor="text1"/>
          <w:kern w:val="0"/>
          <w:lang w:val="kk-KZ" w:eastAsia="ru-RU" w:bidi="ar-SA"/>
        </w:rPr>
      </w:pPr>
      <w:r w:rsidRPr="00F0736F">
        <w:rPr>
          <w:rFonts w:ascii="Times New Roman" w:eastAsia="font275" w:hAnsi="Times New Roman" w:cs="Times New Roman"/>
          <w:color w:val="000000" w:themeColor="text1"/>
          <w:kern w:val="0"/>
          <w:lang w:val="kk-KZ" w:eastAsia="ru-RU" w:bidi="ar-SA"/>
        </w:rPr>
        <w:t xml:space="preserve">За 2017 — 2019 годы, по данным стационарной сети наблюдений, атмосферный воздух города Тараз характеризовался повышенным уровнем загрязнения. ИЗА составлял 6. СИ = 4–4,3 и НП = 3-4%.  </w:t>
      </w:r>
      <w:r w:rsidRPr="00F0736F">
        <w:rPr>
          <w:rFonts w:ascii="Times New Roman" w:eastAsia="font275" w:hAnsi="Times New Roman" w:cs="Times New Roman"/>
          <w:color w:val="000000" w:themeColor="text1"/>
          <w:kern w:val="0"/>
          <w:lang w:eastAsia="ru-RU" w:bidi="ar-SA"/>
        </w:rPr>
        <w:t xml:space="preserve">Загрязнение атмосферного воздуха </w:t>
      </w:r>
      <w:r w:rsidRPr="00F0736F">
        <w:rPr>
          <w:rFonts w:ascii="Times New Roman" w:eastAsia="font275" w:hAnsi="Times New Roman" w:cs="Times New Roman"/>
          <w:b/>
          <w:color w:val="000000" w:themeColor="text1"/>
          <w:kern w:val="0"/>
          <w:lang w:eastAsia="ru-RU" w:bidi="ar-SA"/>
        </w:rPr>
        <w:t>города Жанатас</w:t>
      </w:r>
      <w:r w:rsidRPr="00F0736F">
        <w:rPr>
          <w:rFonts w:ascii="Times New Roman" w:eastAsia="font275" w:hAnsi="Times New Roman" w:cs="Times New Roman"/>
          <w:color w:val="000000" w:themeColor="text1"/>
          <w:kern w:val="0"/>
          <w:lang w:eastAsia="ru-RU" w:bidi="ar-SA"/>
        </w:rPr>
        <w:t xml:space="preserve"> снизилось с повышенного уровня загрязнения в 2017 году (ИЗА = 5) до низкого в 2018 - 2019 годах (ИЗА = 4). СИ снизилось с </w:t>
      </w:r>
      <w:r w:rsidRPr="00F0736F">
        <w:rPr>
          <w:rFonts w:ascii="Times New Roman" w:eastAsia="font275" w:hAnsi="Times New Roman" w:cs="Times New Roman"/>
          <w:color w:val="000000" w:themeColor="text1"/>
          <w:kern w:val="0"/>
          <w:lang w:val="kk-KZ" w:eastAsia="ru-RU" w:bidi="ar-SA"/>
        </w:rPr>
        <w:t xml:space="preserve">4 </w:t>
      </w:r>
      <w:r w:rsidRPr="00F0736F">
        <w:rPr>
          <w:rFonts w:ascii="Times New Roman" w:eastAsia="font275" w:hAnsi="Times New Roman" w:cs="Times New Roman"/>
          <w:color w:val="000000" w:themeColor="text1"/>
          <w:kern w:val="0"/>
          <w:lang w:eastAsia="ru-RU" w:bidi="ar-SA"/>
        </w:rPr>
        <w:t xml:space="preserve">до 1,9, </w:t>
      </w:r>
      <w:r w:rsidRPr="00F0736F">
        <w:rPr>
          <w:rFonts w:ascii="Times New Roman" w:eastAsia="font275" w:hAnsi="Times New Roman" w:cs="Times New Roman"/>
          <w:color w:val="000000" w:themeColor="text1"/>
          <w:kern w:val="0"/>
          <w:lang w:val="kk-KZ" w:eastAsia="ru-RU" w:bidi="ar-SA"/>
        </w:rPr>
        <w:t xml:space="preserve">значение </w:t>
      </w:r>
      <w:r w:rsidRPr="00F0736F">
        <w:rPr>
          <w:rFonts w:ascii="Times New Roman" w:eastAsia="font275" w:hAnsi="Times New Roman" w:cs="Times New Roman"/>
          <w:color w:val="000000" w:themeColor="text1"/>
          <w:kern w:val="0"/>
          <w:lang w:eastAsia="ru-RU" w:bidi="ar-SA"/>
        </w:rPr>
        <w:t xml:space="preserve">НП снизилось с </w:t>
      </w:r>
      <w:r w:rsidRPr="00F0736F">
        <w:rPr>
          <w:rFonts w:ascii="Times New Roman" w:eastAsia="font275" w:hAnsi="Times New Roman" w:cs="Times New Roman"/>
          <w:color w:val="000000" w:themeColor="text1"/>
          <w:kern w:val="0"/>
          <w:lang w:val="kk-KZ" w:eastAsia="ru-RU" w:bidi="ar-SA"/>
        </w:rPr>
        <w:t>1</w:t>
      </w:r>
      <w:r w:rsidRPr="00F0736F">
        <w:rPr>
          <w:rFonts w:ascii="Times New Roman" w:eastAsia="font275" w:hAnsi="Times New Roman" w:cs="Times New Roman"/>
          <w:color w:val="000000" w:themeColor="text1"/>
          <w:kern w:val="0"/>
          <w:lang w:eastAsia="ru-RU" w:bidi="ar-SA"/>
        </w:rPr>
        <w:t xml:space="preserve">% по взвешенным частицам РМ10 до 0%.  Загрязнение атмосферного воздуха </w:t>
      </w:r>
      <w:r w:rsidRPr="00F0736F">
        <w:rPr>
          <w:rFonts w:ascii="Times New Roman" w:eastAsia="font275" w:hAnsi="Times New Roman" w:cs="Times New Roman"/>
          <w:b/>
          <w:color w:val="000000" w:themeColor="text1"/>
          <w:kern w:val="0"/>
          <w:lang w:eastAsia="ru-RU" w:bidi="ar-SA"/>
        </w:rPr>
        <w:t>города Каратау</w:t>
      </w:r>
      <w:r w:rsidRPr="00F0736F">
        <w:rPr>
          <w:rFonts w:ascii="Times New Roman" w:eastAsia="font275" w:hAnsi="Times New Roman" w:cs="Times New Roman"/>
          <w:color w:val="000000" w:themeColor="text1"/>
          <w:kern w:val="0"/>
          <w:lang w:eastAsia="ru-RU" w:bidi="ar-SA"/>
        </w:rPr>
        <w:t xml:space="preserve"> снизилось с высокого</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уровня  загрязнения в 2017 году (ИЗА = 8</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до повышенного в 2018 году (ИЗА = 5)</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СИ снизилось с </w:t>
      </w:r>
      <w:r w:rsidRPr="00F0736F">
        <w:rPr>
          <w:rFonts w:ascii="Times New Roman" w:eastAsia="font275" w:hAnsi="Times New Roman" w:cs="Times New Roman"/>
          <w:color w:val="000000" w:themeColor="text1"/>
          <w:kern w:val="0"/>
          <w:lang w:val="kk-KZ" w:eastAsia="ru-RU" w:bidi="ar-SA"/>
        </w:rPr>
        <w:t xml:space="preserve">8 (высокий уровень) </w:t>
      </w:r>
      <w:r w:rsidRPr="00F0736F">
        <w:rPr>
          <w:rFonts w:ascii="Times New Roman" w:eastAsia="font275" w:hAnsi="Times New Roman" w:cs="Times New Roman"/>
          <w:color w:val="000000" w:themeColor="text1"/>
          <w:kern w:val="0"/>
          <w:lang w:eastAsia="ru-RU" w:bidi="ar-SA"/>
        </w:rPr>
        <w:t>до 3,6 (повышенный уровень)</w:t>
      </w:r>
      <w:r w:rsidRPr="00F0736F">
        <w:rPr>
          <w:rFonts w:ascii="Times New Roman" w:eastAsia="font275" w:hAnsi="Times New Roman" w:cs="Times New Roman"/>
          <w:color w:val="000000" w:themeColor="text1"/>
          <w:kern w:val="0"/>
          <w:lang w:val="kk-KZ" w:eastAsia="ru-RU" w:bidi="ar-SA"/>
        </w:rPr>
        <w:t xml:space="preserve">, значение </w:t>
      </w:r>
      <w:r w:rsidRPr="00F0736F">
        <w:rPr>
          <w:rFonts w:ascii="Times New Roman" w:eastAsia="font275" w:hAnsi="Times New Roman" w:cs="Times New Roman"/>
          <w:color w:val="000000" w:themeColor="text1"/>
          <w:kern w:val="0"/>
          <w:lang w:eastAsia="ru-RU" w:bidi="ar-SA"/>
        </w:rPr>
        <w:t>НП=</w:t>
      </w:r>
      <w:r w:rsidRPr="00F0736F">
        <w:rPr>
          <w:rFonts w:ascii="Times New Roman" w:eastAsia="font275" w:hAnsi="Times New Roman" w:cs="Times New Roman"/>
          <w:color w:val="000000" w:themeColor="text1"/>
          <w:kern w:val="0"/>
          <w:lang w:val="kk-KZ" w:eastAsia="ru-RU" w:bidi="ar-SA"/>
        </w:rPr>
        <w:t>1 - 2</w:t>
      </w:r>
      <w:r w:rsidRPr="00F0736F">
        <w:rPr>
          <w:rFonts w:ascii="Times New Roman" w:eastAsia="font275" w:hAnsi="Times New Roman" w:cs="Times New Roman"/>
          <w:color w:val="000000" w:themeColor="text1"/>
          <w:kern w:val="0"/>
          <w:lang w:eastAsia="ru-RU" w:bidi="ar-SA"/>
        </w:rPr>
        <w:t xml:space="preserve">% (повышенный уровень) </w:t>
      </w:r>
      <w:r w:rsidRPr="00F0736F">
        <w:rPr>
          <w:rFonts w:ascii="Times New Roman" w:eastAsia="font275" w:hAnsi="Times New Roman" w:cs="Times New Roman"/>
          <w:color w:val="000000" w:themeColor="text1"/>
          <w:kern w:val="0"/>
          <w:lang w:val="kk-KZ" w:eastAsia="ru-RU" w:bidi="ar-SA"/>
        </w:rPr>
        <w:t xml:space="preserve">по </w:t>
      </w:r>
      <w:r w:rsidRPr="00F0736F">
        <w:rPr>
          <w:rFonts w:ascii="Times New Roman" w:eastAsia="font275" w:hAnsi="Times New Roman" w:cs="Times New Roman"/>
          <w:color w:val="000000" w:themeColor="text1"/>
          <w:kern w:val="0"/>
          <w:lang w:eastAsia="ru-RU" w:bidi="ar-SA"/>
        </w:rPr>
        <w:t>взвешенным частицам РМ10</w:t>
      </w:r>
      <w:r w:rsidRPr="00F0736F">
        <w:rPr>
          <w:rFonts w:ascii="Times New Roman" w:eastAsia="font275" w:hAnsi="Times New Roman" w:cs="Times New Roman"/>
          <w:color w:val="000000" w:themeColor="text1"/>
          <w:kern w:val="0"/>
          <w:lang w:val="kk-KZ" w:eastAsia="ru-RU" w:bidi="ar-SA"/>
        </w:rPr>
        <w:t>.</w:t>
      </w:r>
      <w:r w:rsidRPr="00F0736F">
        <w:rPr>
          <w:rFonts w:ascii="Times New Roman" w:eastAsia="font275" w:hAnsi="Times New Roman" w:cs="Times New Roman"/>
          <w:color w:val="000000" w:themeColor="text1"/>
          <w:kern w:val="0"/>
          <w:lang w:eastAsia="ru-RU" w:bidi="ar-SA"/>
        </w:rPr>
        <w:t xml:space="preserve"> Атмосферный воздух </w:t>
      </w:r>
      <w:r w:rsidRPr="00F0736F">
        <w:rPr>
          <w:rFonts w:ascii="Times New Roman" w:eastAsia="font275" w:hAnsi="Times New Roman" w:cs="Times New Roman"/>
          <w:b/>
          <w:color w:val="000000" w:themeColor="text1"/>
          <w:kern w:val="0"/>
          <w:lang w:eastAsia="ru-RU" w:bidi="ar-SA"/>
        </w:rPr>
        <w:t>города Шу</w:t>
      </w:r>
      <w:r w:rsidRPr="00F0736F">
        <w:rPr>
          <w:rFonts w:ascii="Times New Roman" w:eastAsia="font275" w:hAnsi="Times New Roman" w:cs="Times New Roman"/>
          <w:color w:val="000000" w:themeColor="text1"/>
          <w:kern w:val="0"/>
          <w:lang w:eastAsia="ru-RU" w:bidi="ar-SA"/>
        </w:rPr>
        <w:t xml:space="preserve"> в целом характеризовался повышенным</w:t>
      </w:r>
      <w:r w:rsidRPr="00F0736F">
        <w:rPr>
          <w:rFonts w:ascii="Times New Roman" w:eastAsia="font275" w:hAnsi="Times New Roman" w:cs="Times New Roman"/>
          <w:i/>
          <w:color w:val="000000" w:themeColor="text1"/>
          <w:kern w:val="0"/>
          <w:lang w:eastAsia="ru-RU" w:bidi="ar-SA"/>
        </w:rPr>
        <w:t xml:space="preserve"> </w:t>
      </w:r>
      <w:r w:rsidRPr="00F0736F">
        <w:rPr>
          <w:rFonts w:ascii="Times New Roman" w:eastAsia="font275" w:hAnsi="Times New Roman" w:cs="Times New Roman"/>
          <w:color w:val="000000" w:themeColor="text1"/>
          <w:kern w:val="0"/>
          <w:lang w:eastAsia="ru-RU" w:bidi="ar-SA"/>
        </w:rPr>
        <w:t xml:space="preserve">уровнем загрязнения. ИЗА составляет 5-6 (повышенный уровень). </w:t>
      </w:r>
      <w:r w:rsidRPr="00F0736F">
        <w:rPr>
          <w:rFonts w:ascii="Times New Roman" w:eastAsia="font275" w:hAnsi="Times New Roman" w:cs="Times New Roman"/>
          <w:iCs/>
          <w:color w:val="000000" w:themeColor="text1"/>
          <w:kern w:val="0"/>
          <w:lang w:eastAsia="ru-RU" w:bidi="ar-SA"/>
        </w:rPr>
        <w:t>СИ снизился с 8-9 в 2017-2018 годах (высокое) по озону (приземный) до 2,3 в 2019 году,</w:t>
      </w:r>
      <w:r w:rsidRPr="00F0736F">
        <w:rPr>
          <w:rFonts w:ascii="Times New Roman" w:eastAsia="font275" w:hAnsi="Times New Roman" w:cs="Times New Roman"/>
          <w:color w:val="000000" w:themeColor="text1"/>
          <w:kern w:val="0"/>
          <w:lang w:eastAsia="ru-RU" w:bidi="ar-SA"/>
        </w:rPr>
        <w:t xml:space="preserve"> НП = 1-</w:t>
      </w:r>
      <w:r w:rsidRPr="00F0736F">
        <w:rPr>
          <w:rFonts w:ascii="Times New Roman" w:eastAsia="font275" w:hAnsi="Times New Roman" w:cs="Times New Roman"/>
          <w:color w:val="000000" w:themeColor="text1"/>
          <w:kern w:val="0"/>
          <w:lang w:val="kk-KZ" w:eastAsia="ru-RU" w:bidi="ar-SA"/>
        </w:rPr>
        <w:t>5</w:t>
      </w:r>
      <w:r w:rsidRPr="00F0736F">
        <w:rPr>
          <w:rFonts w:ascii="Times New Roman" w:eastAsia="font275" w:hAnsi="Times New Roman" w:cs="Times New Roman"/>
          <w:color w:val="000000" w:themeColor="text1"/>
          <w:kern w:val="0"/>
          <w:lang w:eastAsia="ru-RU" w:bidi="ar-SA"/>
        </w:rPr>
        <w:t xml:space="preserve">% (повышенный уровень) </w:t>
      </w:r>
      <w:r w:rsidRPr="00F0736F">
        <w:rPr>
          <w:rFonts w:ascii="Times New Roman" w:eastAsia="font275" w:hAnsi="Times New Roman" w:cs="Times New Roman"/>
          <w:color w:val="000000" w:themeColor="text1"/>
          <w:kern w:val="0"/>
          <w:lang w:val="kk-KZ" w:eastAsia="ru-RU" w:bidi="ar-SA"/>
        </w:rPr>
        <w:t xml:space="preserve">по </w:t>
      </w:r>
      <w:r w:rsidRPr="00F0736F">
        <w:rPr>
          <w:rFonts w:ascii="Times New Roman" w:eastAsia="font275" w:hAnsi="Times New Roman" w:cs="Times New Roman"/>
          <w:color w:val="000000" w:themeColor="text1"/>
          <w:kern w:val="0"/>
          <w:lang w:eastAsia="ru-RU" w:bidi="ar-SA"/>
        </w:rPr>
        <w:t xml:space="preserve">взвешенным частицам </w:t>
      </w:r>
      <w:r w:rsidRPr="00F0736F">
        <w:rPr>
          <w:rFonts w:ascii="Times New Roman" w:eastAsia="font275" w:hAnsi="Times New Roman" w:cs="Times New Roman"/>
          <w:iCs/>
          <w:color w:val="000000" w:themeColor="text1"/>
          <w:kern w:val="0"/>
          <w:lang w:eastAsia="ru-RU" w:bidi="ar-SA"/>
        </w:rPr>
        <w:t xml:space="preserve">РМ2,5 и </w:t>
      </w:r>
      <w:r w:rsidRPr="00F0736F">
        <w:rPr>
          <w:rFonts w:ascii="Times New Roman" w:eastAsia="font275" w:hAnsi="Times New Roman" w:cs="Times New Roman"/>
          <w:color w:val="000000" w:themeColor="text1"/>
          <w:kern w:val="0"/>
          <w:lang w:eastAsia="ru-RU" w:bidi="ar-SA"/>
        </w:rPr>
        <w:t>РМ10</w:t>
      </w:r>
      <w:r w:rsidRPr="00F0736F">
        <w:rPr>
          <w:rFonts w:ascii="Times New Roman" w:eastAsia="font275" w:hAnsi="Times New Roman" w:cs="Times New Roman"/>
          <w:color w:val="000000" w:themeColor="text1"/>
          <w:kern w:val="0"/>
          <w:lang w:val="kk-KZ" w:eastAsia="ru-RU" w:bidi="ar-SA"/>
        </w:rPr>
        <w:t xml:space="preserve">. </w:t>
      </w:r>
      <w:r w:rsidRPr="00F0736F">
        <w:rPr>
          <w:rFonts w:ascii="Times New Roman" w:eastAsia="font275" w:hAnsi="Times New Roman" w:cs="Times New Roman"/>
          <w:color w:val="000000" w:themeColor="text1"/>
          <w:kern w:val="0"/>
          <w:lang w:eastAsia="ru-RU" w:bidi="ar-SA"/>
        </w:rPr>
        <w:t xml:space="preserve"> Загрязнение атмосферного воздуха </w:t>
      </w:r>
      <w:r w:rsidRPr="00F0736F">
        <w:rPr>
          <w:rFonts w:ascii="Times New Roman" w:eastAsia="font275" w:hAnsi="Times New Roman" w:cs="Times New Roman"/>
          <w:b/>
          <w:color w:val="000000" w:themeColor="text1"/>
          <w:kern w:val="0"/>
          <w:lang w:eastAsia="ru-RU" w:bidi="ar-SA"/>
        </w:rPr>
        <w:t>поселка Кордай</w:t>
      </w:r>
      <w:r w:rsidRPr="00F0736F">
        <w:rPr>
          <w:rFonts w:ascii="Times New Roman" w:eastAsia="font275" w:hAnsi="Times New Roman" w:cs="Times New Roman"/>
          <w:color w:val="000000" w:themeColor="text1"/>
          <w:kern w:val="0"/>
          <w:lang w:eastAsia="ru-RU" w:bidi="ar-SA"/>
        </w:rPr>
        <w:t xml:space="preserve"> увеличилось с низкого уровня загрязнения в 2017 году ( ИЗА = 4) до повышенного в 2019 году ИЗА = 5). СИ снизилось с </w:t>
      </w:r>
      <w:r w:rsidRPr="00F0736F">
        <w:rPr>
          <w:rFonts w:ascii="Times New Roman" w:eastAsia="font275" w:hAnsi="Times New Roman" w:cs="Times New Roman"/>
          <w:color w:val="000000" w:themeColor="text1"/>
          <w:kern w:val="0"/>
          <w:lang w:val="kk-KZ" w:eastAsia="ru-RU" w:bidi="ar-SA"/>
        </w:rPr>
        <w:t>5 (высокий уровень)</w:t>
      </w:r>
      <w:r w:rsidRPr="00F0736F">
        <w:rPr>
          <w:rFonts w:ascii="Times New Roman" w:eastAsia="font275" w:hAnsi="Times New Roman" w:cs="Times New Roman"/>
          <w:color w:val="000000" w:themeColor="text1"/>
          <w:kern w:val="0"/>
          <w:lang w:eastAsia="ru-RU" w:bidi="ar-SA"/>
        </w:rPr>
        <w:t xml:space="preserve"> до 1,9 (низкий) </w:t>
      </w:r>
      <w:r w:rsidRPr="00F0736F">
        <w:rPr>
          <w:rFonts w:ascii="Times New Roman" w:eastAsia="font275" w:hAnsi="Times New Roman" w:cs="Times New Roman"/>
          <w:color w:val="000000" w:themeColor="text1"/>
          <w:kern w:val="0"/>
          <w:lang w:val="kk-KZ" w:eastAsia="ru-RU" w:bidi="ar-SA"/>
        </w:rPr>
        <w:t xml:space="preserve">и </w:t>
      </w:r>
      <w:r w:rsidRPr="00F0736F">
        <w:rPr>
          <w:rFonts w:ascii="Times New Roman" w:eastAsia="font275" w:hAnsi="Times New Roman" w:cs="Times New Roman"/>
          <w:color w:val="000000" w:themeColor="text1"/>
          <w:kern w:val="0"/>
          <w:lang w:eastAsia="ru-RU" w:bidi="ar-SA"/>
        </w:rPr>
        <w:t>НП=1% (повышенный уровень).</w:t>
      </w:r>
      <w:r w:rsidRPr="00F0736F">
        <w:rPr>
          <w:rFonts w:ascii="Times New Roman" w:eastAsia="font275" w:hAnsi="Times New Roman" w:cs="Times New Roman"/>
          <w:color w:val="000000" w:themeColor="text1"/>
          <w:kern w:val="0"/>
          <w:lang w:val="kk-KZ" w:eastAsia="ru-RU" w:bidi="ar-SA"/>
        </w:rPr>
        <w:t xml:space="preserve">  </w:t>
      </w:r>
    </w:p>
    <w:p w14:paraId="41183CD7" w14:textId="77777777" w:rsidR="00AC1D5B" w:rsidRPr="00F0736F" w:rsidRDefault="00AC1D5B" w:rsidP="00AC1D5B">
      <w:pP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b/>
          <w:color w:val="000000" w:themeColor="text1"/>
        </w:rPr>
        <w:t>Лимиты выбросов</w:t>
      </w:r>
      <w:r w:rsidRPr="00F0736F">
        <w:rPr>
          <w:rFonts w:ascii="Times New Roman" w:eastAsia="Times New Roman" w:hAnsi="Times New Roman" w:cs="Times New Roman"/>
          <w:color w:val="000000" w:themeColor="text1"/>
        </w:rPr>
        <w:t xml:space="preserve"> загрязняющих веществ в атмосферный воздух снизились с 148 тыс. т. в 2016 году до 120 тыс. т. в 2019 году, а фактические выбросы с 44 тыс. т. до 81 тыс. т. </w:t>
      </w:r>
    </w:p>
    <w:p w14:paraId="59E2EAC2" w14:textId="77777777" w:rsidR="00AC1D5B" w:rsidRPr="00F0736F" w:rsidRDefault="00AC1D5B" w:rsidP="00AC1D5B">
      <w:pPr>
        <w:ind w:firstLine="709"/>
        <w:jc w:val="both"/>
        <w:rPr>
          <w:rFonts w:ascii="Times New Roman" w:eastAsia="Times New Roman" w:hAnsi="Times New Roman" w:cs="Times New Roman"/>
          <w:color w:val="000000" w:themeColor="text1"/>
        </w:rPr>
      </w:pPr>
    </w:p>
    <w:p w14:paraId="7154E87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Т</w:t>
      </w:r>
      <w:r w:rsidRPr="00F0736F">
        <w:rPr>
          <w:rFonts w:ascii="Times New Roman" w:eastAsia="Times New Roman" w:hAnsi="Times New Roman"/>
          <w:color w:val="000000" w:themeColor="text1"/>
        </w:rPr>
        <w:t xml:space="preserve">аблица 2.6.1. Динамика эмиссий </w:t>
      </w:r>
      <w:r w:rsidRPr="00F0736F">
        <w:rPr>
          <w:rFonts w:ascii="Times New Roman" w:hAnsi="Times New Roman"/>
          <w:color w:val="000000" w:themeColor="text1"/>
        </w:rPr>
        <w:t>в окружающую среду по Жамбылской области</w:t>
      </w:r>
      <w:r w:rsidRPr="00F0736F">
        <w:rPr>
          <w:rFonts w:ascii="Times New Roman" w:hAnsi="Times New Roman"/>
          <w:color w:val="000000" w:themeColor="text1"/>
          <w:lang w:val="kk-KZ"/>
        </w:rPr>
        <w:t xml:space="preserve"> </w:t>
      </w:r>
      <w:r w:rsidRPr="00F0736F">
        <w:rPr>
          <w:rFonts w:ascii="Times New Roman" w:hAnsi="Times New Roman"/>
          <w:color w:val="000000" w:themeColor="text1"/>
        </w:rPr>
        <w:t>за 2017 - 2019 годы</w:t>
      </w:r>
    </w:p>
    <w:tbl>
      <w:tblPr>
        <w:tblW w:w="9781" w:type="dxa"/>
        <w:tblInd w:w="108" w:type="dxa"/>
        <w:tblLayout w:type="fixed"/>
        <w:tblLook w:val="0000" w:firstRow="0" w:lastRow="0" w:firstColumn="0" w:lastColumn="0" w:noHBand="0" w:noVBand="0"/>
      </w:tblPr>
      <w:tblGrid>
        <w:gridCol w:w="2864"/>
        <w:gridCol w:w="1276"/>
        <w:gridCol w:w="1134"/>
        <w:gridCol w:w="850"/>
        <w:gridCol w:w="1134"/>
        <w:gridCol w:w="1277"/>
        <w:gridCol w:w="1246"/>
      </w:tblGrid>
      <w:tr w:rsidR="00F0736F" w:rsidRPr="00F0736F" w14:paraId="24E5AF4B" w14:textId="77777777" w:rsidTr="000B2B8A">
        <w:trPr>
          <w:trHeight w:val="169"/>
        </w:trPr>
        <w:tc>
          <w:tcPr>
            <w:tcW w:w="2864" w:type="dxa"/>
            <w:vMerge w:val="restart"/>
            <w:tcBorders>
              <w:top w:val="single" w:sz="4" w:space="0" w:color="000000"/>
              <w:left w:val="single" w:sz="4" w:space="0" w:color="000000"/>
              <w:bottom w:val="single" w:sz="4" w:space="0" w:color="000000"/>
            </w:tcBorders>
            <w:shd w:val="clear" w:color="auto" w:fill="auto"/>
            <w:vAlign w:val="center"/>
          </w:tcPr>
          <w:p w14:paraId="6167352F" w14:textId="77777777" w:rsidR="00AC1D5B" w:rsidRPr="00F0736F" w:rsidRDefault="00AC1D5B" w:rsidP="00AC1D5B">
            <w:pPr>
              <w:tabs>
                <w:tab w:val="left" w:pos="7880"/>
              </w:tabs>
              <w:ind w:firstLine="709"/>
              <w:jc w:val="both"/>
              <w:rPr>
                <w:color w:val="000000" w:themeColor="text1"/>
              </w:rPr>
            </w:pPr>
            <w:r w:rsidRPr="00F0736F">
              <w:rPr>
                <w:rFonts w:ascii="Times New Roman" w:eastAsia="Times New Roman" w:hAnsi="Times New Roman" w:cs="Times New Roman"/>
                <w:color w:val="000000" w:themeColor="text1"/>
                <w:sz w:val="20"/>
                <w:szCs w:val="20"/>
              </w:rPr>
              <w:t>Вид эмиссий</w:t>
            </w:r>
          </w:p>
        </w:tc>
        <w:tc>
          <w:tcPr>
            <w:tcW w:w="2410" w:type="dxa"/>
            <w:gridSpan w:val="2"/>
            <w:tcBorders>
              <w:top w:val="single" w:sz="4" w:space="0" w:color="000000"/>
              <w:left w:val="single" w:sz="4" w:space="0" w:color="000000"/>
              <w:bottom w:val="single" w:sz="4" w:space="0" w:color="000000"/>
            </w:tcBorders>
            <w:shd w:val="clear" w:color="auto" w:fill="auto"/>
            <w:vAlign w:val="center"/>
          </w:tcPr>
          <w:p w14:paraId="4F703400" w14:textId="77777777" w:rsidR="00AC1D5B" w:rsidRPr="00F0736F" w:rsidRDefault="00AC1D5B" w:rsidP="00AC1D5B">
            <w:pPr>
              <w:tabs>
                <w:tab w:val="left" w:pos="7880"/>
              </w:tabs>
              <w:ind w:firstLine="709"/>
              <w:jc w:val="both"/>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2017 год</w:t>
            </w:r>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1E87BB5E"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2018 год</w:t>
            </w:r>
          </w:p>
        </w:tc>
        <w:tc>
          <w:tcPr>
            <w:tcW w:w="2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82BD70B"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sz w:val="20"/>
                <w:szCs w:val="20"/>
                <w:lang w:val="kk-KZ"/>
              </w:rPr>
              <w:t>2</w:t>
            </w:r>
            <w:r w:rsidRPr="00F0736F">
              <w:rPr>
                <w:rFonts w:ascii="Times New Roman" w:eastAsia="Times New Roman" w:hAnsi="Times New Roman" w:cs="Times New Roman"/>
                <w:color w:val="000000" w:themeColor="text1"/>
                <w:sz w:val="20"/>
                <w:szCs w:val="20"/>
              </w:rPr>
              <w:t>019 год</w:t>
            </w:r>
          </w:p>
        </w:tc>
      </w:tr>
      <w:tr w:rsidR="00F0736F" w:rsidRPr="00F0736F" w14:paraId="16928390" w14:textId="77777777" w:rsidTr="000B2B8A">
        <w:trPr>
          <w:trHeight w:val="403"/>
        </w:trPr>
        <w:tc>
          <w:tcPr>
            <w:tcW w:w="2864" w:type="dxa"/>
            <w:vMerge/>
            <w:tcBorders>
              <w:top w:val="single" w:sz="4" w:space="0" w:color="000000"/>
              <w:left w:val="single" w:sz="4" w:space="0" w:color="000000"/>
              <w:bottom w:val="single" w:sz="4" w:space="0" w:color="000000"/>
            </w:tcBorders>
            <w:shd w:val="clear" w:color="auto" w:fill="auto"/>
            <w:vAlign w:val="center"/>
          </w:tcPr>
          <w:p w14:paraId="1A82921C" w14:textId="77777777" w:rsidR="00AC1D5B" w:rsidRPr="00F0736F" w:rsidRDefault="00AC1D5B" w:rsidP="00AC1D5B">
            <w:pPr>
              <w:snapToGrid w:val="0"/>
              <w:ind w:firstLine="709"/>
              <w:jc w:val="both"/>
              <w:rPr>
                <w:rFonts w:ascii="Times New Roman" w:eastAsia="Times New Roman" w:hAnsi="Times New Roman" w:cs="Times New Roman"/>
                <w:color w:val="000000" w:themeColor="text1"/>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14:paraId="1E2C090D"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Лимит</w:t>
            </w:r>
          </w:p>
        </w:tc>
        <w:tc>
          <w:tcPr>
            <w:tcW w:w="1134" w:type="dxa"/>
            <w:tcBorders>
              <w:top w:val="single" w:sz="4" w:space="0" w:color="000000"/>
              <w:left w:val="single" w:sz="4" w:space="0" w:color="000000"/>
              <w:bottom w:val="single" w:sz="4" w:space="0" w:color="000000"/>
            </w:tcBorders>
            <w:shd w:val="clear" w:color="auto" w:fill="auto"/>
            <w:vAlign w:val="center"/>
          </w:tcPr>
          <w:p w14:paraId="1A63F923"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Факт</w:t>
            </w:r>
          </w:p>
        </w:tc>
        <w:tc>
          <w:tcPr>
            <w:tcW w:w="850" w:type="dxa"/>
            <w:tcBorders>
              <w:top w:val="single" w:sz="4" w:space="0" w:color="000000"/>
              <w:left w:val="single" w:sz="4" w:space="0" w:color="000000"/>
              <w:bottom w:val="single" w:sz="4" w:space="0" w:color="000000"/>
            </w:tcBorders>
            <w:shd w:val="clear" w:color="auto" w:fill="auto"/>
            <w:vAlign w:val="center"/>
          </w:tcPr>
          <w:p w14:paraId="08597D26"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Лимит</w:t>
            </w:r>
          </w:p>
        </w:tc>
        <w:tc>
          <w:tcPr>
            <w:tcW w:w="1134" w:type="dxa"/>
            <w:tcBorders>
              <w:top w:val="single" w:sz="4" w:space="0" w:color="000000"/>
              <w:left w:val="single" w:sz="4" w:space="0" w:color="000000"/>
              <w:bottom w:val="single" w:sz="4" w:space="0" w:color="000000"/>
            </w:tcBorders>
            <w:shd w:val="clear" w:color="auto" w:fill="auto"/>
            <w:vAlign w:val="center"/>
          </w:tcPr>
          <w:p w14:paraId="6C22CE94"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Факт</w:t>
            </w:r>
          </w:p>
        </w:tc>
        <w:tc>
          <w:tcPr>
            <w:tcW w:w="1277" w:type="dxa"/>
            <w:tcBorders>
              <w:top w:val="single" w:sz="4" w:space="0" w:color="000000"/>
              <w:left w:val="single" w:sz="4" w:space="0" w:color="000000"/>
              <w:bottom w:val="single" w:sz="4" w:space="0" w:color="000000"/>
            </w:tcBorders>
            <w:shd w:val="clear" w:color="auto" w:fill="auto"/>
            <w:vAlign w:val="center"/>
          </w:tcPr>
          <w:p w14:paraId="0E5BF150"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Лимит</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5531D"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Факт</w:t>
            </w:r>
          </w:p>
        </w:tc>
      </w:tr>
      <w:tr w:rsidR="00F0736F" w:rsidRPr="00F0736F" w14:paraId="784AB3E5" w14:textId="77777777" w:rsidTr="000B2B8A">
        <w:trPr>
          <w:trHeight w:val="104"/>
        </w:trPr>
        <w:tc>
          <w:tcPr>
            <w:tcW w:w="2864" w:type="dxa"/>
            <w:tcBorders>
              <w:top w:val="single" w:sz="4" w:space="0" w:color="000000"/>
              <w:left w:val="single" w:sz="4" w:space="0" w:color="000000"/>
              <w:bottom w:val="single" w:sz="4" w:space="0" w:color="000000"/>
            </w:tcBorders>
            <w:shd w:val="clear" w:color="auto" w:fill="auto"/>
            <w:vAlign w:val="center"/>
          </w:tcPr>
          <w:p w14:paraId="0DCDE0E4"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Выбросы тыс. т.</w:t>
            </w:r>
          </w:p>
        </w:tc>
        <w:tc>
          <w:tcPr>
            <w:tcW w:w="1276" w:type="dxa"/>
            <w:tcBorders>
              <w:top w:val="single" w:sz="4" w:space="0" w:color="000000"/>
              <w:left w:val="single" w:sz="4" w:space="0" w:color="000000"/>
              <w:bottom w:val="single" w:sz="4" w:space="0" w:color="000000"/>
            </w:tcBorders>
            <w:shd w:val="clear" w:color="auto" w:fill="auto"/>
            <w:vAlign w:val="center"/>
          </w:tcPr>
          <w:p w14:paraId="2E39396F"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116</w:t>
            </w:r>
          </w:p>
        </w:tc>
        <w:tc>
          <w:tcPr>
            <w:tcW w:w="1134" w:type="dxa"/>
            <w:tcBorders>
              <w:top w:val="single" w:sz="4" w:space="0" w:color="000000"/>
              <w:left w:val="single" w:sz="4" w:space="0" w:color="000000"/>
              <w:bottom w:val="single" w:sz="4" w:space="0" w:color="000000"/>
            </w:tcBorders>
            <w:shd w:val="clear" w:color="auto" w:fill="auto"/>
            <w:vAlign w:val="center"/>
          </w:tcPr>
          <w:p w14:paraId="645D3069"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70</w:t>
            </w:r>
          </w:p>
        </w:tc>
        <w:tc>
          <w:tcPr>
            <w:tcW w:w="850" w:type="dxa"/>
            <w:tcBorders>
              <w:top w:val="single" w:sz="4" w:space="0" w:color="000000"/>
              <w:left w:val="single" w:sz="4" w:space="0" w:color="000000"/>
              <w:bottom w:val="single" w:sz="4" w:space="0" w:color="000000"/>
            </w:tcBorders>
            <w:shd w:val="clear" w:color="auto" w:fill="auto"/>
            <w:vAlign w:val="center"/>
          </w:tcPr>
          <w:p w14:paraId="66172B39"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115</w:t>
            </w:r>
          </w:p>
        </w:tc>
        <w:tc>
          <w:tcPr>
            <w:tcW w:w="1134" w:type="dxa"/>
            <w:tcBorders>
              <w:top w:val="single" w:sz="4" w:space="0" w:color="000000"/>
              <w:left w:val="single" w:sz="4" w:space="0" w:color="000000"/>
              <w:bottom w:val="single" w:sz="4" w:space="0" w:color="000000"/>
            </w:tcBorders>
            <w:shd w:val="clear" w:color="auto" w:fill="auto"/>
            <w:vAlign w:val="center"/>
          </w:tcPr>
          <w:p w14:paraId="21E205F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81</w:t>
            </w:r>
          </w:p>
        </w:tc>
        <w:tc>
          <w:tcPr>
            <w:tcW w:w="1277" w:type="dxa"/>
            <w:tcBorders>
              <w:top w:val="single" w:sz="4" w:space="0" w:color="000000"/>
              <w:left w:val="single" w:sz="4" w:space="0" w:color="000000"/>
              <w:bottom w:val="single" w:sz="4" w:space="0" w:color="000000"/>
            </w:tcBorders>
            <w:shd w:val="clear" w:color="auto" w:fill="auto"/>
            <w:vAlign w:val="center"/>
          </w:tcPr>
          <w:p w14:paraId="770ADF6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119,93</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8EE4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81,4</w:t>
            </w:r>
          </w:p>
        </w:tc>
      </w:tr>
      <w:tr w:rsidR="00F0736F" w:rsidRPr="00F0736F" w14:paraId="214B2B44" w14:textId="77777777" w:rsidTr="000B2B8A">
        <w:tc>
          <w:tcPr>
            <w:tcW w:w="2864" w:type="dxa"/>
            <w:tcBorders>
              <w:top w:val="single" w:sz="4" w:space="0" w:color="000000"/>
              <w:left w:val="single" w:sz="4" w:space="0" w:color="000000"/>
              <w:bottom w:val="single" w:sz="4" w:space="0" w:color="000000"/>
            </w:tcBorders>
            <w:shd w:val="clear" w:color="auto" w:fill="auto"/>
            <w:vAlign w:val="center"/>
          </w:tcPr>
          <w:p w14:paraId="64E453BF"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Сбросы тыс. т.</w:t>
            </w:r>
          </w:p>
        </w:tc>
        <w:tc>
          <w:tcPr>
            <w:tcW w:w="1276" w:type="dxa"/>
            <w:tcBorders>
              <w:top w:val="single" w:sz="4" w:space="0" w:color="000000"/>
              <w:left w:val="single" w:sz="4" w:space="0" w:color="000000"/>
              <w:bottom w:val="single" w:sz="4" w:space="0" w:color="000000"/>
            </w:tcBorders>
            <w:shd w:val="clear" w:color="auto" w:fill="auto"/>
            <w:vAlign w:val="center"/>
          </w:tcPr>
          <w:p w14:paraId="266DB475"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23</w:t>
            </w:r>
          </w:p>
        </w:tc>
        <w:tc>
          <w:tcPr>
            <w:tcW w:w="1134" w:type="dxa"/>
            <w:tcBorders>
              <w:top w:val="single" w:sz="4" w:space="0" w:color="000000"/>
              <w:left w:val="single" w:sz="4" w:space="0" w:color="000000"/>
              <w:bottom w:val="single" w:sz="4" w:space="0" w:color="000000"/>
            </w:tcBorders>
            <w:shd w:val="clear" w:color="auto" w:fill="auto"/>
            <w:vAlign w:val="center"/>
          </w:tcPr>
          <w:p w14:paraId="59B0BFD3"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17</w:t>
            </w:r>
          </w:p>
        </w:tc>
        <w:tc>
          <w:tcPr>
            <w:tcW w:w="850" w:type="dxa"/>
            <w:tcBorders>
              <w:top w:val="single" w:sz="4" w:space="0" w:color="000000"/>
              <w:left w:val="single" w:sz="4" w:space="0" w:color="000000"/>
              <w:bottom w:val="single" w:sz="4" w:space="0" w:color="000000"/>
            </w:tcBorders>
            <w:shd w:val="clear" w:color="auto" w:fill="auto"/>
            <w:vAlign w:val="center"/>
          </w:tcPr>
          <w:p w14:paraId="6CBBDAE4" w14:textId="77777777" w:rsidR="00AC1D5B" w:rsidRPr="00F0736F" w:rsidRDefault="00AC1D5B" w:rsidP="00AC1D5B">
            <w:pPr>
              <w:tabs>
                <w:tab w:val="left" w:pos="7880"/>
              </w:tabs>
              <w:jc w:val="center"/>
              <w:rPr>
                <w:color w:val="000000" w:themeColor="text1"/>
              </w:rPr>
            </w:pPr>
            <w:r w:rsidRPr="00F0736F">
              <w:rPr>
                <w:rFonts w:ascii="Times New Roman" w:hAnsi="Times New Roman" w:cs="Times New Roman"/>
                <w:color w:val="000000" w:themeColor="text1"/>
                <w:sz w:val="20"/>
                <w:szCs w:val="20"/>
              </w:rPr>
              <w:t>24</w:t>
            </w:r>
          </w:p>
        </w:tc>
        <w:tc>
          <w:tcPr>
            <w:tcW w:w="1134" w:type="dxa"/>
            <w:tcBorders>
              <w:top w:val="single" w:sz="4" w:space="0" w:color="000000"/>
              <w:left w:val="single" w:sz="4" w:space="0" w:color="000000"/>
              <w:bottom w:val="single" w:sz="4" w:space="0" w:color="000000"/>
            </w:tcBorders>
            <w:shd w:val="clear" w:color="auto" w:fill="auto"/>
            <w:vAlign w:val="center"/>
          </w:tcPr>
          <w:p w14:paraId="7DC9437A" w14:textId="77777777" w:rsidR="00AC1D5B" w:rsidRPr="00F0736F" w:rsidRDefault="00AC1D5B" w:rsidP="00AC1D5B">
            <w:pPr>
              <w:tabs>
                <w:tab w:val="left" w:pos="7880"/>
              </w:tabs>
              <w:jc w:val="center"/>
              <w:rPr>
                <w:color w:val="000000" w:themeColor="text1"/>
              </w:rPr>
            </w:pPr>
            <w:r w:rsidRPr="00F0736F">
              <w:rPr>
                <w:rFonts w:ascii="Times New Roman" w:hAnsi="Times New Roman" w:cs="Times New Roman"/>
                <w:color w:val="000000" w:themeColor="text1"/>
                <w:sz w:val="20"/>
                <w:szCs w:val="20"/>
              </w:rPr>
              <w:t>17</w:t>
            </w:r>
          </w:p>
        </w:tc>
        <w:tc>
          <w:tcPr>
            <w:tcW w:w="1277" w:type="dxa"/>
            <w:tcBorders>
              <w:top w:val="single" w:sz="4" w:space="0" w:color="000000"/>
              <w:left w:val="single" w:sz="4" w:space="0" w:color="000000"/>
              <w:bottom w:val="single" w:sz="4" w:space="0" w:color="000000"/>
            </w:tcBorders>
            <w:shd w:val="clear" w:color="auto" w:fill="auto"/>
            <w:vAlign w:val="center"/>
          </w:tcPr>
          <w:p w14:paraId="2D2E99D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22,9</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334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16,27</w:t>
            </w:r>
          </w:p>
        </w:tc>
      </w:tr>
      <w:tr w:rsidR="00AC1D5B" w:rsidRPr="00F0736F" w14:paraId="3E7BA4BA" w14:textId="77777777" w:rsidTr="000B2B8A">
        <w:tc>
          <w:tcPr>
            <w:tcW w:w="2864" w:type="dxa"/>
            <w:tcBorders>
              <w:top w:val="single" w:sz="4" w:space="0" w:color="000000"/>
              <w:left w:val="single" w:sz="4" w:space="0" w:color="000000"/>
              <w:bottom w:val="single" w:sz="4" w:space="0" w:color="000000"/>
            </w:tcBorders>
            <w:shd w:val="clear" w:color="auto" w:fill="auto"/>
            <w:vAlign w:val="center"/>
          </w:tcPr>
          <w:p w14:paraId="5BC7A3D9"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Отходы тыс. т.</w:t>
            </w:r>
          </w:p>
        </w:tc>
        <w:tc>
          <w:tcPr>
            <w:tcW w:w="1276" w:type="dxa"/>
            <w:tcBorders>
              <w:top w:val="single" w:sz="4" w:space="0" w:color="000000"/>
              <w:left w:val="single" w:sz="4" w:space="0" w:color="000000"/>
              <w:bottom w:val="single" w:sz="4" w:space="0" w:color="000000"/>
            </w:tcBorders>
            <w:shd w:val="clear" w:color="auto" w:fill="auto"/>
            <w:vAlign w:val="center"/>
          </w:tcPr>
          <w:p w14:paraId="14E59500" w14:textId="77777777"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70 144</w:t>
            </w:r>
          </w:p>
        </w:tc>
        <w:tc>
          <w:tcPr>
            <w:tcW w:w="1134" w:type="dxa"/>
            <w:tcBorders>
              <w:top w:val="single" w:sz="4" w:space="0" w:color="000000"/>
              <w:left w:val="single" w:sz="4" w:space="0" w:color="000000"/>
              <w:bottom w:val="single" w:sz="4" w:space="0" w:color="000000"/>
            </w:tcBorders>
            <w:shd w:val="clear" w:color="auto" w:fill="auto"/>
            <w:vAlign w:val="center"/>
          </w:tcPr>
          <w:p w14:paraId="4691DA52" w14:textId="1B087D9A" w:rsidR="00AC1D5B" w:rsidRPr="00F0736F" w:rsidRDefault="00AC1D5B" w:rsidP="00AC1D5B">
            <w:pPr>
              <w:tabs>
                <w:tab w:val="left" w:pos="7880"/>
              </w:tabs>
              <w:jc w:val="center"/>
              <w:rPr>
                <w:rFonts w:ascii="Times New Roman" w:eastAsia="Times New Roman" w:hAnsi="Times New Roman" w:cs="Times New Roman"/>
                <w:color w:val="000000" w:themeColor="text1"/>
                <w:sz w:val="20"/>
                <w:szCs w:val="20"/>
              </w:rPr>
            </w:pPr>
            <w:r w:rsidRPr="00F0736F">
              <w:rPr>
                <w:rFonts w:ascii="Times New Roman" w:eastAsia="Times New Roman" w:hAnsi="Times New Roman" w:cs="Times New Roman"/>
                <w:color w:val="000000" w:themeColor="text1"/>
                <w:sz w:val="20"/>
                <w:szCs w:val="20"/>
              </w:rPr>
              <w:t>21</w:t>
            </w:r>
            <w:r w:rsidR="00C31FAD" w:rsidRPr="00F0736F">
              <w:rPr>
                <w:rFonts w:ascii="Times New Roman" w:eastAsia="Times New Roman" w:hAnsi="Times New Roman" w:cs="Times New Roman"/>
                <w:color w:val="000000" w:themeColor="text1"/>
                <w:sz w:val="20"/>
                <w:szCs w:val="20"/>
              </w:rPr>
              <w:t xml:space="preserve"> </w:t>
            </w:r>
            <w:r w:rsidRPr="00F0736F">
              <w:rPr>
                <w:rFonts w:ascii="Times New Roman" w:eastAsia="Times New Roman" w:hAnsi="Times New Roman" w:cs="Times New Roman"/>
                <w:color w:val="000000" w:themeColor="text1"/>
                <w:sz w:val="20"/>
                <w:szCs w:val="20"/>
              </w:rPr>
              <w:t>036</w:t>
            </w:r>
          </w:p>
        </w:tc>
        <w:tc>
          <w:tcPr>
            <w:tcW w:w="850" w:type="dxa"/>
            <w:tcBorders>
              <w:top w:val="single" w:sz="4" w:space="0" w:color="000000"/>
              <w:left w:val="single" w:sz="4" w:space="0" w:color="000000"/>
              <w:bottom w:val="single" w:sz="4" w:space="0" w:color="000000"/>
            </w:tcBorders>
            <w:shd w:val="clear" w:color="auto" w:fill="auto"/>
            <w:vAlign w:val="center"/>
          </w:tcPr>
          <w:p w14:paraId="647153E7" w14:textId="2FC74BC5" w:rsidR="00AC1D5B" w:rsidRPr="00F0736F" w:rsidRDefault="00AC1D5B" w:rsidP="00AC1D5B">
            <w:pPr>
              <w:tabs>
                <w:tab w:val="left" w:pos="7880"/>
              </w:tabs>
              <w:jc w:val="center"/>
              <w:rPr>
                <w:color w:val="000000" w:themeColor="text1"/>
              </w:rPr>
            </w:pPr>
            <w:r w:rsidRPr="00F0736F">
              <w:rPr>
                <w:rFonts w:ascii="Times New Roman" w:hAnsi="Times New Roman" w:cs="Times New Roman"/>
                <w:color w:val="000000" w:themeColor="text1"/>
                <w:sz w:val="20"/>
                <w:szCs w:val="20"/>
              </w:rPr>
              <w:t>49</w:t>
            </w:r>
            <w:r w:rsidR="00C31FAD" w:rsidRPr="00F0736F">
              <w:rPr>
                <w:rFonts w:ascii="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748</w:t>
            </w:r>
          </w:p>
        </w:tc>
        <w:tc>
          <w:tcPr>
            <w:tcW w:w="1134" w:type="dxa"/>
            <w:tcBorders>
              <w:top w:val="single" w:sz="4" w:space="0" w:color="000000"/>
              <w:left w:val="single" w:sz="4" w:space="0" w:color="000000"/>
              <w:bottom w:val="single" w:sz="4" w:space="0" w:color="000000"/>
            </w:tcBorders>
            <w:shd w:val="clear" w:color="auto" w:fill="auto"/>
            <w:vAlign w:val="center"/>
          </w:tcPr>
          <w:p w14:paraId="6AACB622" w14:textId="77777777" w:rsidR="00AC1D5B" w:rsidRPr="00F0736F" w:rsidRDefault="00AC1D5B" w:rsidP="00AC1D5B">
            <w:pPr>
              <w:tabs>
                <w:tab w:val="left" w:pos="7880"/>
              </w:tabs>
              <w:jc w:val="center"/>
              <w:rPr>
                <w:color w:val="000000" w:themeColor="text1"/>
              </w:rPr>
            </w:pPr>
            <w:r w:rsidRPr="00F0736F">
              <w:rPr>
                <w:rFonts w:ascii="Times New Roman" w:hAnsi="Times New Roman" w:cs="Times New Roman"/>
                <w:color w:val="000000" w:themeColor="text1"/>
                <w:sz w:val="20"/>
                <w:szCs w:val="20"/>
              </w:rPr>
              <w:t>8826</w:t>
            </w:r>
          </w:p>
        </w:tc>
        <w:tc>
          <w:tcPr>
            <w:tcW w:w="1277" w:type="dxa"/>
            <w:tcBorders>
              <w:top w:val="single" w:sz="4" w:space="0" w:color="000000"/>
              <w:left w:val="single" w:sz="4" w:space="0" w:color="000000"/>
              <w:bottom w:val="single" w:sz="4" w:space="0" w:color="000000"/>
            </w:tcBorders>
            <w:shd w:val="clear" w:color="auto" w:fill="auto"/>
            <w:vAlign w:val="center"/>
          </w:tcPr>
          <w:p w14:paraId="7ED421C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54 681,211</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17B1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10 633,66</w:t>
            </w:r>
          </w:p>
        </w:tc>
      </w:tr>
    </w:tbl>
    <w:p w14:paraId="286B5414" w14:textId="77777777" w:rsidR="00AC1D5B" w:rsidRPr="00F0736F" w:rsidRDefault="00AC1D5B" w:rsidP="00AC1D5B">
      <w:pPr>
        <w:ind w:firstLine="709"/>
        <w:jc w:val="both"/>
        <w:rPr>
          <w:rFonts w:ascii="Times New Roman" w:hAnsi="Times New Roman" w:cs="Times New Roman"/>
          <w:color w:val="000000" w:themeColor="text1"/>
        </w:rPr>
      </w:pPr>
    </w:p>
    <w:p w14:paraId="38855B4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настоящее время, выбросы крупными предприятиями горнодобывающего сектора области составляют 13%, строительной 14,9%, жилищно-коммунального сектора 55,7% от общих объемов области.</w:t>
      </w:r>
    </w:p>
    <w:p w14:paraId="6F0CA995" w14:textId="77777777" w:rsidR="00AC1D5B" w:rsidRPr="00F0736F" w:rsidRDefault="00AC1D5B" w:rsidP="00AC1D5B">
      <w:pP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В регионе работают 286 природопользователей, относящихся к </w:t>
      </w:r>
      <w:r w:rsidRPr="00F0736F">
        <w:rPr>
          <w:rFonts w:ascii="Times New Roman" w:eastAsia="Times New Roman" w:hAnsi="Times New Roman" w:cs="Times New Roman"/>
          <w:color w:val="000000" w:themeColor="text1"/>
          <w:lang w:val="kk-KZ"/>
        </w:rPr>
        <w:t xml:space="preserve">только </w:t>
      </w:r>
      <w:r w:rsidRPr="00F0736F">
        <w:rPr>
          <w:rFonts w:ascii="Times New Roman" w:eastAsia="Times New Roman" w:hAnsi="Times New Roman" w:cs="Times New Roman"/>
          <w:color w:val="000000" w:themeColor="text1"/>
        </w:rPr>
        <w:t>1 категории опасности. Из них крупны</w:t>
      </w:r>
      <w:r w:rsidRPr="00F0736F">
        <w:rPr>
          <w:rFonts w:ascii="Times New Roman" w:eastAsia="Times New Roman" w:hAnsi="Times New Roman" w:cs="Times New Roman"/>
          <w:color w:val="000000" w:themeColor="text1"/>
          <w:lang w:val="kk-KZ"/>
        </w:rPr>
        <w:t xml:space="preserve">е </w:t>
      </w:r>
      <w:r w:rsidRPr="00F0736F">
        <w:rPr>
          <w:rFonts w:ascii="Times New Roman" w:eastAsia="Times New Roman" w:hAnsi="Times New Roman" w:cs="Times New Roman"/>
          <w:color w:val="000000" w:themeColor="text1"/>
        </w:rPr>
        <w:t>предприяти</w:t>
      </w:r>
      <w:r w:rsidRPr="00F0736F">
        <w:rPr>
          <w:rFonts w:ascii="Times New Roman" w:eastAsia="Times New Roman" w:hAnsi="Times New Roman" w:cs="Times New Roman"/>
          <w:color w:val="000000" w:themeColor="text1"/>
          <w:lang w:val="kk-KZ"/>
        </w:rPr>
        <w:t>я</w:t>
      </w:r>
      <w:r w:rsidRPr="00F0736F">
        <w:rPr>
          <w:rFonts w:ascii="Times New Roman" w:eastAsia="Times New Roman" w:hAnsi="Times New Roman" w:cs="Times New Roman"/>
          <w:color w:val="000000" w:themeColor="text1"/>
        </w:rPr>
        <w:t xml:space="preserve"> республики:</w:t>
      </w:r>
      <w:r w:rsidRPr="00F0736F">
        <w:rPr>
          <w:rFonts w:ascii="Times New Roman" w:hAnsi="Times New Roman" w:cs="Times New Roman"/>
          <w:color w:val="000000" w:themeColor="text1"/>
        </w:rPr>
        <w:t xml:space="preserve"> УМГ</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Тараз» Таразкое ЛПУМГ, ЖФ ТОО «Казфосфат», Филиал ТОО «Корпорация Казахмыс», рудник «Шатыркуль», ТОО «</w:t>
      </w:r>
      <w:r w:rsidRPr="00F0736F">
        <w:rPr>
          <w:rFonts w:ascii="Times New Roman" w:hAnsi="Times New Roman" w:cs="Times New Roman"/>
          <w:color w:val="000000" w:themeColor="text1"/>
          <w:lang w:val="en-US"/>
        </w:rPr>
        <w:t>Central</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Asia</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Gold</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Corp</w:t>
      </w:r>
      <w:r w:rsidRPr="00F0736F">
        <w:rPr>
          <w:rFonts w:ascii="Times New Roman" w:eastAsia="Times New Roman" w:hAnsi="Times New Roman" w:cs="Times New Roman"/>
          <w:color w:val="000000" w:themeColor="text1"/>
        </w:rPr>
        <w:t>.». Снижение обусловлено природоохранными мероприятиями, осуществляемыми природопользователями области.</w:t>
      </w:r>
    </w:p>
    <w:p w14:paraId="53D2A8B2" w14:textId="77777777" w:rsidR="00AC1D5B" w:rsidRPr="00F0736F" w:rsidRDefault="00AC1D5B" w:rsidP="00AC1D5B">
      <w:pPr>
        <w:ind w:firstLine="709"/>
        <w:jc w:val="both"/>
        <w:rPr>
          <w:rFonts w:ascii="Times New Roman" w:eastAsia="Times New Roman" w:hAnsi="Times New Roman" w:cs="Times New Roman"/>
          <w:color w:val="000000" w:themeColor="text1"/>
        </w:rPr>
      </w:pPr>
    </w:p>
    <w:p w14:paraId="539EA05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Таблица 2.6.2. Финансирование природоохранных мероприятий природопользователями по Жамбылск</w:t>
      </w:r>
      <w:r w:rsidRPr="00F0736F">
        <w:rPr>
          <w:color w:val="000000" w:themeColor="text1"/>
        </w:rPr>
        <w:t>ой области области, млрд. тенге</w:t>
      </w:r>
    </w:p>
    <w:p w14:paraId="0779DDC2" w14:textId="77777777" w:rsidR="00AC1D5B" w:rsidRPr="00F0736F" w:rsidRDefault="00AC1D5B" w:rsidP="00AC1D5B">
      <w:pPr>
        <w:ind w:firstLine="709"/>
        <w:jc w:val="both"/>
        <w:rPr>
          <w:rFonts w:ascii="Times New Roman" w:hAnsi="Times New Roman" w:cs="Times New Roman"/>
          <w:color w:val="000000" w:themeColor="text1"/>
        </w:rPr>
      </w:pPr>
    </w:p>
    <w:tbl>
      <w:tblPr>
        <w:tblW w:w="9781" w:type="dxa"/>
        <w:tblInd w:w="108" w:type="dxa"/>
        <w:tblLayout w:type="fixed"/>
        <w:tblLook w:val="0000" w:firstRow="0" w:lastRow="0" w:firstColumn="0" w:lastColumn="0" w:noHBand="0" w:noVBand="0"/>
      </w:tblPr>
      <w:tblGrid>
        <w:gridCol w:w="1843"/>
        <w:gridCol w:w="1604"/>
        <w:gridCol w:w="1583"/>
        <w:gridCol w:w="1559"/>
        <w:gridCol w:w="1418"/>
        <w:gridCol w:w="1774"/>
      </w:tblGrid>
      <w:tr w:rsidR="00F0736F" w:rsidRPr="00F0736F" w14:paraId="238CD22A" w14:textId="77777777" w:rsidTr="000B2B8A">
        <w:trPr>
          <w:trHeight w:val="175"/>
        </w:trPr>
        <w:tc>
          <w:tcPr>
            <w:tcW w:w="3447" w:type="dxa"/>
            <w:gridSpan w:val="2"/>
            <w:tcBorders>
              <w:top w:val="single" w:sz="4" w:space="0" w:color="000000"/>
              <w:left w:val="single" w:sz="4" w:space="0" w:color="000000"/>
              <w:bottom w:val="single" w:sz="4" w:space="0" w:color="000000"/>
            </w:tcBorders>
            <w:shd w:val="clear" w:color="auto" w:fill="auto"/>
          </w:tcPr>
          <w:p w14:paraId="693D1F22"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2017 год</w:t>
            </w:r>
          </w:p>
        </w:tc>
        <w:tc>
          <w:tcPr>
            <w:tcW w:w="3142" w:type="dxa"/>
            <w:gridSpan w:val="2"/>
            <w:tcBorders>
              <w:top w:val="single" w:sz="4" w:space="0" w:color="000000"/>
              <w:left w:val="single" w:sz="4" w:space="0" w:color="000000"/>
              <w:bottom w:val="single" w:sz="4" w:space="0" w:color="000000"/>
            </w:tcBorders>
            <w:shd w:val="clear" w:color="auto" w:fill="auto"/>
          </w:tcPr>
          <w:p w14:paraId="68E05C60"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2018 год</w:t>
            </w:r>
          </w:p>
        </w:tc>
        <w:tc>
          <w:tcPr>
            <w:tcW w:w="3192" w:type="dxa"/>
            <w:gridSpan w:val="2"/>
            <w:tcBorders>
              <w:top w:val="single" w:sz="4" w:space="0" w:color="000000"/>
              <w:left w:val="single" w:sz="4" w:space="0" w:color="000000"/>
              <w:bottom w:val="single" w:sz="4" w:space="0" w:color="000000"/>
              <w:right w:val="single" w:sz="4" w:space="0" w:color="000000"/>
            </w:tcBorders>
            <w:shd w:val="clear" w:color="auto" w:fill="auto"/>
          </w:tcPr>
          <w:p w14:paraId="0244C6D7"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2019 год</w:t>
            </w:r>
          </w:p>
        </w:tc>
      </w:tr>
      <w:tr w:rsidR="00F0736F" w:rsidRPr="00F0736F" w14:paraId="355915C2" w14:textId="77777777" w:rsidTr="000B2B8A">
        <w:trPr>
          <w:trHeight w:val="109"/>
        </w:trPr>
        <w:tc>
          <w:tcPr>
            <w:tcW w:w="1843" w:type="dxa"/>
            <w:tcBorders>
              <w:top w:val="single" w:sz="4" w:space="0" w:color="000000"/>
              <w:left w:val="single" w:sz="4" w:space="0" w:color="000000"/>
              <w:bottom w:val="single" w:sz="4" w:space="0" w:color="000000"/>
            </w:tcBorders>
            <w:shd w:val="clear" w:color="auto" w:fill="auto"/>
          </w:tcPr>
          <w:p w14:paraId="6C67679B"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План</w:t>
            </w:r>
          </w:p>
        </w:tc>
        <w:tc>
          <w:tcPr>
            <w:tcW w:w="1604" w:type="dxa"/>
            <w:tcBorders>
              <w:top w:val="single" w:sz="4" w:space="0" w:color="000000"/>
              <w:left w:val="single" w:sz="4" w:space="0" w:color="000000"/>
              <w:bottom w:val="single" w:sz="4" w:space="0" w:color="000000"/>
            </w:tcBorders>
            <w:shd w:val="clear" w:color="auto" w:fill="auto"/>
          </w:tcPr>
          <w:p w14:paraId="55FE87B0"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Факт</w:t>
            </w:r>
          </w:p>
        </w:tc>
        <w:tc>
          <w:tcPr>
            <w:tcW w:w="1583" w:type="dxa"/>
            <w:tcBorders>
              <w:top w:val="single" w:sz="4" w:space="0" w:color="000000"/>
              <w:left w:val="single" w:sz="4" w:space="0" w:color="000000"/>
              <w:bottom w:val="single" w:sz="4" w:space="0" w:color="000000"/>
            </w:tcBorders>
            <w:shd w:val="clear" w:color="auto" w:fill="auto"/>
          </w:tcPr>
          <w:p w14:paraId="20A857CF"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План</w:t>
            </w:r>
          </w:p>
        </w:tc>
        <w:tc>
          <w:tcPr>
            <w:tcW w:w="1559" w:type="dxa"/>
            <w:tcBorders>
              <w:top w:val="single" w:sz="4" w:space="0" w:color="000000"/>
              <w:left w:val="single" w:sz="4" w:space="0" w:color="000000"/>
              <w:bottom w:val="single" w:sz="4" w:space="0" w:color="000000"/>
            </w:tcBorders>
            <w:shd w:val="clear" w:color="auto" w:fill="auto"/>
          </w:tcPr>
          <w:p w14:paraId="753D771D"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Факт</w:t>
            </w:r>
          </w:p>
        </w:tc>
        <w:tc>
          <w:tcPr>
            <w:tcW w:w="1418" w:type="dxa"/>
            <w:tcBorders>
              <w:top w:val="single" w:sz="4" w:space="0" w:color="000000"/>
              <w:left w:val="single" w:sz="4" w:space="0" w:color="000000"/>
              <w:bottom w:val="single" w:sz="4" w:space="0" w:color="000000"/>
            </w:tcBorders>
            <w:shd w:val="clear" w:color="auto" w:fill="auto"/>
          </w:tcPr>
          <w:p w14:paraId="520F8859"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План</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14:paraId="38EE9F11"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Факт</w:t>
            </w:r>
          </w:p>
        </w:tc>
      </w:tr>
      <w:tr w:rsidR="00AC1D5B" w:rsidRPr="00F0736F" w14:paraId="092C2D80" w14:textId="77777777" w:rsidTr="000B2B8A">
        <w:trPr>
          <w:trHeight w:val="109"/>
        </w:trPr>
        <w:tc>
          <w:tcPr>
            <w:tcW w:w="1843" w:type="dxa"/>
            <w:tcBorders>
              <w:top w:val="single" w:sz="4" w:space="0" w:color="000000"/>
              <w:left w:val="single" w:sz="4" w:space="0" w:color="000000"/>
              <w:bottom w:val="single" w:sz="4" w:space="0" w:color="000000"/>
            </w:tcBorders>
            <w:shd w:val="clear" w:color="auto" w:fill="auto"/>
          </w:tcPr>
          <w:p w14:paraId="35A4915D"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0,9</w:t>
            </w:r>
          </w:p>
        </w:tc>
        <w:tc>
          <w:tcPr>
            <w:tcW w:w="1604" w:type="dxa"/>
            <w:tcBorders>
              <w:top w:val="single" w:sz="4" w:space="0" w:color="000000"/>
              <w:left w:val="single" w:sz="4" w:space="0" w:color="000000"/>
              <w:bottom w:val="single" w:sz="4" w:space="0" w:color="000000"/>
            </w:tcBorders>
            <w:shd w:val="clear" w:color="auto" w:fill="auto"/>
          </w:tcPr>
          <w:p w14:paraId="0569671E"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0,8</w:t>
            </w:r>
          </w:p>
        </w:tc>
        <w:tc>
          <w:tcPr>
            <w:tcW w:w="1583" w:type="dxa"/>
            <w:tcBorders>
              <w:top w:val="single" w:sz="4" w:space="0" w:color="000000"/>
              <w:left w:val="single" w:sz="4" w:space="0" w:color="000000"/>
              <w:bottom w:val="single" w:sz="4" w:space="0" w:color="000000"/>
            </w:tcBorders>
            <w:shd w:val="clear" w:color="auto" w:fill="auto"/>
          </w:tcPr>
          <w:p w14:paraId="37A5A491"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0,44</w:t>
            </w:r>
          </w:p>
        </w:tc>
        <w:tc>
          <w:tcPr>
            <w:tcW w:w="1559" w:type="dxa"/>
            <w:tcBorders>
              <w:top w:val="single" w:sz="4" w:space="0" w:color="000000"/>
              <w:left w:val="single" w:sz="4" w:space="0" w:color="000000"/>
              <w:bottom w:val="single" w:sz="4" w:space="0" w:color="000000"/>
            </w:tcBorders>
            <w:shd w:val="clear" w:color="auto" w:fill="auto"/>
          </w:tcPr>
          <w:p w14:paraId="68A73121"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0,29</w:t>
            </w:r>
          </w:p>
        </w:tc>
        <w:tc>
          <w:tcPr>
            <w:tcW w:w="1418" w:type="dxa"/>
            <w:tcBorders>
              <w:top w:val="single" w:sz="4" w:space="0" w:color="000000"/>
              <w:left w:val="single" w:sz="4" w:space="0" w:color="000000"/>
              <w:bottom w:val="single" w:sz="4" w:space="0" w:color="000000"/>
            </w:tcBorders>
            <w:shd w:val="clear" w:color="auto" w:fill="auto"/>
          </w:tcPr>
          <w:p w14:paraId="7114B2C0"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0,7</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14:paraId="421A61F1" w14:textId="77777777" w:rsidR="00AC1D5B" w:rsidRPr="00F0736F" w:rsidRDefault="00AC1D5B" w:rsidP="00AC1D5B">
            <w:pPr>
              <w:jc w:val="center"/>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sz w:val="20"/>
                <w:szCs w:val="20"/>
                <w:lang w:eastAsia="ru-RU"/>
              </w:rPr>
              <w:t>0,6</w:t>
            </w:r>
          </w:p>
        </w:tc>
      </w:tr>
    </w:tbl>
    <w:p w14:paraId="7EDA3DE5" w14:textId="77777777" w:rsidR="00AC1D5B" w:rsidRPr="00F0736F" w:rsidRDefault="00AC1D5B" w:rsidP="00AC1D5B">
      <w:pPr>
        <w:ind w:firstLine="709"/>
        <w:jc w:val="both"/>
        <w:rPr>
          <w:rFonts w:ascii="Times New Roman" w:eastAsia="font4398" w:hAnsi="Times New Roman" w:cs="Times New Roman"/>
          <w:i/>
          <w:color w:val="000000" w:themeColor="text1"/>
          <w:lang w:eastAsia="en-US"/>
        </w:rPr>
      </w:pPr>
    </w:p>
    <w:p w14:paraId="158575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достижения целевых показателей качества окружающей среды Жамбылской области утвержден План мероприятий. В этом плане предусмотрено внедрение высокотехнологичных промышленных установок за счет собственных средств предприятий на утилизацию и обеззараживание выбросов в промышленный воздух (ТОО «Казфосфат», АО «Жамбылская ГРЭС им. Т. И. Батурова», АО «Жамбылгипс», ТОО «Фабрика ПОШ-Тараз»).</w:t>
      </w:r>
    </w:p>
    <w:p w14:paraId="3BF78EF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Жамбылской области проводились на 10 водных объектах (реки Талас, Аса, Шу, Аксу, Карабалта, Токташ, Сарыкау, Бериккара, озеро Биликоль и вдхр. Тасоткель).</w:t>
      </w:r>
    </w:p>
    <w:p w14:paraId="2334CA43"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Объем нормативных сбросов</w:t>
      </w:r>
      <w:r w:rsidRPr="00F0736F">
        <w:rPr>
          <w:rFonts w:ascii="Times New Roman" w:hAnsi="Times New Roman" w:cs="Times New Roman"/>
          <w:color w:val="000000" w:themeColor="text1"/>
        </w:rPr>
        <w:t xml:space="preserve"> загрязняющих веществ составил в 2018 году 0,023 млн. т. при плане 0,028 млн. т.</w:t>
      </w:r>
    </w:p>
    <w:p w14:paraId="3B40441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Объем водоотведения в 2017 год</w:t>
      </w:r>
      <w:r w:rsidRPr="00F0736F">
        <w:rPr>
          <w:rFonts w:ascii="Times New Roman" w:eastAsia="Times New Roman" w:hAnsi="Times New Roman" w:cs="Times New Roman"/>
          <w:color w:val="000000" w:themeColor="text1"/>
          <w:lang w:val="kk-KZ"/>
        </w:rPr>
        <w:t>у</w:t>
      </w:r>
      <w:r w:rsidRPr="00F0736F">
        <w:rPr>
          <w:rFonts w:ascii="Times New Roman" w:eastAsia="Times New Roman" w:hAnsi="Times New Roman" w:cs="Times New Roman"/>
          <w:color w:val="000000" w:themeColor="text1"/>
        </w:rPr>
        <w:t xml:space="preserve"> составил 22837,14 тыс.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а за аналогичный период прошлого года объем сброса составил 22585,98 тыс.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увеличение объема сброса сточных вод составляет 251,16 тыс.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lang w:val="kk-KZ"/>
        </w:rPr>
        <w:t xml:space="preserve">. Увеличение объема сброса сточных вод связано с введением в эксплуатацию канализационных сетей микрорайонов </w:t>
      </w:r>
      <w:r w:rsidRPr="00F0736F">
        <w:rPr>
          <w:rFonts w:ascii="Times New Roman" w:eastAsia="Times New Roman" w:hAnsi="Times New Roman" w:cs="Times New Roman"/>
          <w:color w:val="000000" w:themeColor="text1"/>
        </w:rPr>
        <w:t>Арай и Байтерек.</w:t>
      </w:r>
    </w:p>
    <w:p w14:paraId="2B80A80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01BA080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rPr>
        <w:t>Промышленные отходы</w:t>
      </w:r>
      <w:r w:rsidRPr="00F0736F">
        <w:rPr>
          <w:rFonts w:ascii="Times New Roman" w:eastAsia="Times New Roman" w:hAnsi="Times New Roman" w:cs="Times New Roman"/>
          <w:color w:val="000000" w:themeColor="text1"/>
        </w:rPr>
        <w:t>, образованные в 2017 году, составляют 24 377,134 тыс. т. (в 2016 году – 26 223,445 тыс. т.), из них утилизировано 3 363,865 тыс. т., что составляет 13,7%. 183,345 тыс. т. гранулированного шлака было отгружено (реализовано) ЖФ ТОО «Казфосфат» (НДФЗ) для цементного производства, ТОО «Кнауф Гипс Тараз» 595,66 тыс. т. вскрышных пород было использовано для закладки во внутренние, ТОО «Восточное рудоуправление» 1 183,249 тыс. т. вскрышных пород было использовано на отсыпку технологических дорог, отсыпку пандусов и т.д.</w:t>
      </w:r>
    </w:p>
    <w:p w14:paraId="58D3C4D2"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Твердые бытовые отходы.</w:t>
      </w:r>
      <w:r w:rsidRPr="00F0736F">
        <w:rPr>
          <w:rFonts w:ascii="Times New Roman" w:hAnsi="Times New Roman" w:cs="Times New Roman"/>
          <w:color w:val="000000" w:themeColor="text1"/>
        </w:rPr>
        <w:t xml:space="preserve"> Согласно данным, предоставленные акиматом Жамбылской области, в 2018 году образовано 95,7 тыс. т. ТБО, из них переработано 3,11%. В 2017 году объем образованных ТБО составил 74,96 тыс. т., из них переработано 3,47%.</w:t>
      </w:r>
    </w:p>
    <w:p w14:paraId="4F328DE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охват населения области, города республиканского значения, столицы услугами по сбору и транспортировке отходов составил 89,3% при плане 92,4%.</w:t>
      </w:r>
      <w:r w:rsidRPr="00F0736F">
        <w:rPr>
          <w:rFonts w:ascii="Times New Roman" w:hAnsi="Times New Roman" w:cs="Times New Roman"/>
          <w:color w:val="000000" w:themeColor="text1"/>
          <w:sz w:val="28"/>
          <w:szCs w:val="28"/>
          <w:lang w:val="kk-KZ"/>
        </w:rPr>
        <w:t xml:space="preserve"> </w:t>
      </w:r>
      <w:r w:rsidRPr="00F0736F">
        <w:rPr>
          <w:rFonts w:ascii="Times New Roman" w:hAnsi="Times New Roman" w:cs="Times New Roman"/>
          <w:color w:val="000000" w:themeColor="text1"/>
          <w:lang w:val="kk-KZ"/>
        </w:rPr>
        <w:t>Из 162 объектов размещения ТБО всего лишь 5 соответствуют экологическим и санитарным требованиям и нормам, что составляет 3,11</w:t>
      </w:r>
      <w:r w:rsidRPr="00F0736F">
        <w:rPr>
          <w:rFonts w:ascii="Times New Roman" w:hAnsi="Times New Roman" w:cs="Times New Roman"/>
          <w:color w:val="000000" w:themeColor="text1"/>
        </w:rPr>
        <w:t>%.</w:t>
      </w:r>
    </w:p>
    <w:p w14:paraId="617B7B36" w14:textId="77777777" w:rsidR="00AC1D5B" w:rsidRPr="00F0736F" w:rsidRDefault="00AC1D5B" w:rsidP="00AC1D5B">
      <w:pPr>
        <w:tabs>
          <w:tab w:val="left" w:pos="142"/>
        </w:tabs>
        <w:ind w:firstLine="709"/>
        <w:jc w:val="both"/>
        <w:rPr>
          <w:color w:val="000000" w:themeColor="text1"/>
        </w:rPr>
      </w:pPr>
      <w:r w:rsidRPr="00F0736F">
        <w:rPr>
          <w:rFonts w:ascii="Times New Roman" w:hAnsi="Times New Roman" w:cs="Times New Roman"/>
          <w:color w:val="000000" w:themeColor="text1"/>
        </w:rPr>
        <w:t xml:space="preserve">В 2019 году образовано 80,94 тыс. т. ТБО, из них отсортировано и переработано 6,9 т. (8,53 %). 94% населения охвачено услугами по сбору и вывозу ТБО. </w:t>
      </w:r>
      <w:r w:rsidRPr="00F0736F">
        <w:rPr>
          <w:rFonts w:ascii="Times New Roman" w:hAnsi="Times New Roman" w:cs="Times New Roman"/>
          <w:color w:val="000000" w:themeColor="text1"/>
          <w:lang w:val="kk-KZ"/>
        </w:rPr>
        <w:t>Из 162 объектов размещения ТБО 11 соответствуют экологическим и санитарным требованиям и нормам, что составляет 8,6</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в том числе из</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 159 полигонов, находящихся в коммунальной собственности, 9 соответствуют экологическим и санитарным требованиям и нормам, что составляет 5,6%. </w:t>
      </w:r>
      <w:r w:rsidRPr="00F0736F">
        <w:rPr>
          <w:rFonts w:ascii="Times New Roman" w:hAnsi="Times New Roman" w:cs="Times New Roman"/>
          <w:color w:val="000000" w:themeColor="text1"/>
        </w:rPr>
        <w:t>В городе Тараз объемы захороненных ТБО на полигоне превысили проектную мощность полигона, то есть переполнены.</w:t>
      </w:r>
    </w:p>
    <w:p w14:paraId="5932B6B5"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На территории Жамбылской области в 2019 году выявлено 346 объектов </w:t>
      </w:r>
      <w:r w:rsidRPr="00F0736F">
        <w:rPr>
          <w:rFonts w:ascii="Times New Roman" w:hAnsi="Times New Roman" w:cs="Times New Roman"/>
          <w:color w:val="000000" w:themeColor="text1"/>
          <w:lang w:val="kk-KZ"/>
        </w:rPr>
        <w:t>несанкционированных свалок, из которых утилизировано 186 объектов.</w:t>
      </w:r>
    </w:p>
    <w:p w14:paraId="099833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По облас</w:t>
      </w:r>
      <w:r w:rsidRPr="00F0736F">
        <w:rPr>
          <w:rFonts w:ascii="Times New Roman" w:hAnsi="Times New Roman" w:cs="Times New Roman"/>
          <w:color w:val="000000" w:themeColor="text1"/>
        </w:rPr>
        <w:t xml:space="preserve">ти установлено </w:t>
      </w:r>
      <w:r w:rsidRPr="00F0736F">
        <w:rPr>
          <w:rFonts w:ascii="Times New Roman" w:hAnsi="Times New Roman" w:cs="Times New Roman"/>
          <w:color w:val="000000" w:themeColor="text1"/>
          <w:lang w:val="kk-KZ"/>
        </w:rPr>
        <w:t>646</w:t>
      </w:r>
      <w:r w:rsidRPr="00F0736F">
        <w:rPr>
          <w:rFonts w:ascii="Times New Roman" w:hAnsi="Times New Roman" w:cs="Times New Roman"/>
          <w:color w:val="000000" w:themeColor="text1"/>
        </w:rPr>
        <w:t xml:space="preserve"> контейнеров для раздельного сбора в 2 районных центрах (Жуалы, Сарысу) и городе Тараз из 11-ти районов и городов. </w:t>
      </w:r>
    </w:p>
    <w:p w14:paraId="2F06C34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При поддержке Оператора РОП в области установлено 106 контейнеров для сбора использованных ртутьсодержащих ламп, батарей.</w:t>
      </w:r>
    </w:p>
    <w:p w14:paraId="317DD21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г. Тараз ТОО «Промотход Казақстан» совместно с Оператором РОП установлено 5 контейнеров для электронных и электрических отходов.</w:t>
      </w:r>
    </w:p>
    <w:p w14:paraId="42F23DC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Тараз функционируют 15 организаций по утилизации пластмассовых, полиэтиленовых отходов, электронных приборов, моторных масел, стекла и бумаги (ТОО «Шахристан», «Хастал оглы П.М.», «Бақыт», «Танибеков», «Санит МиБ», «ХалалСауда» жеке кәсіпкерлері, «KazEcology», «Дажан», «ТаразТехноРесурс», «ТаразТеплоСтрой», «ЮгШинТорг», «ТаразПолиХим», «Айнек-Тара», «ЭкоТехСтандарт», «АклерГруппЮг»).</w:t>
      </w:r>
    </w:p>
    <w:p w14:paraId="623A0C88" w14:textId="77777777" w:rsidR="00AC1D5B" w:rsidRPr="00F0736F" w:rsidRDefault="00AC1D5B" w:rsidP="00AC1D5B">
      <w:pPr>
        <w:tabs>
          <w:tab w:val="left" w:pos="142"/>
        </w:tabs>
        <w:ind w:firstLine="709"/>
        <w:jc w:val="both"/>
        <w:rPr>
          <w:color w:val="000000" w:themeColor="text1"/>
        </w:rPr>
      </w:pPr>
      <w:r w:rsidRPr="00F0736F">
        <w:rPr>
          <w:rFonts w:ascii="Times New Roman" w:hAnsi="Times New Roman" w:cs="Times New Roman"/>
          <w:color w:val="000000" w:themeColor="text1"/>
        </w:rPr>
        <w:t xml:space="preserve">В рамках государственной программы индустриально-инновационного развития Казахстана на 2015-2019 гг. ТОО «Ekojer» планирует строительство завода по переработке промышленных и бытовых отходов. На конец 2019 года разработан предварительный бизнес-план, постановлением акимата области выделено 20 га земельных участков. Также проводятся мероприятия по разработке схем подключения электрических сетей. Срок реализации данного проекта - 2018-2020 гг. </w:t>
      </w:r>
      <w:r w:rsidRPr="00F0736F">
        <w:rPr>
          <w:rFonts w:ascii="Times New Roman" w:hAnsi="Times New Roman" w:cs="Times New Roman"/>
          <w:color w:val="000000" w:themeColor="text1"/>
          <w:lang w:val="kk-KZ"/>
        </w:rPr>
        <w:t>В</w:t>
      </w:r>
      <w:r w:rsidRPr="00F0736F">
        <w:rPr>
          <w:rFonts w:ascii="Times New Roman" w:hAnsi="Times New Roman" w:cs="Times New Roman"/>
          <w:color w:val="000000" w:themeColor="text1"/>
        </w:rPr>
        <w:t xml:space="preserve"> насто</w:t>
      </w:r>
      <w:r w:rsidRPr="00F0736F">
        <w:rPr>
          <w:rFonts w:ascii="Times New Roman" w:hAnsi="Times New Roman" w:cs="Times New Roman"/>
          <w:color w:val="000000" w:themeColor="text1"/>
          <w:lang w:val="kk-KZ"/>
        </w:rPr>
        <w:t>я</w:t>
      </w:r>
      <w:r w:rsidRPr="00F0736F">
        <w:rPr>
          <w:rFonts w:ascii="Times New Roman" w:hAnsi="Times New Roman" w:cs="Times New Roman"/>
          <w:color w:val="000000" w:themeColor="text1"/>
        </w:rPr>
        <w:t xml:space="preserve">щее время достигнуто соглашение </w:t>
      </w:r>
      <w:r w:rsidRPr="00F0736F">
        <w:rPr>
          <w:rFonts w:ascii="Times New Roman" w:hAnsi="Times New Roman" w:cs="Times New Roman"/>
          <w:color w:val="000000" w:themeColor="text1"/>
          <w:lang w:val="kk-KZ"/>
        </w:rPr>
        <w:t>о совместной деятельности по строительству мусороперерабатывающего завода с компанией «</w:t>
      </w:r>
      <w:r w:rsidRPr="00F0736F">
        <w:rPr>
          <w:rFonts w:ascii="Times New Roman" w:hAnsi="Times New Roman" w:cs="Times New Roman"/>
          <w:color w:val="000000" w:themeColor="text1"/>
          <w:lang w:val="en-US"/>
        </w:rPr>
        <w:t>TorgTreid</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KZ</w:t>
      </w:r>
      <w:r w:rsidRPr="00F0736F">
        <w:rPr>
          <w:rFonts w:ascii="Times New Roman" w:hAnsi="Times New Roman" w:cs="Times New Roman"/>
          <w:color w:val="000000" w:themeColor="text1"/>
          <w:lang w:val="kk-KZ"/>
        </w:rPr>
        <w:t>».</w:t>
      </w:r>
    </w:p>
    <w:p w14:paraId="67FFB18B"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color w:val="000000" w:themeColor="text1"/>
          <w:lang w:val="kk-KZ"/>
        </w:rPr>
        <w:t xml:space="preserve">Состояние биологических ресурсов и развитие лесного, рыбного и охотничьего хозяйств, </w:t>
      </w:r>
      <w:r w:rsidRPr="00F0736F">
        <w:rPr>
          <w:rFonts w:ascii="Times New Roman" w:eastAsia="Times New Roman" w:hAnsi="Times New Roman" w:cs="Times New Roman"/>
          <w:b/>
          <w:bCs/>
          <w:i/>
          <w:color w:val="000000" w:themeColor="text1"/>
          <w:lang w:val="kk-KZ" w:eastAsia="ru-RU" w:bidi="ru-RU"/>
        </w:rPr>
        <w:t xml:space="preserve">ООПТ </w:t>
      </w:r>
      <w:r w:rsidRPr="00F0736F">
        <w:rPr>
          <w:rFonts w:ascii="Times New Roman" w:eastAsia="Calibri" w:hAnsi="Times New Roman" w:cs="Times New Roman"/>
          <w:b/>
          <w:bCs/>
          <w:i/>
          <w:color w:val="000000" w:themeColor="text1"/>
          <w:lang w:val="kk-KZ"/>
        </w:rPr>
        <w:t>и экологического туризма</w:t>
      </w:r>
    </w:p>
    <w:p w14:paraId="574B102A"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color w:val="000000" w:themeColor="text1"/>
        </w:rPr>
        <w:t>Общая площадь земель государственного лесного фонда области на 01.01.20</w:t>
      </w:r>
      <w:r w:rsidRPr="00F0736F">
        <w:rPr>
          <w:rFonts w:ascii="Times New Roman" w:hAnsi="Times New Roman" w:cs="Times New Roman"/>
          <w:color w:val="000000" w:themeColor="text1"/>
          <w:lang w:val="kk-KZ"/>
        </w:rPr>
        <w:t>20</w:t>
      </w:r>
      <w:r w:rsidRPr="00F0736F">
        <w:rPr>
          <w:rFonts w:ascii="Times New Roman" w:hAnsi="Times New Roman" w:cs="Times New Roman"/>
          <w:color w:val="000000" w:themeColor="text1"/>
        </w:rPr>
        <w:t xml:space="preserve">  года составляет 4 443 063  га, из них лесных угодий – </w:t>
      </w:r>
      <w:r w:rsidRPr="00F0736F">
        <w:rPr>
          <w:rFonts w:ascii="Times New Roman" w:hAnsi="Times New Roman" w:cs="Times New Roman"/>
          <w:color w:val="000000" w:themeColor="text1"/>
          <w:lang w:val="kk-KZ"/>
        </w:rPr>
        <w:t>3 232 695</w:t>
      </w:r>
      <w:r w:rsidRPr="00F0736F">
        <w:rPr>
          <w:rFonts w:ascii="Times New Roman" w:hAnsi="Times New Roman" w:cs="Times New Roman"/>
          <w:color w:val="000000" w:themeColor="text1"/>
        </w:rPr>
        <w:t xml:space="preserve"> га, в том числе лесопокрытой – 2 </w:t>
      </w:r>
      <w:r w:rsidRPr="00F0736F">
        <w:rPr>
          <w:rFonts w:ascii="Times New Roman" w:hAnsi="Times New Roman" w:cs="Times New Roman"/>
          <w:color w:val="000000" w:themeColor="text1"/>
          <w:lang w:val="kk-KZ"/>
        </w:rPr>
        <w:t>297 912</w:t>
      </w:r>
      <w:r w:rsidRPr="00F0736F">
        <w:rPr>
          <w:rFonts w:ascii="Times New Roman" w:hAnsi="Times New Roman" w:cs="Times New Roman"/>
          <w:color w:val="000000" w:themeColor="text1"/>
        </w:rPr>
        <w:t xml:space="preserve"> га и нелесные угодья – 1 210 368 га. Лесистость области составляет 16,</w:t>
      </w:r>
      <w:r w:rsidRPr="00F0736F">
        <w:rPr>
          <w:rFonts w:ascii="Times New Roman" w:hAnsi="Times New Roman" w:cs="Times New Roman"/>
          <w:color w:val="000000" w:themeColor="text1"/>
          <w:lang w:val="kk-KZ"/>
        </w:rPr>
        <w:t>0</w:t>
      </w:r>
      <w:r w:rsidRPr="00F0736F">
        <w:rPr>
          <w:rFonts w:ascii="Times New Roman" w:hAnsi="Times New Roman" w:cs="Times New Roman"/>
          <w:color w:val="000000" w:themeColor="text1"/>
        </w:rPr>
        <w:t>%. Ежегодно на территории государственного лесного фонда на площади 5000 га</w:t>
      </w:r>
      <w:r w:rsidRPr="00F0736F">
        <w:rPr>
          <w:rFonts w:ascii="Times New Roman" w:hAnsi="Times New Roman" w:cs="Times New Roman"/>
          <w:color w:val="000000" w:themeColor="text1"/>
          <w:lang w:val="kk-KZ"/>
        </w:rPr>
        <w:t xml:space="preserve"> производится посадка саженцами и посев семенами лесных культур. </w:t>
      </w:r>
    </w:p>
    <w:p w14:paraId="75B7FFF5"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color w:val="000000" w:themeColor="text1"/>
          <w:lang w:val="kk-KZ"/>
        </w:rPr>
        <w:t>В 2019 году воспроизводство лесов государственными учреждениями лесного хозяйства Жамбылской области проведено на площади 5116 га, в том числе посадкой сеянцев – 1731 га и посевом лесных семян – 3385 га (саксаул – 1261 га, вяз – 470 га).</w:t>
      </w:r>
      <w:r w:rsidRPr="00F0736F">
        <w:rPr>
          <w:rFonts w:ascii="Arial" w:hAnsi="Arial" w:cs="Arial"/>
          <w:color w:val="000000" w:themeColor="text1"/>
          <w:sz w:val="28"/>
          <w:szCs w:val="28"/>
          <w:lang w:val="kk-KZ"/>
        </w:rPr>
        <w:t xml:space="preserve">  </w:t>
      </w:r>
    </w:p>
    <w:p w14:paraId="2EE35F01"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color w:val="000000" w:themeColor="text1"/>
          <w:lang w:val="kk-KZ"/>
        </w:rPr>
        <w:t>В течение пожароопасного сезона 2019 на территории государственного лесного фонда Жамбылской области произошло 15 случаев лесных пожаров на общей площади 40913 га, из них лесная площадь 30 653  га, в т. ч. лесопокрытая 28190,7 га.</w:t>
      </w:r>
    </w:p>
    <w:p w14:paraId="63C06CB9"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eastAsia="Times New Roman" w:hAnsi="Times New Roman" w:cs="Times New Roman"/>
          <w:color w:val="000000" w:themeColor="text1"/>
        </w:rPr>
        <w:t>За 2019 год в долгосрочное лесопользование предоставлено 162 участка на площади 148 844 га. На территории государственного лесного фонда выявлено 15 фактов незаконной рубки леса с общим объемом 27,1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xml:space="preserve"> с суммой ущерба 358,3 тыс. тенге, взыскано ущерба 186,7 тыс. тенге.</w:t>
      </w:r>
    </w:p>
    <w:p w14:paraId="6817DA5C" w14:textId="77777777" w:rsidR="00AC1D5B" w:rsidRPr="00F0736F" w:rsidRDefault="00AC1D5B" w:rsidP="00AC1D5B">
      <w:pPr>
        <w:widowControl w:val="0"/>
        <w:ind w:firstLine="709"/>
        <w:jc w:val="both"/>
        <w:rPr>
          <w:color w:val="000000" w:themeColor="text1"/>
        </w:rPr>
      </w:pPr>
      <w:r w:rsidRPr="00F0736F">
        <w:rPr>
          <w:rFonts w:ascii="Times New Roman" w:hAnsi="Times New Roman" w:cs="Times New Roman"/>
          <w:color w:val="000000" w:themeColor="text1"/>
        </w:rPr>
        <w:t xml:space="preserve">Общая площадь охотничьих угодий составляет 11 422 га, площадь резервных охотничьих угодий – 269,9 га. Площадь охотничьих угодий, закрепленных за охотпользователями — </w:t>
      </w:r>
      <w:r w:rsidRPr="00F0736F">
        <w:rPr>
          <w:rFonts w:ascii="Times New Roman" w:eastAsia="Times New Roman" w:hAnsi="Times New Roman" w:cs="Times New Roman"/>
          <w:color w:val="000000" w:themeColor="text1"/>
        </w:rPr>
        <w:t xml:space="preserve">2 154,6 </w:t>
      </w:r>
      <w:r w:rsidRPr="00F0736F">
        <w:rPr>
          <w:rFonts w:ascii="Times New Roman" w:hAnsi="Times New Roman" w:cs="Times New Roman"/>
          <w:color w:val="000000" w:themeColor="text1"/>
        </w:rPr>
        <w:t>га.</w:t>
      </w:r>
      <w:r w:rsidRPr="00F0736F">
        <w:rPr>
          <w:rFonts w:ascii="Times New Roman" w:eastAsia="Times New Roman" w:hAnsi="Times New Roman" w:cs="Times New Roman"/>
          <w:color w:val="000000" w:themeColor="text1"/>
        </w:rPr>
        <w:t xml:space="preserve"> Количество закрепленных охотничьих хозяйств — 44.</w:t>
      </w:r>
    </w:p>
    <w:p w14:paraId="7620DD80"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eastAsia="Times New Roman" w:hAnsi="Times New Roman" w:cs="Times New Roman"/>
          <w:color w:val="000000" w:themeColor="text1"/>
        </w:rPr>
        <w:t>Постановлением акимата Жамбылской области в перечень рыбохозяйственных водоемов местного значения было внесено 118 рыбохозяйственных водоемов, из них 86 закреплены за природопользователями.</w:t>
      </w:r>
    </w:p>
    <w:p w14:paraId="65DE6E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Жамбылской области находятся</w:t>
      </w:r>
      <w:r w:rsidRPr="00F0736F">
        <w:rPr>
          <w:rFonts w:ascii="Times New Roman" w:hAnsi="Times New Roman" w:cs="Times New Roman"/>
          <w:b/>
          <w:color w:val="000000" w:themeColor="text1"/>
        </w:rPr>
        <w:t xml:space="preserve"> ООПТ </w:t>
      </w:r>
      <w:r w:rsidRPr="00F0736F">
        <w:rPr>
          <w:rFonts w:ascii="Times New Roman" w:hAnsi="Times New Roman" w:cs="Times New Roman"/>
          <w:color w:val="000000" w:themeColor="text1"/>
        </w:rPr>
        <w:t>республиканского значения:</w:t>
      </w:r>
    </w:p>
    <w:p w14:paraId="214CF5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Жусандалинская государственная заповедная зона общей площадью 2757,0 тыс. га;</w:t>
      </w:r>
    </w:p>
    <w:p w14:paraId="2071343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Андасайский государственный природный заказник (зоологический) – 1000,0 тыс. га;</w:t>
      </w:r>
    </w:p>
    <w:p w14:paraId="31ECE9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государственный природный заказник (комплексный) «Урочище Бериккара» – 17,5 тыс. га;</w:t>
      </w:r>
    </w:p>
    <w:p w14:paraId="68D957B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государственный природный заказник (ботанический) «Урочище Каракунуз» – 3,0 га.</w:t>
      </w:r>
    </w:p>
    <w:p w14:paraId="7507DCC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государственный природный заказник (зоологический) «Умбет» – 298,4 тыс. га.</w:t>
      </w:r>
    </w:p>
    <w:p w14:paraId="49ADA671"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color w:val="000000" w:themeColor="text1"/>
          <w:lang w:val="kk-KZ"/>
        </w:rPr>
        <w:t>В 2019 году были созданы природные заказники местного значения в Кордайском районе «Кордай-Жайсан» общей площадью 369 970 га и в Жуалынском районе «Жуалы-Карашат» общей площадью 148 300 га. В 2020 году планируется создание регионального парка на базе государственного природного заказника местного значения «Мерке» на территории Меркенского района и создание государственного природного заказника местного значения на горных территориях района им. Т. Рыскулова и Жамбылского района.</w:t>
      </w:r>
    </w:p>
    <w:p w14:paraId="25D72979"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color w:val="000000" w:themeColor="text1"/>
        </w:rPr>
        <w:t>Общее</w:t>
      </w:r>
      <w:r w:rsidRPr="00F0736F">
        <w:rPr>
          <w:rFonts w:ascii="Times New Roman" w:hAnsi="Times New Roman" w:cs="Times New Roman"/>
          <w:color w:val="000000" w:themeColor="text1"/>
          <w:lang w:val="kk-KZ"/>
        </w:rPr>
        <w:t xml:space="preserve"> количество памятников истории и культуры в области составляет 3 441. Из них: 741 историко-культурный памятник внесены в государственный список. 30 памятников республиканского значения, 711 </w:t>
      </w:r>
      <w:r w:rsidRPr="00F0736F">
        <w:rPr>
          <w:rFonts w:ascii="Times New Roman" w:hAnsi="Times New Roman" w:cs="Times New Roman"/>
          <w:color w:val="000000" w:themeColor="text1"/>
        </w:rPr>
        <w:t>п</w:t>
      </w:r>
      <w:r w:rsidRPr="00F0736F">
        <w:rPr>
          <w:rFonts w:ascii="Times New Roman" w:hAnsi="Times New Roman" w:cs="Times New Roman"/>
          <w:color w:val="000000" w:themeColor="text1"/>
          <w:lang w:val="kk-KZ"/>
        </w:rPr>
        <w:t xml:space="preserve">амятников местного значения, 5 из них внесены в список памятников ЮНЕСКО «Всемирное культурное наследие»  и имеют статус Международного значения. Остальные 2 700 внесены в предварительный список памятников истории и культуры. </w:t>
      </w:r>
      <w:r w:rsidRPr="00F0736F">
        <w:rPr>
          <w:rFonts w:ascii="Times New Roman" w:eastAsia="Batang" w:hAnsi="Times New Roman" w:cs="Times New Roman"/>
          <w:color w:val="000000" w:themeColor="text1"/>
          <w:lang w:eastAsia="ko-KR"/>
        </w:rPr>
        <w:t>В области функционируют 46 туристских фирм, 1 юрточный городок, 11 детских оздоровительных лагерей, 15 зон отдыха, 6 санаторно-курортных здравниц с уникальными лечебными грязями и минеральными водами.</w:t>
      </w:r>
      <w:r w:rsidRPr="00F0736F">
        <w:rPr>
          <w:rFonts w:ascii="Times New Roman" w:eastAsia="Batang" w:hAnsi="Times New Roman" w:cs="Times New Roman"/>
          <w:color w:val="000000" w:themeColor="text1"/>
          <w:sz w:val="28"/>
          <w:szCs w:val="28"/>
          <w:lang w:eastAsia="ko-KR"/>
        </w:rPr>
        <w:t xml:space="preserve"> </w:t>
      </w:r>
    </w:p>
    <w:p w14:paraId="4A5EDA6D" w14:textId="77777777" w:rsidR="00AC1D5B" w:rsidRPr="00F0736F" w:rsidRDefault="00AC1D5B" w:rsidP="00AC1D5B">
      <w:pPr>
        <w:pBdr>
          <w:top w:val="none" w:sz="0" w:space="0" w:color="000000"/>
          <w:left w:val="none" w:sz="0" w:space="0" w:color="000000"/>
          <w:bottom w:val="single" w:sz="4" w:space="0" w:color="FFFFFF"/>
          <w:right w:val="none" w:sz="0" w:space="0" w:color="000000"/>
        </w:pBdr>
        <w:autoSpaceDE w:val="0"/>
        <w:ind w:firstLine="709"/>
        <w:jc w:val="both"/>
        <w:rPr>
          <w:color w:val="000000" w:themeColor="text1"/>
        </w:rPr>
      </w:pPr>
      <w:r w:rsidRPr="00F0736F">
        <w:rPr>
          <w:rFonts w:ascii="Times New Roman" w:hAnsi="Times New Roman" w:cs="Times New Roman"/>
          <w:bCs/>
          <w:color w:val="000000" w:themeColor="text1"/>
          <w:lang w:eastAsia="kk-KZ"/>
        </w:rPr>
        <w:t xml:space="preserve">В 2019 году </w:t>
      </w:r>
      <w:r w:rsidRPr="00F0736F">
        <w:rPr>
          <w:rFonts w:ascii="Times New Roman" w:hAnsi="Times New Roman" w:cs="Times New Roman"/>
          <w:bCs/>
          <w:color w:val="000000" w:themeColor="text1"/>
          <w:lang w:val="kk-KZ" w:eastAsia="kk-KZ"/>
        </w:rPr>
        <w:t xml:space="preserve">в честь празднования 80-летия образования Жамбылской области сданы в эксплуатацию важные объекты культурно-духовной жизни региона, </w:t>
      </w:r>
      <w:r w:rsidRPr="00F0736F">
        <w:rPr>
          <w:rFonts w:ascii="Times New Roman" w:hAnsi="Times New Roman" w:cs="Times New Roman"/>
          <w:color w:val="000000" w:themeColor="text1"/>
          <w:lang w:val="kk-KZ"/>
        </w:rPr>
        <w:t xml:space="preserve">открыт уникальный историко-этнографический комплекс «Тектурмас», </w:t>
      </w:r>
      <w:r w:rsidRPr="00F0736F">
        <w:rPr>
          <w:rFonts w:ascii="Times New Roman" w:hAnsi="Times New Roman" w:cs="Times New Roman"/>
          <w:bCs/>
          <w:color w:val="000000" w:themeColor="text1"/>
          <w:lang w:val="kk-KZ" w:eastAsia="kk-KZ"/>
        </w:rPr>
        <w:t xml:space="preserve">историко-этнокультурный комплекс </w:t>
      </w:r>
      <w:r w:rsidRPr="00F0736F">
        <w:rPr>
          <w:rFonts w:ascii="Times New Roman" w:hAnsi="Times New Roman" w:cs="Times New Roman"/>
          <w:color w:val="000000" w:themeColor="text1"/>
          <w:lang w:val="kk-KZ"/>
        </w:rPr>
        <w:t xml:space="preserve">«Көне Тараз» </w:t>
      </w:r>
      <w:r w:rsidRPr="00F0736F">
        <w:rPr>
          <w:rFonts w:ascii="Times New Roman" w:hAnsi="Times New Roman" w:cs="Times New Roman"/>
          <w:bCs/>
          <w:color w:val="000000" w:themeColor="text1"/>
          <w:lang w:val="kk-KZ" w:eastAsia="kk-KZ"/>
        </w:rPr>
        <w:t xml:space="preserve">дополнен новыми объектами. </w:t>
      </w:r>
      <w:r w:rsidRPr="00F0736F">
        <w:rPr>
          <w:rFonts w:ascii="Times New Roman" w:hAnsi="Times New Roman" w:cs="Times New Roman"/>
          <w:color w:val="000000" w:themeColor="text1"/>
          <w:lang w:val="kk-KZ" w:eastAsia="kk-KZ"/>
        </w:rPr>
        <w:t>В этот комплекс вошли центр «Руханият и историковедение», пропагандирующий этнологические и этнографические ценности нашего народа, областной краеведческий музей, где собрано богатое наследие региона, галерея изобразительного искусства.</w:t>
      </w:r>
    </w:p>
    <w:p w14:paraId="33EE6EC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 </w:t>
      </w:r>
    </w:p>
    <w:p w14:paraId="5D1C8056" w14:textId="77777777" w:rsidR="00AC1D5B" w:rsidRPr="00F0736F" w:rsidRDefault="00AC1D5B" w:rsidP="00AC1D5B">
      <w:pPr>
        <w:ind w:firstLine="709"/>
        <w:jc w:val="both"/>
        <w:rPr>
          <w:rFonts w:ascii="Times New Roman" w:hAnsi="Times New Roman" w:cs="Times New Roman"/>
          <w:color w:val="000000" w:themeColor="text1"/>
        </w:rPr>
      </w:pPr>
    </w:p>
    <w:p w14:paraId="29745E5A"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49" w:name="_Toc57818741"/>
      <w:r w:rsidRPr="007272FB">
        <w:rPr>
          <w:rFonts w:ascii="Times New Roman" w:eastAsia="Times New Roman" w:hAnsi="Times New Roman" w:cs="Times New Roman"/>
          <w:color w:val="000000" w:themeColor="text1"/>
          <w:sz w:val="24"/>
          <w:szCs w:val="24"/>
        </w:rPr>
        <w:t>2.7. Западно-Казахстанская область</w:t>
      </w:r>
      <w:bookmarkEnd w:id="49"/>
    </w:p>
    <w:p w14:paraId="705466E1" w14:textId="77777777" w:rsidR="00AC1D5B" w:rsidRPr="00F0736F" w:rsidRDefault="00AC1D5B" w:rsidP="00AC1D5B">
      <w:pPr>
        <w:ind w:firstLine="709"/>
        <w:jc w:val="both"/>
        <w:rPr>
          <w:rFonts w:ascii="Times New Roman" w:hAnsi="Times New Roman" w:cs="Times New Roman"/>
          <w:color w:val="000000" w:themeColor="text1"/>
        </w:rPr>
      </w:pPr>
    </w:p>
    <w:p w14:paraId="70FBAAD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01D4EF1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Территория области составляет 151,3 тыс. кв. км, или 5,6% территории республики. </w:t>
      </w:r>
    </w:p>
    <w:p w14:paraId="60E6079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Комитета по статистике, численность населения на начало 2018 года составляла 646,7 тыс. человек или 3,6% численности населения Казахстана, на начало 2019 года – 652,3 тыс. человек, а на начало 2020 года — 656,8 тыс. человек. Объем произведенного валового регионального продукта области за 2017 год составил 2337,5 млрд. тенге, индекс физического объема – 103,1%, в 2018 году – 2790,7 млрд. тенге, в 2019 году — 2946,4 млрд. тенге, ИФО – 98,5%. ВРП на душу населения составил в 2017 году – 3628,4 тыс. тенге (к среднереспубликанскому уровню составляет 120,4%), в 2018 году - 4295,8 тыс. тенге, в 2019 году — 4501,2 тыс. тенге.</w:t>
      </w:r>
    </w:p>
    <w:p w14:paraId="73BF41A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структуре ВРП региона наибольший удельный вес занимает </w:t>
      </w:r>
      <w:r w:rsidRPr="00F0736F">
        <w:rPr>
          <w:rFonts w:ascii="Times New Roman" w:hAnsi="Times New Roman" w:cs="Times New Roman"/>
          <w:b/>
          <w:color w:val="000000" w:themeColor="text1"/>
        </w:rPr>
        <w:t>промышленность</w:t>
      </w:r>
      <w:r w:rsidRPr="00F0736F">
        <w:rPr>
          <w:rFonts w:ascii="Times New Roman" w:hAnsi="Times New Roman" w:cs="Times New Roman"/>
          <w:color w:val="000000" w:themeColor="text1"/>
        </w:rPr>
        <w:t xml:space="preserve"> (47,5%). В 2019 году число предприятий и производств составило 359 единиц. Объем промышленной продукции увеличился с 1302,1 млрд. тенге в 2015 году до 1914,5 млрд. тенге в 2017 году и до 2480,5 в 2018 году, а в 2019 году составил 2392,1 млрд. тенге. </w:t>
      </w:r>
    </w:p>
    <w:p w14:paraId="0B4724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удельный вес горнодобывающей промышленности и разработка карьеров в областном объеме промышленной продукции составил 88,4%. Отрасль представлена крупными предприятиями нефтегазового сектора как «Карачаганак Петролеум Оперейтинг Б. В.», ТОО «Жаикмунай». Основная доля углеводородного сырья области сосредоточена на Карачаганакском и Чинаревском нефтегазоконденсатном месторождении.</w:t>
      </w:r>
    </w:p>
    <w:p w14:paraId="436235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производства продукции </w:t>
      </w:r>
      <w:r w:rsidRPr="00F0736F">
        <w:rPr>
          <w:rFonts w:ascii="Times New Roman" w:hAnsi="Times New Roman" w:cs="Times New Roman"/>
          <w:b/>
          <w:bCs/>
          <w:color w:val="000000" w:themeColor="text1"/>
        </w:rPr>
        <w:t>обрабатывающей промышленности</w:t>
      </w:r>
      <w:r w:rsidRPr="00F0736F">
        <w:rPr>
          <w:rFonts w:ascii="Times New Roman" w:hAnsi="Times New Roman" w:cs="Times New Roman"/>
          <w:color w:val="000000" w:themeColor="text1"/>
        </w:rPr>
        <w:t xml:space="preserve"> с 2015 по 2017 годы увеличился с 107,1 млрд. тенге до 161,7 млрд. тенге, до 202,3 млрд. тенге в 2018 году, и до  215,4 млрд. тенге в 2019 году. За 2017 год производительность труда в обрабатывающей промышленности составила 17,6 тыс. долларов США на человека или 104,8% к уровню 2016 года. За 2019 год производительность труда в обрабатывающей промышленности составила 20,9 тыс. долларов США на человека.</w:t>
      </w:r>
    </w:p>
    <w:p w14:paraId="29984B52"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К основным проблемам, с которыми сталкиваются предприятия обрабатывающей промышленности, относятся высокий уровень изношенности оборудования (60-70%), препятствующий повышению эффективности производства, недостаточность заказов (зависимость предприятий от госзаказов, а также заказов от нефтегазовых компаний, которые, в свою очередь, связаны с конъюнктурой мировых цен на нефть) и оборотных средств, неполное использование имеющихся производственных мощностей, недостаточная степень конкурентоспособности отдельных отраслей обрабатывающего сектора, сезонность продукции (например, стройиндустрии) и высокая ценовая конкуренция со стороны российского рынка</w:t>
      </w:r>
      <w:r w:rsidRPr="00F0736F">
        <w:rPr>
          <w:rFonts w:ascii="Times New Roman" w:eastAsia="Calibri" w:hAnsi="Times New Roman" w:cs="Times New Roman"/>
          <w:color w:val="000000" w:themeColor="text1"/>
          <w:vertAlign w:val="superscript"/>
        </w:rPr>
        <w:footnoteReference w:id="147"/>
      </w:r>
      <w:r w:rsidRPr="00F0736F">
        <w:rPr>
          <w:rFonts w:ascii="Times New Roman" w:eastAsia="Calibri" w:hAnsi="Times New Roman" w:cs="Times New Roman"/>
          <w:color w:val="000000" w:themeColor="text1"/>
        </w:rPr>
        <w:t>.</w:t>
      </w:r>
    </w:p>
    <w:p w14:paraId="528E48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Несмотря на незначительную долю </w:t>
      </w:r>
      <w:r w:rsidRPr="00F0736F">
        <w:rPr>
          <w:rFonts w:ascii="Times New Roman" w:hAnsi="Times New Roman" w:cs="Times New Roman"/>
          <w:b/>
          <w:bCs/>
          <w:color w:val="000000" w:themeColor="text1"/>
        </w:rPr>
        <w:t xml:space="preserve">сельского хозяйства </w:t>
      </w:r>
      <w:r w:rsidRPr="00F0736F">
        <w:rPr>
          <w:rFonts w:ascii="Times New Roman" w:hAnsi="Times New Roman" w:cs="Times New Roman"/>
          <w:color w:val="000000" w:themeColor="text1"/>
        </w:rPr>
        <w:t>в экономике области (около 3.5%), в аграрном секторе занято около 23% от всего занятого населения области. В сельской местности проживает половина населения области и развитие эффективного аграрного сектора является гарантом социальной стабильности на селе.</w:t>
      </w:r>
    </w:p>
    <w:p w14:paraId="3770F9F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Природно-климатические условия области является благоприятными для развития животноводства, в особенности для южных регионов. По Западно-Казахстанской области на 1 октября 2019 года зарегистрировано 198 сельскохозяйственных кооперативов, из них 150 СХК селекционно-племенных, 29 СХК по откорму, 13 СХК по растениеводству и 6 СХК молочного направления. В 2019 году в области создано 2 сельскохозяйственных кооперативов по направлению растениеводства и 4 по селекционно-племенной работе. </w:t>
      </w:r>
    </w:p>
    <w:p w14:paraId="04316C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выловой выпуск продукции сельского хозяйства составил в 2017 году 140 млрд. тенге, немного сократился до 139,9 млрд. тенге в 2018 году и вырос до 171,1 млрд. тенге в 2019 году, с преимущественным развитием животноводства (63%).</w:t>
      </w:r>
    </w:p>
    <w:p w14:paraId="772F08F6"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6277CA83" w14:textId="275C4D26"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В 2019 году по области 313 хозяйств занимаются разведением племенных сельскохозяйственных животных. В том числе 256 хозяйств занимаются разведением племенного крупного рогатого скота, где содержится 52</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768 голов племенного скота. В том числе 178 хозяйств - разведением казахской белоголовой породы (42 031 голова), 31 хозяйство - герефордской породой (5 834 головы), 35 хозяйств - абердино-ангусской породой (3 066 голов), 6 хозяйств - голштинской породы (1453 головы), 5 хозяйств - симментальской породой (286 голов), 1 хозяйство - красностепной породой (98 голов). 27 хозяйства занимается выращиванием племенных овец, всего выращивается 33 383 голов племенных овец. 29 хозяйств занимаются разведением 10 697 голов племенных лошадей. 1 хозяйство занимается разведением верблюдов породы казахский бактриан (280 голов). Доля племенного поголовья в общем поголовье сельскохозяйственных животных составляет: КРС - 8,6%, МРС – 3,5%, лошади – 6,3%, верблюды – 11,7%.</w:t>
      </w:r>
    </w:p>
    <w:p w14:paraId="28A0FB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развития отгонного животноводства проводится работа по обводнению пастбищ. Общая площадь пастбищ на землях сельскохозяйственного назначения составляет 4780,3 тыс. га, обводненных 4130,6 тыс. га, или 86%. </w:t>
      </w:r>
    </w:p>
    <w:p w14:paraId="42D3A3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сфере сельского хозяйства в 2019 году в хозяйствах области были приобретены беспилотные летательные аппараты и GPS-треккеры для выпаса и мониторинга скота. Также были установлены 1015 единиц солнечных панелей и ветрогенераторов, тем самым охватив 11% всех хозяйств области. </w:t>
      </w:r>
    </w:p>
    <w:p w14:paraId="4C273EB9" w14:textId="77777777" w:rsidR="00AC1D5B" w:rsidRPr="00F0736F" w:rsidRDefault="00AC1D5B" w:rsidP="00AC1D5B">
      <w:pPr>
        <w:ind w:firstLine="709"/>
        <w:jc w:val="both"/>
        <w:rPr>
          <w:color w:val="000000" w:themeColor="text1"/>
        </w:rPr>
      </w:pPr>
      <w:r w:rsidRPr="00F0736F">
        <w:rPr>
          <w:rFonts w:ascii="Times New Roman" w:hAnsi="Times New Roman" w:cs="Times New Roman"/>
          <w:i/>
          <w:color w:val="000000" w:themeColor="text1"/>
        </w:rPr>
        <w:t>Растениеводство</w:t>
      </w:r>
      <w:r w:rsidRPr="00F0736F">
        <w:rPr>
          <w:rFonts w:ascii="Times New Roman" w:hAnsi="Times New Roman" w:cs="Times New Roman"/>
          <w:color w:val="000000" w:themeColor="text1"/>
        </w:rPr>
        <w:t xml:space="preserve"> области представлено выращиванием зерновых, масличных, кормовых культур, картофеля и овощебахчевых культур. В области растениеводством занимаются в основном агроформирования Бурлинского, Зеленовского, Сырымского, Таскалинского, Теректинского, Чингирлауского районов и г. Уральска.</w:t>
      </w:r>
    </w:p>
    <w:p w14:paraId="189E2F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проводится работа по диверсификации производства продукции растениеводства. Площадь посева всех сельскохозяйственных культур в 2017 году составила 491,4 тыс. га, что на 0,7% больше уровня 2015 года. В структуре посевов площадь зерновых составляет 250,1 тыс. га, что на 3,8% меньше показателя 2015 года. Масличными культурами засеяны 65,4 тыс. га, что на 30,5% больше уровня 2015 года, в т. ч. подсолнечником – 42,8 тыс. га (на 22,3% больше). Площадь картофеля и овощебахчевых культур в 2017 году составила 9,1 тыс. га (картофель – 3,9 тыс. га, овощные культуры – 3,6 тыс. га и бахчевые культуры – 1,6 тыс. га) или на 21,5% меньше уровня 2015 года (11,6 тыс. га).</w:t>
      </w:r>
    </w:p>
    <w:p w14:paraId="078F2C5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связи с интенсивным развитием животноводства в последние годы увеличивается потребность в кормах. Для обеспечения животноводства кормовой базой кормовые культуры в 2017 году засеяны на площади 166,7 тыс. га, что на 0,2% больше уровня 2015 года.</w:t>
      </w:r>
    </w:p>
    <w:p w14:paraId="1AA5C0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система капельного орошения применена на площади 563,2 га, по сравнению с 2015 годом увеличилась на 68,1% (335 га).</w:t>
      </w:r>
    </w:p>
    <w:p w14:paraId="63DAC5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Резко континентальные погодные условия, то есть часто повторяющиеся засуха, отсутствие осадков в вегетационный период сельскохозяйственных культур ограничивают расширение производства продукции отрасли растениеводства.</w:t>
      </w:r>
    </w:p>
    <w:p w14:paraId="5AD620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создания систем, устойчивых к изменениям климата, в 2017 году завершена  реконструкция систем лиманного орошения Сорколь и Абдилман на площади 1800 тыс. га. Начато строительство водозабора с плавучей насосной станцией для водоподачи в Урало-Шалкарский канал протяженностью 42 км, в 2018 году работы завершены. Реконструкция каналов обеспечит обводнение 145 тыс. га земель, что дает возможность развивать животноводство. </w:t>
      </w:r>
    </w:p>
    <w:p w14:paraId="63B61A2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площадь орошаемых земель составила 4232 га, из них методом дождевания – 1 399 га (в 2017 году – 1 111 га), методом капельного орошения – 571 га (в 2017 году - 563 га) и другими методами - 2262 га. </w:t>
      </w:r>
    </w:p>
    <w:p w14:paraId="5C15A89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области запланирована работа по передаче гидромелиоративных систем 16 050 га земель регулярного орошения в республиканскую собственность в целях его дальнейшего восстановления за счет средств МФО. По итогам 2018 года завершены работы по передаче в республиканскую собственность 2450 га (район Бәйтерек - 1600 га, Сырымский район - 850 га) земель регулярного орошения и начаты работы по передаче 9048 га Теректинского района.</w:t>
      </w:r>
    </w:p>
    <w:p w14:paraId="45F1E76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обводнения земель населенных пунктов, расположенных на левобережье реки Урал, областным акиматом планируется реконструкция обводнительного канала Солянка-Азнабай-Тайпак (64,8 км) Акжаикского района и Урал-Шалкарский канал Теректинского района, в 2019 году завершена разработка проектно-сметной документации.</w:t>
      </w:r>
    </w:p>
    <w:p w14:paraId="6C470A85" w14:textId="77777777" w:rsidR="00AC1D5B" w:rsidRPr="00F0736F" w:rsidRDefault="00AC1D5B" w:rsidP="00AC1D5B">
      <w:pPr>
        <w:ind w:firstLine="709"/>
        <w:jc w:val="both"/>
        <w:rPr>
          <w:color w:val="000000" w:themeColor="text1"/>
        </w:rPr>
      </w:pPr>
      <w:r w:rsidRPr="00F0736F">
        <w:rPr>
          <w:rFonts w:ascii="Times New Roman" w:eastAsia="Consolas" w:hAnsi="Times New Roman" w:cs="Times New Roman"/>
          <w:color w:val="000000" w:themeColor="text1"/>
        </w:rPr>
        <w:t>В 2019 году в Западно-Казахстанской области для внедрения элементов точного земледелия были применены следующие технологии: современные дождевальные машины и оборудование, системы капельного орошения, используютщиеся на площади 2 111 га; имеется 834 единиц солнечных панелей и ветрогенераторов; сельхозтоваропроизводителями используются 3 овощехранилища, оснащенные оборудованием для повышения качества хранения овощей; сельхозтоваропроизводителями  используются  высокопроизводительных 69 комбайнов и 49 посевных комплексов, оснащенных GPS-оборудованием для возделывания и уборки зерновых культур.</w:t>
      </w:r>
    </w:p>
    <w:p w14:paraId="7C6B81A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обеспечения населения области свежими овощами в области имеется 97 теплиц с площадью 69,5 тыс. м</w:t>
      </w:r>
      <w:r w:rsidRPr="00F0736F">
        <w:rPr>
          <w:rFonts w:ascii="Times New Roman" w:hAnsi="Times New Roman" w:cs="Times New Roman"/>
          <w:color w:val="000000" w:themeColor="text1"/>
          <w:vertAlign w:val="superscript"/>
        </w:rPr>
        <w:t>2</w:t>
      </w:r>
      <w:r w:rsidRPr="00F0736F">
        <w:rPr>
          <w:rFonts w:ascii="Times New Roman" w:hAnsi="Times New Roman" w:cs="Times New Roman"/>
          <w:color w:val="000000" w:themeColor="text1"/>
        </w:rPr>
        <w:t xml:space="preserve">. </w:t>
      </w:r>
    </w:p>
    <w:p w14:paraId="435AE9A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 2017 году урожайность зерновых культур составила 15,1 ц/га, получено 368,6 тыс. т. зерна, или больше в 3,9 раза уровня 2015 года. Валовой сбор масличных культур составил 51,9 тыс. т., что в 4,4 раза бол</w:t>
      </w:r>
      <w:r w:rsidRPr="00F0736F">
        <w:rPr>
          <w:rFonts w:ascii="Times New Roman" w:hAnsi="Times New Roman" w:cs="Times New Roman"/>
          <w:color w:val="000000" w:themeColor="text1"/>
          <w:lang w:val="kk-KZ"/>
        </w:rPr>
        <w:t>ь</w:t>
      </w:r>
      <w:r w:rsidRPr="00F0736F">
        <w:rPr>
          <w:rFonts w:ascii="Times New Roman" w:hAnsi="Times New Roman" w:cs="Times New Roman"/>
          <w:color w:val="000000" w:themeColor="text1"/>
        </w:rPr>
        <w:t>ше уровня 2015 года. Производство картофеля и овощебахчевой продукции снизилось на 15,2% и 3,4% соответственно. В неблагоприятном 2019 году урожайность зерновых составила 10,1 ц/га.</w:t>
      </w:r>
    </w:p>
    <w:p w14:paraId="11C32FE6"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Земли сельхозназначения в области составляют 7039,9 тыс. га (из них пашни – 541,8 тыс. га, многолетние насаждения – 2,0 тыс. га, залежи – 462,4 тыс. га, сенокосы – 450 тыс. га, пастбища – 5527,2 тыс. га, прочие земли – 56,5 тыс. га); земли населенных пунктов составляют 2323,3 тыс. га; земли промышленности, транспорта, связи, обороны и иного не сельскохозяйственного назначения располагаются на площади 41,5 тыс. га; земли особо охраняемых природных территорий составляют 12,4 тыс. га; земли лесного фонда составляют 216,9 тыс. га; земли водного фонда – 81,5 тыс. га; земли запаса - 3954,7 тыс. га (из них многолетние насаждения 0,4 тыс. га, залежи – 533,5 тыс. га, сенокосы 491,1 тыс. га, пастбища – 2466,8 тыс. га, прочие угодья составляют 462,9 тыс. га).</w:t>
      </w:r>
    </w:p>
    <w:p w14:paraId="081137D1"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lang w:val="kk-KZ"/>
        </w:rPr>
        <w:t xml:space="preserve">С 2012 года по области выявлено 1749 тыс. </w:t>
      </w:r>
      <w:r w:rsidRPr="00F0736F">
        <w:rPr>
          <w:rFonts w:ascii="Times New Roman" w:hAnsi="Times New Roman" w:cs="Times New Roman"/>
          <w:color w:val="000000" w:themeColor="text1"/>
        </w:rPr>
        <w:t>г</w:t>
      </w:r>
      <w:r w:rsidRPr="00F0736F">
        <w:rPr>
          <w:rFonts w:ascii="Times New Roman" w:hAnsi="Times New Roman" w:cs="Times New Roman"/>
          <w:color w:val="000000" w:themeColor="text1"/>
          <w:lang w:val="kk-KZ"/>
        </w:rPr>
        <w:t xml:space="preserve">а неиспользуемых земель сельскохозяйственного назначения. </w:t>
      </w:r>
      <w:r w:rsidRPr="00F0736F">
        <w:rPr>
          <w:rFonts w:ascii="Times New Roman" w:hAnsi="Times New Roman" w:cs="Times New Roman"/>
          <w:color w:val="000000" w:themeColor="text1"/>
        </w:rPr>
        <w:t>В настоящее время в государственную собственность из числа выявленных неиспользуемых земель возвращено 1140 тыс. га или 65%. Из возвращенных земель в сельскохозяйственный оборот вовлечено 940 тыс. га или 82%. На начало 2020 года не вовлеченными в сельскохозяйственный оборот остаются земли площадью 200 тыс. га или 18%. В результате работ проведенных местными исполнительными органами, землепользователи на площади 405 тыс. га или 23% приступили к освоению своих земельных участков. По материалам земельных участков, площадью 204 тыс. га, или 12%. Местными исполнительными органами ведется работа по возврату в госсобственность (по зем. участкам, площадью 159 тыс. га инспекторами выданы предписания по устранению нарушений, по 24 тыс. га выданы уведомления о проведении проверок, по 21 тыс. га будут направлены уведомления).</w:t>
      </w:r>
    </w:p>
    <w:p w14:paraId="1796F55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 xml:space="preserve"> </w:t>
      </w: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154DD43C"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Производство электроэнергии</w:t>
      </w:r>
      <w:r w:rsidRPr="00F0736F">
        <w:rPr>
          <w:rFonts w:ascii="Times New Roman" w:hAnsi="Times New Roman" w:cs="Times New Roman"/>
          <w:color w:val="000000" w:themeColor="text1"/>
        </w:rPr>
        <w:t xml:space="preserve"> в области осуществляют газотурбинная электростанция (мощностью 30 МВт) Уральской ТЭЦ, газотурбинная установка АО «Жайыктеплоэнерго» (28 МВт), газотурбинная электростанция КПО б.в. (160 МВт), газотурбинная установка ТОО «Жаикмунай» (26 МВт), ТОО «Уральская газотурбинная электростанция» (54 МВт), ТОО «Батыс Пауэр» (100 МВт). Вся вырабатываемая электроэнергия используется для собственных нужд предприятий и нужд потребителей.</w:t>
      </w:r>
    </w:p>
    <w:p w14:paraId="65D3B0E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 2017 году производство электроэнергии составило 1981,8 млн. кВт*ч, потребление области –2017,3 млн. кВт*ч, импорт из РФ – 35,6 млн. кВт*ч, в 2018 г. импорт из РФ – 37,1 млн. кВт*ч. По сравнению с 2015 годом рост производства электроэнергии составил 24,3%. В 2018 году производство электроэнергии составило 2068,7 млн. кВт*ч.</w:t>
      </w:r>
    </w:p>
    <w:p w14:paraId="053757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Показатель энергоемкости внутреннего регионального продукта в 2017 году - 5,54 тнэ на </w:t>
      </w:r>
      <w:r w:rsidRPr="00F0736F">
        <w:rPr>
          <w:rFonts w:ascii="Times New Roman" w:eastAsia="Arial Unicode MS" w:hAnsi="Times New Roman" w:cs="Times New Roman"/>
          <w:color w:val="000000" w:themeColor="text1"/>
          <w:lang w:eastAsia="ar-SA"/>
        </w:rPr>
        <w:t>тыс. долл. США в ценах 2000 года (</w:t>
      </w:r>
      <w:r w:rsidRPr="00F0736F">
        <w:rPr>
          <w:rFonts w:ascii="Times New Roman" w:hAnsi="Times New Roman" w:cs="Times New Roman"/>
          <w:color w:val="000000" w:themeColor="text1"/>
        </w:rPr>
        <w:t>согласно данным Комитета по статистике МНЭ РК энергоемкость ВРП по ЗКО за 2015 год составила 5,46 тнэ на тыс. долларов США в ценах 2000 г).</w:t>
      </w:r>
    </w:p>
    <w:p w14:paraId="3728912D" w14:textId="6378AB9B"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Энергосбережение в бюджетном секторе играет немаловажную роль ввиду ее социальной значимости и недостаточного финансирования. На сегодняшний день в бюджетных организациях области насчитывается 703 216 светоточек (лампочек), в том числе энергосберегающих - 24% или 168 771 светоточка. В уличном освещении имеется 22</w:t>
      </w:r>
      <w:r w:rsidR="00C31FAD"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rPr>
        <w:t>494 светоточки наружного освещения, в том числе энергосберегающих 35%, или 7872 светоточки.</w:t>
      </w:r>
    </w:p>
    <w:p w14:paraId="2A564A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Проводится работа по энергосбережению и повышению энергоэффективности в соответствии с Комплексным планом энергосбережения на 2015 - 2020 годы, в рамках которого предусмотрено 109 мероприятий на общую сумму 2,2 млрд. тенге, из них средства предприятий – 1,9 млрд. тенге.</w:t>
      </w:r>
    </w:p>
    <w:p w14:paraId="4B69AB7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Основной проблемой</w:t>
      </w:r>
      <w:r w:rsidRPr="00F0736F">
        <w:rPr>
          <w:rFonts w:ascii="Times New Roman" w:hAnsi="Times New Roman" w:cs="Times New Roman"/>
          <w:b/>
          <w:i/>
          <w:color w:val="000000" w:themeColor="text1"/>
        </w:rPr>
        <w:t xml:space="preserve"> </w:t>
      </w:r>
      <w:r w:rsidRPr="00F0736F">
        <w:rPr>
          <w:rFonts w:ascii="Times New Roman" w:hAnsi="Times New Roman" w:cs="Times New Roman"/>
          <w:color w:val="000000" w:themeColor="text1"/>
        </w:rPr>
        <w:t xml:space="preserve">в отрасли является то, что основная часть действующих электрических распределительных сетей и подстанций работает более 30 лет и требует замены и реконструкции. Износ основных оборудований в среднем составляет 83,1%, в сельской местности - 90%. На проведение ремонтно-восстановительных работ предприятие не имеет достаточных финансовых средств, в связи с чем капитальный ремонт электрических сетей и оборудования производится в ограниченном объеме за счет средств, предусмотренных тарифом на услуги по передаче электроэнергии. </w:t>
      </w:r>
    </w:p>
    <w:p w14:paraId="2FE3063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Подключенные к общим сетям </w:t>
      </w:r>
      <w:r w:rsidRPr="00F0736F">
        <w:rPr>
          <w:rFonts w:ascii="Times New Roman" w:hAnsi="Times New Roman" w:cs="Times New Roman"/>
          <w:b/>
          <w:color w:val="000000" w:themeColor="text1"/>
        </w:rPr>
        <w:t>возобновляемые источники энергии</w:t>
      </w:r>
      <w:r w:rsidRPr="00F0736F">
        <w:rPr>
          <w:rFonts w:ascii="Times New Roman" w:hAnsi="Times New Roman" w:cs="Times New Roman"/>
          <w:color w:val="000000" w:themeColor="text1"/>
        </w:rPr>
        <w:t xml:space="preserve"> в области отсутствуют.</w:t>
      </w:r>
    </w:p>
    <w:p w14:paraId="33731320"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 xml:space="preserve">Всего по области в 151 фермерском хозяйстве, не имеющем централизованного подключения электроэнергии, за счет собственных средств установлены 163 установки, из них 151 солнечная батарея и 12 ветряных двигателей. </w:t>
      </w:r>
    </w:p>
    <w:p w14:paraId="60B178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внедрения технологий возобновляемых источников энергии в регионе в 2018 году подписан Меморандум о сотрудничестве акиматом Бурлинского района и ТОО «Ветряная энергия» по строительству ветроэлектростанции на территории Бурлинского района мощностью 50 МВт.</w:t>
      </w:r>
    </w:p>
    <w:p w14:paraId="136CC52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реализации данного проекта ТОО «Ветряная Энергетика» рядом с Бурлинским районом передано 100 га с правом временного платного землепользования на 49 лет, срок реализации проекта 2019 - 2020 гг. </w:t>
      </w:r>
    </w:p>
    <w:p w14:paraId="4ED5144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w:t>
      </w:r>
      <w:r w:rsidRPr="00F0736F">
        <w:rPr>
          <w:rFonts w:ascii="Times New Roman" w:hAnsi="Times New Roman" w:cs="Times New Roman"/>
          <w:b/>
          <w:color w:val="000000" w:themeColor="text1"/>
        </w:rPr>
        <w:t>выработка теплоэнергии</w:t>
      </w:r>
      <w:r w:rsidRPr="00F0736F">
        <w:rPr>
          <w:rFonts w:ascii="Times New Roman" w:hAnsi="Times New Roman" w:cs="Times New Roman"/>
          <w:color w:val="000000" w:themeColor="text1"/>
        </w:rPr>
        <w:t xml:space="preserve"> составила 3,2 млн. Гкал., в 2018 году - 3,1 млн. Гкал, 2019 году - 2,8 млн. Гкал.</w:t>
      </w:r>
    </w:p>
    <w:p w14:paraId="5F77EC3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Количество источников теплоснабжения составило 138 единиц. Установленная мощность тепловых электростанций по выработке теплоэнергии составляет 656,0 Гкал/ч., средняя за год рабочая мощность – 127,0 Гкал/ч. Установленная мощность котельных составила 626,9 Гкал/ч, среднегодовая рабочая мощность – 486,0 Гкал/ч.</w:t>
      </w:r>
    </w:p>
    <w:p w14:paraId="16ACEC1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 Уральск и г. Аксай используется централизованное теплоснабжение. Теплоснабжение г. Уральск обеспечивается от городской ТЭЦ с располагаемой мощностью 561 Гкал/час и от 19 котельных, г. Аксай - от 8 котельных. Уровень обеспеченности услугами централизованного теплоснабжения составляет 99,8%, в том числе по г. Уральск – 99,8%, г. Аксай - 100%. </w:t>
      </w:r>
    </w:p>
    <w:p w14:paraId="02E920F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Общая протяженность сетей составила в 2019 году 345,8 км. Износ сетей составлял 52,7% в 2017 году и около 20% в 2019 году, благодаря проводимым мероприятиям имеет тенденцию к снижению. В 2017 - 2019 годах на магистральных сетях теплоснабжения аварий и отключений не было (2016 г. - 5 случаев). </w:t>
      </w:r>
    </w:p>
    <w:p w14:paraId="44A286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Продолжается </w:t>
      </w:r>
      <w:r w:rsidRPr="00F0736F">
        <w:rPr>
          <w:rFonts w:ascii="Times New Roman" w:hAnsi="Times New Roman" w:cs="Times New Roman"/>
          <w:b/>
          <w:color w:val="000000" w:themeColor="text1"/>
        </w:rPr>
        <w:t>газификация</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сельских населенных пунктов области. Обеспеченность населения природным газом увеличилась с 92,0% в 2015 году до 94% в 2017 году, сельского населения - с 83,9% до 87,7%.</w:t>
      </w:r>
      <w:r w:rsidRPr="00F0736F">
        <w:rPr>
          <w:rFonts w:ascii="Times New Roman" w:hAnsi="Times New Roman" w:cs="Times New Roman"/>
          <w:color w:val="000000" w:themeColor="text1"/>
          <w:lang w:val="kk-KZ"/>
        </w:rPr>
        <w:t xml:space="preserve"> </w:t>
      </w:r>
    </w:p>
    <w:p w14:paraId="2A1F6B8D" w14:textId="77777777" w:rsidR="00AC1D5B" w:rsidRPr="00F0736F" w:rsidRDefault="00AC1D5B" w:rsidP="00AC1D5B">
      <w:pPr>
        <w:ind w:firstLine="709"/>
        <w:jc w:val="both"/>
        <w:rPr>
          <w:rFonts w:ascii="Times New Roman" w:hAnsi="Times New Roman" w:cs="Times New Roman"/>
          <w:color w:val="000000" w:themeColor="text1"/>
        </w:rPr>
      </w:pPr>
    </w:p>
    <w:p w14:paraId="126DB9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2.7.1. Обеспеченность природным газом</w:t>
      </w:r>
    </w:p>
    <w:p w14:paraId="167F6119"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378" w:type="dxa"/>
        <w:tblLayout w:type="fixed"/>
        <w:tblLook w:val="0000" w:firstRow="0" w:lastRow="0" w:firstColumn="0" w:lastColumn="0" w:noHBand="0" w:noVBand="0"/>
      </w:tblPr>
      <w:tblGrid>
        <w:gridCol w:w="4786"/>
        <w:gridCol w:w="1431"/>
        <w:gridCol w:w="1002"/>
        <w:gridCol w:w="1531"/>
      </w:tblGrid>
      <w:tr w:rsidR="00F0736F" w:rsidRPr="00F0736F" w14:paraId="07327144" w14:textId="77777777" w:rsidTr="000B2B8A">
        <w:tc>
          <w:tcPr>
            <w:tcW w:w="4786" w:type="dxa"/>
            <w:tcBorders>
              <w:top w:val="single" w:sz="4" w:space="0" w:color="000000"/>
              <w:left w:val="single" w:sz="4" w:space="0" w:color="000000"/>
              <w:bottom w:val="single" w:sz="4" w:space="0" w:color="000000"/>
            </w:tcBorders>
            <w:shd w:val="clear" w:color="auto" w:fill="auto"/>
          </w:tcPr>
          <w:p w14:paraId="2FBCB674"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431" w:type="dxa"/>
            <w:tcBorders>
              <w:top w:val="single" w:sz="4" w:space="0" w:color="000000"/>
              <w:left w:val="single" w:sz="4" w:space="0" w:color="000000"/>
              <w:bottom w:val="single" w:sz="4" w:space="0" w:color="000000"/>
            </w:tcBorders>
            <w:shd w:val="clear" w:color="auto" w:fill="auto"/>
          </w:tcPr>
          <w:p w14:paraId="75B046B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w:t>
            </w:r>
          </w:p>
        </w:tc>
        <w:tc>
          <w:tcPr>
            <w:tcW w:w="1002" w:type="dxa"/>
            <w:tcBorders>
              <w:top w:val="single" w:sz="4" w:space="0" w:color="000000"/>
              <w:left w:val="single" w:sz="4" w:space="0" w:color="000000"/>
              <w:bottom w:val="single" w:sz="4" w:space="0" w:color="000000"/>
            </w:tcBorders>
            <w:shd w:val="clear" w:color="auto" w:fill="auto"/>
            <w:vAlign w:val="center"/>
          </w:tcPr>
          <w:p w14:paraId="06960519"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341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2019 г.</w:t>
            </w:r>
          </w:p>
        </w:tc>
      </w:tr>
      <w:tr w:rsidR="00F0736F" w:rsidRPr="00F0736F" w14:paraId="70F43164" w14:textId="77777777" w:rsidTr="000B2B8A">
        <w:tc>
          <w:tcPr>
            <w:tcW w:w="4786" w:type="dxa"/>
            <w:tcBorders>
              <w:top w:val="single" w:sz="4" w:space="0" w:color="000000"/>
              <w:left w:val="single" w:sz="4" w:space="0" w:color="000000"/>
              <w:bottom w:val="single" w:sz="4" w:space="0" w:color="000000"/>
            </w:tcBorders>
            <w:shd w:val="clear" w:color="auto" w:fill="auto"/>
          </w:tcPr>
          <w:p w14:paraId="352FF5AD"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Газообеспеченность населения области, %</w:t>
            </w:r>
          </w:p>
        </w:tc>
        <w:tc>
          <w:tcPr>
            <w:tcW w:w="1431" w:type="dxa"/>
            <w:tcBorders>
              <w:top w:val="single" w:sz="4" w:space="0" w:color="000000"/>
              <w:left w:val="single" w:sz="4" w:space="0" w:color="000000"/>
              <w:bottom w:val="single" w:sz="4" w:space="0" w:color="000000"/>
            </w:tcBorders>
            <w:shd w:val="clear" w:color="auto" w:fill="auto"/>
          </w:tcPr>
          <w:p w14:paraId="0BF0BBA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94,0</w:t>
            </w:r>
          </w:p>
        </w:tc>
        <w:tc>
          <w:tcPr>
            <w:tcW w:w="1002" w:type="dxa"/>
            <w:tcBorders>
              <w:top w:val="single" w:sz="4" w:space="0" w:color="000000"/>
              <w:left w:val="single" w:sz="4" w:space="0" w:color="000000"/>
              <w:bottom w:val="single" w:sz="4" w:space="0" w:color="000000"/>
            </w:tcBorders>
            <w:shd w:val="clear" w:color="auto" w:fill="auto"/>
          </w:tcPr>
          <w:p w14:paraId="2D5AB16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95,4</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B55ADA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96,1</w:t>
            </w:r>
          </w:p>
        </w:tc>
      </w:tr>
      <w:tr w:rsidR="00F0736F" w:rsidRPr="00F0736F" w14:paraId="0950F512" w14:textId="77777777" w:rsidTr="000B2B8A">
        <w:tc>
          <w:tcPr>
            <w:tcW w:w="4786" w:type="dxa"/>
            <w:tcBorders>
              <w:top w:val="single" w:sz="4" w:space="0" w:color="000000"/>
              <w:left w:val="single" w:sz="4" w:space="0" w:color="000000"/>
              <w:bottom w:val="single" w:sz="4" w:space="0" w:color="000000"/>
            </w:tcBorders>
            <w:shd w:val="clear" w:color="auto" w:fill="auto"/>
          </w:tcPr>
          <w:p w14:paraId="6317B2FA"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Газообеспеченность сельского населения, %</w:t>
            </w:r>
          </w:p>
        </w:tc>
        <w:tc>
          <w:tcPr>
            <w:tcW w:w="1431" w:type="dxa"/>
            <w:tcBorders>
              <w:top w:val="single" w:sz="4" w:space="0" w:color="000000"/>
              <w:left w:val="single" w:sz="4" w:space="0" w:color="000000"/>
              <w:bottom w:val="single" w:sz="4" w:space="0" w:color="000000"/>
            </w:tcBorders>
            <w:shd w:val="clear" w:color="auto" w:fill="auto"/>
          </w:tcPr>
          <w:p w14:paraId="1F39FF2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87,7</w:t>
            </w:r>
          </w:p>
        </w:tc>
        <w:tc>
          <w:tcPr>
            <w:tcW w:w="1002" w:type="dxa"/>
            <w:tcBorders>
              <w:top w:val="single" w:sz="4" w:space="0" w:color="000000"/>
              <w:left w:val="single" w:sz="4" w:space="0" w:color="000000"/>
              <w:bottom w:val="single" w:sz="4" w:space="0" w:color="000000"/>
            </w:tcBorders>
            <w:shd w:val="clear" w:color="auto" w:fill="auto"/>
          </w:tcPr>
          <w:p w14:paraId="0EFE6F4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90,8</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200F20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92</w:t>
            </w:r>
          </w:p>
        </w:tc>
      </w:tr>
    </w:tbl>
    <w:p w14:paraId="01D66BD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 </w:t>
      </w:r>
    </w:p>
    <w:p w14:paraId="19F2CDD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газификацию населенных пунктов области из государственного бюджета за 2015 - 2017 годы направлено 7,4 млрд. тенге. За счет бюджетных средств и собственных средств ЗКФ АО «КазТрансГазАймақ» в 2015 году построено 3226,5 км газопроводов, в 2016 году – 3337,5 км, в 2017 году – </w:t>
      </w:r>
      <w:r w:rsidRPr="00F0736F">
        <w:rPr>
          <w:rFonts w:ascii="Times New Roman" w:hAnsi="Times New Roman" w:cs="Times New Roman"/>
          <w:color w:val="000000" w:themeColor="text1"/>
          <w:lang w:val="kk-KZ"/>
        </w:rPr>
        <w:t>342,2</w:t>
      </w:r>
      <w:r w:rsidRPr="00F0736F">
        <w:rPr>
          <w:rFonts w:ascii="Times New Roman" w:hAnsi="Times New Roman" w:cs="Times New Roman"/>
          <w:color w:val="000000" w:themeColor="text1"/>
        </w:rPr>
        <w:t xml:space="preserve"> км. Подключено к природному газу 290 СНП с населением 602,9 тыс. человек.</w:t>
      </w:r>
    </w:p>
    <w:p w14:paraId="12CFDC0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2018 году проведена газификация 24 населенных пунктов с численностью населения 9700 жителей. По итогам 2018 года в результате проводимых работ увеличен уровень газификации области с 94% до 95,4%. </w:t>
      </w:r>
      <w:r w:rsidRPr="00F0736F">
        <w:rPr>
          <w:rFonts w:ascii="Times New Roman" w:hAnsi="Times New Roman" w:cs="Times New Roman"/>
          <w:color w:val="000000" w:themeColor="text1"/>
          <w:sz w:val="22"/>
          <w:szCs w:val="22"/>
          <w:lang w:val="kk-KZ"/>
        </w:rPr>
        <w:t>Из 434 сельских населенных пунктов (далее - СНП) с численностью населения 312 935 человек 314 населенных пунктов (71,2%), или 284 144 жителей (90,8%) обеспечены природным газом.</w:t>
      </w:r>
    </w:p>
    <w:p w14:paraId="4B3882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итогам 2019 года планируется газификация 5 населенных пунктов, в результате проводимых работ увеличится уровень газификации области с 95,4% до 96%.</w:t>
      </w:r>
    </w:p>
    <w:p w14:paraId="51F954E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целях использования </w:t>
      </w:r>
      <w:r w:rsidRPr="00F0736F">
        <w:rPr>
          <w:rFonts w:ascii="Times New Roman" w:hAnsi="Times New Roman" w:cs="Times New Roman"/>
          <w:b/>
          <w:color w:val="000000" w:themeColor="text1"/>
        </w:rPr>
        <w:t>энергосберегающих технологий</w:t>
      </w:r>
      <w:r w:rsidRPr="00F0736F">
        <w:rPr>
          <w:rFonts w:ascii="Times New Roman" w:hAnsi="Times New Roman" w:cs="Times New Roman"/>
          <w:color w:val="000000" w:themeColor="text1"/>
        </w:rPr>
        <w:t xml:space="preserve"> в регионе в настоящее время имеется в общей сложности 39 698 штук светоточек. В городе Уральск ТОО «КАЗТЕХНИКАС» оказывает услуг 19 983 светоточкам, из данных светодиодных точек 6 063 штук, или 31% заменены на энергосберегающие лампы, в том числе на светодиодные лампы заменены 2 145 штук.</w:t>
      </w:r>
    </w:p>
    <w:p w14:paraId="6539FA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ТОО «Жайык Жарыгы» в городе Уральск перевело из 100 Вт на 26 Вт 1037 штук энергосберегающих ламп. Указанные меры позволили сэкономить до 215000 кВт*ч электроэнергии, или 2,8 млн. тенге.</w:t>
      </w:r>
    </w:p>
    <w:p w14:paraId="7C3E8FC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Плана мероприятий программы «Энергоэффективность-2020», утвержденного постановлением Правительства Республики Казахстан № 904 от 4 сентября 2013 года, Управлением энергетики и жилищно-коммунального хозяйства Западно-Казахстанской области разработан комплексный план энергосбережения Западно-Казахстанской области на 2015 - 2020 годы. В соответствии с Комплексным планом проводится систематический мониторинг энергосберегающих работ в режиме реального времени в соответствии с планами повышения энергоэффективности предприятий и организаций промышленного, энергетического и коммунального секторов.</w:t>
      </w:r>
    </w:p>
    <w:p w14:paraId="071E5E1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в целях развития цифровизации жилищно-коммунального сектора в регионе ведутся работы по установке измерительных приборов в 10 жилых домах в рамках пилотного проекта в 5 микрорайонах города Уральск. Данная работа проводится для снижения стоимости коммунальных услуг путем установки приборов учета через системы передачи данных в жилых домах.</w:t>
      </w:r>
    </w:p>
    <w:p w14:paraId="330C9D5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05FD6F59"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Водоснабжение. </w:t>
      </w:r>
      <w:r w:rsidRPr="00F0736F">
        <w:rPr>
          <w:rFonts w:ascii="Times New Roman" w:hAnsi="Times New Roman" w:cs="Times New Roman"/>
          <w:color w:val="000000" w:themeColor="text1"/>
        </w:rPr>
        <w:t>В 2017 году предприятиями области отпущено потребителям 25,4 млн. куб. м воды, из нее населению – 13,7 млн. куб. м, или 53,9%, на коммунальные нужды – 1,1 млн. куб. м (4,3%).  Объем поданной воды в сеть составил 38,8 млн. куб. м, при этом около 24% объема воды пропущено через очистные сооружения.</w:t>
      </w:r>
    </w:p>
    <w:p w14:paraId="66A561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Доступ городского населения к централизованному водоснабжению составляет 93,8%, в том числе в г. Уральске – 93,8%, г. Аксай – 100%. Общая протяженность городских коммунальных водопроводных сетей составляет 603,6 км, в том числе в г. Уральске – 429,7 км, г. Аксай – 173,9 км. В изношенном состоянии находятся 377,3 км водопроводных сетей, в том числе в г. Уральске – 273 км, г. Аксай – 104,3 км. В 2017 году количество аварий и отключений составило 103 единицы, а в 2019 году - 35.</w:t>
      </w:r>
    </w:p>
    <w:p w14:paraId="718CFB5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доступ к централизованному водоснабжению сельского населения составил 76,7%. По состоянию на 01.01.2018 г. из 441 сельского населенного пункта (СНП) 178 имеют доступ к централизованному водоснабжению, 259 СНП пользуются децентрализованным водоснабжением, </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xml:space="preserve"> СНП пользуются привозной водой. </w:t>
      </w:r>
    </w:p>
    <w:p w14:paraId="48943C0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водопроводных сетей в сельских населенных пунктах составляет 2422,9 км, которые находятся в коммунальной собственности. В изношенном состоянии - 662,9 км водопроводных сетей (27,4%). В 2019 году общая протяженность сетей составила 4074,4 км, в том числе требуют замены — 561,9 км.</w:t>
      </w:r>
    </w:p>
    <w:p w14:paraId="79D0EF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на строительство 39 объектов водоснабжения в 55 сельских населенных пунктах выделено 9,0 млрд. тенге. Из них 29 объектов в 38 СНП (47 тыс. человек) введены в эксплуатацию, построено 1068 км водопровода. </w:t>
      </w:r>
    </w:p>
    <w:p w14:paraId="5F8007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w:t>
      </w:r>
      <w:r w:rsidRPr="00F0736F">
        <w:rPr>
          <w:rFonts w:ascii="Times New Roman" w:hAnsi="Times New Roman" w:cs="Times New Roman"/>
          <w:color w:val="000000" w:themeColor="text1"/>
          <w:lang w:val="kk-KZ"/>
        </w:rPr>
        <w:t xml:space="preserve"> из 434 сельских населенных пунктов 206 СНП имеют доступ к централизованному водоснабжению, 227 СНП пользуются децентрализованным водоснабжением, 1 СНП пользуется привозной водой. Показатель обеспеченности централизованной водой составляет 47,5%, или 206 села из 434 с населением 270,822 тысяч человек. </w:t>
      </w:r>
    </w:p>
    <w:p w14:paraId="4DBE77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централизованное водоснабжение городских жителей составляет 95,9%. За счет средств республиканского бюджета по программе «Нұрлы жол» в городе Уральске выделено 888,8 млн. тенге, реконструировано 7,9 км водопроводных сетей. За счет собственных средств ТОО «Батыс су арнасы» освоено 103 млн. тенге, отремонтировано 4,7 км сетей водоснабжения. Общая протяженность городских коммунальных сетей составляет 639,8 км, в том числе по городу Уральск – 442,2 км, по городу Аксай – 197,6 км. Также централизованным водоснабжением обеспечено 217 сельских населенных пунктов (из 433 СНП), что составляет 50,1% от общего количества населенных пунктов или 86,5% от численности населения всех СНП.</w:t>
      </w:r>
    </w:p>
    <w:p w14:paraId="1EF1E15E" w14:textId="77777777" w:rsidR="00AC1D5B" w:rsidRPr="00F0736F" w:rsidRDefault="00AC1D5B" w:rsidP="00AC1D5B">
      <w:pPr>
        <w:ind w:firstLine="709"/>
        <w:jc w:val="both"/>
        <w:rPr>
          <w:rFonts w:ascii="Times New Roman" w:hAnsi="Times New Roman" w:cs="Times New Roman"/>
          <w:color w:val="000000" w:themeColor="text1"/>
        </w:rPr>
      </w:pPr>
    </w:p>
    <w:p w14:paraId="405F841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2.7.2. Обеспеченность централизованным водоснабжением</w:t>
      </w:r>
    </w:p>
    <w:p w14:paraId="2B5ABE32"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                                                                                                               </w:t>
      </w:r>
    </w:p>
    <w:tbl>
      <w:tblPr>
        <w:tblW w:w="0" w:type="auto"/>
        <w:tblInd w:w="475" w:type="dxa"/>
        <w:tblLayout w:type="fixed"/>
        <w:tblLook w:val="0000" w:firstRow="0" w:lastRow="0" w:firstColumn="0" w:lastColumn="0" w:noHBand="0" w:noVBand="0"/>
      </w:tblPr>
      <w:tblGrid>
        <w:gridCol w:w="4935"/>
        <w:gridCol w:w="1120"/>
        <w:gridCol w:w="1023"/>
        <w:gridCol w:w="1667"/>
      </w:tblGrid>
      <w:tr w:rsidR="00F0736F" w:rsidRPr="00F0736F" w14:paraId="2AE7A89F" w14:textId="77777777" w:rsidTr="000B2B8A">
        <w:tc>
          <w:tcPr>
            <w:tcW w:w="4935" w:type="dxa"/>
            <w:tcBorders>
              <w:top w:val="single" w:sz="4" w:space="0" w:color="000000"/>
              <w:left w:val="single" w:sz="4" w:space="0" w:color="000000"/>
              <w:bottom w:val="single" w:sz="4" w:space="0" w:color="000000"/>
            </w:tcBorders>
            <w:shd w:val="clear" w:color="auto" w:fill="auto"/>
          </w:tcPr>
          <w:p w14:paraId="533F5037"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120" w:type="dxa"/>
            <w:tcBorders>
              <w:top w:val="single" w:sz="4" w:space="0" w:color="000000"/>
              <w:left w:val="single" w:sz="4" w:space="0" w:color="000000"/>
              <w:bottom w:val="single" w:sz="4" w:space="0" w:color="000000"/>
            </w:tcBorders>
            <w:shd w:val="clear" w:color="auto" w:fill="auto"/>
          </w:tcPr>
          <w:p w14:paraId="3EF535D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w:t>
            </w:r>
          </w:p>
        </w:tc>
        <w:tc>
          <w:tcPr>
            <w:tcW w:w="1023" w:type="dxa"/>
            <w:tcBorders>
              <w:top w:val="single" w:sz="4" w:space="0" w:color="000000"/>
              <w:left w:val="single" w:sz="4" w:space="0" w:color="000000"/>
              <w:bottom w:val="single" w:sz="4" w:space="0" w:color="000000"/>
            </w:tcBorders>
            <w:shd w:val="clear" w:color="auto" w:fill="auto"/>
            <w:vAlign w:val="center"/>
          </w:tcPr>
          <w:p w14:paraId="601EFCC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43450"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t>2019 г.</w:t>
            </w:r>
          </w:p>
        </w:tc>
      </w:tr>
      <w:tr w:rsidR="00F0736F" w:rsidRPr="00F0736F" w14:paraId="71AFDBC3" w14:textId="77777777" w:rsidTr="000B2B8A">
        <w:tc>
          <w:tcPr>
            <w:tcW w:w="4935" w:type="dxa"/>
            <w:tcBorders>
              <w:top w:val="single" w:sz="4" w:space="0" w:color="000000"/>
              <w:left w:val="single" w:sz="4" w:space="0" w:color="000000"/>
              <w:bottom w:val="single" w:sz="4" w:space="0" w:color="000000"/>
            </w:tcBorders>
            <w:shd w:val="clear" w:color="auto" w:fill="auto"/>
          </w:tcPr>
          <w:p w14:paraId="143CA12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Водообеспеченность СНП, %</w:t>
            </w:r>
          </w:p>
        </w:tc>
        <w:tc>
          <w:tcPr>
            <w:tcW w:w="1120" w:type="dxa"/>
            <w:tcBorders>
              <w:top w:val="single" w:sz="4" w:space="0" w:color="000000"/>
              <w:left w:val="single" w:sz="4" w:space="0" w:color="000000"/>
              <w:bottom w:val="single" w:sz="4" w:space="0" w:color="000000"/>
            </w:tcBorders>
            <w:shd w:val="clear" w:color="auto" w:fill="auto"/>
            <w:vAlign w:val="center"/>
          </w:tcPr>
          <w:p w14:paraId="74FEE9E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40,4</w:t>
            </w:r>
          </w:p>
        </w:tc>
        <w:tc>
          <w:tcPr>
            <w:tcW w:w="1023" w:type="dxa"/>
            <w:tcBorders>
              <w:top w:val="single" w:sz="4" w:space="0" w:color="000000"/>
              <w:left w:val="single" w:sz="4" w:space="0" w:color="000000"/>
              <w:bottom w:val="single" w:sz="4" w:space="0" w:color="000000"/>
            </w:tcBorders>
            <w:shd w:val="clear" w:color="auto" w:fill="auto"/>
            <w:vAlign w:val="center"/>
          </w:tcPr>
          <w:p w14:paraId="7260E8A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47,5</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90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50,1</w:t>
            </w:r>
          </w:p>
        </w:tc>
      </w:tr>
      <w:tr w:rsidR="00F0736F" w:rsidRPr="00F0736F" w14:paraId="7BC0BEB1" w14:textId="77777777" w:rsidTr="000B2B8A">
        <w:tc>
          <w:tcPr>
            <w:tcW w:w="4935" w:type="dxa"/>
            <w:tcBorders>
              <w:top w:val="single" w:sz="4" w:space="0" w:color="000000"/>
              <w:left w:val="single" w:sz="4" w:space="0" w:color="000000"/>
              <w:bottom w:val="single" w:sz="4" w:space="0" w:color="000000"/>
            </w:tcBorders>
            <w:shd w:val="clear" w:color="auto" w:fill="auto"/>
          </w:tcPr>
          <w:p w14:paraId="028EB2FE"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Водообеспеченность сельского населения, %</w:t>
            </w:r>
          </w:p>
        </w:tc>
        <w:tc>
          <w:tcPr>
            <w:tcW w:w="1120" w:type="dxa"/>
            <w:tcBorders>
              <w:top w:val="single" w:sz="4" w:space="0" w:color="000000"/>
              <w:left w:val="single" w:sz="4" w:space="0" w:color="000000"/>
              <w:bottom w:val="single" w:sz="4" w:space="0" w:color="000000"/>
            </w:tcBorders>
            <w:shd w:val="clear" w:color="auto" w:fill="auto"/>
            <w:vAlign w:val="center"/>
          </w:tcPr>
          <w:p w14:paraId="37756429"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76,7</w:t>
            </w:r>
          </w:p>
        </w:tc>
        <w:tc>
          <w:tcPr>
            <w:tcW w:w="1023" w:type="dxa"/>
            <w:tcBorders>
              <w:top w:val="single" w:sz="4" w:space="0" w:color="000000"/>
              <w:left w:val="single" w:sz="4" w:space="0" w:color="000000"/>
              <w:bottom w:val="single" w:sz="4" w:space="0" w:color="000000"/>
            </w:tcBorders>
            <w:shd w:val="clear" w:color="auto" w:fill="auto"/>
            <w:vAlign w:val="center"/>
          </w:tcPr>
          <w:p w14:paraId="2D9040F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81,0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99D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86,5</w:t>
            </w:r>
          </w:p>
        </w:tc>
      </w:tr>
      <w:tr w:rsidR="00AC1D5B" w:rsidRPr="00F0736F" w14:paraId="3D46F3F4" w14:textId="77777777" w:rsidTr="000B2B8A">
        <w:tc>
          <w:tcPr>
            <w:tcW w:w="4935" w:type="dxa"/>
            <w:tcBorders>
              <w:top w:val="single" w:sz="4" w:space="0" w:color="000000"/>
              <w:left w:val="single" w:sz="4" w:space="0" w:color="000000"/>
              <w:bottom w:val="single" w:sz="4" w:space="0" w:color="000000"/>
            </w:tcBorders>
            <w:shd w:val="clear" w:color="auto" w:fill="auto"/>
          </w:tcPr>
          <w:p w14:paraId="2C6075A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Водообеспеченность городского населения, %</w:t>
            </w:r>
          </w:p>
        </w:tc>
        <w:tc>
          <w:tcPr>
            <w:tcW w:w="1120" w:type="dxa"/>
            <w:tcBorders>
              <w:top w:val="single" w:sz="4" w:space="0" w:color="000000"/>
              <w:left w:val="single" w:sz="4" w:space="0" w:color="000000"/>
              <w:bottom w:val="single" w:sz="4" w:space="0" w:color="000000"/>
            </w:tcBorders>
            <w:shd w:val="clear" w:color="auto" w:fill="auto"/>
            <w:vAlign w:val="center"/>
          </w:tcPr>
          <w:p w14:paraId="0B8E4A2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93,8</w:t>
            </w:r>
          </w:p>
        </w:tc>
        <w:tc>
          <w:tcPr>
            <w:tcW w:w="1023" w:type="dxa"/>
            <w:tcBorders>
              <w:top w:val="single" w:sz="4" w:space="0" w:color="000000"/>
              <w:left w:val="single" w:sz="4" w:space="0" w:color="000000"/>
              <w:bottom w:val="single" w:sz="4" w:space="0" w:color="000000"/>
            </w:tcBorders>
            <w:shd w:val="clear" w:color="auto" w:fill="auto"/>
            <w:vAlign w:val="center"/>
          </w:tcPr>
          <w:p w14:paraId="6CBEB23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94,8</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908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95,9</w:t>
            </w:r>
          </w:p>
        </w:tc>
      </w:tr>
    </w:tbl>
    <w:p w14:paraId="66099CA6" w14:textId="77777777" w:rsidR="00AC1D5B" w:rsidRPr="00F0736F" w:rsidRDefault="00AC1D5B" w:rsidP="00AC1D5B">
      <w:pPr>
        <w:ind w:firstLine="709"/>
        <w:jc w:val="both"/>
        <w:rPr>
          <w:rFonts w:ascii="Times New Roman" w:hAnsi="Times New Roman" w:cs="Times New Roman"/>
          <w:color w:val="000000" w:themeColor="text1"/>
        </w:rPr>
      </w:pPr>
    </w:p>
    <w:p w14:paraId="19CB715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Водоотведение. </w:t>
      </w:r>
      <w:r w:rsidRPr="00F0736F">
        <w:rPr>
          <w:rFonts w:ascii="Times New Roman" w:hAnsi="Times New Roman" w:cs="Times New Roman"/>
          <w:color w:val="000000" w:themeColor="text1"/>
        </w:rPr>
        <w:t xml:space="preserve">В 2017 году доступ городского населения к централизованному водоотведению составляет 89,3%, в том числе в г. Уральске – 89,3%, г. Аксай – 100%. Протяженность канализационных сетей составляет 414,2 км (в 2019 году — 423,0 км). Нуждается в замене 266 км канализационных сетей (2019 г. - 183,5). Сети канализации эксплуатируются более 30 лет и, соответственно, основной </w:t>
      </w:r>
      <w:r w:rsidRPr="00F0736F">
        <w:rPr>
          <w:rFonts w:ascii="Times New Roman" w:hAnsi="Times New Roman" w:cs="Times New Roman"/>
          <w:b/>
          <w:i/>
          <w:color w:val="000000" w:themeColor="text1"/>
        </w:rPr>
        <w:t>проблемой</w:t>
      </w:r>
      <w:r w:rsidRPr="00F0736F">
        <w:rPr>
          <w:rFonts w:ascii="Times New Roman" w:hAnsi="Times New Roman" w:cs="Times New Roman"/>
          <w:color w:val="000000" w:themeColor="text1"/>
        </w:rPr>
        <w:t xml:space="preserve"> является высокий уровень износа сетей (67%), канализационных насосных станций (75%). В области действуют 2 канализационных очистных сооружения. </w:t>
      </w:r>
    </w:p>
    <w:p w14:paraId="2CC6B7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90,15% городского населения обеспечены централизованным водоотведением. В сельской местности централизованное водоотведение отсутствует.</w:t>
      </w:r>
    </w:p>
    <w:p w14:paraId="5E87B2A2"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16DCD08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Целевые показатели качества окружающей среды Западно-Казахстанской области на 2019-2025 годы утверждены решением областного маслихата от 6 марта 2019 года №23-2.</w:t>
      </w:r>
    </w:p>
    <w:p w14:paraId="3038EFE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 </w:t>
      </w:r>
      <w:r w:rsidRPr="00F0736F">
        <w:rPr>
          <w:rFonts w:ascii="Times New Roman" w:hAnsi="Times New Roman" w:cs="Times New Roman"/>
          <w:b/>
          <w:color w:val="000000" w:themeColor="text1"/>
        </w:rPr>
        <w:t>2017 - 2019 годы,</w:t>
      </w:r>
      <w:r w:rsidRPr="00F0736F">
        <w:rPr>
          <w:rFonts w:ascii="Times New Roman" w:hAnsi="Times New Roman" w:cs="Times New Roman"/>
          <w:color w:val="000000" w:themeColor="text1"/>
        </w:rPr>
        <w:t xml:space="preserve"> по данным стационарной сети наблюдений, </w:t>
      </w:r>
      <w:r w:rsidRPr="00F0736F">
        <w:rPr>
          <w:rFonts w:ascii="Times New Roman" w:hAnsi="Times New Roman" w:cs="Times New Roman"/>
          <w:b/>
          <w:color w:val="000000" w:themeColor="text1"/>
        </w:rPr>
        <w:t>город Уральск</w:t>
      </w:r>
      <w:r w:rsidRPr="00F0736F">
        <w:rPr>
          <w:rFonts w:ascii="Times New Roman" w:hAnsi="Times New Roman" w:cs="Times New Roman"/>
          <w:color w:val="000000" w:themeColor="text1"/>
        </w:rPr>
        <w:t xml:space="preserve"> характеризуется </w:t>
      </w:r>
      <w:r w:rsidRPr="00F0736F">
        <w:rPr>
          <w:rFonts w:ascii="Times New Roman" w:hAnsi="Times New Roman" w:cs="Times New Roman"/>
          <w:color w:val="000000" w:themeColor="text1"/>
          <w:lang w:val="kk-KZ"/>
        </w:rPr>
        <w:t xml:space="preserve">низким </w:t>
      </w:r>
      <w:r w:rsidRPr="00F0736F">
        <w:rPr>
          <w:rFonts w:ascii="Times New Roman" w:hAnsi="Times New Roman" w:cs="Times New Roman"/>
          <w:color w:val="000000" w:themeColor="text1"/>
        </w:rPr>
        <w:t xml:space="preserve">уровнем </w:t>
      </w:r>
      <w:r w:rsidRPr="00F0736F">
        <w:rPr>
          <w:rFonts w:ascii="Times New Roman" w:hAnsi="Times New Roman" w:cs="Times New Roman"/>
          <w:b/>
          <w:color w:val="000000" w:themeColor="text1"/>
        </w:rPr>
        <w:t>загрязнения атмосферного воздуха</w:t>
      </w:r>
      <w:r w:rsidRPr="00F0736F">
        <w:rPr>
          <w:rFonts w:ascii="Times New Roman" w:hAnsi="Times New Roman" w:cs="Times New Roman"/>
          <w:color w:val="000000" w:themeColor="text1"/>
        </w:rPr>
        <w:t>. ИЗА составляет 2 (низкий уровень) в 2018 году - повышенный (ИЗА=5). СИ = 2-</w:t>
      </w:r>
      <w:r w:rsidRPr="00F0736F">
        <w:rPr>
          <w:rFonts w:ascii="Times New Roman" w:hAnsi="Times New Roman" w:cs="Times New Roman"/>
          <w:color w:val="000000" w:themeColor="text1"/>
          <w:lang w:val="kk-KZ"/>
        </w:rPr>
        <w:t xml:space="preserve">4 (повышенный уровень), значение </w:t>
      </w:r>
      <w:r w:rsidRPr="00F0736F">
        <w:rPr>
          <w:rFonts w:ascii="Times New Roman" w:hAnsi="Times New Roman" w:cs="Times New Roman"/>
          <w:color w:val="000000" w:themeColor="text1"/>
        </w:rPr>
        <w:t xml:space="preserve">НП = </w:t>
      </w:r>
      <w:r w:rsidRPr="00F0736F">
        <w:rPr>
          <w:rFonts w:ascii="Times New Roman" w:hAnsi="Times New Roman" w:cs="Times New Roman"/>
          <w:color w:val="000000" w:themeColor="text1"/>
          <w:lang w:val="kk-KZ"/>
        </w:rPr>
        <w:t>0-3</w:t>
      </w:r>
      <w:r w:rsidRPr="00F0736F">
        <w:rPr>
          <w:rFonts w:ascii="Times New Roman" w:hAnsi="Times New Roman" w:cs="Times New Roman"/>
          <w:color w:val="000000" w:themeColor="text1"/>
        </w:rPr>
        <w:t>% (</w:t>
      </w:r>
      <w:r w:rsidRPr="00F0736F">
        <w:rPr>
          <w:rFonts w:ascii="Times New Roman" w:hAnsi="Times New Roman" w:cs="Times New Roman"/>
          <w:color w:val="000000" w:themeColor="text1"/>
          <w:lang w:val="kk-KZ"/>
        </w:rPr>
        <w:t>низкий</w:t>
      </w:r>
      <w:r w:rsidRPr="00F0736F">
        <w:rPr>
          <w:rFonts w:ascii="Times New Roman" w:hAnsi="Times New Roman" w:cs="Times New Roman"/>
          <w:color w:val="000000" w:themeColor="text1"/>
        </w:rPr>
        <w:t xml:space="preserve"> и повышенный уровень).  </w:t>
      </w:r>
    </w:p>
    <w:p w14:paraId="1357A25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Атмосферный воздух </w:t>
      </w:r>
      <w:r w:rsidRPr="00F0736F">
        <w:rPr>
          <w:rFonts w:ascii="Times New Roman" w:hAnsi="Times New Roman" w:cs="Times New Roman"/>
          <w:bCs/>
          <w:color w:val="000000" w:themeColor="text1"/>
        </w:rPr>
        <w:t>города Аксай</w:t>
      </w:r>
      <w:r w:rsidRPr="00F0736F">
        <w:rPr>
          <w:rFonts w:ascii="Times New Roman" w:hAnsi="Times New Roman" w:cs="Times New Roman"/>
          <w:color w:val="000000" w:themeColor="text1"/>
        </w:rPr>
        <w:t xml:space="preserve"> характеризовался </w:t>
      </w:r>
      <w:r w:rsidRPr="00F0736F">
        <w:rPr>
          <w:rFonts w:ascii="Times New Roman" w:hAnsi="Times New Roman" w:cs="Times New Roman"/>
          <w:color w:val="000000" w:themeColor="text1"/>
          <w:lang w:val="kk-KZ"/>
        </w:rPr>
        <w:t>низким</w:t>
      </w:r>
      <w:r w:rsidRPr="00F0736F">
        <w:rPr>
          <w:rFonts w:ascii="Times New Roman" w:hAnsi="Times New Roman" w:cs="Times New Roman"/>
          <w:b/>
          <w:color w:val="000000" w:themeColor="text1"/>
          <w:lang w:val="kk-KZ"/>
        </w:rPr>
        <w:t xml:space="preserve"> </w:t>
      </w:r>
      <w:r w:rsidRPr="00F0736F">
        <w:rPr>
          <w:rFonts w:ascii="Times New Roman" w:hAnsi="Times New Roman" w:cs="Times New Roman"/>
          <w:color w:val="000000" w:themeColor="text1"/>
        </w:rPr>
        <w:t xml:space="preserve">уровнем загрязнения в 2017 и 2019 году (ИЗА = 1-2), повышенным в 2018 году (ИЗА =5). СИ = </w:t>
      </w:r>
      <w:r w:rsidRPr="00F0736F">
        <w:rPr>
          <w:rFonts w:ascii="Times New Roman" w:hAnsi="Times New Roman" w:cs="Times New Roman"/>
          <w:color w:val="000000" w:themeColor="text1"/>
          <w:lang w:val="kk-KZ"/>
        </w:rPr>
        <w:t>2-4 (повышенный уровень)</w:t>
      </w:r>
      <w:r w:rsidRPr="00F0736F">
        <w:rPr>
          <w:rFonts w:ascii="Times New Roman" w:hAnsi="Times New Roman" w:cs="Times New Roman"/>
          <w:color w:val="000000" w:themeColor="text1"/>
        </w:rPr>
        <w:t xml:space="preserve"> в 2017 и 2019 году и СИ = 6 (высокий) в 2018 году,</w:t>
      </w:r>
      <w:r w:rsidRPr="00F0736F">
        <w:rPr>
          <w:rFonts w:ascii="Times New Roman" w:hAnsi="Times New Roman" w:cs="Times New Roman"/>
          <w:color w:val="000000" w:themeColor="text1"/>
          <w:lang w:val="kk-KZ"/>
        </w:rPr>
        <w:t xml:space="preserve"> НП = 0% </w:t>
      </w:r>
      <w:r w:rsidRPr="00F0736F">
        <w:rPr>
          <w:rFonts w:ascii="Times New Roman" w:hAnsi="Times New Roman" w:cs="Times New Roman"/>
          <w:color w:val="000000" w:themeColor="text1"/>
        </w:rPr>
        <w:t>в 2017-2018 годах и НП=1% в 2019 году</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p>
    <w:p w14:paraId="23FAE8E0" w14:textId="77777777" w:rsidR="00AC1D5B" w:rsidRPr="00F0736F" w:rsidRDefault="00AC1D5B" w:rsidP="00AC1D5B">
      <w:pPr>
        <w:ind w:firstLine="709"/>
        <w:jc w:val="both"/>
        <w:rPr>
          <w:bCs/>
          <w:color w:val="000000" w:themeColor="text1"/>
        </w:rPr>
      </w:pPr>
      <w:r w:rsidRPr="00F0736F">
        <w:rPr>
          <w:rFonts w:ascii="Times New Roman" w:hAnsi="Times New Roman" w:cs="Times New Roman"/>
          <w:color w:val="000000" w:themeColor="text1"/>
        </w:rPr>
        <w:t xml:space="preserve">Атмосферный воздух </w:t>
      </w:r>
      <w:r w:rsidRPr="00F0736F">
        <w:rPr>
          <w:rFonts w:ascii="Times New Roman" w:hAnsi="Times New Roman" w:cs="Times New Roman"/>
          <w:bCs/>
          <w:color w:val="000000" w:themeColor="text1"/>
        </w:rPr>
        <w:t xml:space="preserve">поселка Березовка в 2017 году характеризовался </w:t>
      </w:r>
      <w:r w:rsidRPr="00F0736F">
        <w:rPr>
          <w:rFonts w:ascii="Times New Roman" w:hAnsi="Times New Roman" w:cs="Times New Roman"/>
          <w:bCs/>
          <w:color w:val="000000" w:themeColor="text1"/>
          <w:lang w:val="kk-KZ"/>
        </w:rPr>
        <w:t xml:space="preserve">низким </w:t>
      </w:r>
      <w:r w:rsidRPr="00F0736F">
        <w:rPr>
          <w:rFonts w:ascii="Times New Roman" w:hAnsi="Times New Roman" w:cs="Times New Roman"/>
          <w:bCs/>
          <w:color w:val="000000" w:themeColor="text1"/>
        </w:rPr>
        <w:t xml:space="preserve">уровнем загрязнения. ИЗА составляет 0. </w:t>
      </w:r>
      <w:r w:rsidRPr="00F0736F">
        <w:rPr>
          <w:rFonts w:ascii="Times New Roman" w:hAnsi="Times New Roman" w:cs="Times New Roman"/>
          <w:bCs/>
          <w:color w:val="000000" w:themeColor="text1"/>
          <w:lang w:val="kk-KZ"/>
        </w:rPr>
        <w:t xml:space="preserve">СИ </w:t>
      </w:r>
      <w:r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lang w:val="kk-KZ"/>
        </w:rPr>
        <w:t xml:space="preserve">1 и </w:t>
      </w:r>
      <w:r w:rsidRPr="00F0736F">
        <w:rPr>
          <w:rFonts w:ascii="Times New Roman" w:hAnsi="Times New Roman" w:cs="Times New Roman"/>
          <w:bCs/>
          <w:color w:val="000000" w:themeColor="text1"/>
        </w:rPr>
        <w:t xml:space="preserve">НП равным </w:t>
      </w:r>
      <w:r w:rsidRPr="00F0736F">
        <w:rPr>
          <w:rFonts w:ascii="Times New Roman" w:hAnsi="Times New Roman" w:cs="Times New Roman"/>
          <w:bCs/>
          <w:color w:val="000000" w:themeColor="text1"/>
          <w:lang w:val="kk-KZ"/>
        </w:rPr>
        <w:t>0</w:t>
      </w:r>
      <w:r w:rsidRPr="00F0736F">
        <w:rPr>
          <w:rFonts w:ascii="Times New Roman" w:hAnsi="Times New Roman" w:cs="Times New Roman"/>
          <w:bCs/>
          <w:color w:val="000000" w:themeColor="text1"/>
        </w:rPr>
        <w:t xml:space="preserve">%.  </w:t>
      </w:r>
    </w:p>
    <w:p w14:paraId="6BC49EFB"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Атмосферный воздух поселка Январцево в</w:t>
      </w:r>
      <w:r w:rsidRPr="00F0736F">
        <w:rPr>
          <w:rFonts w:ascii="Times New Roman" w:hAnsi="Times New Roman" w:cs="Times New Roman"/>
          <w:color w:val="000000" w:themeColor="text1"/>
        </w:rPr>
        <w:t xml:space="preserve"> 2017 - 2019 годах характеризовался </w:t>
      </w:r>
      <w:r w:rsidRPr="00F0736F">
        <w:rPr>
          <w:rFonts w:ascii="Times New Roman" w:hAnsi="Times New Roman" w:cs="Times New Roman"/>
          <w:color w:val="000000" w:themeColor="text1"/>
          <w:lang w:val="kk-KZ"/>
        </w:rPr>
        <w:t xml:space="preserve">низким </w:t>
      </w:r>
      <w:r w:rsidRPr="00F0736F">
        <w:rPr>
          <w:rFonts w:ascii="Times New Roman" w:hAnsi="Times New Roman" w:cs="Times New Roman"/>
          <w:color w:val="000000" w:themeColor="text1"/>
        </w:rPr>
        <w:t xml:space="preserve">уровнем загрязнения. ИЗА составляет 1-4. СИ равным </w:t>
      </w:r>
      <w:r w:rsidRPr="00F0736F">
        <w:rPr>
          <w:rFonts w:ascii="Times New Roman" w:hAnsi="Times New Roman" w:cs="Times New Roman"/>
          <w:color w:val="000000" w:themeColor="text1"/>
          <w:lang w:val="kk-KZ"/>
        </w:rPr>
        <w:t xml:space="preserve">1–1,1, </w:t>
      </w:r>
      <w:r w:rsidRPr="00F0736F">
        <w:rPr>
          <w:rFonts w:ascii="Times New Roman" w:hAnsi="Times New Roman" w:cs="Times New Roman"/>
          <w:color w:val="000000" w:themeColor="text1"/>
        </w:rPr>
        <w:t xml:space="preserve">НП = </w:t>
      </w:r>
      <w:r w:rsidRPr="00F0736F">
        <w:rPr>
          <w:rFonts w:ascii="Times New Roman" w:hAnsi="Times New Roman" w:cs="Times New Roman"/>
          <w:color w:val="000000" w:themeColor="text1"/>
          <w:lang w:val="kk-KZ"/>
        </w:rPr>
        <w:t xml:space="preserve">0%. </w:t>
      </w:r>
      <w:r w:rsidRPr="00F0736F">
        <w:rPr>
          <w:rFonts w:ascii="Times New Roman" w:hAnsi="Times New Roman" w:cs="Times New Roman"/>
          <w:color w:val="000000" w:themeColor="text1"/>
        </w:rPr>
        <w:t xml:space="preserve"> </w:t>
      </w:r>
    </w:p>
    <w:p w14:paraId="7113F99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Основными загрязнителями воздушного бассейна Западно-Казахстанской области являются предприятия нефтегазового комплекса, котельные хозяйства, автотранспорт, элеваторы, асфальтобетонные заводы, осуществляющие выбросы в атмосферу окислов азота, углерода, сернистого ангидрида, сероводорода, летучих органических соединений и неорганической пыли. Нормативный объем выбросов загрязняющих веществ в атмосферный воздух в 2018 году составил 0,06 млн. т. при плане 0,179 млн. т. </w:t>
      </w:r>
    </w:p>
    <w:p w14:paraId="265A2F9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Динамика выбросов вредных веществ в атмосферу от стационарных источников по области: 2015 год — 42,4 тыс. т., 2016 году – 42,5 тыс. т., за 2017 год – 41,5 тыс. т., 2018 год – 48,2 тыс. т., 2019 год — 41,2 тыс. т. (данные Комитета по статистике)..</w:t>
      </w:r>
    </w:p>
    <w:p w14:paraId="6CE01D0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сокращения загрязнения воздуха по г. Уральск (ЗКО) количество переведенных на газовое топливо автобусов в 2017 году составляло 155 единиц из задействованных во внутригородской и в пригородных перевозках 661 автобус, на 31.12.2018 года общее количество транспортных средств (легковые, грузовые автомобили, автобусы), использующих в качестве топлива природный газ, составило 10 201 единицу, или 7,2% от общего количества.   </w:t>
      </w:r>
    </w:p>
    <w:p w14:paraId="6CC579D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Западно-Казахстанской области проводились на 9 водных объектах: реках Жайык, Шаган, Дерколь, Елек, Шынгирлау, Сарыозен, Караозен, Кошим</w:t>
      </w:r>
      <w:r w:rsidRPr="00F0736F">
        <w:rPr>
          <w:rFonts w:ascii="Times New Roman" w:hAnsi="Times New Roman" w:cs="Times New Roman"/>
          <w:color w:val="000000" w:themeColor="text1"/>
          <w:lang w:val="kk-KZ"/>
        </w:rPr>
        <w:t>ский</w:t>
      </w:r>
      <w:r w:rsidRPr="00F0736F">
        <w:rPr>
          <w:rFonts w:ascii="Times New Roman" w:hAnsi="Times New Roman" w:cs="Times New Roman"/>
          <w:color w:val="000000" w:themeColor="text1"/>
        </w:rPr>
        <w:t xml:space="preserve"> канал, оз. Шалкар. </w:t>
      </w:r>
    </w:p>
    <w:p w14:paraId="6EE01C3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en-US" w:bidi="en-US"/>
        </w:rPr>
        <w:t xml:space="preserve">В области функционируют предприятия, имеющие очистные сооружения </w:t>
      </w:r>
      <w:r w:rsidRPr="00F0736F">
        <w:rPr>
          <w:rFonts w:ascii="Times New Roman" w:hAnsi="Times New Roman" w:cs="Times New Roman"/>
          <w:b/>
          <w:color w:val="000000" w:themeColor="text1"/>
          <w:lang w:eastAsia="en-US" w:bidi="en-US"/>
        </w:rPr>
        <w:t>сточных вод</w:t>
      </w:r>
      <w:r w:rsidRPr="00F0736F">
        <w:rPr>
          <w:rFonts w:ascii="Times New Roman" w:hAnsi="Times New Roman" w:cs="Times New Roman"/>
          <w:color w:val="000000" w:themeColor="text1"/>
          <w:lang w:eastAsia="en-US" w:bidi="en-US"/>
        </w:rPr>
        <w:t xml:space="preserve"> с последующим сбросом на рельеф местности, накопители и поля фильтрации: КПО б.в., ТОО «Батыс су Арнасы», ГКП «Аксайжылукуат», АО «Жайыктеплоэнерго», АО «Конденсат», Уральское нефтепроводное управление. </w:t>
      </w:r>
    </w:p>
    <w:p w14:paraId="26A79EE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Объем промышленных сбросов по области 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по сравнению с 201</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годом у</w:t>
      </w:r>
      <w:r w:rsidRPr="00F0736F">
        <w:rPr>
          <w:rFonts w:ascii="Times New Roman" w:hAnsi="Times New Roman" w:cs="Times New Roman"/>
          <w:color w:val="000000" w:themeColor="text1"/>
          <w:lang w:val="kk-KZ"/>
        </w:rPr>
        <w:t>величился</w:t>
      </w:r>
      <w:r w:rsidRPr="00F0736F">
        <w:rPr>
          <w:rFonts w:ascii="Times New Roman" w:hAnsi="Times New Roman" w:cs="Times New Roman"/>
          <w:color w:val="000000" w:themeColor="text1"/>
        </w:rPr>
        <w:t xml:space="preserve"> на </w:t>
      </w:r>
      <w:r w:rsidRPr="00F0736F">
        <w:rPr>
          <w:rFonts w:ascii="Times New Roman" w:hAnsi="Times New Roman" w:cs="Times New Roman"/>
          <w:color w:val="000000" w:themeColor="text1"/>
          <w:lang w:val="kk-KZ"/>
        </w:rPr>
        <w:t>7,3</w:t>
      </w:r>
      <w:r w:rsidRPr="00F0736F">
        <w:rPr>
          <w:rFonts w:ascii="Times New Roman" w:hAnsi="Times New Roman" w:cs="Times New Roman"/>
          <w:color w:val="000000" w:themeColor="text1"/>
        </w:rPr>
        <w:t>%. Отмечен рост</w:t>
      </w:r>
      <w:r w:rsidRPr="00F0736F">
        <w:rPr>
          <w:rFonts w:ascii="Times New Roman" w:hAnsi="Times New Roman" w:cs="Times New Roman"/>
          <w:color w:val="000000" w:themeColor="text1"/>
          <w:lang w:val="kk-KZ"/>
        </w:rPr>
        <w:t xml:space="preserve"> на 26% объема сброса очищенных сточных вод «КПО б.в.» за счет увеличения объема попутно-пластовых сточных вод, связанного с повышенной обводненностью добывающих скважин.</w:t>
      </w:r>
    </w:p>
    <w:p w14:paraId="078903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Нормативные сбросы загрязняющих веществ, сбрасываемых со сточными водами в водные объекты, составили в 2018 году 0,046 млн. т. при плане 0,086 млн. т. В целом по области 7 наиболее крупных водопользователей осуществляют сброс сточных вод в окружающую среду.</w:t>
      </w:r>
    </w:p>
    <w:p w14:paraId="2E62B1A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сравнению с 2017 годом на предприятиях наблюдается незначительное увеличение объема промышленных сбросов (КПО б.в., и ТОО «Жайкмунай») на 2,4% за счет увеличения объема попутно-пластовых сточных вод, которое связано с появлением добывающих скважин с повышенной обводненностью.</w:t>
      </w:r>
    </w:p>
    <w:p w14:paraId="1B46FF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 числу крупных природопользователей, осуществляющих сброс сточных вод, относятся: КПО б.в., ТОО «Батыс су арнасы», ГКП «Аксайжылукуат», АО «Жайыктеплоэнерго», АО «Конденсат», АО «КазТрансОйл» Уральское нефтепроводное управление Западный филиал, ТОО «Жаикмунай».</w:t>
      </w:r>
    </w:p>
    <w:p w14:paraId="0DB77C0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Всеми предприятиями, имеющими сброс, разработаны проекты нормативов ПДС, сброс сточных вод производится согласно установленным лимитам. Основной объем сточных вод образуется в г.Уральск и г.Аксай.</w:t>
      </w:r>
    </w:p>
    <w:p w14:paraId="531E9C0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w:t>
      </w:r>
    </w:p>
    <w:p w14:paraId="585446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2.7.3. Информация о фактических объемах сбросов</w:t>
      </w:r>
    </w:p>
    <w:p w14:paraId="3420AE48"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4"/>
        <w:gridCol w:w="3641"/>
        <w:gridCol w:w="1140"/>
        <w:gridCol w:w="1425"/>
        <w:gridCol w:w="1650"/>
      </w:tblGrid>
      <w:tr w:rsidR="00F0736F" w:rsidRPr="00F0736F" w14:paraId="1ED2975A" w14:textId="77777777" w:rsidTr="000B2B8A">
        <w:tc>
          <w:tcPr>
            <w:tcW w:w="5265" w:type="dxa"/>
            <w:gridSpan w:val="2"/>
            <w:tcBorders>
              <w:top w:val="single" w:sz="4" w:space="0" w:color="000000"/>
              <w:left w:val="single" w:sz="4" w:space="0" w:color="000000"/>
              <w:bottom w:val="single" w:sz="4" w:space="0" w:color="000000"/>
            </w:tcBorders>
            <w:shd w:val="clear" w:color="auto" w:fill="auto"/>
            <w:vAlign w:val="center"/>
          </w:tcPr>
          <w:p w14:paraId="64CAD29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Информация о фактических объемах сбросов</w:t>
            </w:r>
          </w:p>
        </w:tc>
        <w:tc>
          <w:tcPr>
            <w:tcW w:w="1140" w:type="dxa"/>
            <w:tcBorders>
              <w:top w:val="single" w:sz="4" w:space="0" w:color="000000"/>
              <w:left w:val="single" w:sz="4" w:space="0" w:color="000000"/>
              <w:bottom w:val="single" w:sz="4" w:space="0" w:color="000000"/>
            </w:tcBorders>
            <w:shd w:val="clear" w:color="auto" w:fill="auto"/>
            <w:vAlign w:val="center"/>
          </w:tcPr>
          <w:p w14:paraId="53FD4A1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За 2017 год</w:t>
            </w:r>
          </w:p>
        </w:tc>
        <w:tc>
          <w:tcPr>
            <w:tcW w:w="1425" w:type="dxa"/>
            <w:tcBorders>
              <w:top w:val="single" w:sz="4" w:space="0" w:color="000000"/>
              <w:left w:val="single" w:sz="4" w:space="0" w:color="000000"/>
              <w:bottom w:val="single" w:sz="4" w:space="0" w:color="000000"/>
            </w:tcBorders>
            <w:shd w:val="clear" w:color="auto" w:fill="auto"/>
            <w:vAlign w:val="center"/>
          </w:tcPr>
          <w:p w14:paraId="371105E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За 2018 год</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CB18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За 2019 год</w:t>
            </w:r>
          </w:p>
        </w:tc>
      </w:tr>
      <w:tr w:rsidR="00F0736F" w:rsidRPr="00F0736F" w14:paraId="34F91FCC" w14:textId="77777777" w:rsidTr="000B2B8A">
        <w:tc>
          <w:tcPr>
            <w:tcW w:w="1624" w:type="dxa"/>
            <w:vMerge w:val="restart"/>
            <w:tcBorders>
              <w:left w:val="single" w:sz="4" w:space="0" w:color="000000"/>
              <w:bottom w:val="single" w:sz="4" w:space="0" w:color="000000"/>
            </w:tcBorders>
            <w:shd w:val="clear" w:color="auto" w:fill="auto"/>
            <w:vAlign w:val="center"/>
          </w:tcPr>
          <w:p w14:paraId="10052A58"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Промышленные сбросы</w:t>
            </w:r>
          </w:p>
          <w:p w14:paraId="313632DC" w14:textId="77777777" w:rsidR="00AC1D5B" w:rsidRPr="00F0736F" w:rsidRDefault="00AC1D5B" w:rsidP="00AC1D5B">
            <w:pPr>
              <w:ind w:firstLine="709"/>
              <w:jc w:val="both"/>
              <w:rPr>
                <w:rFonts w:ascii="Times New Roman" w:hAnsi="Times New Roman" w:cs="Times New Roman"/>
                <w:color w:val="000000" w:themeColor="text1"/>
                <w:sz w:val="20"/>
                <w:szCs w:val="20"/>
              </w:rPr>
            </w:pPr>
          </w:p>
        </w:tc>
        <w:tc>
          <w:tcPr>
            <w:tcW w:w="3641" w:type="dxa"/>
            <w:tcBorders>
              <w:left w:val="single" w:sz="4" w:space="0" w:color="000000"/>
              <w:bottom w:val="single" w:sz="4" w:space="0" w:color="000000"/>
            </w:tcBorders>
            <w:shd w:val="clear" w:color="auto" w:fill="auto"/>
            <w:vAlign w:val="center"/>
          </w:tcPr>
          <w:p w14:paraId="0749E0F1"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водоотведения тыс. м</w:t>
            </w:r>
            <w:r w:rsidRPr="00F0736F">
              <w:rPr>
                <w:rFonts w:ascii="Times New Roman" w:hAnsi="Times New Roman" w:cs="Times New Roman"/>
                <w:color w:val="000000" w:themeColor="text1"/>
                <w:sz w:val="20"/>
                <w:szCs w:val="20"/>
                <w:vertAlign w:val="superscript"/>
              </w:rPr>
              <w:t>3</w:t>
            </w:r>
          </w:p>
        </w:tc>
        <w:tc>
          <w:tcPr>
            <w:tcW w:w="1140" w:type="dxa"/>
            <w:tcBorders>
              <w:left w:val="single" w:sz="4" w:space="0" w:color="000000"/>
              <w:bottom w:val="single" w:sz="4" w:space="0" w:color="000000"/>
            </w:tcBorders>
            <w:shd w:val="clear" w:color="auto" w:fill="auto"/>
            <w:vAlign w:val="center"/>
          </w:tcPr>
          <w:p w14:paraId="384727D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2965,73</w:t>
            </w:r>
          </w:p>
        </w:tc>
        <w:tc>
          <w:tcPr>
            <w:tcW w:w="1425" w:type="dxa"/>
            <w:tcBorders>
              <w:left w:val="single" w:sz="4" w:space="0" w:color="000000"/>
              <w:bottom w:val="single" w:sz="4" w:space="0" w:color="000000"/>
            </w:tcBorders>
            <w:shd w:val="clear" w:color="auto" w:fill="auto"/>
            <w:vAlign w:val="center"/>
          </w:tcPr>
          <w:p w14:paraId="1CCF1B2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3039,194</w:t>
            </w:r>
          </w:p>
        </w:tc>
        <w:tc>
          <w:tcPr>
            <w:tcW w:w="1650" w:type="dxa"/>
            <w:tcBorders>
              <w:left w:val="single" w:sz="4" w:space="0" w:color="000000"/>
              <w:bottom w:val="single" w:sz="4" w:space="0" w:color="000000"/>
              <w:right w:val="single" w:sz="4" w:space="0" w:color="000000"/>
            </w:tcBorders>
            <w:shd w:val="clear" w:color="auto" w:fill="auto"/>
            <w:vAlign w:val="center"/>
          </w:tcPr>
          <w:p w14:paraId="505055D1" w14:textId="77777777" w:rsidR="00AC1D5B" w:rsidRPr="00F0736F" w:rsidRDefault="00AC1D5B" w:rsidP="00AC1D5B">
            <w:pPr>
              <w:ind w:hanging="141"/>
              <w:jc w:val="center"/>
              <w:rPr>
                <w:color w:val="000000" w:themeColor="text1"/>
              </w:rPr>
            </w:pPr>
            <w:r w:rsidRPr="00F0736F">
              <w:rPr>
                <w:rFonts w:ascii="Times New Roman" w:hAnsi="Times New Roman" w:cs="Times New Roman"/>
                <w:color w:val="000000" w:themeColor="text1"/>
                <w:sz w:val="20"/>
                <w:szCs w:val="20"/>
                <w:lang w:val="kk-KZ"/>
              </w:rPr>
              <w:t>2959,620</w:t>
            </w:r>
          </w:p>
        </w:tc>
      </w:tr>
      <w:tr w:rsidR="00F0736F" w:rsidRPr="00F0736F" w14:paraId="22F20E7E" w14:textId="77777777" w:rsidTr="000B2B8A">
        <w:tc>
          <w:tcPr>
            <w:tcW w:w="1624" w:type="dxa"/>
            <w:vMerge/>
            <w:tcBorders>
              <w:left w:val="single" w:sz="4" w:space="0" w:color="000000"/>
              <w:bottom w:val="single" w:sz="4" w:space="0" w:color="000000"/>
            </w:tcBorders>
            <w:shd w:val="clear" w:color="auto" w:fill="auto"/>
            <w:vAlign w:val="center"/>
          </w:tcPr>
          <w:p w14:paraId="5445AC06"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3641" w:type="dxa"/>
            <w:tcBorders>
              <w:left w:val="single" w:sz="4" w:space="0" w:color="000000"/>
              <w:bottom w:val="single" w:sz="4" w:space="0" w:color="000000"/>
            </w:tcBorders>
            <w:shd w:val="clear" w:color="auto" w:fill="auto"/>
            <w:vAlign w:val="center"/>
          </w:tcPr>
          <w:p w14:paraId="0FE556FF"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загрязняющих веществ тыс. т.</w:t>
            </w:r>
          </w:p>
        </w:tc>
        <w:tc>
          <w:tcPr>
            <w:tcW w:w="1140" w:type="dxa"/>
            <w:tcBorders>
              <w:left w:val="single" w:sz="4" w:space="0" w:color="000000"/>
              <w:bottom w:val="single" w:sz="4" w:space="0" w:color="000000"/>
            </w:tcBorders>
            <w:shd w:val="clear" w:color="auto" w:fill="auto"/>
            <w:vAlign w:val="center"/>
          </w:tcPr>
          <w:p w14:paraId="6C472EE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34,2</w:t>
            </w:r>
          </w:p>
        </w:tc>
        <w:tc>
          <w:tcPr>
            <w:tcW w:w="1425" w:type="dxa"/>
            <w:tcBorders>
              <w:left w:val="single" w:sz="4" w:space="0" w:color="000000"/>
              <w:bottom w:val="single" w:sz="4" w:space="0" w:color="000000"/>
            </w:tcBorders>
            <w:shd w:val="clear" w:color="auto" w:fill="auto"/>
            <w:vAlign w:val="center"/>
          </w:tcPr>
          <w:p w14:paraId="01E0467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42,6</w:t>
            </w:r>
          </w:p>
        </w:tc>
        <w:tc>
          <w:tcPr>
            <w:tcW w:w="1650" w:type="dxa"/>
            <w:tcBorders>
              <w:left w:val="single" w:sz="4" w:space="0" w:color="000000"/>
              <w:bottom w:val="single" w:sz="4" w:space="0" w:color="000000"/>
              <w:right w:val="single" w:sz="4" w:space="0" w:color="000000"/>
            </w:tcBorders>
            <w:shd w:val="clear" w:color="auto" w:fill="auto"/>
            <w:vAlign w:val="center"/>
          </w:tcPr>
          <w:p w14:paraId="13FB18C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42,441</w:t>
            </w:r>
          </w:p>
        </w:tc>
      </w:tr>
      <w:tr w:rsidR="00F0736F" w:rsidRPr="00F0736F" w14:paraId="6D80BB4C" w14:textId="77777777" w:rsidTr="000B2B8A">
        <w:tc>
          <w:tcPr>
            <w:tcW w:w="1624" w:type="dxa"/>
            <w:vMerge w:val="restart"/>
            <w:tcBorders>
              <w:left w:val="single" w:sz="4" w:space="0" w:color="000000"/>
              <w:bottom w:val="single" w:sz="4" w:space="0" w:color="000000"/>
            </w:tcBorders>
            <w:shd w:val="clear" w:color="auto" w:fill="auto"/>
            <w:vAlign w:val="center"/>
          </w:tcPr>
          <w:p w14:paraId="3B22C8D9"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Хозяйственно-бытовые сточные воды</w:t>
            </w:r>
          </w:p>
        </w:tc>
        <w:tc>
          <w:tcPr>
            <w:tcW w:w="3641" w:type="dxa"/>
            <w:tcBorders>
              <w:left w:val="single" w:sz="4" w:space="0" w:color="000000"/>
              <w:bottom w:val="single" w:sz="4" w:space="0" w:color="000000"/>
            </w:tcBorders>
            <w:shd w:val="clear" w:color="auto" w:fill="auto"/>
            <w:vAlign w:val="center"/>
          </w:tcPr>
          <w:p w14:paraId="407FF4D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p>
        </w:tc>
        <w:tc>
          <w:tcPr>
            <w:tcW w:w="1140" w:type="dxa"/>
            <w:tcBorders>
              <w:left w:val="single" w:sz="4" w:space="0" w:color="000000"/>
              <w:bottom w:val="single" w:sz="4" w:space="0" w:color="000000"/>
            </w:tcBorders>
            <w:shd w:val="clear" w:color="auto" w:fill="auto"/>
            <w:vAlign w:val="center"/>
          </w:tcPr>
          <w:p w14:paraId="07E0A4F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8585,94</w:t>
            </w:r>
          </w:p>
        </w:tc>
        <w:tc>
          <w:tcPr>
            <w:tcW w:w="1425" w:type="dxa"/>
            <w:tcBorders>
              <w:left w:val="single" w:sz="4" w:space="0" w:color="000000"/>
              <w:bottom w:val="single" w:sz="4" w:space="0" w:color="000000"/>
            </w:tcBorders>
            <w:shd w:val="clear" w:color="auto" w:fill="auto"/>
            <w:vAlign w:val="center"/>
          </w:tcPr>
          <w:p w14:paraId="502453F1"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7311,112</w:t>
            </w:r>
          </w:p>
        </w:tc>
        <w:tc>
          <w:tcPr>
            <w:tcW w:w="1650" w:type="dxa"/>
            <w:tcBorders>
              <w:left w:val="single" w:sz="4" w:space="0" w:color="000000"/>
              <w:bottom w:val="single" w:sz="4" w:space="0" w:color="000000"/>
              <w:right w:val="single" w:sz="4" w:space="0" w:color="000000"/>
            </w:tcBorders>
            <w:shd w:val="clear" w:color="auto" w:fill="auto"/>
            <w:vAlign w:val="center"/>
          </w:tcPr>
          <w:p w14:paraId="1CB52CB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8213,78</w:t>
            </w:r>
          </w:p>
        </w:tc>
      </w:tr>
      <w:tr w:rsidR="00F0736F" w:rsidRPr="00F0736F" w14:paraId="532ADC20" w14:textId="77777777" w:rsidTr="000B2B8A">
        <w:tc>
          <w:tcPr>
            <w:tcW w:w="1624" w:type="dxa"/>
            <w:vMerge/>
            <w:tcBorders>
              <w:left w:val="single" w:sz="4" w:space="0" w:color="000000"/>
              <w:bottom w:val="single" w:sz="4" w:space="0" w:color="000000"/>
            </w:tcBorders>
            <w:shd w:val="clear" w:color="auto" w:fill="auto"/>
            <w:vAlign w:val="center"/>
          </w:tcPr>
          <w:p w14:paraId="7E9E3E81"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3641" w:type="dxa"/>
            <w:tcBorders>
              <w:left w:val="single" w:sz="4" w:space="0" w:color="000000"/>
              <w:bottom w:val="single" w:sz="4" w:space="0" w:color="000000"/>
            </w:tcBorders>
            <w:shd w:val="clear" w:color="auto" w:fill="auto"/>
            <w:vAlign w:val="center"/>
          </w:tcPr>
          <w:p w14:paraId="17D0CA49"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загрязняющих веществ тыс. т.</w:t>
            </w:r>
          </w:p>
        </w:tc>
        <w:tc>
          <w:tcPr>
            <w:tcW w:w="1140" w:type="dxa"/>
            <w:tcBorders>
              <w:left w:val="single" w:sz="4" w:space="0" w:color="000000"/>
              <w:bottom w:val="single" w:sz="4" w:space="0" w:color="000000"/>
            </w:tcBorders>
            <w:shd w:val="clear" w:color="auto" w:fill="auto"/>
            <w:vAlign w:val="center"/>
          </w:tcPr>
          <w:p w14:paraId="3FED09E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3,392</w:t>
            </w:r>
          </w:p>
        </w:tc>
        <w:tc>
          <w:tcPr>
            <w:tcW w:w="1425" w:type="dxa"/>
            <w:tcBorders>
              <w:left w:val="single" w:sz="4" w:space="0" w:color="000000"/>
              <w:bottom w:val="single" w:sz="4" w:space="0" w:color="000000"/>
            </w:tcBorders>
            <w:shd w:val="clear" w:color="auto" w:fill="auto"/>
            <w:vAlign w:val="center"/>
          </w:tcPr>
          <w:p w14:paraId="03A15296" w14:textId="77777777" w:rsidR="00AC1D5B" w:rsidRPr="00F0736F" w:rsidRDefault="00AC1D5B" w:rsidP="00AC1D5B">
            <w:pPr>
              <w:ind w:hanging="3"/>
              <w:jc w:val="center"/>
              <w:rPr>
                <w:color w:val="000000" w:themeColor="text1"/>
              </w:rPr>
            </w:pPr>
            <w:r w:rsidRPr="00F0736F">
              <w:rPr>
                <w:rFonts w:ascii="Times New Roman" w:hAnsi="Times New Roman" w:cs="Times New Roman"/>
                <w:color w:val="000000" w:themeColor="text1"/>
                <w:sz w:val="20"/>
                <w:szCs w:val="20"/>
              </w:rPr>
              <w:t>3,23</w:t>
            </w:r>
          </w:p>
        </w:tc>
        <w:tc>
          <w:tcPr>
            <w:tcW w:w="1650" w:type="dxa"/>
            <w:tcBorders>
              <w:left w:val="single" w:sz="4" w:space="0" w:color="000000"/>
              <w:bottom w:val="single" w:sz="4" w:space="0" w:color="000000"/>
              <w:right w:val="single" w:sz="4" w:space="0" w:color="000000"/>
            </w:tcBorders>
            <w:shd w:val="clear" w:color="auto" w:fill="auto"/>
            <w:vAlign w:val="center"/>
          </w:tcPr>
          <w:p w14:paraId="5EEA0767" w14:textId="77777777" w:rsidR="00AC1D5B" w:rsidRPr="00F0736F" w:rsidRDefault="00AC1D5B" w:rsidP="00AC1D5B">
            <w:pPr>
              <w:ind w:hanging="141"/>
              <w:jc w:val="center"/>
              <w:rPr>
                <w:color w:val="000000" w:themeColor="text1"/>
              </w:rPr>
            </w:pPr>
            <w:r w:rsidRPr="00F0736F">
              <w:rPr>
                <w:rFonts w:ascii="Times New Roman" w:hAnsi="Times New Roman" w:cs="Times New Roman"/>
                <w:color w:val="000000" w:themeColor="text1"/>
                <w:sz w:val="20"/>
                <w:szCs w:val="20"/>
                <w:lang w:val="kk-KZ"/>
              </w:rPr>
              <w:t>2,599</w:t>
            </w:r>
          </w:p>
        </w:tc>
      </w:tr>
      <w:tr w:rsidR="00F0736F" w:rsidRPr="00F0736F" w14:paraId="714432E8" w14:textId="77777777" w:rsidTr="000B2B8A">
        <w:tc>
          <w:tcPr>
            <w:tcW w:w="1624" w:type="dxa"/>
            <w:vMerge w:val="restart"/>
            <w:tcBorders>
              <w:left w:val="single" w:sz="4" w:space="0" w:color="000000"/>
              <w:bottom w:val="single" w:sz="4" w:space="0" w:color="000000"/>
            </w:tcBorders>
            <w:shd w:val="clear" w:color="auto" w:fill="auto"/>
            <w:vAlign w:val="center"/>
          </w:tcPr>
          <w:p w14:paraId="2E4B8C12"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Аварийные и не разрешенные сбросы</w:t>
            </w:r>
          </w:p>
        </w:tc>
        <w:tc>
          <w:tcPr>
            <w:tcW w:w="3641" w:type="dxa"/>
            <w:tcBorders>
              <w:left w:val="single" w:sz="4" w:space="0" w:color="000000"/>
              <w:bottom w:val="single" w:sz="4" w:space="0" w:color="000000"/>
            </w:tcBorders>
            <w:shd w:val="clear" w:color="auto" w:fill="auto"/>
            <w:vAlign w:val="center"/>
          </w:tcPr>
          <w:p w14:paraId="23495D3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p>
        </w:tc>
        <w:tc>
          <w:tcPr>
            <w:tcW w:w="1140" w:type="dxa"/>
            <w:tcBorders>
              <w:left w:val="single" w:sz="4" w:space="0" w:color="000000"/>
              <w:bottom w:val="single" w:sz="4" w:space="0" w:color="000000"/>
            </w:tcBorders>
            <w:shd w:val="clear" w:color="auto" w:fill="auto"/>
            <w:vAlign w:val="center"/>
          </w:tcPr>
          <w:p w14:paraId="5089D62E" w14:textId="77777777" w:rsidR="00AC1D5B" w:rsidRPr="00F0736F" w:rsidRDefault="00AC1D5B" w:rsidP="00AC1D5B">
            <w:pPr>
              <w:ind w:firstLine="709"/>
              <w:jc w:val="center"/>
              <w:rPr>
                <w:color w:val="000000" w:themeColor="text1"/>
                <w:lang w:val="en-US"/>
              </w:rPr>
            </w:pPr>
            <w:r w:rsidRPr="00F0736F">
              <w:rPr>
                <w:rFonts w:ascii="Times New Roman" w:hAnsi="Times New Roman" w:cs="Times New Roman"/>
                <w:color w:val="000000" w:themeColor="text1"/>
                <w:sz w:val="20"/>
                <w:szCs w:val="20"/>
                <w:lang w:val="en-US"/>
              </w:rPr>
              <w:t>-</w:t>
            </w:r>
          </w:p>
        </w:tc>
        <w:tc>
          <w:tcPr>
            <w:tcW w:w="1425" w:type="dxa"/>
            <w:tcBorders>
              <w:left w:val="single" w:sz="4" w:space="0" w:color="000000"/>
              <w:bottom w:val="single" w:sz="4" w:space="0" w:color="000000"/>
            </w:tcBorders>
            <w:shd w:val="clear" w:color="auto" w:fill="auto"/>
            <w:vAlign w:val="center"/>
          </w:tcPr>
          <w:p w14:paraId="52EA7C53"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lang w:val="en-US"/>
              </w:rPr>
            </w:pPr>
            <w:r w:rsidRPr="00F0736F">
              <w:rPr>
                <w:rFonts w:ascii="Times New Roman" w:hAnsi="Times New Roman" w:cs="Times New Roman"/>
                <w:color w:val="000000" w:themeColor="text1"/>
                <w:sz w:val="20"/>
                <w:szCs w:val="20"/>
                <w:lang w:val="en-US"/>
              </w:rPr>
              <w:t>-</w:t>
            </w:r>
          </w:p>
        </w:tc>
        <w:tc>
          <w:tcPr>
            <w:tcW w:w="1650" w:type="dxa"/>
            <w:tcBorders>
              <w:left w:val="single" w:sz="4" w:space="0" w:color="000000"/>
              <w:bottom w:val="single" w:sz="4" w:space="0" w:color="000000"/>
              <w:right w:val="single" w:sz="4" w:space="0" w:color="000000"/>
            </w:tcBorders>
            <w:shd w:val="clear" w:color="auto" w:fill="auto"/>
            <w:vAlign w:val="center"/>
          </w:tcPr>
          <w:p w14:paraId="08B05F49" w14:textId="77777777" w:rsidR="00AC1D5B" w:rsidRPr="00F0736F" w:rsidRDefault="00AC1D5B" w:rsidP="00AC1D5B">
            <w:pPr>
              <w:ind w:firstLine="709"/>
              <w:jc w:val="center"/>
              <w:rPr>
                <w:color w:val="000000" w:themeColor="text1"/>
                <w:lang w:val="en-US"/>
              </w:rPr>
            </w:pPr>
            <w:r w:rsidRPr="00F0736F">
              <w:rPr>
                <w:rFonts w:ascii="Times New Roman" w:hAnsi="Times New Roman" w:cs="Times New Roman"/>
                <w:color w:val="000000" w:themeColor="text1"/>
                <w:sz w:val="20"/>
                <w:szCs w:val="20"/>
                <w:lang w:val="en-US"/>
              </w:rPr>
              <w:t>-</w:t>
            </w:r>
          </w:p>
        </w:tc>
      </w:tr>
      <w:tr w:rsidR="00F0736F" w:rsidRPr="00F0736F" w14:paraId="0A2C16F3" w14:textId="77777777" w:rsidTr="000B2B8A">
        <w:tc>
          <w:tcPr>
            <w:tcW w:w="1624" w:type="dxa"/>
            <w:vMerge/>
            <w:tcBorders>
              <w:left w:val="single" w:sz="4" w:space="0" w:color="000000"/>
              <w:bottom w:val="single" w:sz="4" w:space="0" w:color="000000"/>
            </w:tcBorders>
            <w:shd w:val="clear" w:color="auto" w:fill="auto"/>
            <w:vAlign w:val="center"/>
          </w:tcPr>
          <w:p w14:paraId="6061E1BE"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3641" w:type="dxa"/>
            <w:tcBorders>
              <w:left w:val="single" w:sz="4" w:space="0" w:color="000000"/>
              <w:bottom w:val="single" w:sz="4" w:space="0" w:color="000000"/>
            </w:tcBorders>
            <w:shd w:val="clear" w:color="auto" w:fill="auto"/>
            <w:vAlign w:val="center"/>
          </w:tcPr>
          <w:p w14:paraId="261E32C8"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загрязняющих веществ тыс. тнн</w:t>
            </w:r>
          </w:p>
        </w:tc>
        <w:tc>
          <w:tcPr>
            <w:tcW w:w="1140" w:type="dxa"/>
            <w:tcBorders>
              <w:left w:val="single" w:sz="4" w:space="0" w:color="000000"/>
              <w:bottom w:val="single" w:sz="4" w:space="0" w:color="000000"/>
            </w:tcBorders>
            <w:shd w:val="clear" w:color="auto" w:fill="auto"/>
            <w:vAlign w:val="center"/>
          </w:tcPr>
          <w:p w14:paraId="6F8EE6B0" w14:textId="77777777" w:rsidR="00AC1D5B" w:rsidRPr="00F0736F" w:rsidRDefault="00AC1D5B" w:rsidP="00AC1D5B">
            <w:pPr>
              <w:ind w:firstLine="709"/>
              <w:jc w:val="center"/>
              <w:rPr>
                <w:color w:val="000000" w:themeColor="text1"/>
                <w:lang w:val="en-US"/>
              </w:rPr>
            </w:pPr>
            <w:r w:rsidRPr="00F0736F">
              <w:rPr>
                <w:rFonts w:ascii="Times New Roman" w:hAnsi="Times New Roman" w:cs="Times New Roman"/>
                <w:color w:val="000000" w:themeColor="text1"/>
                <w:sz w:val="20"/>
                <w:szCs w:val="20"/>
                <w:lang w:val="en-US"/>
              </w:rPr>
              <w:t>-</w:t>
            </w:r>
          </w:p>
        </w:tc>
        <w:tc>
          <w:tcPr>
            <w:tcW w:w="1425" w:type="dxa"/>
            <w:tcBorders>
              <w:left w:val="single" w:sz="4" w:space="0" w:color="000000"/>
              <w:bottom w:val="single" w:sz="4" w:space="0" w:color="000000"/>
            </w:tcBorders>
            <w:shd w:val="clear" w:color="auto" w:fill="auto"/>
            <w:vAlign w:val="center"/>
          </w:tcPr>
          <w:p w14:paraId="5834EB71"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lang w:val="en-US"/>
              </w:rPr>
            </w:pPr>
            <w:r w:rsidRPr="00F0736F">
              <w:rPr>
                <w:rFonts w:ascii="Times New Roman" w:hAnsi="Times New Roman" w:cs="Times New Roman"/>
                <w:color w:val="000000" w:themeColor="text1"/>
                <w:sz w:val="20"/>
                <w:szCs w:val="20"/>
                <w:lang w:val="en-US"/>
              </w:rPr>
              <w:t>-</w:t>
            </w:r>
          </w:p>
        </w:tc>
        <w:tc>
          <w:tcPr>
            <w:tcW w:w="1650" w:type="dxa"/>
            <w:tcBorders>
              <w:left w:val="single" w:sz="4" w:space="0" w:color="000000"/>
              <w:bottom w:val="single" w:sz="4" w:space="0" w:color="000000"/>
              <w:right w:val="single" w:sz="4" w:space="0" w:color="000000"/>
            </w:tcBorders>
            <w:shd w:val="clear" w:color="auto" w:fill="auto"/>
            <w:vAlign w:val="center"/>
          </w:tcPr>
          <w:p w14:paraId="0139317C" w14:textId="77777777" w:rsidR="00AC1D5B" w:rsidRPr="00F0736F" w:rsidRDefault="00AC1D5B" w:rsidP="00AC1D5B">
            <w:pPr>
              <w:ind w:firstLine="709"/>
              <w:jc w:val="center"/>
              <w:rPr>
                <w:color w:val="000000" w:themeColor="text1"/>
                <w:lang w:val="en-US"/>
              </w:rPr>
            </w:pPr>
            <w:r w:rsidRPr="00F0736F">
              <w:rPr>
                <w:rFonts w:ascii="Times New Roman" w:hAnsi="Times New Roman" w:cs="Times New Roman"/>
                <w:color w:val="000000" w:themeColor="text1"/>
                <w:sz w:val="20"/>
                <w:szCs w:val="20"/>
                <w:lang w:val="en-US"/>
              </w:rPr>
              <w:t>-</w:t>
            </w:r>
          </w:p>
        </w:tc>
      </w:tr>
      <w:tr w:rsidR="00F0736F" w:rsidRPr="00F0736F" w14:paraId="4C91404E" w14:textId="77777777" w:rsidTr="000B2B8A">
        <w:tc>
          <w:tcPr>
            <w:tcW w:w="1624" w:type="dxa"/>
            <w:vMerge w:val="restart"/>
            <w:tcBorders>
              <w:left w:val="single" w:sz="4" w:space="0" w:color="000000"/>
              <w:bottom w:val="single" w:sz="4" w:space="0" w:color="000000"/>
            </w:tcBorders>
            <w:shd w:val="clear" w:color="auto" w:fill="auto"/>
            <w:vAlign w:val="center"/>
          </w:tcPr>
          <w:p w14:paraId="587924E5"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Всего (все вышеперечисленные сбросы)</w:t>
            </w:r>
          </w:p>
        </w:tc>
        <w:tc>
          <w:tcPr>
            <w:tcW w:w="3641" w:type="dxa"/>
            <w:tcBorders>
              <w:left w:val="single" w:sz="4" w:space="0" w:color="000000"/>
              <w:bottom w:val="single" w:sz="4" w:space="0" w:color="000000"/>
            </w:tcBorders>
            <w:shd w:val="clear" w:color="auto" w:fill="auto"/>
            <w:vAlign w:val="center"/>
          </w:tcPr>
          <w:p w14:paraId="3A894882"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p>
        </w:tc>
        <w:tc>
          <w:tcPr>
            <w:tcW w:w="1140" w:type="dxa"/>
            <w:tcBorders>
              <w:left w:val="single" w:sz="4" w:space="0" w:color="000000"/>
              <w:bottom w:val="single" w:sz="4" w:space="0" w:color="000000"/>
            </w:tcBorders>
            <w:shd w:val="clear" w:color="auto" w:fill="auto"/>
            <w:vAlign w:val="center"/>
          </w:tcPr>
          <w:p w14:paraId="3FAF872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11551,67</w:t>
            </w:r>
          </w:p>
        </w:tc>
        <w:tc>
          <w:tcPr>
            <w:tcW w:w="1425" w:type="dxa"/>
            <w:tcBorders>
              <w:left w:val="single" w:sz="4" w:space="0" w:color="000000"/>
              <w:bottom w:val="single" w:sz="4" w:space="0" w:color="000000"/>
            </w:tcBorders>
            <w:shd w:val="clear" w:color="auto" w:fill="auto"/>
            <w:vAlign w:val="center"/>
          </w:tcPr>
          <w:p w14:paraId="4BE1D56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10350,306</w:t>
            </w:r>
          </w:p>
        </w:tc>
        <w:tc>
          <w:tcPr>
            <w:tcW w:w="1650" w:type="dxa"/>
            <w:tcBorders>
              <w:left w:val="single" w:sz="4" w:space="0" w:color="000000"/>
              <w:bottom w:val="single" w:sz="4" w:space="0" w:color="000000"/>
              <w:right w:val="single" w:sz="4" w:space="0" w:color="000000"/>
            </w:tcBorders>
            <w:shd w:val="clear" w:color="auto" w:fill="auto"/>
            <w:vAlign w:val="center"/>
          </w:tcPr>
          <w:p w14:paraId="31C4237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11173,4</w:t>
            </w:r>
          </w:p>
        </w:tc>
      </w:tr>
      <w:tr w:rsidR="00F0736F" w:rsidRPr="00F0736F" w14:paraId="5AC0A25C" w14:textId="77777777" w:rsidTr="000B2B8A">
        <w:tc>
          <w:tcPr>
            <w:tcW w:w="1624" w:type="dxa"/>
            <w:vMerge/>
            <w:tcBorders>
              <w:left w:val="single" w:sz="4" w:space="0" w:color="000000"/>
              <w:bottom w:val="single" w:sz="4" w:space="0" w:color="000000"/>
            </w:tcBorders>
            <w:shd w:val="clear" w:color="auto" w:fill="auto"/>
            <w:vAlign w:val="center"/>
          </w:tcPr>
          <w:p w14:paraId="7B5CD363"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3641" w:type="dxa"/>
            <w:tcBorders>
              <w:left w:val="single" w:sz="4" w:space="0" w:color="000000"/>
              <w:bottom w:val="single" w:sz="4" w:space="0" w:color="000000"/>
            </w:tcBorders>
            <w:shd w:val="clear" w:color="auto" w:fill="auto"/>
            <w:vAlign w:val="center"/>
          </w:tcPr>
          <w:p w14:paraId="3326821D"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Объем загрязняющих веществ тыс. т.</w:t>
            </w:r>
          </w:p>
        </w:tc>
        <w:tc>
          <w:tcPr>
            <w:tcW w:w="1140" w:type="dxa"/>
            <w:tcBorders>
              <w:left w:val="single" w:sz="4" w:space="0" w:color="000000"/>
              <w:bottom w:val="single" w:sz="4" w:space="0" w:color="000000"/>
            </w:tcBorders>
            <w:shd w:val="clear" w:color="auto" w:fill="auto"/>
            <w:vAlign w:val="center"/>
          </w:tcPr>
          <w:p w14:paraId="675A63D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37,592</w:t>
            </w:r>
          </w:p>
        </w:tc>
        <w:tc>
          <w:tcPr>
            <w:tcW w:w="1425" w:type="dxa"/>
            <w:tcBorders>
              <w:left w:val="single" w:sz="4" w:space="0" w:color="000000"/>
              <w:bottom w:val="single" w:sz="4" w:space="0" w:color="000000"/>
            </w:tcBorders>
            <w:shd w:val="clear" w:color="auto" w:fill="auto"/>
            <w:vAlign w:val="center"/>
          </w:tcPr>
          <w:p w14:paraId="11B4BF4B" w14:textId="77777777" w:rsidR="00AC1D5B" w:rsidRPr="00F0736F" w:rsidRDefault="00AC1D5B" w:rsidP="00AC1D5B">
            <w:pPr>
              <w:ind w:hanging="145"/>
              <w:jc w:val="center"/>
              <w:rPr>
                <w:color w:val="000000" w:themeColor="text1"/>
              </w:rPr>
            </w:pPr>
            <w:r w:rsidRPr="00F0736F">
              <w:rPr>
                <w:rFonts w:ascii="Times New Roman" w:hAnsi="Times New Roman" w:cs="Times New Roman"/>
                <w:color w:val="000000" w:themeColor="text1"/>
                <w:sz w:val="20"/>
                <w:szCs w:val="20"/>
              </w:rPr>
              <w:t>45,8</w:t>
            </w:r>
          </w:p>
        </w:tc>
        <w:tc>
          <w:tcPr>
            <w:tcW w:w="1650" w:type="dxa"/>
            <w:tcBorders>
              <w:left w:val="single" w:sz="4" w:space="0" w:color="000000"/>
              <w:bottom w:val="single" w:sz="4" w:space="0" w:color="000000"/>
              <w:right w:val="single" w:sz="4" w:space="0" w:color="000000"/>
            </w:tcBorders>
            <w:shd w:val="clear" w:color="auto" w:fill="auto"/>
            <w:vAlign w:val="center"/>
          </w:tcPr>
          <w:p w14:paraId="5E1B5CB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lang w:val="kk-KZ"/>
              </w:rPr>
              <w:t>45,04</w:t>
            </w:r>
          </w:p>
        </w:tc>
      </w:tr>
    </w:tbl>
    <w:p w14:paraId="2B218102" w14:textId="77777777" w:rsidR="00AC1D5B" w:rsidRPr="00F0736F" w:rsidRDefault="00AC1D5B" w:rsidP="00AC1D5B">
      <w:pPr>
        <w:ind w:firstLine="709"/>
        <w:jc w:val="both"/>
        <w:rPr>
          <w:i/>
          <w:iCs/>
          <w:color w:val="000000" w:themeColor="text1"/>
        </w:rPr>
      </w:pPr>
      <w:r w:rsidRPr="00F0736F">
        <w:rPr>
          <w:rFonts w:ascii="Times New Roman" w:hAnsi="Times New Roman" w:cs="Times New Roman"/>
          <w:i/>
          <w:iCs/>
          <w:color w:val="000000" w:themeColor="text1"/>
          <w:sz w:val="20"/>
          <w:szCs w:val="20"/>
        </w:rPr>
        <w:t>Данные Акимата области</w:t>
      </w:r>
    </w:p>
    <w:p w14:paraId="3F5EFE8C" w14:textId="77777777" w:rsidR="00AC1D5B" w:rsidRPr="00F0736F" w:rsidRDefault="00AC1D5B" w:rsidP="00AC1D5B">
      <w:pPr>
        <w:ind w:firstLine="709"/>
        <w:jc w:val="both"/>
        <w:rPr>
          <w:rFonts w:ascii="Times New Roman" w:hAnsi="Times New Roman" w:cs="Times New Roman"/>
          <w:color w:val="000000" w:themeColor="text1"/>
        </w:rPr>
      </w:pPr>
    </w:p>
    <w:p w14:paraId="3A580C0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Имеется два выпуска условно чистых вод в р. Урал: от станции водоподготовки питьевой воды ТОО «Батыс Су Арнасы» и от охладительной системы турбины №2 ПР-10/35 Уральской ТЭЦ. </w:t>
      </w:r>
    </w:p>
    <w:p w14:paraId="5ED1B00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Имеются три накопителя сточных вод, в том числе 2 - для аккумуляции сточных вод г. Уральска и 1 - сточных вод г. Аксая. </w:t>
      </w:r>
    </w:p>
    <w:p w14:paraId="2D5B97D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Сточные воды г. Уральска (хозяйственно-бытовые и производственные) проходят механическую очистку на канализационных очистных сооружениях, естественную биоочистку на искусственных прудах и сбрасываются в накопитель №2.</w:t>
      </w:r>
    </w:p>
    <w:p w14:paraId="2DDD315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19BB3B84"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lang w:eastAsia="en-US" w:bidi="en-US"/>
        </w:rPr>
        <w:t>Твердые бытовые отходы.</w:t>
      </w:r>
      <w:r w:rsidRPr="00F0736F">
        <w:rPr>
          <w:rFonts w:ascii="Times New Roman" w:hAnsi="Times New Roman" w:cs="Times New Roman"/>
          <w:color w:val="000000" w:themeColor="text1"/>
          <w:lang w:eastAsia="en-US" w:bidi="en-US"/>
        </w:rPr>
        <w:t xml:space="preserve"> </w:t>
      </w:r>
      <w:r w:rsidRPr="00F0736F">
        <w:rPr>
          <w:rFonts w:ascii="Times New Roman" w:hAnsi="Times New Roman" w:cs="Times New Roman"/>
          <w:color w:val="000000" w:themeColor="text1"/>
        </w:rPr>
        <w:t xml:space="preserve">В 2018 году образовано 108 тыс. т. ТБО, из них переработано 5,28%. В 2017 году объем образованных ТБО составил 105 тыс. т., из них переработано 2,17%. </w:t>
      </w:r>
      <w:r w:rsidRPr="00F0736F">
        <w:rPr>
          <w:rFonts w:ascii="Times New Roman" w:hAnsi="Times New Roman" w:cs="Times New Roman"/>
          <w:color w:val="000000" w:themeColor="text1"/>
          <w:lang w:val="kk-KZ"/>
        </w:rPr>
        <w:t>Из 318 объектов размещения ТБО всего лишь 8 соответствуют экологическим и санитарным требованиям и нормам, что составляет 2,52</w:t>
      </w:r>
      <w:r w:rsidRPr="00F0736F">
        <w:rPr>
          <w:rFonts w:ascii="Times New Roman" w:hAnsi="Times New Roman" w:cs="Times New Roman"/>
          <w:color w:val="000000" w:themeColor="text1"/>
        </w:rPr>
        <w:t>%.</w:t>
      </w:r>
    </w:p>
    <w:p w14:paraId="3EE6E70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2019 год переработано 8,6% от общего объема сложившихся твердых бытовых отходов и 55% промышленных отходов.</w:t>
      </w:r>
    </w:p>
    <w:p w14:paraId="3B3AF5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Утвержден Комплекс мер по современной утилизации и переработке твердых бытовых отходов с широким вовлечением субъектов малого и среднего бизнеса на 2018 - 2022 годы по Западно-Казахстанской области. Также утверждены 4 Дорожные карты по внедрению раздельного сбора, сортировки, утилизации и переработке твердых бытовых отходов до 2020 года (Бурлинский, Зеленовский, Теректинский районы и г. Уральск).</w:t>
      </w:r>
    </w:p>
    <w:p w14:paraId="5FE736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сфере сбора и переработки твердых бытовых отходов работают 16 предприятий. Среди крупных местных перерабатывающих предприятий можно отметить ТОО «Кама Центр» мощностью 2 тыс. т. в год по переработке автомобильных резин, ИП «Губер» мощностью 500 кг в час и ИП «Усенова» по обработке бумаги. Продукция этих предприятий выпускается по доступным ценам на местный рынок. </w:t>
      </w:r>
    </w:p>
    <w:p w14:paraId="4415A6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Уральском городском полигоне твердых бытовых отходов компания "ICM Recycling" запустила сеть сортировки мусора мощностью 100 тыс. т. в год. Стоимость проекта-1,7 млрд. долл. тенге (средства инвестора). Срок реализации проекта: 2017 - 2023 годы.</w:t>
      </w:r>
    </w:p>
    <w:p w14:paraId="0DA618E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решения вопроса предварительной сортировки и раздельного сбора отходов в областных и районных центрах организованы пункты приема картона, бумаги, пластика, шин. По области установлено 1306 контейнеров, в том числе в г. Уральске 767, районах 539 единиц. Для сбора ртутьсодержащих ламп, батарей и приборов установлено 54 специальных контейнера, из них 27 в г. Уральске и 27 в районах. В области эти ртутьсодержащие отходы занимаются утилизацией АО «Талап» и ТОО «Мега-Жазира».</w:t>
      </w:r>
    </w:p>
    <w:p w14:paraId="3816020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27 февраля 2018 года ТОО «Кама Центр» открыл завод по переработке шин и резины. Для данной работы при поддержке Фонда Даму субсидирована ТОО «Оператор РОП». Глубокая переработка использованных автомобильных шин используется на предприятии, а затем на производстве покрытий для спортивных и игровых площадок.</w:t>
      </w:r>
    </w:p>
    <w:p w14:paraId="3F59860A"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color w:val="000000" w:themeColor="text1"/>
          <w:spacing w:val="2"/>
          <w:lang w:eastAsia="en-US" w:bidi="en-US"/>
        </w:rPr>
        <w:t xml:space="preserve">Состояние биологических ресурсов и развитие лесного, рыбного и охотничьего хозяйств, </w:t>
      </w:r>
      <w:r w:rsidRPr="00F0736F">
        <w:rPr>
          <w:rFonts w:ascii="Times New Roman" w:hAnsi="Times New Roman" w:cs="Times New Roman"/>
          <w:b/>
          <w:bCs/>
          <w:i/>
          <w:color w:val="000000" w:themeColor="text1"/>
          <w:spacing w:val="2"/>
          <w:lang w:eastAsia="ru-RU" w:bidi="ru-RU"/>
        </w:rPr>
        <w:t xml:space="preserve">ООПТ </w:t>
      </w:r>
      <w:r w:rsidRPr="00F0736F">
        <w:rPr>
          <w:rFonts w:ascii="Times New Roman" w:eastAsia="Calibri" w:hAnsi="Times New Roman" w:cs="Times New Roman"/>
          <w:b/>
          <w:bCs/>
          <w:i/>
          <w:color w:val="000000" w:themeColor="text1"/>
          <w:spacing w:val="2"/>
          <w:lang w:eastAsia="en-US" w:bidi="en-US"/>
        </w:rPr>
        <w:t>и экологического туризма</w:t>
      </w:r>
    </w:p>
    <w:p w14:paraId="6877F4E3" w14:textId="173B1F91"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Площадь государственного </w:t>
      </w:r>
      <w:r w:rsidRPr="00F0736F">
        <w:rPr>
          <w:rFonts w:ascii="Times New Roman" w:hAnsi="Times New Roman" w:cs="Times New Roman"/>
          <w:b/>
          <w:color w:val="000000" w:themeColor="text1"/>
        </w:rPr>
        <w:t>лесного фонда</w:t>
      </w:r>
      <w:r w:rsidRPr="00F0736F">
        <w:rPr>
          <w:rFonts w:ascii="Times New Roman" w:hAnsi="Times New Roman" w:cs="Times New Roman"/>
          <w:color w:val="000000" w:themeColor="text1"/>
        </w:rPr>
        <w:t xml:space="preserve"> по состоянию на 1 января 2018 года составила 216,8 тыс. га (на 01.01.2017 г. – 216,8 тыс. га). </w:t>
      </w:r>
      <w:r w:rsidRPr="00F0736F">
        <w:rPr>
          <w:rFonts w:ascii="Times New Roman" w:hAnsi="Times New Roman" w:cs="Times New Roman"/>
          <w:color w:val="000000" w:themeColor="text1"/>
          <w:lang w:val="kk-KZ"/>
        </w:rPr>
        <w:t>За 2017 год общая площадь государственного лесного фонда не изменилась, а покрытая лесом площадь уменьшилась на 92 га по причине произошедших лесных пожаров на территории государственного лесного фонда и на 01.01.2018 года составила 89</w:t>
      </w:r>
      <w:r w:rsidR="000B2B8A"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lang w:val="kk-KZ"/>
        </w:rPr>
        <w:t xml:space="preserve">418 га </w:t>
      </w:r>
      <w:r w:rsidRPr="00F0736F">
        <w:rPr>
          <w:rFonts w:ascii="Times New Roman" w:hAnsi="Times New Roman" w:cs="Times New Roman"/>
          <w:color w:val="000000" w:themeColor="text1"/>
        </w:rPr>
        <w:t xml:space="preserve">(41% от площади государственного лесного фонда).  </w:t>
      </w:r>
    </w:p>
    <w:p w14:paraId="5CFA9EB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w:t>
      </w:r>
      <w:r w:rsidRPr="00F0736F">
        <w:rPr>
          <w:rFonts w:ascii="Times New Roman" w:hAnsi="Times New Roman" w:cs="Times New Roman"/>
          <w:color w:val="000000" w:themeColor="text1"/>
        </w:rPr>
        <w:t xml:space="preserve">целях увеличения лесопокрытых лесом площадей в 2017 году проведена посадка лесных культур в гослесфонде на площади </w:t>
      </w:r>
      <w:r w:rsidRPr="00F0736F">
        <w:rPr>
          <w:rFonts w:ascii="Times New Roman" w:hAnsi="Times New Roman" w:cs="Times New Roman"/>
          <w:color w:val="000000" w:themeColor="text1"/>
          <w:lang w:val="kk-KZ"/>
        </w:rPr>
        <w:t>250</w:t>
      </w:r>
      <w:r w:rsidRPr="00F0736F">
        <w:rPr>
          <w:rFonts w:ascii="Times New Roman" w:hAnsi="Times New Roman" w:cs="Times New Roman"/>
          <w:color w:val="000000" w:themeColor="text1"/>
        </w:rPr>
        <w:t xml:space="preserve"> га, созданы придорожные лесные полосы вдоль автодорог на </w:t>
      </w:r>
      <w:r w:rsidRPr="00F0736F">
        <w:rPr>
          <w:rFonts w:ascii="Times New Roman" w:hAnsi="Times New Roman" w:cs="Times New Roman"/>
          <w:color w:val="000000" w:themeColor="text1"/>
          <w:lang w:val="kk-KZ"/>
        </w:rPr>
        <w:t>10</w:t>
      </w:r>
      <w:r w:rsidRPr="00F0736F">
        <w:rPr>
          <w:rFonts w:ascii="Times New Roman" w:hAnsi="Times New Roman" w:cs="Times New Roman"/>
          <w:color w:val="000000" w:themeColor="text1"/>
        </w:rPr>
        <w:t>0 га, проведено закрепление песков методом посадки леса на площади 150 га. Приживаемость лесных культур, создаваемых в гослесфонде, однолетнего возраста составляет 47,6%. На цели озеленения населенных пунктов и для выполнения лесовосстановительных мероприятий выращено 3377 тыс.</w:t>
      </w:r>
      <w:r w:rsidRPr="00F0736F">
        <w:rPr>
          <w:rFonts w:ascii="Times New Roman" w:hAnsi="Times New Roman" w:cs="Times New Roman"/>
          <w:color w:val="000000" w:themeColor="text1"/>
          <w:lang w:val="kk-KZ"/>
        </w:rPr>
        <w:t xml:space="preserve"> штук</w:t>
      </w:r>
      <w:r w:rsidRPr="00F0736F">
        <w:rPr>
          <w:rFonts w:ascii="Times New Roman" w:hAnsi="Times New Roman" w:cs="Times New Roman"/>
          <w:color w:val="000000" w:themeColor="text1"/>
        </w:rPr>
        <w:t xml:space="preserve"> саженцев </w:t>
      </w:r>
      <w:r w:rsidRPr="00F0736F">
        <w:rPr>
          <w:rFonts w:ascii="Times New Roman" w:hAnsi="Times New Roman" w:cs="Times New Roman"/>
          <w:color w:val="000000" w:themeColor="text1"/>
          <w:lang w:val="kk-KZ"/>
        </w:rPr>
        <w:t>и</w:t>
      </w:r>
      <w:r w:rsidRPr="00F0736F">
        <w:rPr>
          <w:rFonts w:ascii="Times New Roman" w:hAnsi="Times New Roman" w:cs="Times New Roman"/>
          <w:color w:val="000000" w:themeColor="text1"/>
        </w:rPr>
        <w:t xml:space="preserve"> сеянцев. </w:t>
      </w:r>
      <w:r w:rsidRPr="00F0736F">
        <w:rPr>
          <w:rFonts w:ascii="Times New Roman" w:hAnsi="Times New Roman" w:cs="Times New Roman"/>
          <w:color w:val="000000" w:themeColor="text1"/>
          <w:lang w:val="kk-KZ"/>
        </w:rPr>
        <w:t xml:space="preserve"> </w:t>
      </w:r>
    </w:p>
    <w:p w14:paraId="15A72A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укрепляется материально-техническая база государственных учреждений по охране лесов и животного мира. За период 2015 - 2017 годы приобретены 1 пожарная машина, 8 тракторов МТЗ, 12 автомобилей УАЗ, 1 автомобил</w:t>
      </w:r>
      <w:r w:rsidRPr="00F0736F">
        <w:rPr>
          <w:rFonts w:ascii="Times New Roman" w:hAnsi="Times New Roman" w:cs="Times New Roman"/>
          <w:color w:val="000000" w:themeColor="text1"/>
          <w:lang w:val="kk-KZ"/>
        </w:rPr>
        <w:t>ь</w:t>
      </w:r>
      <w:r w:rsidRPr="00F0736F">
        <w:rPr>
          <w:rFonts w:ascii="Times New Roman" w:hAnsi="Times New Roman" w:cs="Times New Roman"/>
          <w:color w:val="000000" w:themeColor="text1"/>
        </w:rPr>
        <w:t xml:space="preserve"> ВАЗ, 2 грузовых автомобиля ГАЗ.</w:t>
      </w:r>
    </w:p>
    <w:p w14:paraId="492936A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достижения плановой приживаемости лесных культур ведется работа по улучшению качества подготовки почвы, увеличению ассортимента выращиваемого посадочного материала, выбору культур, более адаптированных к местным климатическим условиям.</w:t>
      </w:r>
    </w:p>
    <w:p w14:paraId="4D2373F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w:t>
      </w:r>
      <w:r w:rsidRPr="00F0736F">
        <w:rPr>
          <w:rFonts w:ascii="Times New Roman" w:hAnsi="Times New Roman" w:cs="Times New Roman"/>
          <w:color w:val="000000" w:themeColor="text1"/>
          <w:lang w:val="kk-KZ"/>
        </w:rPr>
        <w:t>2017</w:t>
      </w:r>
      <w:r w:rsidRPr="00F0736F">
        <w:rPr>
          <w:rFonts w:ascii="Times New Roman" w:hAnsi="Times New Roman" w:cs="Times New Roman"/>
          <w:color w:val="000000" w:themeColor="text1"/>
        </w:rPr>
        <w:t xml:space="preserve"> году на территории государственного лесного фонда </w:t>
      </w:r>
      <w:r w:rsidRPr="00F0736F">
        <w:rPr>
          <w:rFonts w:ascii="Times New Roman" w:hAnsi="Times New Roman" w:cs="Times New Roman"/>
          <w:color w:val="000000" w:themeColor="text1"/>
          <w:lang w:val="kk-KZ"/>
        </w:rPr>
        <w:t xml:space="preserve">допущено </w:t>
      </w:r>
      <w:r w:rsidRPr="00F0736F">
        <w:rPr>
          <w:rFonts w:ascii="Times New Roman" w:hAnsi="Times New Roman" w:cs="Times New Roman"/>
          <w:color w:val="000000" w:themeColor="text1"/>
        </w:rPr>
        <w:t>17</w:t>
      </w:r>
      <w:r w:rsidRPr="00F0736F">
        <w:rPr>
          <w:rFonts w:ascii="Times New Roman" w:hAnsi="Times New Roman" w:cs="Times New Roman"/>
          <w:color w:val="000000" w:themeColor="text1"/>
          <w:lang w:val="kk-KZ"/>
        </w:rPr>
        <w:t xml:space="preserve"> случаев </w:t>
      </w:r>
      <w:r w:rsidRPr="00F0736F">
        <w:rPr>
          <w:rFonts w:ascii="Times New Roman" w:hAnsi="Times New Roman" w:cs="Times New Roman"/>
          <w:color w:val="000000" w:themeColor="text1"/>
        </w:rPr>
        <w:t xml:space="preserve">лесных пожаров на общей площади 557,5 га, в т.ч. лесопокрытая составила 405,7 га </w:t>
      </w:r>
      <w:r w:rsidRPr="00F0736F">
        <w:rPr>
          <w:rFonts w:ascii="Times New Roman" w:hAnsi="Times New Roman" w:cs="Times New Roman"/>
          <w:color w:val="000000" w:themeColor="text1"/>
          <w:lang w:val="kk-KZ"/>
        </w:rPr>
        <w:t>(в 2016 г. -  2 случая пожара на площади 3,6 тыс. га).</w:t>
      </w:r>
    </w:p>
    <w:p w14:paraId="6424EB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В целях охраны лесов от пожаров</w:t>
      </w:r>
      <w:r w:rsidRPr="00F0736F">
        <w:rPr>
          <w:rFonts w:ascii="Times New Roman" w:hAnsi="Times New Roman" w:cs="Times New Roman"/>
          <w:b/>
          <w:color w:val="000000" w:themeColor="text1"/>
          <w:lang w:val="kk-KZ"/>
        </w:rPr>
        <w:t xml:space="preserve"> </w:t>
      </w:r>
      <w:r w:rsidRPr="00F0736F">
        <w:rPr>
          <w:rFonts w:ascii="Times New Roman" w:hAnsi="Times New Roman" w:cs="Times New Roman"/>
          <w:color w:val="000000" w:themeColor="text1"/>
          <w:lang w:val="kk-KZ"/>
        </w:rPr>
        <w:t>в</w:t>
      </w:r>
      <w:r w:rsidRPr="00F0736F">
        <w:rPr>
          <w:rFonts w:ascii="Times New Roman" w:hAnsi="Times New Roman" w:cs="Times New Roman"/>
          <w:color w:val="000000" w:themeColor="text1"/>
        </w:rPr>
        <w:t xml:space="preserve">ыполнено устройство минерализованных лесных полос всего протяженностью 2000 км, а также осуществлены уходы за ними на расстоянии 7300 км. Разрубка квартальных просек выполнена на 97 км и ремонт дорог лесохозяйственного и противопожарного назначения выполнен на протяженности 70 км. </w:t>
      </w:r>
    </w:p>
    <w:p w14:paraId="7760ECC1"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ООПТ</w:t>
      </w:r>
      <w:r w:rsidRPr="00F0736F">
        <w:rPr>
          <w:rFonts w:ascii="Times New Roman" w:hAnsi="Times New Roman" w:cs="Times New Roman"/>
          <w:color w:val="000000" w:themeColor="text1"/>
        </w:rPr>
        <w:t xml:space="preserve"> области представлены четырьмя государственными природными зоологическими заказниками республиканского значения (Кирсановский, Бударинский. Жалтыркульский) с уникальным набором ландшафтных комплексов, а также пятью государственными природными заказниками областного значения.</w:t>
      </w:r>
    </w:p>
    <w:p w14:paraId="5C679C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в сравнении с 2015 годом количество посетителей въездного и внутреннего туризма увеличилось на 18,9%. </w:t>
      </w:r>
    </w:p>
    <w:p w14:paraId="0DE7F1A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в связи с увеличением числа индивидуальных предпринимателей, занимающихся предоставлением мест размещения, количество объектов, занимающихся размещением посетителей, увеличилось на 4 единицы и составило 72 единицы, в которых насчитывается 1510 номеров, при этом единовременная вместимость составляет 2873 койко-мест. Ими обслужено 112,3 тыс. человек и оказано услуг на сумму 3121,0 млн. тенге. Объем услуг мест размещения (без учета услуг ресторанов) в сравнении с 2015 годом увеличился в 1,6 раза.</w:t>
      </w:r>
    </w:p>
    <w:p w14:paraId="162EBCDC" w14:textId="77777777" w:rsidR="00AC1D5B" w:rsidRPr="00F0736F" w:rsidRDefault="00AC1D5B" w:rsidP="00AC1D5B">
      <w:pPr>
        <w:ind w:firstLine="709"/>
        <w:jc w:val="both"/>
        <w:rPr>
          <w:color w:val="000000" w:themeColor="text1"/>
        </w:rPr>
      </w:pPr>
    </w:p>
    <w:p w14:paraId="1A0FFCF2"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0" w:name="_Toc57818742"/>
      <w:r w:rsidRPr="007272FB">
        <w:rPr>
          <w:rFonts w:ascii="Times New Roman" w:eastAsia="Times New Roman" w:hAnsi="Times New Roman" w:cs="Times New Roman"/>
          <w:color w:val="000000" w:themeColor="text1"/>
          <w:sz w:val="24"/>
          <w:szCs w:val="24"/>
        </w:rPr>
        <w:t>2.8. Карагандинская область</w:t>
      </w:r>
      <w:bookmarkEnd w:id="50"/>
    </w:p>
    <w:p w14:paraId="72678C27" w14:textId="77777777" w:rsidR="00AC1D5B" w:rsidRPr="00F0736F" w:rsidRDefault="00AC1D5B" w:rsidP="00AC1D5B">
      <w:pPr>
        <w:ind w:firstLine="709"/>
        <w:jc w:val="both"/>
        <w:rPr>
          <w:rFonts w:ascii="Times New Roman" w:hAnsi="Times New Roman" w:cs="Times New Roman"/>
          <w:color w:val="000000" w:themeColor="text1"/>
        </w:rPr>
      </w:pPr>
    </w:p>
    <w:p w14:paraId="0978B5D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76E5EFA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Карагандинская область является крупнейшим индустриальным центром страны и входит в лидирующую четверку среди других регионов республики. Территория области – 428 тыс. кв. км. </w:t>
      </w:r>
      <w:r w:rsidRPr="00F0736F">
        <w:rPr>
          <w:rFonts w:ascii="Times New Roman" w:hAnsi="Times New Roman" w:cs="Times New Roman"/>
          <w:color w:val="000000" w:themeColor="text1"/>
        </w:rPr>
        <w:t>Однако, п</w:t>
      </w:r>
      <w:r w:rsidRPr="00F0736F">
        <w:rPr>
          <w:rFonts w:ascii="Times New Roman" w:hAnsi="Times New Roman" w:cs="Times New Roman"/>
          <w:color w:val="000000" w:themeColor="text1"/>
          <w:lang w:val="kk-KZ"/>
        </w:rPr>
        <w:t xml:space="preserve">о данным Комитета по статистике, численность населения </w:t>
      </w:r>
      <w:r w:rsidRPr="00F0736F">
        <w:rPr>
          <w:rFonts w:ascii="Times New Roman" w:hAnsi="Times New Roman" w:cs="Times New Roman"/>
          <w:color w:val="000000" w:themeColor="text1"/>
        </w:rPr>
        <w:t>постоянно снижается:</w:t>
      </w:r>
      <w:r w:rsidRPr="00F0736F">
        <w:rPr>
          <w:rFonts w:ascii="Times New Roman" w:hAnsi="Times New Roman" w:cs="Times New Roman"/>
          <w:color w:val="000000" w:themeColor="text1"/>
          <w:lang w:val="kk-KZ"/>
        </w:rPr>
        <w:t xml:space="preserve"> на начало 2018 года составила 1380,5 тыс. человек, на начало 2019 года – 1378,5 тыс. </w:t>
      </w:r>
      <w:r w:rsidRPr="00F0736F">
        <w:rPr>
          <w:rFonts w:ascii="Times New Roman" w:hAnsi="Times New Roman" w:cs="Times New Roman"/>
          <w:color w:val="000000" w:themeColor="text1"/>
        </w:rPr>
        <w:t>ч</w:t>
      </w:r>
      <w:r w:rsidRPr="00F0736F">
        <w:rPr>
          <w:rFonts w:ascii="Times New Roman" w:hAnsi="Times New Roman" w:cs="Times New Roman"/>
          <w:color w:val="000000" w:themeColor="text1"/>
          <w:lang w:val="kk-KZ"/>
        </w:rPr>
        <w:t xml:space="preserve">еловек, </w:t>
      </w:r>
      <w:r w:rsidRPr="00F0736F">
        <w:rPr>
          <w:rFonts w:ascii="Times New Roman" w:hAnsi="Times New Roman" w:cs="Times New Roman"/>
          <w:color w:val="000000" w:themeColor="text1"/>
        </w:rPr>
        <w:t>а на начало 2020 года — 1376,9 тыс. человек</w:t>
      </w:r>
      <w:r w:rsidRPr="00F0736F">
        <w:rPr>
          <w:rFonts w:ascii="Times New Roman" w:hAnsi="Times New Roman" w:cs="Times New Roman"/>
          <w:color w:val="000000" w:themeColor="text1"/>
          <w:lang w:val="kk-KZ"/>
        </w:rPr>
        <w:t xml:space="preserve">. ВРП области в 2017 году составил  4284,4 млрд. тенге, удельный вес области в ВВП страны - 7,9%. ВРП на душу населения за 2015 - 2017 годы увеличился с 2248,9 в 2015 году до 3100,9 тыс. тенге в 2017 году, или на 37,9%. В 2018 году ВРП области составил 4734,4 млрд. тенге, а на душу населения – 3431,9 тыс. </w:t>
      </w:r>
      <w:r w:rsidRPr="00F0736F">
        <w:rPr>
          <w:rFonts w:ascii="Times New Roman" w:hAnsi="Times New Roman" w:cs="Times New Roman"/>
          <w:color w:val="000000" w:themeColor="text1"/>
        </w:rPr>
        <w:t>т</w:t>
      </w:r>
      <w:r w:rsidRPr="00F0736F">
        <w:rPr>
          <w:rFonts w:ascii="Times New Roman" w:hAnsi="Times New Roman" w:cs="Times New Roman"/>
          <w:color w:val="000000" w:themeColor="text1"/>
          <w:lang w:val="kk-KZ"/>
        </w:rPr>
        <w:t xml:space="preserve">енге, </w:t>
      </w:r>
      <w:r w:rsidRPr="00F0736F">
        <w:rPr>
          <w:rFonts w:ascii="Times New Roman" w:hAnsi="Times New Roman" w:cs="Times New Roman"/>
          <w:color w:val="000000" w:themeColor="text1"/>
        </w:rPr>
        <w:t>в 2019 году, соответственно, 5388,3 и 3911,0</w:t>
      </w:r>
      <w:r w:rsidRPr="00F0736F">
        <w:rPr>
          <w:rFonts w:ascii="Times New Roman" w:hAnsi="Times New Roman" w:cs="Times New Roman"/>
          <w:color w:val="000000" w:themeColor="text1"/>
          <w:lang w:val="kk-KZ"/>
        </w:rPr>
        <w:t>.</w:t>
      </w:r>
    </w:p>
    <w:p w14:paraId="6E28742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Наибольшее влияние на изменение ВРП имеет </w:t>
      </w:r>
      <w:r w:rsidRPr="00F0736F">
        <w:rPr>
          <w:rFonts w:ascii="Times New Roman" w:hAnsi="Times New Roman" w:cs="Times New Roman"/>
          <w:b/>
          <w:color w:val="000000" w:themeColor="text1"/>
          <w:lang w:val="kk-KZ"/>
        </w:rPr>
        <w:t>промышленность,</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объем которой составил в 2019 году 2447,5 млрд. тенге</w:t>
      </w:r>
      <w:r w:rsidRPr="00F0736F">
        <w:rPr>
          <w:rFonts w:ascii="Times New Roman" w:hAnsi="Times New Roman" w:cs="Times New Roman"/>
          <w:color w:val="000000" w:themeColor="text1"/>
          <w:lang w:val="kk-KZ"/>
        </w:rPr>
        <w:t>.</w:t>
      </w:r>
    </w:p>
    <w:p w14:paraId="20FCA78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w:t>
      </w:r>
      <w:r w:rsidRPr="00F0736F">
        <w:rPr>
          <w:rFonts w:ascii="Times New Roman" w:hAnsi="Times New Roman" w:cs="Times New Roman"/>
          <w:b/>
          <w:bCs/>
          <w:color w:val="000000" w:themeColor="text1"/>
          <w:lang w:val="kk-KZ"/>
        </w:rPr>
        <w:t>обрабатывающей промышленности</w:t>
      </w:r>
      <w:r w:rsidRPr="00F0736F">
        <w:rPr>
          <w:rFonts w:ascii="Times New Roman" w:hAnsi="Times New Roman" w:cs="Times New Roman"/>
          <w:color w:val="000000" w:themeColor="text1"/>
          <w:lang w:val="kk-KZ"/>
        </w:rPr>
        <w:t xml:space="preserve"> в 2017 году объем производства составил 1802,3 млрд. тенге, 1935,0 млрд. тенге в 2018 году, </w:t>
      </w:r>
      <w:r w:rsidRPr="00F0736F">
        <w:rPr>
          <w:rFonts w:ascii="Times New Roman" w:hAnsi="Times New Roman" w:cs="Times New Roman"/>
          <w:color w:val="000000" w:themeColor="text1"/>
        </w:rPr>
        <w:t>1991,4 млрд. тенге в 2019 году</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Индекс производительности труда в 2018 году к предыдущему году составил 102,4%.</w:t>
      </w:r>
    </w:p>
    <w:p w14:paraId="17B4AC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реализуются 35 новых крупных инвестиционных проектов на сумму более 1 трлн. тенге с созданием более 9 тысяч рабочих мест, в том числе с иностранным капиталом - 18 проектов. Основные сферы инвестирования - металлургия, альтернативная энергетика, машиностроение, химия. Из них в 2018 году введено 8 проектов</w:t>
      </w:r>
      <w:r w:rsidRPr="00F0736F">
        <w:rPr>
          <w:rFonts w:ascii="Times New Roman" w:hAnsi="Times New Roman" w:cs="Times New Roman"/>
          <w:color w:val="000000" w:themeColor="text1"/>
          <w:vertAlign w:val="superscript"/>
        </w:rPr>
        <w:footnoteReference w:id="148"/>
      </w:r>
      <w:r w:rsidRPr="00F0736F">
        <w:rPr>
          <w:rFonts w:ascii="Times New Roman" w:hAnsi="Times New Roman" w:cs="Times New Roman"/>
          <w:color w:val="000000" w:themeColor="text1"/>
        </w:rPr>
        <w:t>:</w:t>
      </w:r>
    </w:p>
    <w:p w14:paraId="09507A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солнечная электростанция ТОО «СЭС «Сарань» мощностью 100 мВт;</w:t>
      </w:r>
    </w:p>
    <w:p w14:paraId="6F6925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завод по выпуску катодной меди ТОО «Sary-Arka Copper Processing»;</w:t>
      </w:r>
    </w:p>
    <w:p w14:paraId="2FDC8BC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модернизация машиностроительного производства ТОО «Maker»;</w:t>
      </w:r>
    </w:p>
    <w:p w14:paraId="3AEA5A3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увеличение производительности золотоизвлекательной фабрики АО «АК Алтын Алмас»;</w:t>
      </w:r>
    </w:p>
    <w:p w14:paraId="4B94719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реконструкция рудотермической печи №1 ЖМЗ ТОО «Корпорация «Казахмыс»;</w:t>
      </w:r>
    </w:p>
    <w:p w14:paraId="18D64D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запуск 1-го этапа строительства оптово–распределительного центра ТОО «Альфарух»;</w:t>
      </w:r>
    </w:p>
    <w:p w14:paraId="70642D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завод по выплавке стали и железа ТОО «Forever Flourishing (Middle Asia) Pty Ltd»;</w:t>
      </w:r>
    </w:p>
    <w:p w14:paraId="4E43B2B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реконструкция цеха яичного производства ТОО «Қарағанды Құс».</w:t>
      </w:r>
    </w:p>
    <w:p w14:paraId="162B34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По данным Комитета по статистике выпуск валовой продукции </w:t>
      </w:r>
      <w:r w:rsidRPr="00F0736F">
        <w:rPr>
          <w:rFonts w:ascii="Times New Roman" w:hAnsi="Times New Roman" w:cs="Times New Roman"/>
          <w:b/>
          <w:color w:val="000000" w:themeColor="text1"/>
          <w:lang w:val="kk-KZ"/>
        </w:rPr>
        <w:t>сельского хозяйства</w:t>
      </w:r>
      <w:r w:rsidRPr="00F0736F">
        <w:rPr>
          <w:rFonts w:ascii="Times New Roman" w:hAnsi="Times New Roman" w:cs="Times New Roman"/>
          <w:color w:val="000000" w:themeColor="text1"/>
          <w:lang w:val="kk-KZ"/>
        </w:rPr>
        <w:t xml:space="preserve"> в 2017 году составил 251 млрд. тенге с ростом к 2015 году на 27,2%. </w:t>
      </w:r>
      <w:r w:rsidRPr="00F0736F">
        <w:rPr>
          <w:rFonts w:ascii="Times New Roman" w:hAnsi="Times New Roman" w:cs="Times New Roman"/>
          <w:color w:val="000000" w:themeColor="text1"/>
        </w:rPr>
        <w:t>В 2018 году объем валовой продукции сельского хозяйства составил 277,7 млрд. тенге, рост 8,0%. Индекс производительности труда в 2018 году к предыдущему году составил 105,5%. В 2019 году объем валовой продукции сельского хозяйства составил 334,0 млрд. тенге, с преимуществом животноводства (60,6%).</w:t>
      </w:r>
    </w:p>
    <w:p w14:paraId="12860FD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3C19617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активно внедряются новые технологии возделывания сельхозкультур. Влагоресурсосберегающие технологии применяются на 668,9 тыс. га, капельное орошение – на  1069,5 га. В результате объем производства зерна в 2017 году увеличился на 28,2% по сравнению с 2015 годом. Возросло производство картофеля на 7,8%. </w:t>
      </w:r>
    </w:p>
    <w:p w14:paraId="34BD40A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благодаря применению селекционных сортов семян, минеральных удобрений и внедрению цифровых технологий удалось собрать 880,4 тыс. т. зерновых. Получено 381,7 тыс. т. картофеля и 105,9 тыс. т. овощей. Площадь орошаемых земель увеличена на 1,5 тыс. га и доведена до 22 тыс. га. Площади посевов зерновых и зернобобовых в текущем году будут расширены на 32,5 тыс. га и составят 895,5 тыс. га.</w:t>
      </w:r>
    </w:p>
    <w:p w14:paraId="5B668E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Растут объёмы производства животноводческой продукции. Увеличено производство мяса - на 4,8%, молока - на 3,7%, яиц - на 3%. Поголовье КРС по отношению к предыдущему году выросло на 2,9%, лошадей - на 8,8% и птиц - на 2%. Доля племенных животных возросла до 6,2%. В 2020 году планируется создать 8 молочно-товарных ферм и начать строительство двух откормочных площадок. </w:t>
      </w:r>
    </w:p>
    <w:p w14:paraId="086A2F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Территория Карагандинской области составляет 42798,2 тыс. га. Площадь земель сельскохозяйственного назначения в Карагандинской области за 2015 - 2017 годы увеличилась на 1247,2 тыс. га. Увеличение произошло за счет предоставления земель из земель запаса, которые уменьшились за 3 года на 1284,5 тыс. га. </w:t>
      </w:r>
    </w:p>
    <w:p w14:paraId="6CAF9CD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рационального использования сельхозугодий в области реализуется План по вовлечению в оборот земель сельскохозяйственного назначения на 2016 - 2020 годы. В 2018 году при плане 560 тыс. га в сельскохозяйственный оборот было вовлечено 671 тыс. га сельхозугодий. Этим достижениям наряду с климатическими условиями, безусловно, способствовали применение высокоурожайных сортов семян и IT-технологий. К примеру, благодаря элементам точного земледелия в двух пилотных хозяйствах области (ТОО «Найдоровское» Осакаровского района и ТОО «Шахтерское» Нуринского района) урожайность зерновых на опытных полях составила до 50 центнеров с гектара, а в целом по этим хозяйствам на 66% выше среднего показателя. С этого года элементы точного земледелия будут внедрять и другие хозяйства. В 2018 году в рамках внедрения цифровизации была проведена оцифровка более 7 тысяч посевных полей, составлены их электронные карты. Ведется работа по оцифровке пастбищ и сенокосов.</w:t>
      </w:r>
    </w:p>
    <w:p w14:paraId="282216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Задачи на 2020 год - увеличить угодья на 612,0 тыс. га из земель запаса и провести работу по повторному вовлечению в оборот 216,3 тыс. га неиспользуемой пашни. </w:t>
      </w:r>
    </w:p>
    <w:p w14:paraId="3ED8CB0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составе земельного фонда области 87,4% занимают сельскохозяйственные угодья, среди которых преобладают пастбища (94,6%), пашня составляет 3,2%. По Карагандинской области площадь пастбищ на землях сельскохозяйственного назначения составляет 11998,5 тыс. га, обводненных 7451,4 тыс. га, или 62%. С 2014 - 2016 гг. хозяйствами построено и восстановлено 135 единиц шахтных колодцев и скважин. В 2017 году построено 40 колодцев (скважин) - 100% к плану.</w:t>
      </w:r>
    </w:p>
    <w:p w14:paraId="1DF2246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Индустриальное развитие сопровождается ростом площадей техногенно-нарушенных территорий, снижением их восстановительной способности, устойчивости к воздействию антропогенных факторов. Особенно значительный ущерб природным ландшафтам наносится в горнопромышленных регионах с преобладанием угольной и металлургической отраслей. Площадь нарушенных земель составляет около 0,1% от общей площади области. Доля отработанных земель, на которых завершены промышленные работы, в 2015 году составляла 17,3% от общей площади нарушенных земель, в 2016 - 2017 годах – 23,5%. </w:t>
      </w:r>
    </w:p>
    <w:p w14:paraId="6D6AB71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31FDDD7F"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lang w:val="kk-KZ"/>
        </w:rPr>
        <w:t>Энергетический комплекс</w:t>
      </w:r>
      <w:r w:rsidRPr="00F0736F">
        <w:rPr>
          <w:rFonts w:ascii="Times New Roman" w:hAnsi="Times New Roman" w:cs="Times New Roman"/>
          <w:color w:val="000000" w:themeColor="text1"/>
          <w:lang w:val="kk-KZ"/>
        </w:rPr>
        <w:t xml:space="preserve"> области включает 9 теплоэлектростанций, установленной мощностью 2411 МВт электрической и 4957 Гкал тепловой энергии, 3 крупные электросетевые компании. В 2017 году объем выработанной энергии увеличился на 6,7% (13417 млн.</w:t>
      </w:r>
      <w:r w:rsidRPr="00F0736F">
        <w:rPr>
          <w:rFonts w:ascii="Times New Roman" w:hAnsi="Times New Roman" w:cs="Times New Roman"/>
          <w:color w:val="000000" w:themeColor="text1"/>
        </w:rPr>
        <w:t xml:space="preserve"> кВт*ч</w:t>
      </w:r>
      <w:r w:rsidRPr="00F0736F">
        <w:rPr>
          <w:rFonts w:ascii="Times New Roman" w:hAnsi="Times New Roman" w:cs="Times New Roman"/>
          <w:color w:val="000000" w:themeColor="text1"/>
          <w:lang w:val="kk-KZ"/>
        </w:rPr>
        <w:t>) к 2015 году (12573 млн.</w:t>
      </w:r>
      <w:r w:rsidRPr="00F0736F">
        <w:rPr>
          <w:rFonts w:ascii="Times New Roman" w:hAnsi="Times New Roman" w:cs="Times New Roman"/>
          <w:color w:val="000000" w:themeColor="text1"/>
        </w:rPr>
        <w:t xml:space="preserve"> кВт*ч</w:t>
      </w:r>
      <w:r w:rsidRPr="00F0736F">
        <w:rPr>
          <w:rFonts w:ascii="Times New Roman" w:hAnsi="Times New Roman" w:cs="Times New Roman"/>
          <w:color w:val="000000" w:themeColor="text1"/>
          <w:lang w:val="kk-KZ"/>
        </w:rPr>
        <w:t xml:space="preserve">). За 3 года производство электроэнергии увеличилось на 12,4%. Сложившийся энергодефицит покрывался за счет перетоков от электростанций ЕЭС Казахстана по транзитным линиям ВЛ-220/500кВ «Север-Юг».  </w:t>
      </w:r>
    </w:p>
    <w:p w14:paraId="73270E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н</w:t>
      </w:r>
      <w:r w:rsidRPr="00F0736F">
        <w:rPr>
          <w:rFonts w:ascii="Times New Roman" w:hAnsi="Times New Roman" w:cs="Times New Roman"/>
          <w:color w:val="000000" w:themeColor="text1"/>
          <w:lang w:val="kk-KZ"/>
        </w:rPr>
        <w:t xml:space="preserve">а реконструкцию и модернизацию энергетического оборудования выделено 9,8 млрд тенге, </w:t>
      </w:r>
      <w:r w:rsidRPr="00F0736F">
        <w:rPr>
          <w:rFonts w:ascii="Times New Roman" w:hAnsi="Times New Roman" w:cs="Times New Roman"/>
          <w:color w:val="000000" w:themeColor="text1"/>
        </w:rPr>
        <w:t>о</w:t>
      </w:r>
      <w:r w:rsidRPr="00F0736F">
        <w:rPr>
          <w:rFonts w:ascii="Times New Roman" w:hAnsi="Times New Roman" w:cs="Times New Roman"/>
          <w:color w:val="000000" w:themeColor="text1"/>
          <w:lang w:val="kk-KZ"/>
        </w:rPr>
        <w:t xml:space="preserve">тремонтировано и модернизировано 5,5 тыс. км электрических сетей и 931 подстанция. </w:t>
      </w:r>
    </w:p>
    <w:p w14:paraId="3C58BC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от установок по использованию </w:t>
      </w:r>
      <w:r w:rsidRPr="00F0736F">
        <w:rPr>
          <w:rFonts w:ascii="Times New Roman" w:hAnsi="Times New Roman" w:cs="Times New Roman"/>
          <w:b/>
          <w:color w:val="000000" w:themeColor="text1"/>
        </w:rPr>
        <w:t>возобновляемых источников</w:t>
      </w:r>
      <w:r w:rsidRPr="00F0736F">
        <w:rPr>
          <w:rFonts w:ascii="Times New Roman" w:hAnsi="Times New Roman" w:cs="Times New Roman"/>
          <w:color w:val="000000" w:themeColor="text1"/>
        </w:rPr>
        <w:t xml:space="preserve"> энергии выработано 4,4 млн. кВт*ч электроэнергии. Доля выработанной электроэнергии возобновляемых источников энергии в общем объеме выработанной электроэнергии в 2018 году составила 0% (100% к плану).</w:t>
      </w:r>
    </w:p>
    <w:p w14:paraId="3337074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завершено строительство солнечной электростанции (СЭС) в г. Сарани Карагандинской области мощностью 100 МВт.</w:t>
      </w:r>
    </w:p>
    <w:p w14:paraId="611FD4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селе Курминское Абайского района уже в 2018 году введена в эксплуатацию биогазовая установка мощностью 0,5 МВт.</w:t>
      </w:r>
    </w:p>
    <w:p w14:paraId="1D22C0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Солнечные электростанции в п. Гульшат Актогайского района мощностью 40 МВт и в п. Агадырь мощностью 50 МВт запущены в 2019 году. Кроме этого, ТОО «Казгринэнерджи» в поселке Кенгир начато строительство биоэлектрической станции мощностью 9 МВт. </w:t>
      </w:r>
    </w:p>
    <w:p w14:paraId="594E9A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Общая протяженность </w:t>
      </w:r>
      <w:r w:rsidRPr="00F0736F">
        <w:rPr>
          <w:rFonts w:ascii="Times New Roman" w:hAnsi="Times New Roman" w:cs="Times New Roman"/>
          <w:b/>
          <w:color w:val="000000" w:themeColor="text1"/>
          <w:lang w:val="kk-KZ"/>
        </w:rPr>
        <w:t>тепловых сетей</w:t>
      </w:r>
      <w:r w:rsidRPr="00F0736F">
        <w:rPr>
          <w:rFonts w:ascii="Times New Roman" w:hAnsi="Times New Roman" w:cs="Times New Roman"/>
          <w:color w:val="000000" w:themeColor="text1"/>
          <w:lang w:val="kk-KZ"/>
        </w:rPr>
        <w:t xml:space="preserve"> составляет 2074,4 км, электрических сетей - 27884,4 км. Функционируют 63 котельные с установленной мощностью до 100 Гкал/час. Обеспеченность жилых многоэтажных домов области приборами учета тепла составила в 2018 году 86,8%. В городах Жезказган, Сатпаев, Приозерск, Шахтинск, Балхаш и Абай многоэтажные дома на 100% оснащены приборами учета. </w:t>
      </w:r>
    </w:p>
    <w:p w14:paraId="3794CE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2019 году модернизировано 4,7 км магистральных тепловых сетей. </w:t>
      </w:r>
      <w:r w:rsidRPr="00F0736F">
        <w:rPr>
          <w:rFonts w:ascii="Times New Roman" w:hAnsi="Times New Roman" w:cs="Times New Roman"/>
          <w:color w:val="000000" w:themeColor="text1"/>
        </w:rPr>
        <w:t>Общая их протяженность составила 1619 км, в т. ч. ветхих — 262,4 км (16,2%), нуждающихся в замене — 250,1 км (15,4%).</w:t>
      </w:r>
    </w:p>
    <w:p w14:paraId="62B2FD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8 аккредитованных газоснабжающих организаций обеспечивают </w:t>
      </w:r>
      <w:r w:rsidRPr="00F0736F">
        <w:rPr>
          <w:rFonts w:ascii="Times New Roman" w:hAnsi="Times New Roman" w:cs="Times New Roman"/>
          <w:b/>
          <w:color w:val="000000" w:themeColor="text1"/>
          <w:lang w:val="kk-KZ"/>
        </w:rPr>
        <w:t>газоснабжение</w:t>
      </w:r>
      <w:r w:rsidRPr="00F0736F">
        <w:rPr>
          <w:rFonts w:ascii="Times New Roman" w:hAnsi="Times New Roman" w:cs="Times New Roman"/>
          <w:color w:val="000000" w:themeColor="text1"/>
          <w:lang w:val="kk-KZ"/>
        </w:rPr>
        <w:t xml:space="preserve"> потребителей области сжиженным нефтяным газом для бытовых нужд через ГРУ, бытовые баллоны и автомобильные газозаправочные станции (АГЗС). Основными поставщиками сжиженного газа являются Павлодарский, Жанажольский нефтехимические заводы и ТОО «Тенгизшевройл». Общая реализация газа составила в 2017 году - 64 тыс. т. В 2018 году установлено 4 АГЗС, общее количество АГЗС составляет 141 единица (рост 15% в сравнении с 2016 годом, 2016 г. - 123 АГЗС, 2017 г. - 137 АГЗС). </w:t>
      </w:r>
    </w:p>
    <w:p w14:paraId="07AA899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и</w:t>
      </w:r>
      <w:r w:rsidRPr="00F0736F">
        <w:rPr>
          <w:rFonts w:ascii="Times New Roman" w:hAnsi="Times New Roman" w:cs="Times New Roman"/>
          <w:color w:val="000000" w:themeColor="text1"/>
          <w:lang w:val="kk-KZ"/>
        </w:rPr>
        <w:t xml:space="preserve">з 1061 км магистрального газопровода «Сарыарка» 765 км прошло по территории Карагандинской области. Ведётся строительство газораспределительных сетей в городах Караганде, Темиртау и Жезказгане. Первые 300 домов подключены к центральному газоснабжению. Будут обеспечены централизованным газоснабжением порядка 1 млн. человек, 100 населённых пунктов, или 68 тысяч домов, 200 котельных, 700 предприятий. </w:t>
      </w:r>
    </w:p>
    <w:p w14:paraId="346D640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Успешная реализация мер по </w:t>
      </w:r>
      <w:r w:rsidRPr="00F0736F">
        <w:rPr>
          <w:rFonts w:ascii="Times New Roman" w:hAnsi="Times New Roman" w:cs="Times New Roman"/>
          <w:b/>
          <w:color w:val="000000" w:themeColor="text1"/>
          <w:lang w:val="kk-KZ"/>
        </w:rPr>
        <w:t>энергосбережению и повышению энергоэффективности</w:t>
      </w:r>
      <w:r w:rsidRPr="00F0736F">
        <w:rPr>
          <w:rFonts w:ascii="Times New Roman" w:hAnsi="Times New Roman" w:cs="Times New Roman"/>
          <w:color w:val="000000" w:themeColor="text1"/>
          <w:lang w:val="kk-KZ"/>
        </w:rPr>
        <w:t xml:space="preserve"> обеспечивает энергетическую и экологическую безопасность, а также повышение конкурентоспособности экономики Карагандинской области. По итогам 2018 года ожидается экономический эффект (экономия ресурсов) в виде экономии ресурсов, а именно: более 34 млн.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lang w:val="kk-KZ"/>
        </w:rPr>
        <w:t xml:space="preserve"> электрической энергии, 1,3 млн. Гкал тепловой энергии, 2,1 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воды, 507,9 тыс. т. угля и 2,4 тыс. т. мазута, 110 млн. тенге бюджетных средств. В 2018 году на энергосбережение выделено 110 млн. тенге бюджетных средств. Проведены мероприятия по установке энергосберегающих ламп, светильников уличного освещения, автоматизированных тепловых пунктов (АТП), пластиковых стеклопакетов, капитальный ремонт кровель и входных групп, замена системы теплоснабжения с установкой регулирующей аппаратуры и приборов учета коммунальных услуг. На промышленных и энергетических объектах планируется модернизация внутреннего и оборудования наружного освещения цехов, систем теплоснабжения, замена устаревшего технологического на современное энергоэффективное для обеспечения оптимальной работы производственного оборудования.  </w:t>
      </w:r>
    </w:p>
    <w:p w14:paraId="63A382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Вместе с тем, по области внедрен и получен положительный эффект от установки таких энергосберегающих технологий как пиролизные котлы. В частности, в 2017 году на объектах образования в КГУ «Егиндыбулакский агротехнический колледж» и КГУ «Саранский технический колледж» установлены пиролизные котлы на общую сумму 14,43 млн. тенге.</w:t>
      </w:r>
    </w:p>
    <w:p w14:paraId="12D6969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4D5C7C6B"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lang w:val="kk-KZ"/>
        </w:rPr>
        <w:t>Водоснабжение</w:t>
      </w:r>
      <w:r w:rsidRPr="00F0736F">
        <w:rPr>
          <w:rFonts w:ascii="Times New Roman" w:hAnsi="Times New Roman" w:cs="Times New Roman"/>
          <w:color w:val="000000" w:themeColor="text1"/>
          <w:lang w:val="kk-KZ"/>
        </w:rPr>
        <w:t xml:space="preserve"> городов и сельских населенных пунктов области осуществляется из подземных источников, за исключением городов Караганда, Жезказган, Приозерск и пос. Сарышаган Актогайского района, в которых водообеспечение осуществляется из открытых источников, путем очистки через водоочистные сооружения. Крупные водохранилища комплексного использования, Самаркандское, Кенгирское и Шерубайнуринское используются для нужд энергетики с открытым технологическим циклом охлаждения и использованием водной акватории этих водохранилищ с последующим возвратом. </w:t>
      </w:r>
      <w:r w:rsidRPr="00F0736F">
        <w:rPr>
          <w:rFonts w:ascii="Times New Roman" w:hAnsi="Times New Roman" w:cs="Times New Roman"/>
          <w:color w:val="000000" w:themeColor="text1"/>
        </w:rPr>
        <w:t>Также п</w:t>
      </w:r>
      <w:r w:rsidRPr="00F0736F">
        <w:rPr>
          <w:rFonts w:ascii="Times New Roman" w:hAnsi="Times New Roman" w:cs="Times New Roman"/>
          <w:color w:val="000000" w:themeColor="text1"/>
          <w:lang w:val="kk-KZ"/>
        </w:rPr>
        <w:t xml:space="preserve">о Карагандинской области зарегистрировано 111 месторождений подземных вод, из них минеральных источников - 5, два из которых (Жосалинское и Жартасское) в настоящее время эксплуатируются и  36 отдельно разведанных участков. </w:t>
      </w:r>
    </w:p>
    <w:p w14:paraId="701DF2FA" w14:textId="77777777" w:rsidR="00AC1D5B" w:rsidRPr="00F0736F" w:rsidRDefault="00AC1D5B" w:rsidP="00AC1D5B">
      <w:pPr>
        <w:pBdr>
          <w:top w:val="none" w:sz="0" w:space="0" w:color="000000"/>
          <w:left w:val="none" w:sz="0" w:space="0" w:color="000000"/>
          <w:bottom w:val="single" w:sz="4" w:space="3" w:color="FFFFFF"/>
          <w:right w:val="none" w:sz="0" w:space="0" w:color="000000"/>
        </w:pBdr>
        <w:shd w:val="clear" w:color="auto" w:fill="FFFFFF"/>
        <w:ind w:firstLine="709"/>
        <w:jc w:val="both"/>
        <w:rPr>
          <w:color w:val="000000" w:themeColor="text1"/>
        </w:rPr>
      </w:pPr>
      <w:r w:rsidRPr="00F0736F">
        <w:rPr>
          <w:rFonts w:ascii="Times New Roman" w:hAnsi="Times New Roman" w:cs="Times New Roman"/>
          <w:color w:val="000000" w:themeColor="text1"/>
          <w:lang w:val="kk-KZ"/>
        </w:rPr>
        <w:t>С 1974 года для водоснабжения Караганда-Темиртауского промрайона используется также иртышская вода, подаваемая по каналу им. К. Сатпаева с технической производительностью комплекса сооружений – 816 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в год.</w:t>
      </w:r>
    </w:p>
    <w:p w14:paraId="47FF666B" w14:textId="77777777" w:rsidR="00AC1D5B" w:rsidRPr="00F0736F" w:rsidRDefault="00AC1D5B" w:rsidP="00AC1D5B">
      <w:pPr>
        <w:pBdr>
          <w:top w:val="none" w:sz="0" w:space="0" w:color="000000"/>
          <w:left w:val="none" w:sz="0" w:space="0" w:color="000000"/>
          <w:bottom w:val="single" w:sz="4" w:space="3" w:color="FFFFFF"/>
          <w:right w:val="none" w:sz="0" w:space="0" w:color="000000"/>
        </w:pBdr>
        <w:shd w:val="clear" w:color="auto" w:fill="FFFFFF"/>
        <w:ind w:firstLine="709"/>
        <w:jc w:val="both"/>
        <w:rPr>
          <w:color w:val="000000" w:themeColor="text1"/>
        </w:rPr>
      </w:pPr>
      <w:r w:rsidRPr="00F0736F">
        <w:rPr>
          <w:rFonts w:ascii="Times New Roman" w:hAnsi="Times New Roman" w:cs="Times New Roman"/>
          <w:color w:val="000000" w:themeColor="text1"/>
          <w:lang w:val="kk-KZ"/>
        </w:rPr>
        <w:t xml:space="preserve">Водозабор по Нура-Сарысускому бассейну за 2019 г. составил </w:t>
      </w:r>
      <w:r w:rsidRPr="00F0736F">
        <w:rPr>
          <w:rFonts w:ascii="Times New Roman" w:hAnsi="Times New Roman" w:cs="Times New Roman"/>
          <w:color w:val="000000" w:themeColor="text1"/>
          <w:spacing w:val="6"/>
          <w:lang w:val="kk-KZ"/>
        </w:rPr>
        <w:t>1458,1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из них на коммунально-бытовые нужды 85,1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промышленные нужды - 1179,7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сельскохозяйственные нужды – 84,2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рыбохозяйственные нужды 0,127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наполнение наливных водохранилищ - 9,121 млн. м</w:t>
      </w:r>
      <w:r w:rsidRPr="00F0736F">
        <w:rPr>
          <w:rFonts w:ascii="Times New Roman" w:hAnsi="Times New Roman" w:cs="Times New Roman"/>
          <w:color w:val="000000" w:themeColor="text1"/>
          <w:spacing w:val="6"/>
          <w:vertAlign w:val="superscript"/>
          <w:lang w:val="kk-KZ"/>
        </w:rPr>
        <w:t xml:space="preserve">3 </w:t>
      </w:r>
      <w:r w:rsidRPr="00F0736F">
        <w:rPr>
          <w:rFonts w:ascii="Times New Roman" w:hAnsi="Times New Roman" w:cs="Times New Roman"/>
          <w:color w:val="000000" w:themeColor="text1"/>
          <w:spacing w:val="6"/>
          <w:lang w:val="kk-KZ"/>
        </w:rPr>
        <w:t>и прочие нужды – 49,185 млн. 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xml:space="preserve">, санитарные попуски - 50,5 млн. </w:t>
      </w:r>
      <w:r w:rsidRPr="00F0736F">
        <w:rPr>
          <w:rFonts w:ascii="Times New Roman" w:hAnsi="Times New Roman" w:cs="Times New Roman"/>
          <w:color w:val="000000" w:themeColor="text1"/>
          <w:spacing w:val="6"/>
        </w:rPr>
        <w:t>м</w:t>
      </w:r>
      <w:r w:rsidRPr="00F0736F">
        <w:rPr>
          <w:rFonts w:ascii="Times New Roman" w:hAnsi="Times New Roman" w:cs="Times New Roman"/>
          <w:color w:val="000000" w:themeColor="text1"/>
          <w:spacing w:val="6"/>
          <w:vertAlign w:val="superscript"/>
          <w:lang w:val="kk-KZ"/>
        </w:rPr>
        <w:t>3</w:t>
      </w:r>
      <w:r w:rsidRPr="00F0736F">
        <w:rPr>
          <w:rFonts w:ascii="Times New Roman" w:hAnsi="Times New Roman" w:cs="Times New Roman"/>
          <w:color w:val="000000" w:themeColor="text1"/>
          <w:spacing w:val="6"/>
          <w:lang w:val="kk-KZ"/>
        </w:rPr>
        <w:t xml:space="preserve">. </w:t>
      </w:r>
      <w:r w:rsidRPr="00F0736F">
        <w:rPr>
          <w:rFonts w:ascii="Times New Roman" w:hAnsi="Times New Roman" w:cs="Times New Roman"/>
          <w:color w:val="000000" w:themeColor="text1"/>
          <w:lang w:val="kk-KZ"/>
        </w:rPr>
        <w:t>Объем оборотного и повторно-последовательного водоснабжения по бассейну в 2019 г составил 2366,996 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в том числе оборотное – 1804,614 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повторное –562,382млн.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w:t>
      </w:r>
    </w:p>
    <w:p w14:paraId="2C08EB9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области действуют 22 эксплуатирующие организации и предприятия, из них 2 базовых водоканала: ТОО «Қарағанды Су» и АО «Предприятие тепловодоснабжения г. Жезказган». </w:t>
      </w:r>
      <w:r w:rsidRPr="00F0736F">
        <w:rPr>
          <w:rFonts w:ascii="Times New Roman" w:hAnsi="Times New Roman" w:cs="Times New Roman"/>
          <w:color w:val="000000" w:themeColor="text1"/>
        </w:rPr>
        <w:t xml:space="preserve">Общая протяженность водопроводных сетей по данным акимата области по состоянию на 01.01.2018 года составляет 7702 км водопроводных сетей (в городах - 5437 км, в селах – 2265 км), что на 631,1 км больше 2015 года (7070,9 км). </w:t>
      </w:r>
    </w:p>
    <w:p w14:paraId="6D43D09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общая протяженность водопроводных сетей, по данным Комитета по статистике, составила 7372 км, из них 2641,6 км нуждается в замене, в 2019 году соответственно 7505,5 км и 2666,8 км.</w:t>
      </w:r>
    </w:p>
    <w:p w14:paraId="5DA5C9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Общая протяженность системы </w:t>
      </w:r>
      <w:r w:rsidRPr="00F0736F">
        <w:rPr>
          <w:rFonts w:ascii="Times New Roman" w:hAnsi="Times New Roman" w:cs="Times New Roman"/>
          <w:b/>
          <w:color w:val="000000" w:themeColor="text1"/>
          <w:lang w:val="kk-KZ"/>
        </w:rPr>
        <w:t xml:space="preserve">водоотведения </w:t>
      </w:r>
      <w:r w:rsidRPr="00F0736F">
        <w:rPr>
          <w:rFonts w:ascii="Times New Roman" w:hAnsi="Times New Roman" w:cs="Times New Roman"/>
          <w:color w:val="000000" w:themeColor="text1"/>
          <w:lang w:val="kk-KZ"/>
        </w:rPr>
        <w:t>в 2017 году</w:t>
      </w:r>
      <w:r w:rsidRPr="00F0736F">
        <w:rPr>
          <w:rFonts w:ascii="Times New Roman" w:hAnsi="Times New Roman" w:cs="Times New Roman"/>
          <w:b/>
          <w:color w:val="000000" w:themeColor="text1"/>
          <w:lang w:val="kk-KZ"/>
        </w:rPr>
        <w:t xml:space="preserve"> </w:t>
      </w:r>
      <w:r w:rsidRPr="00F0736F">
        <w:rPr>
          <w:rFonts w:ascii="Times New Roman" w:hAnsi="Times New Roman" w:cs="Times New Roman"/>
          <w:color w:val="000000" w:themeColor="text1"/>
          <w:lang w:val="kk-KZ"/>
        </w:rPr>
        <w:t xml:space="preserve">2526,8 км (в городах - 2293,6 км со средним износом 85%, в селах – 247,4 км со средним износом 75%), износ сетей водоотведения - 80%. В области действуют 27 канализационных очистных сооружений. </w:t>
      </w:r>
    </w:p>
    <w:p w14:paraId="3C24D17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общая протяженность канализационных сетей, по данным Комитета по статистике, составила 2516,3 км, из них 1225,4 км нуждается в замене. В 2019 году соответственно - 2548,2 км и 1240,3 км.</w:t>
      </w:r>
    </w:p>
    <w:p w14:paraId="6B83B80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построено и реконструировано 303,1 км водопроводных и канализационных сетей, модернизировано 4,7 км магистральных тепловых сетей. </w:t>
      </w:r>
    </w:p>
    <w:p w14:paraId="373919C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249DAFC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Акиматом Карагандинской области совместно с Министерством энергетики для решения экологических проблем в октябре 2018 года утвержден «Комплексный план о мерах по улучшению экологической обстановки в Карагандинской области». В него вошли природоохранные мероприятия промышленных предприятий, направленные на снижение выбросов, учтены меры по управлению отходами, охране водных ресурсов, экологическому образованию, а также по общественному мониторингу за состоянием окружающей среды. </w:t>
      </w:r>
    </w:p>
    <w:p w14:paraId="506DDEC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Всего по Плану предусмотрена реализация 57-ми мероприятий, из которых завершены 22 (39%), на исполнении 35 (61%) мероприятий, в т.ч. со сроком реализации в 2020 г. - 31, и 2022 г. – 4 мероприятия (газификация и строительство сернокислотного производства на ЖЦМ).</w:t>
      </w:r>
    </w:p>
    <w:p w14:paraId="2209596F"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Для привлечения общественности к решению экологических проблем в конце 2018 года создан Совет по вопросам охраны окружающей среды под председательством акима Карагандинской области. В него вошли в основном представители неправительственных организаций и независимые экологи, а также руководство крупных промышленных предприятий, государственных органов. </w:t>
      </w:r>
    </w:p>
    <w:p w14:paraId="5BB8AD92" w14:textId="77777777" w:rsidR="00AC1D5B" w:rsidRPr="00F0736F" w:rsidRDefault="00AC1D5B" w:rsidP="00AC1D5B">
      <w:pPr>
        <w:ind w:firstLine="709"/>
        <w:jc w:val="both"/>
        <w:rPr>
          <w:color w:val="000000" w:themeColor="text1"/>
          <w:lang w:val="kk-KZ"/>
        </w:rPr>
      </w:pPr>
      <w:r w:rsidRPr="00F0736F">
        <w:rPr>
          <w:rFonts w:ascii="Times New Roman" w:hAnsi="Times New Roman" w:cs="Times New Roman"/>
          <w:b/>
          <w:color w:val="000000" w:themeColor="text1"/>
        </w:rPr>
        <w:t>За 2017 — 2019 годы</w:t>
      </w:r>
      <w:r w:rsidRPr="00F0736F">
        <w:rPr>
          <w:rFonts w:ascii="Times New Roman" w:hAnsi="Times New Roman" w:cs="Times New Roman"/>
          <w:color w:val="000000" w:themeColor="text1"/>
        </w:rPr>
        <w:t xml:space="preserve">, по данным стационарной сети наблюдений, уровень </w:t>
      </w:r>
      <w:r w:rsidRPr="00F0736F">
        <w:rPr>
          <w:rFonts w:ascii="Times New Roman" w:hAnsi="Times New Roman" w:cs="Times New Roman"/>
          <w:b/>
          <w:color w:val="000000" w:themeColor="text1"/>
        </w:rPr>
        <w:t>загрязнения атмосферного воздуха города Караганда</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высокий</w:t>
      </w:r>
      <w:r w:rsidRPr="00F0736F">
        <w:rPr>
          <w:rFonts w:ascii="Times New Roman" w:hAnsi="Times New Roman" w:cs="Times New Roman"/>
          <w:color w:val="000000" w:themeColor="text1"/>
        </w:rPr>
        <w:t xml:space="preserve">. ИЗА составляет 8-10 (высокий уровень). СИ равным </w:t>
      </w:r>
      <w:r w:rsidRPr="00F0736F">
        <w:rPr>
          <w:rFonts w:ascii="Times New Roman" w:hAnsi="Times New Roman" w:cs="Times New Roman"/>
          <w:color w:val="000000" w:themeColor="text1"/>
          <w:lang w:val="kk-KZ"/>
        </w:rPr>
        <w:t>16-21 (</w:t>
      </w:r>
      <w:r w:rsidRPr="00F0736F">
        <w:rPr>
          <w:rFonts w:ascii="Times New Roman" w:hAnsi="Times New Roman" w:cs="Times New Roman"/>
          <w:color w:val="000000" w:themeColor="text1"/>
        </w:rPr>
        <w:t>&gt;10 очень высокий уровень</w:t>
      </w:r>
      <w:r w:rsidRPr="00F0736F">
        <w:rPr>
          <w:rFonts w:ascii="Times New Roman" w:hAnsi="Times New Roman" w:cs="Times New Roman"/>
          <w:color w:val="000000" w:themeColor="text1"/>
          <w:lang w:val="kk-KZ"/>
        </w:rPr>
        <w:t xml:space="preserve">).  </w:t>
      </w:r>
    </w:p>
    <w:p w14:paraId="56E7A7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города Балхаш</w:t>
      </w:r>
      <w:r w:rsidRPr="00F0736F">
        <w:rPr>
          <w:rFonts w:ascii="Times New Roman" w:hAnsi="Times New Roman" w:cs="Times New Roman"/>
          <w:color w:val="000000" w:themeColor="text1"/>
        </w:rPr>
        <w:t xml:space="preserve"> оценивался повышенным</w:t>
      </w:r>
      <w:r w:rsidRPr="00F0736F">
        <w:rPr>
          <w:rFonts w:ascii="Times New Roman" w:hAnsi="Times New Roman" w:cs="Times New Roman"/>
          <w:color w:val="000000" w:themeColor="text1"/>
          <w:lang w:val="kk-KZ"/>
        </w:rPr>
        <w:t xml:space="preserve"> уровнем загрязнения</w:t>
      </w:r>
      <w:r w:rsidRPr="00F0736F">
        <w:rPr>
          <w:rFonts w:ascii="Times New Roman" w:hAnsi="Times New Roman" w:cs="Times New Roman"/>
          <w:color w:val="000000" w:themeColor="text1"/>
        </w:rPr>
        <w:t xml:space="preserve">. ИЗА составляет 6-7 (повышенный и высокий уровень). СИ равным 8,4 - </w:t>
      </w:r>
      <w:r w:rsidRPr="00F0736F">
        <w:rPr>
          <w:rFonts w:ascii="Times New Roman" w:hAnsi="Times New Roman" w:cs="Times New Roman"/>
          <w:color w:val="000000" w:themeColor="text1"/>
          <w:lang w:val="kk-KZ"/>
        </w:rPr>
        <w:t>23 (</w:t>
      </w:r>
      <w:r w:rsidRPr="00F0736F">
        <w:rPr>
          <w:rFonts w:ascii="Times New Roman" w:hAnsi="Times New Roman" w:cs="Times New Roman"/>
          <w:color w:val="000000" w:themeColor="text1"/>
        </w:rPr>
        <w:t>&gt;10 очень высокий уровень</w:t>
      </w:r>
      <w:r w:rsidRPr="00F0736F">
        <w:rPr>
          <w:rFonts w:ascii="Times New Roman" w:hAnsi="Times New Roman" w:cs="Times New Roman"/>
          <w:color w:val="000000" w:themeColor="text1"/>
          <w:lang w:val="kk-KZ"/>
        </w:rPr>
        <w:t xml:space="preserve">).  </w:t>
      </w:r>
    </w:p>
    <w:p w14:paraId="100C4EC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города Темиртау</w:t>
      </w:r>
      <w:r w:rsidRPr="00F0736F">
        <w:rPr>
          <w:rFonts w:ascii="Times New Roman" w:hAnsi="Times New Roman" w:cs="Times New Roman"/>
          <w:color w:val="000000" w:themeColor="text1"/>
        </w:rPr>
        <w:t xml:space="preserve"> оценивался как</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высокий.</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ИЗА составляет</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 xml:space="preserve">8-9 (высокий уровень). СИ = </w:t>
      </w:r>
      <w:r w:rsidRPr="00F0736F">
        <w:rPr>
          <w:rFonts w:ascii="Times New Roman" w:hAnsi="Times New Roman" w:cs="Times New Roman"/>
          <w:color w:val="000000" w:themeColor="text1"/>
          <w:lang w:val="kk-KZ"/>
        </w:rPr>
        <w:t xml:space="preserve">12–16,8 </w:t>
      </w:r>
      <w:r w:rsidRPr="00F0736F">
        <w:rPr>
          <w:rFonts w:ascii="Times New Roman" w:hAnsi="Times New Roman" w:cs="Times New Roman"/>
          <w:color w:val="000000" w:themeColor="text1"/>
        </w:rPr>
        <w:t xml:space="preserve">(&gt;10 очень </w:t>
      </w:r>
      <w:r w:rsidRPr="00F0736F">
        <w:rPr>
          <w:rFonts w:ascii="Times New Roman" w:hAnsi="Times New Roman" w:cs="Times New Roman"/>
          <w:color w:val="000000" w:themeColor="text1"/>
          <w:lang w:val="kk-KZ"/>
        </w:rPr>
        <w:t>высокий уровень</w:t>
      </w:r>
      <w:r w:rsidRPr="00F0736F">
        <w:rPr>
          <w:rFonts w:ascii="Times New Roman" w:hAnsi="Times New Roman" w:cs="Times New Roman"/>
          <w:color w:val="000000" w:themeColor="text1"/>
        </w:rPr>
        <w:t xml:space="preserve">).  </w:t>
      </w:r>
    </w:p>
    <w:p w14:paraId="4337511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75% </w:t>
      </w:r>
      <w:r w:rsidRPr="00F0736F">
        <w:rPr>
          <w:rFonts w:ascii="Times New Roman" w:eastAsia="Times New Roman" w:hAnsi="Times New Roman" w:cs="Times New Roman"/>
          <w:b/>
          <w:color w:val="000000" w:themeColor="text1"/>
        </w:rPr>
        <w:t>выбросов в атмосферу</w:t>
      </w:r>
      <w:r w:rsidRPr="00F0736F">
        <w:rPr>
          <w:rFonts w:ascii="Times New Roman" w:eastAsia="Times New Roman" w:hAnsi="Times New Roman" w:cs="Times New Roman"/>
          <w:color w:val="000000" w:themeColor="text1"/>
        </w:rPr>
        <w:t xml:space="preserve"> загрязняющих веществ осуществляется крупными предприятиями. В регионе работают </w:t>
      </w:r>
      <w:r w:rsidRPr="00F0736F">
        <w:rPr>
          <w:rFonts w:ascii="Times New Roman" w:eastAsia="Times New Roman" w:hAnsi="Times New Roman" w:cs="Times New Roman"/>
          <w:color w:val="000000" w:themeColor="text1"/>
          <w:lang w:val="kk-KZ"/>
        </w:rPr>
        <w:t>247</w:t>
      </w:r>
      <w:r w:rsidRPr="00F0736F">
        <w:rPr>
          <w:rFonts w:ascii="Times New Roman" w:eastAsia="Times New Roman" w:hAnsi="Times New Roman" w:cs="Times New Roman"/>
          <w:color w:val="000000" w:themeColor="text1"/>
        </w:rPr>
        <w:t xml:space="preserve"> природопользователей, относящихся к 1 категории опасности. Из них крупные предприятия: ТОО «Корпорация Казахмыс», ТОО «Kazakhmys Energy» (Казахмыс Энерджи) Жезказганская ТЭЦ, ТОО «Kazakhmys Smelting» (ЖМЗ), ТОО «Kazakhmys Smelting» (БМЗ) (производство катодной меди), ТОО «Kazakhmys Energy» (Казахмыс Энерджи) Балхашская ТЭЦ, ТОО «Казахмыс Энерджи» ГРЭС (Производство электроэнергии тепловыми электростанциями), СД АО «Арселор Миттал Темиртау», УД АО «Арселор Миттал Темиртау», АО «</w:t>
      </w:r>
      <w:r w:rsidRPr="00F0736F">
        <w:rPr>
          <w:rFonts w:ascii="Times New Roman" w:eastAsia="Times New Roman" w:hAnsi="Times New Roman" w:cs="Times New Roman"/>
          <w:color w:val="000000" w:themeColor="text1"/>
          <w:lang w:val="en-US"/>
        </w:rPr>
        <w:t>Central</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en-US"/>
        </w:rPr>
        <w:t>Asia</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en-US"/>
        </w:rPr>
        <w:t>Cement</w:t>
      </w:r>
      <w:r w:rsidRPr="00F0736F">
        <w:rPr>
          <w:rFonts w:ascii="Times New Roman" w:eastAsia="Times New Roman" w:hAnsi="Times New Roman" w:cs="Times New Roman"/>
          <w:color w:val="000000" w:themeColor="text1"/>
        </w:rPr>
        <w:t>», АО «Карцемент», ТОО «Оркен» (Атасу), ТОО «Оркен» (Кентобе),РУ «Казмарганец (филиал АО «ТНК Казхром»), ТОО «Караганда Энергоцентр» (ТЭЦ-1, ТЭЦ-3), ТОО «Bapy Mining», ХМЗ АО «Темиртауский электро-металлургический завод», АО « Жайремский горно-обогатительный комбинат».</w:t>
      </w:r>
      <w:r w:rsidRPr="00F0736F">
        <w:rPr>
          <w:rFonts w:ascii="Times New Roman" w:hAnsi="Times New Roman" w:cs="Times New Roman"/>
          <w:color w:val="000000" w:themeColor="text1"/>
        </w:rPr>
        <w:t xml:space="preserve"> </w:t>
      </w:r>
    </w:p>
    <w:p w14:paraId="3C2F5BB7" w14:textId="77777777" w:rsidR="00AC1D5B" w:rsidRPr="00F0736F" w:rsidRDefault="00AC1D5B" w:rsidP="00AC1D5B">
      <w:pPr>
        <w:ind w:firstLine="709"/>
        <w:jc w:val="both"/>
        <w:rPr>
          <w:color w:val="000000" w:themeColor="text1"/>
        </w:rPr>
      </w:pPr>
    </w:p>
    <w:p w14:paraId="7FDE4C53"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Таблица 2.8.1. Динамика эмиссий </w:t>
      </w:r>
      <w:r w:rsidRPr="00F0736F">
        <w:rPr>
          <w:rFonts w:ascii="Times New Roman" w:hAnsi="Times New Roman" w:cs="Times New Roman"/>
          <w:color w:val="000000" w:themeColor="text1"/>
        </w:rPr>
        <w:t>в окружающую среду по Карагандинской области за 2016 - 2019 годы</w:t>
      </w:r>
    </w:p>
    <w:p w14:paraId="0E230BFC"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348" w:type="dxa"/>
        <w:tblLayout w:type="fixed"/>
        <w:tblLook w:val="0000" w:firstRow="0" w:lastRow="0" w:firstColumn="0" w:lastColumn="0" w:noHBand="0" w:noVBand="0"/>
      </w:tblPr>
      <w:tblGrid>
        <w:gridCol w:w="3105"/>
        <w:gridCol w:w="1575"/>
        <w:gridCol w:w="960"/>
        <w:gridCol w:w="960"/>
        <w:gridCol w:w="960"/>
        <w:gridCol w:w="1110"/>
        <w:gridCol w:w="1170"/>
      </w:tblGrid>
      <w:tr w:rsidR="00F0736F" w:rsidRPr="00F0736F" w14:paraId="318A6D3D" w14:textId="77777777" w:rsidTr="000B2B8A">
        <w:trPr>
          <w:trHeight w:val="292"/>
        </w:trPr>
        <w:tc>
          <w:tcPr>
            <w:tcW w:w="3105" w:type="dxa"/>
            <w:vMerge w:val="restart"/>
            <w:tcBorders>
              <w:top w:val="single" w:sz="4" w:space="0" w:color="000000"/>
              <w:left w:val="single" w:sz="4" w:space="0" w:color="000000"/>
              <w:bottom w:val="single" w:sz="4" w:space="0" w:color="000000"/>
            </w:tcBorders>
            <w:shd w:val="clear" w:color="auto" w:fill="auto"/>
            <w:vAlign w:val="center"/>
          </w:tcPr>
          <w:p w14:paraId="718F718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Вид эмиссий</w:t>
            </w:r>
          </w:p>
        </w:tc>
        <w:tc>
          <w:tcPr>
            <w:tcW w:w="2535" w:type="dxa"/>
            <w:gridSpan w:val="2"/>
            <w:tcBorders>
              <w:top w:val="single" w:sz="4" w:space="0" w:color="000000"/>
              <w:left w:val="single" w:sz="4" w:space="0" w:color="000000"/>
              <w:bottom w:val="single" w:sz="4" w:space="0" w:color="000000"/>
            </w:tcBorders>
            <w:shd w:val="clear" w:color="auto" w:fill="auto"/>
            <w:vAlign w:val="center"/>
          </w:tcPr>
          <w:p w14:paraId="27031D9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2017 год</w:t>
            </w:r>
          </w:p>
        </w:tc>
        <w:tc>
          <w:tcPr>
            <w:tcW w:w="1920" w:type="dxa"/>
            <w:gridSpan w:val="2"/>
            <w:tcBorders>
              <w:top w:val="single" w:sz="4" w:space="0" w:color="000000"/>
              <w:left w:val="single" w:sz="4" w:space="0" w:color="000000"/>
              <w:bottom w:val="single" w:sz="4" w:space="0" w:color="000000"/>
            </w:tcBorders>
            <w:shd w:val="clear" w:color="auto" w:fill="auto"/>
            <w:vAlign w:val="center"/>
          </w:tcPr>
          <w:p w14:paraId="3D93D44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2018 год</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442D4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2019 год</w:t>
            </w:r>
          </w:p>
        </w:tc>
      </w:tr>
      <w:tr w:rsidR="00F0736F" w:rsidRPr="00F0736F" w14:paraId="339962DE" w14:textId="77777777" w:rsidTr="000B2B8A">
        <w:trPr>
          <w:trHeight w:val="733"/>
        </w:trPr>
        <w:tc>
          <w:tcPr>
            <w:tcW w:w="3105" w:type="dxa"/>
            <w:vMerge/>
            <w:tcBorders>
              <w:top w:val="single" w:sz="4" w:space="0" w:color="000000"/>
              <w:left w:val="single" w:sz="4" w:space="0" w:color="000000"/>
              <w:bottom w:val="single" w:sz="4" w:space="0" w:color="000000"/>
            </w:tcBorders>
            <w:shd w:val="clear" w:color="auto" w:fill="auto"/>
            <w:vAlign w:val="center"/>
          </w:tcPr>
          <w:p w14:paraId="268D92A8"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575" w:type="dxa"/>
            <w:tcBorders>
              <w:top w:val="single" w:sz="4" w:space="0" w:color="000000"/>
              <w:left w:val="single" w:sz="4" w:space="0" w:color="000000"/>
              <w:bottom w:val="single" w:sz="4" w:space="0" w:color="000000"/>
            </w:tcBorders>
            <w:shd w:val="clear" w:color="auto" w:fill="auto"/>
            <w:vAlign w:val="center"/>
          </w:tcPr>
          <w:p w14:paraId="203FF42D" w14:textId="77777777" w:rsidR="00AC1D5B" w:rsidRPr="00F0736F" w:rsidRDefault="00AC1D5B" w:rsidP="00AC1D5B">
            <w:pPr>
              <w:ind w:hanging="24"/>
              <w:jc w:val="center"/>
              <w:rPr>
                <w:color w:val="000000" w:themeColor="text1"/>
              </w:rPr>
            </w:pPr>
            <w:r w:rsidRPr="00F0736F">
              <w:rPr>
                <w:rFonts w:ascii="Times New Roman" w:hAnsi="Times New Roman" w:cs="Times New Roman"/>
                <w:color w:val="000000" w:themeColor="text1"/>
                <w:sz w:val="20"/>
                <w:szCs w:val="20"/>
              </w:rPr>
              <w:t>Лимит</w:t>
            </w:r>
          </w:p>
        </w:tc>
        <w:tc>
          <w:tcPr>
            <w:tcW w:w="960" w:type="dxa"/>
            <w:tcBorders>
              <w:top w:val="single" w:sz="4" w:space="0" w:color="000000"/>
              <w:left w:val="single" w:sz="4" w:space="0" w:color="000000"/>
              <w:bottom w:val="single" w:sz="4" w:space="0" w:color="000000"/>
            </w:tcBorders>
            <w:shd w:val="clear" w:color="auto" w:fill="auto"/>
            <w:vAlign w:val="center"/>
          </w:tcPr>
          <w:p w14:paraId="50871E3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Факт</w:t>
            </w:r>
          </w:p>
        </w:tc>
        <w:tc>
          <w:tcPr>
            <w:tcW w:w="960" w:type="dxa"/>
            <w:tcBorders>
              <w:top w:val="single" w:sz="4" w:space="0" w:color="000000"/>
              <w:left w:val="single" w:sz="4" w:space="0" w:color="000000"/>
              <w:bottom w:val="single" w:sz="4" w:space="0" w:color="000000"/>
            </w:tcBorders>
            <w:shd w:val="clear" w:color="auto" w:fill="auto"/>
            <w:vAlign w:val="center"/>
          </w:tcPr>
          <w:p w14:paraId="6A9F02D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Лимит</w:t>
            </w:r>
          </w:p>
        </w:tc>
        <w:tc>
          <w:tcPr>
            <w:tcW w:w="960" w:type="dxa"/>
            <w:tcBorders>
              <w:top w:val="single" w:sz="4" w:space="0" w:color="000000"/>
              <w:left w:val="single" w:sz="4" w:space="0" w:color="000000"/>
              <w:bottom w:val="single" w:sz="4" w:space="0" w:color="000000"/>
            </w:tcBorders>
            <w:shd w:val="clear" w:color="auto" w:fill="auto"/>
            <w:vAlign w:val="center"/>
          </w:tcPr>
          <w:p w14:paraId="713CCA4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Факт</w:t>
            </w:r>
          </w:p>
        </w:tc>
        <w:tc>
          <w:tcPr>
            <w:tcW w:w="1110" w:type="dxa"/>
            <w:tcBorders>
              <w:top w:val="single" w:sz="4" w:space="0" w:color="000000"/>
              <w:left w:val="single" w:sz="4" w:space="0" w:color="000000"/>
              <w:bottom w:val="single" w:sz="4" w:space="0" w:color="000000"/>
            </w:tcBorders>
            <w:shd w:val="clear" w:color="auto" w:fill="auto"/>
            <w:vAlign w:val="center"/>
          </w:tcPr>
          <w:p w14:paraId="4429976E"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Лимит</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33E4A"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Факт</w:t>
            </w:r>
          </w:p>
        </w:tc>
      </w:tr>
      <w:tr w:rsidR="00F0736F" w:rsidRPr="00F0736F" w14:paraId="52E1A659" w14:textId="77777777" w:rsidTr="000B2B8A">
        <w:trPr>
          <w:trHeight w:val="259"/>
        </w:trPr>
        <w:tc>
          <w:tcPr>
            <w:tcW w:w="3105" w:type="dxa"/>
            <w:tcBorders>
              <w:top w:val="single" w:sz="4" w:space="0" w:color="000000"/>
              <w:left w:val="single" w:sz="4" w:space="0" w:color="000000"/>
              <w:bottom w:val="single" w:sz="4" w:space="0" w:color="000000"/>
            </w:tcBorders>
            <w:shd w:val="clear" w:color="auto" w:fill="auto"/>
            <w:vAlign w:val="center"/>
          </w:tcPr>
          <w:p w14:paraId="1E72AB2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Выбросы тыс. т.</w:t>
            </w:r>
          </w:p>
        </w:tc>
        <w:tc>
          <w:tcPr>
            <w:tcW w:w="1575" w:type="dxa"/>
            <w:tcBorders>
              <w:top w:val="single" w:sz="4" w:space="0" w:color="000000"/>
              <w:left w:val="single" w:sz="4" w:space="0" w:color="000000"/>
              <w:bottom w:val="single" w:sz="4" w:space="0" w:color="000000"/>
            </w:tcBorders>
            <w:shd w:val="clear" w:color="auto" w:fill="auto"/>
          </w:tcPr>
          <w:p w14:paraId="301CBC1A" w14:textId="77777777" w:rsidR="00AC1D5B" w:rsidRPr="00F0736F" w:rsidRDefault="00AC1D5B" w:rsidP="00AC1D5B">
            <w:pPr>
              <w:ind w:hanging="24"/>
              <w:jc w:val="center"/>
              <w:rPr>
                <w:color w:val="000000" w:themeColor="text1"/>
              </w:rPr>
            </w:pPr>
            <w:r w:rsidRPr="00F0736F">
              <w:rPr>
                <w:rFonts w:ascii="Times New Roman" w:hAnsi="Times New Roman" w:cs="Times New Roman"/>
                <w:color w:val="000000" w:themeColor="text1"/>
                <w:sz w:val="20"/>
                <w:szCs w:val="20"/>
              </w:rPr>
              <w:t>831</w:t>
            </w:r>
          </w:p>
        </w:tc>
        <w:tc>
          <w:tcPr>
            <w:tcW w:w="960" w:type="dxa"/>
            <w:tcBorders>
              <w:top w:val="single" w:sz="4" w:space="0" w:color="000000"/>
              <w:left w:val="single" w:sz="4" w:space="0" w:color="000000"/>
              <w:bottom w:val="single" w:sz="4" w:space="0" w:color="000000"/>
            </w:tcBorders>
            <w:shd w:val="clear" w:color="auto" w:fill="auto"/>
          </w:tcPr>
          <w:p w14:paraId="59690F7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590</w:t>
            </w:r>
          </w:p>
        </w:tc>
        <w:tc>
          <w:tcPr>
            <w:tcW w:w="960" w:type="dxa"/>
            <w:tcBorders>
              <w:top w:val="single" w:sz="4" w:space="0" w:color="000000"/>
              <w:left w:val="single" w:sz="4" w:space="0" w:color="000000"/>
              <w:bottom w:val="single" w:sz="4" w:space="0" w:color="000000"/>
            </w:tcBorders>
            <w:shd w:val="clear" w:color="auto" w:fill="auto"/>
          </w:tcPr>
          <w:p w14:paraId="2E83B9F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822</w:t>
            </w:r>
          </w:p>
        </w:tc>
        <w:tc>
          <w:tcPr>
            <w:tcW w:w="960" w:type="dxa"/>
            <w:tcBorders>
              <w:top w:val="single" w:sz="4" w:space="0" w:color="000000"/>
              <w:left w:val="single" w:sz="4" w:space="0" w:color="000000"/>
              <w:bottom w:val="single" w:sz="4" w:space="0" w:color="000000"/>
            </w:tcBorders>
            <w:shd w:val="clear" w:color="auto" w:fill="auto"/>
          </w:tcPr>
          <w:p w14:paraId="0E81781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587</w:t>
            </w:r>
          </w:p>
        </w:tc>
        <w:tc>
          <w:tcPr>
            <w:tcW w:w="1110" w:type="dxa"/>
            <w:tcBorders>
              <w:top w:val="single" w:sz="4" w:space="0" w:color="000000"/>
              <w:left w:val="single" w:sz="4" w:space="0" w:color="000000"/>
              <w:bottom w:val="single" w:sz="4" w:space="0" w:color="000000"/>
            </w:tcBorders>
            <w:shd w:val="clear" w:color="auto" w:fill="auto"/>
          </w:tcPr>
          <w:p w14:paraId="17E80762"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945,6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B7000F6"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641,3</w:t>
            </w:r>
          </w:p>
        </w:tc>
      </w:tr>
      <w:tr w:rsidR="00F0736F" w:rsidRPr="00F0736F" w14:paraId="335ABC3F" w14:textId="77777777" w:rsidTr="000B2B8A">
        <w:tc>
          <w:tcPr>
            <w:tcW w:w="3105" w:type="dxa"/>
            <w:tcBorders>
              <w:top w:val="single" w:sz="4" w:space="0" w:color="000000"/>
              <w:left w:val="single" w:sz="4" w:space="0" w:color="000000"/>
              <w:bottom w:val="single" w:sz="4" w:space="0" w:color="000000"/>
            </w:tcBorders>
            <w:shd w:val="clear" w:color="auto" w:fill="auto"/>
            <w:vAlign w:val="center"/>
          </w:tcPr>
          <w:p w14:paraId="35B77B0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Сбросы тыс. т.</w:t>
            </w:r>
          </w:p>
        </w:tc>
        <w:tc>
          <w:tcPr>
            <w:tcW w:w="1575" w:type="dxa"/>
            <w:tcBorders>
              <w:top w:val="single" w:sz="4" w:space="0" w:color="000000"/>
              <w:left w:val="single" w:sz="4" w:space="0" w:color="000000"/>
              <w:bottom w:val="single" w:sz="4" w:space="0" w:color="000000"/>
            </w:tcBorders>
            <w:shd w:val="clear" w:color="auto" w:fill="auto"/>
          </w:tcPr>
          <w:p w14:paraId="5AF77516" w14:textId="77777777" w:rsidR="00AC1D5B" w:rsidRPr="00F0736F" w:rsidRDefault="00AC1D5B" w:rsidP="00AC1D5B">
            <w:pPr>
              <w:ind w:hanging="24"/>
              <w:jc w:val="center"/>
              <w:rPr>
                <w:color w:val="000000" w:themeColor="text1"/>
              </w:rPr>
            </w:pPr>
            <w:r w:rsidRPr="00F0736F">
              <w:rPr>
                <w:rFonts w:ascii="Times New Roman" w:hAnsi="Times New Roman" w:cs="Times New Roman"/>
                <w:color w:val="000000" w:themeColor="text1"/>
                <w:sz w:val="20"/>
                <w:szCs w:val="20"/>
              </w:rPr>
              <w:t>1043</w:t>
            </w:r>
          </w:p>
        </w:tc>
        <w:tc>
          <w:tcPr>
            <w:tcW w:w="960" w:type="dxa"/>
            <w:tcBorders>
              <w:top w:val="single" w:sz="4" w:space="0" w:color="000000"/>
              <w:left w:val="single" w:sz="4" w:space="0" w:color="000000"/>
              <w:bottom w:val="single" w:sz="4" w:space="0" w:color="000000"/>
            </w:tcBorders>
            <w:shd w:val="clear" w:color="auto" w:fill="auto"/>
          </w:tcPr>
          <w:p w14:paraId="6253BA0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458</w:t>
            </w:r>
          </w:p>
        </w:tc>
        <w:tc>
          <w:tcPr>
            <w:tcW w:w="960" w:type="dxa"/>
            <w:tcBorders>
              <w:top w:val="single" w:sz="4" w:space="0" w:color="000000"/>
              <w:left w:val="single" w:sz="4" w:space="0" w:color="000000"/>
              <w:bottom w:val="single" w:sz="4" w:space="0" w:color="000000"/>
            </w:tcBorders>
            <w:shd w:val="clear" w:color="auto" w:fill="auto"/>
          </w:tcPr>
          <w:p w14:paraId="4113E9F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429</w:t>
            </w:r>
          </w:p>
        </w:tc>
        <w:tc>
          <w:tcPr>
            <w:tcW w:w="960" w:type="dxa"/>
            <w:tcBorders>
              <w:top w:val="single" w:sz="4" w:space="0" w:color="000000"/>
              <w:left w:val="single" w:sz="4" w:space="0" w:color="000000"/>
              <w:bottom w:val="single" w:sz="4" w:space="0" w:color="000000"/>
            </w:tcBorders>
            <w:shd w:val="clear" w:color="auto" w:fill="auto"/>
          </w:tcPr>
          <w:p w14:paraId="3402AF1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428</w:t>
            </w:r>
          </w:p>
        </w:tc>
        <w:tc>
          <w:tcPr>
            <w:tcW w:w="1110" w:type="dxa"/>
            <w:tcBorders>
              <w:top w:val="single" w:sz="4" w:space="0" w:color="000000"/>
              <w:left w:val="single" w:sz="4" w:space="0" w:color="000000"/>
              <w:bottom w:val="single" w:sz="4" w:space="0" w:color="000000"/>
            </w:tcBorders>
            <w:shd w:val="clear" w:color="auto" w:fill="auto"/>
          </w:tcPr>
          <w:p w14:paraId="660519AB" w14:textId="77777777" w:rsidR="00AC1D5B" w:rsidRPr="00F0736F" w:rsidRDefault="00AC1D5B" w:rsidP="00AC1D5B">
            <w:pPr>
              <w:shd w:val="clear" w:color="auto" w:fill="FFFFFF"/>
              <w:jc w:val="center"/>
              <w:rPr>
                <w:color w:val="000000" w:themeColor="text1"/>
              </w:rPr>
            </w:pPr>
            <w:r w:rsidRPr="00F0736F">
              <w:rPr>
                <w:rFonts w:ascii="Times New Roman" w:eastAsia="Calibri" w:hAnsi="Times New Roman" w:cs="Times New Roman"/>
                <w:color w:val="000000" w:themeColor="text1"/>
                <w:sz w:val="20"/>
                <w:szCs w:val="20"/>
                <w:lang w:eastAsia="en-US"/>
              </w:rPr>
              <w:t>454,5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CB6940E" w14:textId="77777777" w:rsidR="00AC1D5B" w:rsidRPr="00F0736F" w:rsidRDefault="00AC1D5B" w:rsidP="00AC1D5B">
            <w:pPr>
              <w:shd w:val="clear" w:color="auto" w:fill="FFFFFF"/>
              <w:jc w:val="center"/>
              <w:rPr>
                <w:color w:val="000000" w:themeColor="text1"/>
              </w:rPr>
            </w:pPr>
            <w:r w:rsidRPr="00F0736F">
              <w:rPr>
                <w:rFonts w:ascii="Times New Roman" w:eastAsia="Calibri" w:hAnsi="Times New Roman" w:cs="Times New Roman"/>
                <w:color w:val="000000" w:themeColor="text1"/>
                <w:sz w:val="20"/>
                <w:szCs w:val="20"/>
                <w:lang w:eastAsia="en-US"/>
              </w:rPr>
              <w:t>403,7</w:t>
            </w:r>
          </w:p>
        </w:tc>
      </w:tr>
      <w:tr w:rsidR="00AC1D5B" w:rsidRPr="00F0736F" w14:paraId="55FE4702" w14:textId="77777777" w:rsidTr="000B2B8A">
        <w:tc>
          <w:tcPr>
            <w:tcW w:w="3105" w:type="dxa"/>
            <w:tcBorders>
              <w:top w:val="single" w:sz="4" w:space="0" w:color="000000"/>
              <w:left w:val="single" w:sz="4" w:space="0" w:color="000000"/>
              <w:bottom w:val="single" w:sz="4" w:space="0" w:color="000000"/>
            </w:tcBorders>
            <w:shd w:val="clear" w:color="auto" w:fill="auto"/>
            <w:vAlign w:val="center"/>
          </w:tcPr>
          <w:p w14:paraId="3AF48ABD"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Отходы тыс. т.</w:t>
            </w:r>
          </w:p>
        </w:tc>
        <w:tc>
          <w:tcPr>
            <w:tcW w:w="1575" w:type="dxa"/>
            <w:tcBorders>
              <w:top w:val="single" w:sz="4" w:space="0" w:color="000000"/>
              <w:left w:val="single" w:sz="4" w:space="0" w:color="000000"/>
              <w:bottom w:val="single" w:sz="4" w:space="0" w:color="000000"/>
            </w:tcBorders>
            <w:shd w:val="clear" w:color="auto" w:fill="auto"/>
            <w:vAlign w:val="center"/>
          </w:tcPr>
          <w:p w14:paraId="527B43EF" w14:textId="77777777" w:rsidR="00AC1D5B" w:rsidRPr="00F0736F" w:rsidRDefault="00AC1D5B" w:rsidP="00AC1D5B">
            <w:pPr>
              <w:ind w:hanging="24"/>
              <w:jc w:val="center"/>
              <w:rPr>
                <w:color w:val="000000" w:themeColor="text1"/>
              </w:rPr>
            </w:pPr>
            <w:r w:rsidRPr="00F0736F">
              <w:rPr>
                <w:rFonts w:ascii="Times New Roman" w:hAnsi="Times New Roman" w:cs="Times New Roman"/>
                <w:color w:val="000000" w:themeColor="text1"/>
                <w:sz w:val="20"/>
                <w:szCs w:val="20"/>
              </w:rPr>
              <w:t>513 764</w:t>
            </w:r>
          </w:p>
        </w:tc>
        <w:tc>
          <w:tcPr>
            <w:tcW w:w="960" w:type="dxa"/>
            <w:tcBorders>
              <w:top w:val="single" w:sz="4" w:space="0" w:color="000000"/>
              <w:left w:val="single" w:sz="4" w:space="0" w:color="000000"/>
              <w:bottom w:val="single" w:sz="4" w:space="0" w:color="000000"/>
            </w:tcBorders>
            <w:shd w:val="clear" w:color="auto" w:fill="auto"/>
            <w:vAlign w:val="center"/>
          </w:tcPr>
          <w:p w14:paraId="5DEA086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121 786</w:t>
            </w:r>
          </w:p>
        </w:tc>
        <w:tc>
          <w:tcPr>
            <w:tcW w:w="960" w:type="dxa"/>
            <w:tcBorders>
              <w:top w:val="single" w:sz="4" w:space="0" w:color="000000"/>
              <w:left w:val="single" w:sz="4" w:space="0" w:color="000000"/>
              <w:bottom w:val="single" w:sz="4" w:space="0" w:color="000000"/>
            </w:tcBorders>
            <w:shd w:val="clear" w:color="auto" w:fill="auto"/>
            <w:vAlign w:val="center"/>
          </w:tcPr>
          <w:p w14:paraId="76515CC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483 458</w:t>
            </w:r>
          </w:p>
        </w:tc>
        <w:tc>
          <w:tcPr>
            <w:tcW w:w="960" w:type="dxa"/>
            <w:tcBorders>
              <w:top w:val="single" w:sz="4" w:space="0" w:color="000000"/>
              <w:left w:val="single" w:sz="4" w:space="0" w:color="000000"/>
              <w:bottom w:val="single" w:sz="4" w:space="0" w:color="000000"/>
            </w:tcBorders>
            <w:shd w:val="clear" w:color="auto" w:fill="auto"/>
            <w:vAlign w:val="center"/>
          </w:tcPr>
          <w:p w14:paraId="2A61978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129 669</w:t>
            </w:r>
          </w:p>
        </w:tc>
        <w:tc>
          <w:tcPr>
            <w:tcW w:w="1110" w:type="dxa"/>
            <w:tcBorders>
              <w:top w:val="single" w:sz="4" w:space="0" w:color="000000"/>
              <w:left w:val="single" w:sz="4" w:space="0" w:color="000000"/>
              <w:bottom w:val="single" w:sz="4" w:space="0" w:color="000000"/>
            </w:tcBorders>
            <w:shd w:val="clear" w:color="auto" w:fill="auto"/>
            <w:vAlign w:val="center"/>
          </w:tcPr>
          <w:p w14:paraId="7CFE463E" w14:textId="77777777" w:rsidR="00AC1D5B" w:rsidRPr="00F0736F" w:rsidRDefault="00AC1D5B" w:rsidP="00AC1D5B">
            <w:pPr>
              <w:shd w:val="clear" w:color="auto" w:fill="FFFFFF"/>
              <w:jc w:val="center"/>
              <w:rPr>
                <w:color w:val="000000" w:themeColor="text1"/>
              </w:rPr>
            </w:pPr>
            <w:r w:rsidRPr="00F0736F">
              <w:rPr>
                <w:rFonts w:ascii="Times New Roman" w:eastAsia="Calibri" w:hAnsi="Times New Roman" w:cs="Times New Roman"/>
                <w:color w:val="000000" w:themeColor="text1"/>
                <w:sz w:val="20"/>
                <w:szCs w:val="20"/>
                <w:lang w:eastAsia="en-US"/>
              </w:rPr>
              <w:t>344 499,7</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9A791" w14:textId="77777777" w:rsidR="00AC1D5B" w:rsidRPr="00F0736F" w:rsidRDefault="00AC1D5B" w:rsidP="00AC1D5B">
            <w:pPr>
              <w:shd w:val="clear" w:color="auto" w:fill="FFFFFF"/>
              <w:jc w:val="center"/>
              <w:rPr>
                <w:color w:val="000000" w:themeColor="text1"/>
              </w:rPr>
            </w:pPr>
            <w:r w:rsidRPr="00F0736F">
              <w:rPr>
                <w:rFonts w:ascii="Times New Roman" w:eastAsia="Calibri" w:hAnsi="Times New Roman" w:cs="Times New Roman"/>
                <w:color w:val="000000" w:themeColor="text1"/>
                <w:sz w:val="20"/>
                <w:szCs w:val="20"/>
                <w:lang w:val="kk-KZ" w:eastAsia="en-US"/>
              </w:rPr>
              <w:t>149 354,24</w:t>
            </w:r>
          </w:p>
        </w:tc>
      </w:tr>
    </w:tbl>
    <w:p w14:paraId="16F6EFB2" w14:textId="77777777" w:rsidR="00AC1D5B" w:rsidRPr="00F0736F" w:rsidRDefault="00AC1D5B" w:rsidP="00AC1D5B">
      <w:pPr>
        <w:ind w:firstLine="709"/>
        <w:jc w:val="both"/>
        <w:rPr>
          <w:rFonts w:ascii="Times New Roman" w:hAnsi="Times New Roman" w:cs="Times New Roman"/>
          <w:color w:val="000000" w:themeColor="text1"/>
        </w:rPr>
      </w:pPr>
    </w:p>
    <w:p w14:paraId="1A563C9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Основной объем выбросов по Карагандинской области приходится на металлургический комплекс - 70%, до 20% - на тепловые станции, до 10% - на горнодобывающие предприятия.</w:t>
      </w:r>
    </w:p>
    <w:p w14:paraId="795EED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Промышленный потенциал области продолжает расти, оказывая техногенное воздействие на окружающую среду. Для стабилизации качества окружающей среды в области ведется планомерная работа по всем направлениям природоохранной деятельности.</w:t>
      </w:r>
    </w:p>
    <w:p w14:paraId="49C866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поручению Главы государства утверждён и реализуется Комплексный план мероприятий по улучшению экологической обстановки. Всего по плану предусмотрена реализация 57 мероприятий. </w:t>
      </w:r>
    </w:p>
    <w:p w14:paraId="280BD4EE" w14:textId="77777777" w:rsidR="00AC1D5B" w:rsidRPr="00F0736F" w:rsidRDefault="00AC1D5B" w:rsidP="00AC1D5B">
      <w:pPr>
        <w:overflowPunct/>
        <w:ind w:firstLine="709"/>
        <w:jc w:val="both"/>
        <w:rPr>
          <w:rFonts w:ascii="Calibri" w:eastAsia="Calibri" w:hAnsi="Calibri" w:cs="Times New Roman"/>
          <w:color w:val="000000" w:themeColor="text1"/>
          <w:sz w:val="22"/>
          <w:szCs w:val="22"/>
          <w:lang w:eastAsia="en-US" w:bidi="ar-SA"/>
        </w:rPr>
      </w:pPr>
    </w:p>
    <w:p w14:paraId="68F46B73" w14:textId="77777777" w:rsidR="00AC1D5B" w:rsidRPr="00F0736F" w:rsidRDefault="00AC1D5B" w:rsidP="00AC1D5B">
      <w:pPr>
        <w:overflowPunct/>
        <w:ind w:firstLine="709"/>
        <w:jc w:val="both"/>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lang w:eastAsia="en-US" w:bidi="ar-SA"/>
        </w:rPr>
        <w:t>Таблица 2.8.2. Финансирование природоохранных мероприятий природопользователями по Карагандинской области, млрд. тенге</w:t>
      </w:r>
    </w:p>
    <w:tbl>
      <w:tblPr>
        <w:tblW w:w="0" w:type="auto"/>
        <w:tblInd w:w="817" w:type="dxa"/>
        <w:tblLayout w:type="fixed"/>
        <w:tblLook w:val="0000" w:firstRow="0" w:lastRow="0" w:firstColumn="0" w:lastColumn="0" w:noHBand="0" w:noVBand="0"/>
      </w:tblPr>
      <w:tblGrid>
        <w:gridCol w:w="1466"/>
        <w:gridCol w:w="1554"/>
        <w:gridCol w:w="1571"/>
        <w:gridCol w:w="1327"/>
        <w:gridCol w:w="1344"/>
        <w:gridCol w:w="1550"/>
      </w:tblGrid>
      <w:tr w:rsidR="00F0736F" w:rsidRPr="00F0736F" w14:paraId="230AAB80" w14:textId="77777777" w:rsidTr="000B2B8A">
        <w:trPr>
          <w:trHeight w:val="196"/>
        </w:trPr>
        <w:tc>
          <w:tcPr>
            <w:tcW w:w="3020" w:type="dxa"/>
            <w:gridSpan w:val="2"/>
            <w:tcBorders>
              <w:top w:val="single" w:sz="4" w:space="0" w:color="000000"/>
              <w:left w:val="single" w:sz="4" w:space="0" w:color="000000"/>
              <w:bottom w:val="single" w:sz="4" w:space="0" w:color="000000"/>
            </w:tcBorders>
            <w:shd w:val="clear" w:color="auto" w:fill="auto"/>
          </w:tcPr>
          <w:p w14:paraId="03CB1570" w14:textId="77777777" w:rsidR="00AC1D5B" w:rsidRPr="00F0736F" w:rsidRDefault="00AC1D5B" w:rsidP="00AC1D5B">
            <w:pPr>
              <w:overflowPunct/>
              <w:ind w:firstLine="709"/>
              <w:jc w:val="both"/>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2017 год</w:t>
            </w:r>
          </w:p>
        </w:tc>
        <w:tc>
          <w:tcPr>
            <w:tcW w:w="2898" w:type="dxa"/>
            <w:gridSpan w:val="2"/>
            <w:tcBorders>
              <w:top w:val="single" w:sz="4" w:space="0" w:color="000000"/>
              <w:left w:val="single" w:sz="4" w:space="0" w:color="000000"/>
              <w:bottom w:val="single" w:sz="4" w:space="0" w:color="000000"/>
            </w:tcBorders>
            <w:shd w:val="clear" w:color="auto" w:fill="auto"/>
          </w:tcPr>
          <w:p w14:paraId="21022A6E" w14:textId="77777777" w:rsidR="00AC1D5B" w:rsidRPr="00F0736F" w:rsidRDefault="00AC1D5B" w:rsidP="00AC1D5B">
            <w:pPr>
              <w:overflowPunct/>
              <w:ind w:firstLine="709"/>
              <w:jc w:val="both"/>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2018 год</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tcPr>
          <w:p w14:paraId="6B226F09" w14:textId="77777777" w:rsidR="00AC1D5B" w:rsidRPr="00F0736F" w:rsidRDefault="00AC1D5B" w:rsidP="00AC1D5B">
            <w:pPr>
              <w:overflowPunct/>
              <w:ind w:firstLine="709"/>
              <w:jc w:val="both"/>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2019 год</w:t>
            </w:r>
          </w:p>
        </w:tc>
      </w:tr>
      <w:tr w:rsidR="00F0736F" w:rsidRPr="00F0736F" w14:paraId="56291161" w14:textId="77777777" w:rsidTr="000B2B8A">
        <w:trPr>
          <w:trHeight w:val="122"/>
        </w:trPr>
        <w:tc>
          <w:tcPr>
            <w:tcW w:w="1466" w:type="dxa"/>
            <w:tcBorders>
              <w:top w:val="single" w:sz="4" w:space="0" w:color="000000"/>
              <w:left w:val="single" w:sz="4" w:space="0" w:color="000000"/>
              <w:bottom w:val="single" w:sz="4" w:space="0" w:color="000000"/>
            </w:tcBorders>
            <w:shd w:val="clear" w:color="auto" w:fill="auto"/>
          </w:tcPr>
          <w:p w14:paraId="6B621175"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План</w:t>
            </w:r>
          </w:p>
        </w:tc>
        <w:tc>
          <w:tcPr>
            <w:tcW w:w="1553" w:type="dxa"/>
            <w:tcBorders>
              <w:top w:val="single" w:sz="4" w:space="0" w:color="000000"/>
              <w:left w:val="single" w:sz="4" w:space="0" w:color="000000"/>
              <w:bottom w:val="single" w:sz="4" w:space="0" w:color="000000"/>
            </w:tcBorders>
            <w:shd w:val="clear" w:color="auto" w:fill="auto"/>
          </w:tcPr>
          <w:p w14:paraId="2C44AC0B"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Факт</w:t>
            </w:r>
          </w:p>
        </w:tc>
        <w:tc>
          <w:tcPr>
            <w:tcW w:w="1571" w:type="dxa"/>
            <w:tcBorders>
              <w:top w:val="single" w:sz="4" w:space="0" w:color="000000"/>
              <w:left w:val="single" w:sz="4" w:space="0" w:color="000000"/>
              <w:bottom w:val="single" w:sz="4" w:space="0" w:color="000000"/>
            </w:tcBorders>
            <w:shd w:val="clear" w:color="auto" w:fill="auto"/>
          </w:tcPr>
          <w:p w14:paraId="6188E342"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План</w:t>
            </w:r>
          </w:p>
        </w:tc>
        <w:tc>
          <w:tcPr>
            <w:tcW w:w="1326" w:type="dxa"/>
            <w:tcBorders>
              <w:top w:val="single" w:sz="4" w:space="0" w:color="000000"/>
              <w:left w:val="single" w:sz="4" w:space="0" w:color="000000"/>
              <w:bottom w:val="single" w:sz="4" w:space="0" w:color="000000"/>
            </w:tcBorders>
            <w:shd w:val="clear" w:color="auto" w:fill="auto"/>
          </w:tcPr>
          <w:p w14:paraId="5B833CD5"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Факт</w:t>
            </w:r>
          </w:p>
        </w:tc>
        <w:tc>
          <w:tcPr>
            <w:tcW w:w="1344" w:type="dxa"/>
            <w:tcBorders>
              <w:top w:val="single" w:sz="4" w:space="0" w:color="000000"/>
              <w:left w:val="single" w:sz="4" w:space="0" w:color="000000"/>
              <w:bottom w:val="single" w:sz="4" w:space="0" w:color="000000"/>
            </w:tcBorders>
            <w:shd w:val="clear" w:color="auto" w:fill="auto"/>
          </w:tcPr>
          <w:p w14:paraId="54C199C2"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План</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14:paraId="22349446"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Факт</w:t>
            </w:r>
          </w:p>
        </w:tc>
      </w:tr>
      <w:tr w:rsidR="00AC1D5B" w:rsidRPr="00F0736F" w14:paraId="5066A257" w14:textId="77777777" w:rsidTr="000B2B8A">
        <w:trPr>
          <w:trHeight w:val="122"/>
        </w:trPr>
        <w:tc>
          <w:tcPr>
            <w:tcW w:w="1466" w:type="dxa"/>
            <w:tcBorders>
              <w:top w:val="single" w:sz="4" w:space="0" w:color="000000"/>
              <w:left w:val="single" w:sz="4" w:space="0" w:color="000000"/>
              <w:bottom w:val="single" w:sz="4" w:space="0" w:color="000000"/>
            </w:tcBorders>
            <w:shd w:val="clear" w:color="auto" w:fill="auto"/>
          </w:tcPr>
          <w:p w14:paraId="008C88D0"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14,7</w:t>
            </w:r>
          </w:p>
        </w:tc>
        <w:tc>
          <w:tcPr>
            <w:tcW w:w="1553" w:type="dxa"/>
            <w:tcBorders>
              <w:top w:val="single" w:sz="4" w:space="0" w:color="000000"/>
              <w:left w:val="single" w:sz="4" w:space="0" w:color="000000"/>
              <w:bottom w:val="single" w:sz="4" w:space="0" w:color="000000"/>
            </w:tcBorders>
            <w:shd w:val="clear" w:color="auto" w:fill="auto"/>
          </w:tcPr>
          <w:p w14:paraId="2A694D7C"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12,4</w:t>
            </w:r>
          </w:p>
        </w:tc>
        <w:tc>
          <w:tcPr>
            <w:tcW w:w="1571" w:type="dxa"/>
            <w:tcBorders>
              <w:top w:val="single" w:sz="4" w:space="0" w:color="000000"/>
              <w:left w:val="single" w:sz="4" w:space="0" w:color="000000"/>
              <w:bottom w:val="single" w:sz="4" w:space="0" w:color="000000"/>
            </w:tcBorders>
            <w:shd w:val="clear" w:color="auto" w:fill="auto"/>
          </w:tcPr>
          <w:p w14:paraId="24CE5130"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19,4</w:t>
            </w:r>
          </w:p>
        </w:tc>
        <w:tc>
          <w:tcPr>
            <w:tcW w:w="1326" w:type="dxa"/>
            <w:tcBorders>
              <w:top w:val="single" w:sz="4" w:space="0" w:color="000000"/>
              <w:left w:val="single" w:sz="4" w:space="0" w:color="000000"/>
              <w:bottom w:val="single" w:sz="4" w:space="0" w:color="000000"/>
            </w:tcBorders>
            <w:shd w:val="clear" w:color="auto" w:fill="auto"/>
          </w:tcPr>
          <w:p w14:paraId="1A0D53D4"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18,8</w:t>
            </w:r>
          </w:p>
        </w:tc>
        <w:tc>
          <w:tcPr>
            <w:tcW w:w="1344" w:type="dxa"/>
            <w:tcBorders>
              <w:top w:val="single" w:sz="4" w:space="0" w:color="000000"/>
              <w:left w:val="single" w:sz="4" w:space="0" w:color="000000"/>
              <w:bottom w:val="single" w:sz="4" w:space="0" w:color="000000"/>
            </w:tcBorders>
            <w:shd w:val="clear" w:color="auto" w:fill="auto"/>
          </w:tcPr>
          <w:p w14:paraId="0C559C63"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35,2</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14:paraId="4B5D2BD0" w14:textId="77777777" w:rsidR="00AC1D5B" w:rsidRPr="00F0736F" w:rsidRDefault="00AC1D5B" w:rsidP="00AC1D5B">
            <w:pPr>
              <w:overflowPunct/>
              <w:jc w:val="center"/>
              <w:rPr>
                <w:rFonts w:ascii="Calibri" w:eastAsia="Calibri" w:hAnsi="Calibri" w:cs="Times New Roman"/>
                <w:color w:val="000000" w:themeColor="text1"/>
                <w:sz w:val="22"/>
                <w:szCs w:val="22"/>
                <w:lang w:bidi="ar-SA"/>
              </w:rPr>
            </w:pPr>
            <w:r w:rsidRPr="00F0736F">
              <w:rPr>
                <w:rFonts w:ascii="Times New Roman" w:eastAsia="font4398" w:hAnsi="Times New Roman" w:cs="Times New Roman"/>
                <w:color w:val="000000" w:themeColor="text1"/>
                <w:sz w:val="20"/>
                <w:szCs w:val="20"/>
                <w:lang w:eastAsia="en-US" w:bidi="ar-SA"/>
              </w:rPr>
              <w:t>18,9</w:t>
            </w:r>
          </w:p>
        </w:tc>
      </w:tr>
    </w:tbl>
    <w:p w14:paraId="0C6EC89D" w14:textId="77777777" w:rsidR="00AC1D5B" w:rsidRPr="00F0736F" w:rsidRDefault="00AC1D5B" w:rsidP="00AC1D5B">
      <w:pPr>
        <w:ind w:firstLine="709"/>
        <w:jc w:val="both"/>
        <w:rPr>
          <w:color w:val="000000" w:themeColor="text1"/>
        </w:rPr>
      </w:pPr>
    </w:p>
    <w:p w14:paraId="1112DC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Разработаны дендрологические планы городов Темиртау и Караганды.</w:t>
      </w:r>
      <w:r w:rsidRPr="00F0736F">
        <w:rPr>
          <w:rFonts w:ascii="Times New Roman" w:hAnsi="Times New Roman" w:cs="Times New Roman"/>
          <w:color w:val="000000" w:themeColor="text1"/>
        </w:rPr>
        <w:br/>
        <w:t xml:space="preserve">Для контроля состояния воздуха в пилотном режиме в городах Караганде, Темиртау, Балхаше и Жезказгане работают 10 газоанализаторов. </w:t>
      </w:r>
    </w:p>
    <w:p w14:paraId="1BAE17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Что касается перевода транспорта на экологические виды топлива, в 2018 году количество автотранспорта, зарегистрированного в Департаменте внутренних дел Карагандинской области, использующего газомоторное топливо, составляет 8733 единицы. С 2017 года увеличение составляет 74% (2017 г. – 5012 единиц автотранспорта). Соответственно, это повлекло за собой увеличение количества автогазозаправочных станций. В 2018 году количество АГЗС составляет 167 единиц (рост 22% в сравнении с 2017 годом (137 АГЗС).</w:t>
      </w:r>
    </w:p>
    <w:p w14:paraId="00B8AD0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Область включает в себя Нура-Сарысуский, Балхаш-Алакольский, Ишимский, Иртышский и Тобол-Торгайский речные бассейны. Это 864 </w:t>
      </w:r>
      <w:r w:rsidRPr="00F0736F">
        <w:rPr>
          <w:rFonts w:ascii="Times New Roman" w:hAnsi="Times New Roman" w:cs="Times New Roman"/>
          <w:b/>
          <w:color w:val="000000" w:themeColor="text1"/>
          <w:lang w:val="kk-KZ"/>
        </w:rPr>
        <w:t>водных объекта</w:t>
      </w:r>
      <w:r w:rsidRPr="00F0736F">
        <w:rPr>
          <w:rFonts w:ascii="Times New Roman" w:hAnsi="Times New Roman" w:cs="Times New Roman"/>
          <w:color w:val="000000" w:themeColor="text1"/>
          <w:lang w:val="kk-KZ"/>
        </w:rPr>
        <w:t>, в том числе 107 рек, 88 озер, 220 гидротехнических сооружений, 409 искусственных водоемов, плотин с гидротехническими сооружениями, 40 водохранилищ с объемом воды свыше 1 млн. м³. Основными источниками водных ресурсов в Карагандинской области являются река Нура и озеро Балхаш.</w:t>
      </w:r>
    </w:p>
    <w:p w14:paraId="47D330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Карагандинской области проводились на 1</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водных объектах – реки: Нура, Шерубайнура, Сокыр, Кокпекты, Кара Кенгир, водохранилища: Самаркан, Кенгир, Канал сточных вод, канал Ертис-Караганды, озера Коргалжинского заповедника: Шолак, Есей, Султанкельды, Кокай, канал Нура-Есиль</w:t>
      </w:r>
      <w:r w:rsidRPr="00F0736F">
        <w:rPr>
          <w:rFonts w:ascii="Times New Roman" w:hAnsi="Times New Roman" w:cs="Times New Roman"/>
          <w:color w:val="000000" w:themeColor="text1"/>
          <w:lang w:val="kk-KZ"/>
        </w:rPr>
        <w:t>, озеро Балкаш</w:t>
      </w:r>
      <w:r w:rsidRPr="00F0736F">
        <w:rPr>
          <w:rFonts w:ascii="Times New Roman" w:hAnsi="Times New Roman" w:cs="Times New Roman"/>
          <w:color w:val="000000" w:themeColor="text1"/>
        </w:rPr>
        <w:t xml:space="preserve">. </w:t>
      </w:r>
    </w:p>
    <w:p w14:paraId="0C02009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 xml:space="preserve"> </w:t>
      </w:r>
      <w:r w:rsidRPr="00F0736F">
        <w:rPr>
          <w:rFonts w:ascii="Times New Roman" w:hAnsi="Times New Roman" w:cs="Times New Roman"/>
          <w:b/>
          <w:color w:val="000000" w:themeColor="text1"/>
          <w:lang w:val="kk-KZ"/>
        </w:rPr>
        <w:t>Объем сброса</w:t>
      </w:r>
      <w:r w:rsidRPr="00F0736F">
        <w:rPr>
          <w:rFonts w:ascii="Times New Roman" w:hAnsi="Times New Roman" w:cs="Times New Roman"/>
          <w:color w:val="000000" w:themeColor="text1"/>
          <w:lang w:val="kk-KZ"/>
        </w:rPr>
        <w:t xml:space="preserve"> нормативно-очищенных вод неукоснительно сокращается (1294,4 млн. 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в 2015 году, 1327,5 млн.м</w:t>
      </w:r>
      <w:r w:rsidRPr="00F0736F">
        <w:rPr>
          <w:rFonts w:ascii="Times New Roman" w:hAnsi="Times New Roman" w:cs="Times New Roman"/>
          <w:color w:val="000000" w:themeColor="text1"/>
          <w:vertAlign w:val="superscript"/>
          <w:lang w:val="kk-KZ"/>
        </w:rPr>
        <w:t>3</w:t>
      </w:r>
      <w:r w:rsidRPr="00F0736F">
        <w:rPr>
          <w:rFonts w:ascii="Times New Roman" w:hAnsi="Times New Roman" w:cs="Times New Roman"/>
          <w:color w:val="000000" w:themeColor="text1"/>
          <w:lang w:val="kk-KZ"/>
        </w:rPr>
        <w:t xml:space="preserve"> в 2017 году).</w:t>
      </w:r>
    </w:p>
    <w:p w14:paraId="43DE0AD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Сбросы сточных вод в поверхностные водоемы осуществляются по 17 водовыпускам от 15 предприятий. От объема и качественного состава сточных вод, зависит качество воды водоемов и водотоков. Незначительное увеличение объема сточных вод в 2018 году обусловлено большим объемом паводковых вод. Соответственно, возросла и масса сброса загрязняющих веществ. Масса сброса загрязняющих веществ также увеличилась на 0,3% и составила 269,0 тыс.т. (2017</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г. - 259,0 тыс. т., 2016 г. – 249,09 тыс.т., 2015</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г. – 239,3 тыс. т.).</w:t>
      </w:r>
    </w:p>
    <w:p w14:paraId="3853578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70512244"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rPr>
        <w:t>По Карагандинской области накоплено 7</w:t>
      </w:r>
      <w:r w:rsidRPr="00F0736F">
        <w:rPr>
          <w:rFonts w:ascii="Times New Roman" w:eastAsia="Times New Roman" w:hAnsi="Times New Roman" w:cs="Times New Roman"/>
          <w:color w:val="000000" w:themeColor="text1"/>
          <w:lang w:val="kk-KZ"/>
        </w:rPr>
        <w:t>430</w:t>
      </w:r>
      <w:r w:rsidRPr="00F0736F">
        <w:rPr>
          <w:rFonts w:ascii="Times New Roman" w:eastAsia="Times New Roman" w:hAnsi="Times New Roman" w:cs="Times New Roman"/>
          <w:color w:val="000000" w:themeColor="text1"/>
        </w:rPr>
        <w:t xml:space="preserve"> млн. т., из них: от горнодобывающей отрасли – 1 564 млн. т., от цветной металлургий – 3026 млн. т., от черной металлургии – 199 млн. т., от угледобывающей отрасли – 2403 млн. т., от теплоэнергетической отрасли – 111 млн. т.</w:t>
      </w:r>
    </w:p>
    <w:p w14:paraId="739C7732"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lang w:val="kk-KZ"/>
        </w:rPr>
        <w:t xml:space="preserve">За 2019 год </w:t>
      </w:r>
      <w:r w:rsidRPr="00F0736F">
        <w:rPr>
          <w:rFonts w:ascii="Times New Roman" w:eastAsia="Times New Roman" w:hAnsi="Times New Roman" w:cs="Times New Roman"/>
          <w:color w:val="000000" w:themeColor="text1"/>
        </w:rPr>
        <w:t>объем образованных ТБО</w:t>
      </w:r>
      <w:r w:rsidRPr="00F0736F">
        <w:rPr>
          <w:rFonts w:ascii="Times New Roman" w:eastAsia="Times New Roman" w:hAnsi="Times New Roman" w:cs="Times New Roman"/>
          <w:color w:val="000000" w:themeColor="text1"/>
          <w:lang w:val="kk-KZ"/>
        </w:rPr>
        <w:t xml:space="preserve"> составил</w:t>
      </w:r>
      <w:r w:rsidRPr="00F0736F">
        <w:rPr>
          <w:rFonts w:ascii="Times New Roman" w:eastAsia="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lang w:val="kk-KZ"/>
        </w:rPr>
        <w:t xml:space="preserve"> 530 тыс. т.,</w:t>
      </w:r>
      <w:r w:rsidRPr="00F0736F">
        <w:rPr>
          <w:rFonts w:ascii="Times New Roman" w:eastAsia="Times New Roman" w:hAnsi="Times New Roman" w:cs="Times New Roman"/>
          <w:color w:val="000000" w:themeColor="text1"/>
        </w:rPr>
        <w:t xml:space="preserve"> из них отсортировано и переработано </w:t>
      </w:r>
      <w:r w:rsidRPr="00F0736F">
        <w:rPr>
          <w:rFonts w:ascii="Times New Roman" w:eastAsia="Times New Roman" w:hAnsi="Times New Roman" w:cs="Times New Roman"/>
          <w:color w:val="000000" w:themeColor="text1"/>
          <w:lang w:val="kk-KZ"/>
        </w:rPr>
        <w:t>– 37,4</w:t>
      </w:r>
      <w:r w:rsidRPr="00F0736F">
        <w:rPr>
          <w:rFonts w:ascii="Times New Roman" w:eastAsia="Times New Roman" w:hAnsi="Times New Roman" w:cs="Times New Roman"/>
          <w:color w:val="000000" w:themeColor="text1"/>
        </w:rPr>
        <w:t>%</w:t>
      </w:r>
      <w:r w:rsidRPr="00F0736F">
        <w:rPr>
          <w:rFonts w:ascii="Times New Roman" w:eastAsia="Times New Roman" w:hAnsi="Times New Roman" w:cs="Times New Roman"/>
          <w:color w:val="000000" w:themeColor="text1"/>
          <w:lang w:val="kk-KZ"/>
        </w:rPr>
        <w:t xml:space="preserve"> (в</w:t>
      </w:r>
      <w:r w:rsidRPr="00F0736F">
        <w:rPr>
          <w:rFonts w:ascii="Times New Roman" w:eastAsia="Times New Roman" w:hAnsi="Times New Roman" w:cs="Times New Roman"/>
          <w:color w:val="000000" w:themeColor="text1"/>
        </w:rPr>
        <w:t xml:space="preserve"> 2018 году – 16,3%</w:t>
      </w:r>
      <w:r w:rsidRPr="00F0736F">
        <w:rPr>
          <w:rFonts w:ascii="Times New Roman" w:eastAsia="Times New Roman" w:hAnsi="Times New Roman" w:cs="Times New Roman"/>
          <w:color w:val="000000" w:themeColor="text1"/>
          <w:lang w:val="kk-KZ"/>
        </w:rPr>
        <w:t>).</w:t>
      </w:r>
    </w:p>
    <w:p w14:paraId="5495B9F7"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Промышленные отходы, такие как горные и шахтные породы, отходы обогащения, золошлак, используют в целях проведения технического этапа рекультивации отработанных земель, для отсыпки карьерных дорог, защитных дамб насыпей. Примером является вскрышная порода, образованная на предприятии АО «Шубарколь Комир», которая размещается во внутренние отвалы. </w:t>
      </w:r>
    </w:p>
    <w:p w14:paraId="0F0C1BDD"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Также в Карагандинской области находятся 183 контейнера с 5946 конденсаторами и 3 контейнера с ПХД-содержащими отходами, находящиеся на территории бывшего военного объекта Балхаш-9 (РЛС «Дарьял-У»).</w:t>
      </w:r>
    </w:p>
    <w:p w14:paraId="5E95ACAC"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До 2020 года данные конденсаторы были размещены на 2-х складах бывшего военного объекта Балхаш-9, расположенного в 35-ти км от города Балхаш (населенность – 100 000 чел.) и в 5 км от поселка Гульшад (населенность - 1000 чел.).</w:t>
      </w:r>
    </w:p>
    <w:p w14:paraId="2F0E35F3"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hAnsi="Times New Roman" w:cs="Times New Roman"/>
          <w:color w:val="000000" w:themeColor="text1"/>
        </w:rPr>
        <w:t xml:space="preserve"> В 2017 году в рамках бюджетной программы 037 «Стабилизация и улучшение качества окружающей среды» проведено определение воздействия на окружающую среду ПХД-содержащих конденсаторов, расположенных на объекте РЛС «Дарьял-У». В рамках данной программы осуществлен осмотр целостности и герметичности контейнера на двух складах объекта «Дарьял-У». В ходе осмотра выявлено, что все контейнеры имеют признаки коррозии и не отвечают действующим требованиям упаковки ПХД-содержащих отходов, соответственно, не пригодны для дальнейшего хранения и транспортировки. Также осуществлен отбор проб воздуха, почвы, напольного покрытия, воды, донных отложений и изоляционной жидкости. Во всех 7 пробах воды, отобранных вдоль береговой линии озера Балхаш, выявлены следы ПХД. В настоящее время ведется круглосуточная охрана данного объекта ГУ «Управления специализированной службой охраны Карагандинской области» МВД РК. На сегодняшний день </w:t>
      </w:r>
      <w:r w:rsidRPr="00F0736F">
        <w:rPr>
          <w:rFonts w:ascii="Times New Roman" w:eastAsia="Times New Roman" w:hAnsi="Times New Roman" w:cs="Times New Roman"/>
          <w:color w:val="000000" w:themeColor="text1"/>
        </w:rPr>
        <w:t>единственным возможным вариантом уничтожения ПХД содержащих конденсаторов являются Европейские заводы по уничтожению СОЗ содержащих отходов.</w:t>
      </w:r>
    </w:p>
    <w:p w14:paraId="4F388198"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Общий объем твердых бытовых отходов увеличился с 546,8 тыс. т. в 2015 году 654,6 тыс. т., в 2017 году</w:t>
      </w:r>
      <w:r w:rsidRPr="00F0736F">
        <w:rPr>
          <w:rFonts w:ascii="Times New Roman" w:eastAsia="Calibri" w:hAnsi="Times New Roman" w:cs="Times New Roman"/>
          <w:color w:val="000000" w:themeColor="text1"/>
        </w:rPr>
        <w:t xml:space="preserve">. Из них в 2017 году переработано 13,96%. В 2018 году образовано 651,3 тыс. т. ТБО, из них </w:t>
      </w:r>
      <w:r w:rsidRPr="00F0736F">
        <w:rPr>
          <w:rFonts w:ascii="Times New Roman" w:eastAsia="Times New Roman" w:hAnsi="Times New Roman" w:cs="Times New Roman"/>
          <w:color w:val="000000" w:themeColor="text1"/>
        </w:rPr>
        <w:t xml:space="preserve">переработано 16,39%. Объем образованных ТБО за 2019 год составил 530 тыс. т., из них переработано 198,4 тыс. т. (37,4%). </w:t>
      </w:r>
    </w:p>
    <w:p w14:paraId="45D087A6"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В 2018 году акиматом Карагандинской области утвержден «Комплекс мер по современной утилизации</w:t>
      </w:r>
      <w:r w:rsidRPr="00F0736F">
        <w:rPr>
          <w:rFonts w:ascii="Times New Roman" w:eastAsia="Calibri" w:hAnsi="Times New Roman" w:cs="Times New Roman"/>
          <w:color w:val="000000" w:themeColor="text1"/>
        </w:rPr>
        <w:t xml:space="preserve"> и переработке твердых бытовых отходов с широким вовлечением субъектов малого и среднего бизнеса по Карагандинской области на 2018 — 2020 годы». Данный Комплекс мер </w:t>
      </w:r>
      <w:r w:rsidRPr="00F0736F">
        <w:rPr>
          <w:rFonts w:ascii="Times New Roman" w:eastAsia="Times New Roman" w:hAnsi="Times New Roman" w:cs="Times New Roman"/>
          <w:color w:val="000000" w:themeColor="text1"/>
        </w:rPr>
        <w:t>направлен на исполнение конкретных задач перед акиматами городов и районов по исполнению целевых индикаторов в сфере ТБО, привлечение инвестиций по переработке отходов.</w:t>
      </w:r>
    </w:p>
    <w:p w14:paraId="6BF0C691"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Охват населения услугами по сбору и транспортировке отходов в 2018 году составил 80% (100% к плану</w:t>
      </w:r>
      <w:r w:rsidRPr="00F0736F">
        <w:rPr>
          <w:rFonts w:ascii="Times New Roman" w:eastAsia="Calibri" w:hAnsi="Times New Roman" w:cs="Times New Roman"/>
          <w:color w:val="000000" w:themeColor="text1"/>
        </w:rPr>
        <w:t xml:space="preserve">). В 2019 году услугами по вывозу ТБО обеспечены 74% населения области, городское население </w:t>
      </w:r>
      <w:bookmarkStart w:id="51" w:name="_Hlk57375723"/>
      <w:r w:rsidRPr="00F0736F">
        <w:rPr>
          <w:rFonts w:ascii="Times New Roman" w:eastAsia="Calibri" w:hAnsi="Times New Roman" w:cs="Times New Roman"/>
          <w:color w:val="000000" w:themeColor="text1"/>
        </w:rPr>
        <w:t xml:space="preserve">– </w:t>
      </w:r>
      <w:bookmarkEnd w:id="51"/>
      <w:r w:rsidRPr="00F0736F">
        <w:rPr>
          <w:rFonts w:ascii="Times New Roman" w:eastAsia="Calibri" w:hAnsi="Times New Roman" w:cs="Times New Roman"/>
          <w:color w:val="000000" w:themeColor="text1"/>
        </w:rPr>
        <w:t xml:space="preserve">80%, сельское население – 53,9%. По информации акимата Карагандинской области из 202 объектов размещения ТБО всего лишь 50 соответствуют экологическим и санитарным требованиям и нормам, что составляет 25%. В городе Каражал, а также Жанааркинском, Нуринском, Улытауском, Шетском районах отсутствуют полигоны ТБО, </w:t>
      </w:r>
      <w:r w:rsidRPr="00F0736F">
        <w:rPr>
          <w:rFonts w:ascii="Times New Roman" w:eastAsia="Times New Roman" w:hAnsi="Times New Roman" w:cs="Times New Roman"/>
          <w:color w:val="000000" w:themeColor="text1"/>
        </w:rPr>
        <w:t>соответствующие экологическим и санитарным требованиям и нормам.</w:t>
      </w:r>
    </w:p>
    <w:p w14:paraId="0EFE8BA9"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В н</w:t>
      </w:r>
      <w:r w:rsidRPr="00F0736F">
        <w:rPr>
          <w:rFonts w:ascii="Times New Roman" w:hAnsi="Times New Roman"/>
          <w:color w:val="000000" w:themeColor="text1"/>
        </w:rPr>
        <w:t xml:space="preserve">астоящее время функционируют 6 предприятий по сбору, сортировке и переработке ТБО, </w:t>
      </w:r>
      <w:r w:rsidRPr="00F0736F">
        <w:rPr>
          <w:rFonts w:ascii="Times New Roman" w:eastAsia="Times New Roman" w:hAnsi="Times New Roman" w:cs="Times New Roman"/>
          <w:color w:val="000000" w:themeColor="text1"/>
        </w:rPr>
        <w:t xml:space="preserve">внедряется раздельный сбор ТБО. </w:t>
      </w:r>
    </w:p>
    <w:p w14:paraId="564083EC"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rPr>
        <w:t>На территории области сортировку и переработку отходов осуществляют в основном три крупные</w:t>
      </w:r>
      <w:r w:rsidRPr="00F0736F">
        <w:rPr>
          <w:rFonts w:ascii="Times New Roman" w:eastAsia="Calibri" w:hAnsi="Times New Roman" w:cs="Times New Roman"/>
          <w:color w:val="000000" w:themeColor="text1"/>
          <w:lang w:val="kk-KZ" w:eastAsia="en-US"/>
        </w:rPr>
        <w:t xml:space="preserve"> мусоровывозящие организации (ТОО «ГорКомТранс города Караганды», ТОО «Ресайклинг», ТОО «ЭкоАлем»).</w:t>
      </w:r>
      <w:r w:rsidRPr="00F0736F">
        <w:rPr>
          <w:rFonts w:ascii="Times New Roman" w:hAnsi="Times New Roman" w:cs="Times New Roman"/>
          <w:color w:val="000000" w:themeColor="text1"/>
        </w:rPr>
        <w:t xml:space="preserve"> </w:t>
      </w:r>
    </w:p>
    <w:p w14:paraId="0411D10D"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целом в области установлено более 1200 контейнеров для раздельного сбора отходов, а также 66 контейнеров для сбора ртутьсодержащих приборов. Однако контейнеры для раздельного сбора установлены лишь в городах Караганда и Темиртау, в остальных 16-ти районах и городах раздельный сбор не внедрен.</w:t>
      </w:r>
    </w:p>
    <w:p w14:paraId="3A8D8ACF"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На сегодняшний день установлено 19 контейнеров для вышедшей из строя мало- и среднегабаритной электронной бытовой техники (чайники, фены, утюги, телефоны и т.п.) (5 – в г.Караганде, по 3 контейнера – в городах Сатпаев, Жезказган, по 2 – в городах Сарань, Шахтинск, Абай, по 1 – в г. Балхаш, пос. Актас). Также обслуживание данных контейнеров осуществляется за счет средств ТОО «ПРОМОТХОДКАЗАХСТАН».</w:t>
      </w:r>
    </w:p>
    <w:p w14:paraId="6312EBAF"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Calibri" w:hAnsi="Times New Roman" w:cs="Times New Roman"/>
          <w:color w:val="000000" w:themeColor="text1"/>
          <w:lang w:val="kk-KZ" w:eastAsia="en-US"/>
        </w:rPr>
        <w:t xml:space="preserve">Мощность мусоросортировочной линии ТОО «ГорКомТранс города Караганды» («Казвторресурсы») - 200 тыс. т./год. Поступившие отходы проходят линию сортировки, где извлекаются 10 фракций (макулатура, картон, полиэтилен, ПЭТ, алюминиевые банки, металл, пластмасса и т.д.). 9 фракций реализуются как вторсырье, а ПЭТ-бутылки перерабатываются до состояния ПЭТ флекс (или ПЭТ хлопьев). </w:t>
      </w:r>
    </w:p>
    <w:p w14:paraId="67E87329"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Calibri" w:hAnsi="Times New Roman" w:cs="Times New Roman"/>
          <w:color w:val="000000" w:themeColor="text1"/>
          <w:lang w:val="kk-KZ" w:eastAsia="en-US"/>
        </w:rPr>
        <w:t>ТОО «ТТК» осуществляет работы по сбору, сортировке и утилизации ТБО в городах Караганда и Темиртау с января 2017 года. Мощность мусоросортировочной линии - 90 тыс. т./год. Из поступающих 60 тыс.т. отсортированных отходов, 50% перерабатываются с получением готовой продукции в виде пластиковых люков и крышек колодцев.</w:t>
      </w:r>
    </w:p>
    <w:p w14:paraId="5B96DCE3"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eastAsia="Calibri" w:hAnsi="Times New Roman" w:cs="Times New Roman"/>
          <w:color w:val="000000" w:themeColor="text1"/>
          <w:lang w:val="kk-KZ" w:eastAsia="en-US"/>
        </w:rPr>
        <w:t>Мощность линии сортировки ТОО «Ресайклинг» составляет 20 тыс. т./год. Компанией осуществляется переработка вторичного пластика с последующим производством гранул и вторичных пластмасс.</w:t>
      </w:r>
    </w:p>
    <w:p w14:paraId="45A4C702"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2017 году (в июне – первый этап, в декабре – второй этап) введен в эксплуатацию завод по утилизации вышедших из эксплуатации транспортных средств (ВЭТС) полного цикла. На заводе осуществляется шредирование и глубокая (до 98%) переработка ВЭТС, при этом мощность завода 50 тыс. ВЭТС в год. </w:t>
      </w:r>
    </w:p>
    <w:p w14:paraId="5D7369B2"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рамках Плана развития города </w:t>
      </w:r>
      <w:r w:rsidRPr="00F0736F">
        <w:rPr>
          <w:rFonts w:ascii="Times New Roman" w:hAnsi="Times New Roman" w:cs="Times New Roman"/>
          <w:i/>
          <w:color w:val="000000" w:themeColor="text1"/>
        </w:rPr>
        <w:t>Жезказган</w:t>
      </w:r>
      <w:r w:rsidRPr="00F0736F">
        <w:rPr>
          <w:rFonts w:ascii="Times New Roman" w:hAnsi="Times New Roman" w:cs="Times New Roman"/>
          <w:color w:val="000000" w:themeColor="text1"/>
        </w:rPr>
        <w:t xml:space="preserve"> на 2017-2019 годы было запланировано строительство мусоросортировочного пункта в г. Жезказган. (разработка концессии – 2018 год; строительство завода - 2019 год). </w:t>
      </w:r>
    </w:p>
    <w:p w14:paraId="2FAAC6EE"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ТОО «ГорКомТранс города Караганды» планирует строительство мусороперерабатывающего завода с полигоном ТБО для размещения на нем отходов городов Караганда, Абай, Сарань, Шахтинск, Темиртау в рамках государственно-частного партнерства. По данному проекту разработана Концепция «Модернизация системы управления твердыми бытовыми отходами Карагандинской области». В настоящее время рабочий проект строительства нового полигона проходит экспертизу. На реализацию проекта планируется инвестировать 882,3 млн. тенге (собственные средства ТОО «ГорКомТранс города Караганды»). Объем переработки – 120 тыс. т. в год, глубина переработки – 50%. </w:t>
      </w:r>
    </w:p>
    <w:p w14:paraId="459E5634"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На территории Карагандинской области выявлен 1081 объект несанкционированной свалки, государственными экологическими инспекторами Департамента экологии Карагандинской области направлено 406 писем об устранении несанкционированных свалок, из которых утилизировано 78 объектов.</w:t>
      </w:r>
    </w:p>
    <w:p w14:paraId="665DD624"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МЭГПР совместно с акиматом Карагандинской области утверждён график ликвидации свалок. Работа по ликвидации несанкционированных свалок продолжается.</w:t>
      </w:r>
    </w:p>
    <w:p w14:paraId="38ED0755"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rFonts w:ascii="Times New Roman" w:hAnsi="Times New Roman" w:cs="Times New Roman"/>
          <w:color w:val="000000" w:themeColor="text1"/>
        </w:rPr>
      </w:pPr>
      <w:r w:rsidRPr="00F0736F">
        <w:rPr>
          <w:color w:val="000000" w:themeColor="text1"/>
        </w:rPr>
        <w:t>С</w:t>
      </w:r>
      <w:r w:rsidRPr="00F0736F">
        <w:rPr>
          <w:rFonts w:ascii="Times New Roman" w:eastAsia="Calibri" w:hAnsi="Times New Roman" w:cs="Times New Roman"/>
          <w:b/>
          <w:bCs/>
          <w:i/>
          <w:color w:val="000000" w:themeColor="text1"/>
          <w:lang w:val="kk-KZ"/>
        </w:rPr>
        <w:t xml:space="preserve">остояние биологических ресурсов и развитие лесного, рыбного и охотничьего </w:t>
      </w:r>
      <w:r w:rsidRPr="00F0736F">
        <w:rPr>
          <w:b/>
          <w:bCs/>
          <w:i/>
          <w:iCs/>
          <w:color w:val="000000" w:themeColor="text1"/>
        </w:rPr>
        <w:t xml:space="preserve">хозяйств, </w:t>
      </w:r>
      <w:r w:rsidRPr="00F0736F">
        <w:rPr>
          <w:rFonts w:ascii="Times New Roman" w:hAnsi="Times New Roman" w:cs="Times New Roman"/>
          <w:b/>
          <w:bCs/>
          <w:i/>
          <w:iCs/>
          <w:color w:val="000000" w:themeColor="text1"/>
        </w:rPr>
        <w:t xml:space="preserve">ООПТ </w:t>
      </w:r>
      <w:r w:rsidRPr="00F0736F">
        <w:rPr>
          <w:b/>
          <w:bCs/>
          <w:i/>
          <w:iCs/>
          <w:color w:val="000000" w:themeColor="text1"/>
        </w:rPr>
        <w:t>и экологического туризма</w:t>
      </w:r>
    </w:p>
    <w:p w14:paraId="783F2310" w14:textId="77777777" w:rsidR="00AC1D5B" w:rsidRPr="00F0736F" w:rsidRDefault="00AC1D5B" w:rsidP="00AC1D5B">
      <w:pPr>
        <w:pBdr>
          <w:top w:val="none" w:sz="0" w:space="0" w:color="000000"/>
          <w:left w:val="none" w:sz="0" w:space="0" w:color="000000"/>
          <w:bottom w:val="single" w:sz="4" w:space="1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2018 году покрытая лесом площадь лесного фонда составила 83 508 га, по сравнению с 2017 годом увеличилась на 111 га. В государственном лесном фонде за 2015 - 2018 годы произведена посадка леса на площади 1520,6 га. Проведен уход за лесными культурами на площади 17 867 га.</w:t>
      </w:r>
    </w:p>
    <w:p w14:paraId="29311F3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01.01.2020 года общая площадь земель государственного лесного фонда области составила 614689 га, из них лесных угодий – 181695 га, в том числе лесопокрытой – 152306 га и нелесные угодья – 432994 га. Лесистость области составляет 0,4%.</w:t>
      </w:r>
    </w:p>
    <w:p w14:paraId="5C86506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функционирует 9 государственных лесовладельца, в т.ч.:</w:t>
      </w:r>
    </w:p>
    <w:p w14:paraId="27C647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- 6 государственных учреждений лесного хозяйства Управления природных ресурсов и регулирования природопользования акимата области на площади 204094 га, </w:t>
      </w:r>
    </w:p>
    <w:p w14:paraId="7CBF028E" w14:textId="77777777" w:rsidR="00AC1D5B" w:rsidRPr="00F0736F" w:rsidRDefault="00AC1D5B" w:rsidP="00AC1D5B">
      <w:pPr>
        <w:tabs>
          <w:tab w:val="left" w:pos="851"/>
        </w:tabs>
        <w:ind w:firstLine="709"/>
        <w:jc w:val="both"/>
        <w:rPr>
          <w:color w:val="000000" w:themeColor="text1"/>
        </w:rPr>
      </w:pPr>
      <w:r w:rsidRPr="00F0736F">
        <w:rPr>
          <w:rFonts w:ascii="Times New Roman" w:hAnsi="Times New Roman" w:cs="Times New Roman"/>
          <w:color w:val="000000" w:themeColor="text1"/>
        </w:rPr>
        <w:t xml:space="preserve">- 2 государственных национальных природных парка (Каркаралинский и Буйратауский) на площади 140 274 га; </w:t>
      </w:r>
    </w:p>
    <w:p w14:paraId="46D200A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Коргалжынский государственный природный заповедник на территории Карагандинской области – 262 125 га;</w:t>
      </w:r>
    </w:p>
    <w:p w14:paraId="0170560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долгосрочное лесопользование для культурно-оздоровительных, рекреационных и спортивных целей сроком от 10 до 49 лет на участках лесного фонда области предоставлено 4 участка на площади 348,1 га.</w:t>
      </w:r>
    </w:p>
    <w:p w14:paraId="4D9FE21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землях ООПТ в долгосрочную и краткосрочную аренду для культурно-оздоровительных, рекреационных и спортивных целей предоставлено 24 участка на площади 36 га.</w:t>
      </w:r>
    </w:p>
    <w:p w14:paraId="09B2618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Общая </w:t>
      </w:r>
      <w:r w:rsidRPr="00F0736F">
        <w:rPr>
          <w:rFonts w:ascii="Times New Roman" w:hAnsi="Times New Roman" w:cs="Times New Roman"/>
          <w:b/>
          <w:bCs/>
          <w:color w:val="000000" w:themeColor="text1"/>
        </w:rPr>
        <w:t xml:space="preserve">площадь охотничьих угодий </w:t>
      </w:r>
      <w:r w:rsidRPr="00F0736F">
        <w:rPr>
          <w:rFonts w:ascii="Times New Roman" w:hAnsi="Times New Roman" w:cs="Times New Roman"/>
          <w:color w:val="000000" w:themeColor="text1"/>
        </w:rPr>
        <w:t>– 36 478,718 тыс. га.</w:t>
      </w:r>
    </w:p>
    <w:p w14:paraId="1B53778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Площадь резервного фонда охотничьих угодий – 14383,22 тыс. га.</w:t>
      </w:r>
    </w:p>
    <w:p w14:paraId="6C1DD5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Закрепленная площадь охотничьих угодий – 22095,497 тыс. га</w:t>
      </w:r>
    </w:p>
    <w:p w14:paraId="4F995BE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Процент закрепления - 60,5%</w:t>
      </w:r>
    </w:p>
    <w:p w14:paraId="496876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Общее количество охотничьих хозяйств – 138 </w:t>
      </w:r>
    </w:p>
    <w:p w14:paraId="478C74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Количество закрепленных охотничьих хозяйств – 98 </w:t>
      </w:r>
    </w:p>
    <w:p w14:paraId="726A8F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Количество субъектов охотничьего хозяйства – 43</w:t>
      </w:r>
    </w:p>
    <w:p w14:paraId="7D19B56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Численность егерской службы в о/х – 348 человек</w:t>
      </w:r>
    </w:p>
    <w:p w14:paraId="5E52206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Поступило платежей за пользование животным миром (за 2019 год) – 9,3 млн. тенге </w:t>
      </w:r>
    </w:p>
    <w:p w14:paraId="0FB177A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Количество зарегистрированных охотников – 16 750 человек</w:t>
      </w:r>
    </w:p>
    <w:p w14:paraId="26489EB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Количество охотничьих видов животных - 23 вида.</w:t>
      </w:r>
    </w:p>
    <w:p w14:paraId="4AFD597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 </w:t>
      </w:r>
      <w:r w:rsidRPr="00F0736F">
        <w:rPr>
          <w:rFonts w:ascii="Times New Roman" w:hAnsi="Times New Roman" w:cs="Times New Roman"/>
          <w:b/>
          <w:bCs/>
          <w:color w:val="000000" w:themeColor="text1"/>
        </w:rPr>
        <w:t>рыбохозяйственных водоемах</w:t>
      </w:r>
      <w:r w:rsidRPr="00F0736F">
        <w:rPr>
          <w:rFonts w:ascii="Times New Roman" w:hAnsi="Times New Roman" w:cs="Times New Roman"/>
          <w:color w:val="000000" w:themeColor="text1"/>
        </w:rPr>
        <w:t xml:space="preserve"> республиканского значения – 37 участков (озеро Балхаш – 21 участок, канал имени К.Сатпаева – 10 участков, река Нура – 6 участков), из них закреплено 23 (озеро Балхаш – 14, канал имени К.Сатпаева – 8, река Нура – 1) за 9 пользователями. Незакрепленными остаются 14 участков (озеро Балхаш – 7, канал имени К.Сатпаева – 2, река Нура – 5). Из 127 водоемов местного значения закреплен 71 водоем за 44 пользователями. Незакрепленными остаются 56 водоемов. Лимит на 2019 год – 1,0 тысяч т. Фактический вылов рыбы – 833,4 т. (83%).</w:t>
      </w:r>
    </w:p>
    <w:p w14:paraId="745D667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Товарным рыбоводством занимаются 9 рыбоводных организаций.  В рамках разрабатываемой программы развития рыбного хозяйства, объем выращиваемой товарной рыбы намечено довести  до 1500 т. к 2030 году.</w:t>
      </w:r>
    </w:p>
    <w:p w14:paraId="3E31E82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созданы следующие </w:t>
      </w:r>
      <w:r w:rsidRPr="00F0736F">
        <w:rPr>
          <w:rFonts w:ascii="Times New Roman" w:hAnsi="Times New Roman" w:cs="Times New Roman"/>
          <w:b/>
          <w:bCs/>
          <w:color w:val="000000" w:themeColor="text1"/>
        </w:rPr>
        <w:t>особо охраняемые природные территории</w:t>
      </w:r>
      <w:r w:rsidRPr="00F0736F">
        <w:rPr>
          <w:rFonts w:ascii="Times New Roman" w:hAnsi="Times New Roman" w:cs="Times New Roman"/>
          <w:color w:val="000000" w:themeColor="text1"/>
        </w:rPr>
        <w:t>:</w:t>
      </w:r>
    </w:p>
    <w:p w14:paraId="1BA5290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2 государственных национальных природных парка:</w:t>
      </w:r>
    </w:p>
    <w:p w14:paraId="2A23656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Каркаралинский государственный национальный природный парк;</w:t>
      </w:r>
    </w:p>
    <w:p w14:paraId="2AF6104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государственный национальный природный парк «Буйратау».</w:t>
      </w:r>
    </w:p>
    <w:p w14:paraId="3CDBA1A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- 7 государственных природных заказников (зоологических) республиканского значения;</w:t>
      </w:r>
    </w:p>
    <w:p w14:paraId="50D4608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- 2 государственных природных заказника (ботанических) республиканского значения;</w:t>
      </w:r>
    </w:p>
    <w:p w14:paraId="7E88CA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- 10 государственных памятников природы республиканского значения.</w:t>
      </w:r>
    </w:p>
    <w:p w14:paraId="60CD8310" w14:textId="77777777" w:rsidR="00AC1D5B" w:rsidRPr="00F0736F" w:rsidRDefault="00AC1D5B" w:rsidP="00AC1D5B">
      <w:pPr>
        <w:ind w:firstLine="709"/>
        <w:jc w:val="both"/>
        <w:rPr>
          <w:rFonts w:ascii="Times New Roman" w:hAnsi="Times New Roman" w:cs="Times New Roman"/>
          <w:color w:val="000000" w:themeColor="text1"/>
        </w:rPr>
      </w:pPr>
    </w:p>
    <w:p w14:paraId="4729F2A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Таблица. 2.8.3 </w:t>
      </w:r>
      <w:r w:rsidRPr="00F0736F">
        <w:rPr>
          <w:rFonts w:ascii="Times New Roman" w:eastAsia="Times New Roman" w:hAnsi="Times New Roman" w:cs="Times New Roman"/>
          <w:color w:val="000000" w:themeColor="text1"/>
          <w:kern w:val="0"/>
          <w:lang w:eastAsia="ru-RU" w:bidi="ar-SA"/>
        </w:rPr>
        <w:t>Заповедники и другие особо охраняемые объекты Карагандинской области</w:t>
      </w:r>
    </w:p>
    <w:tbl>
      <w:tblPr>
        <w:tblW w:w="0" w:type="auto"/>
        <w:tblInd w:w="150" w:type="dxa"/>
        <w:tblLayout w:type="fixed"/>
        <w:tblCellMar>
          <w:top w:w="45" w:type="dxa"/>
          <w:left w:w="150" w:type="dxa"/>
          <w:bottom w:w="45" w:type="dxa"/>
          <w:right w:w="150" w:type="dxa"/>
        </w:tblCellMar>
        <w:tblLook w:val="0000" w:firstRow="0" w:lastRow="0" w:firstColumn="0" w:lastColumn="0" w:noHBand="0" w:noVBand="0"/>
      </w:tblPr>
      <w:tblGrid>
        <w:gridCol w:w="3939"/>
        <w:gridCol w:w="3261"/>
        <w:gridCol w:w="2670"/>
      </w:tblGrid>
      <w:tr w:rsidR="00F0736F" w:rsidRPr="00F0736F" w14:paraId="0E34620C" w14:textId="77777777" w:rsidTr="000B2B8A">
        <w:tc>
          <w:tcPr>
            <w:tcW w:w="3939" w:type="dxa"/>
            <w:tcBorders>
              <w:top w:val="single" w:sz="8" w:space="0" w:color="000000"/>
              <w:left w:val="single" w:sz="8" w:space="0" w:color="000000"/>
              <w:bottom w:val="single" w:sz="8" w:space="0" w:color="000000"/>
            </w:tcBorders>
            <w:shd w:val="clear" w:color="auto" w:fill="FFFFFF"/>
            <w:vAlign w:val="center"/>
          </w:tcPr>
          <w:p w14:paraId="2F4FA5F9"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br/>
              <w:t>Наименование</w:t>
            </w:r>
          </w:p>
        </w:tc>
        <w:tc>
          <w:tcPr>
            <w:tcW w:w="3261" w:type="dxa"/>
            <w:tcBorders>
              <w:top w:val="single" w:sz="8" w:space="0" w:color="000000"/>
              <w:left w:val="single" w:sz="8" w:space="0" w:color="000000"/>
              <w:bottom w:val="single" w:sz="8" w:space="0" w:color="000000"/>
            </w:tcBorders>
            <w:shd w:val="clear" w:color="auto" w:fill="FFFFFF"/>
            <w:vAlign w:val="center"/>
          </w:tcPr>
          <w:p w14:paraId="1D9F141B"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t>Место расположения</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D310B1"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t>Территория, га</w:t>
            </w:r>
          </w:p>
        </w:tc>
      </w:tr>
      <w:tr w:rsidR="00F0736F" w:rsidRPr="00F0736F" w14:paraId="708AB40A" w14:textId="77777777" w:rsidTr="000B2B8A">
        <w:tc>
          <w:tcPr>
            <w:tcW w:w="3939" w:type="dxa"/>
            <w:tcBorders>
              <w:top w:val="single" w:sz="8" w:space="0" w:color="000000"/>
              <w:left w:val="single" w:sz="8" w:space="0" w:color="000000"/>
              <w:bottom w:val="single" w:sz="8" w:space="0" w:color="000000"/>
            </w:tcBorders>
            <w:shd w:val="clear" w:color="auto" w:fill="FFFFFF"/>
          </w:tcPr>
          <w:p w14:paraId="0AA210B3"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Каркаралинский государственный национальный природный парк</w:t>
            </w:r>
          </w:p>
        </w:tc>
        <w:tc>
          <w:tcPr>
            <w:tcW w:w="3261" w:type="dxa"/>
            <w:tcBorders>
              <w:top w:val="single" w:sz="8" w:space="0" w:color="000000"/>
              <w:left w:val="single" w:sz="8" w:space="0" w:color="000000"/>
              <w:bottom w:val="single" w:sz="8" w:space="0" w:color="000000"/>
            </w:tcBorders>
            <w:shd w:val="clear" w:color="auto" w:fill="FFFFFF"/>
            <w:vAlign w:val="bottom"/>
          </w:tcPr>
          <w:p w14:paraId="066748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Каркаралинский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3495D3D"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90 323</w:t>
            </w:r>
          </w:p>
        </w:tc>
      </w:tr>
      <w:tr w:rsidR="00F0736F" w:rsidRPr="00F0736F" w14:paraId="1903573C" w14:textId="77777777" w:rsidTr="000B2B8A">
        <w:tc>
          <w:tcPr>
            <w:tcW w:w="3939" w:type="dxa"/>
            <w:tcBorders>
              <w:top w:val="single" w:sz="8" w:space="0" w:color="000000"/>
              <w:left w:val="single" w:sz="8" w:space="0" w:color="000000"/>
              <w:bottom w:val="single" w:sz="8" w:space="0" w:color="000000"/>
            </w:tcBorders>
            <w:shd w:val="clear" w:color="auto" w:fill="FFFFFF"/>
          </w:tcPr>
          <w:p w14:paraId="1429DD65"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Жезказганский ботанический сад</w:t>
            </w:r>
          </w:p>
        </w:tc>
        <w:tc>
          <w:tcPr>
            <w:tcW w:w="3261" w:type="dxa"/>
            <w:tcBorders>
              <w:top w:val="single" w:sz="8" w:space="0" w:color="000000"/>
              <w:left w:val="single" w:sz="8" w:space="0" w:color="000000"/>
              <w:bottom w:val="single" w:sz="8" w:space="0" w:color="000000"/>
            </w:tcBorders>
            <w:shd w:val="clear" w:color="auto" w:fill="FFFFFF"/>
            <w:vAlign w:val="bottom"/>
          </w:tcPr>
          <w:p w14:paraId="251F259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г. Жезказган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6F2BB2C"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62</w:t>
            </w:r>
          </w:p>
        </w:tc>
      </w:tr>
      <w:tr w:rsidR="00F0736F" w:rsidRPr="00F0736F" w14:paraId="312F678A" w14:textId="77777777" w:rsidTr="000B2B8A">
        <w:tc>
          <w:tcPr>
            <w:tcW w:w="9870" w:type="dxa"/>
            <w:gridSpan w:val="3"/>
            <w:tcBorders>
              <w:top w:val="single" w:sz="8" w:space="0" w:color="000000"/>
              <w:left w:val="single" w:sz="8" w:space="0" w:color="000000"/>
              <w:bottom w:val="single" w:sz="8" w:space="0" w:color="000000"/>
              <w:right w:val="single" w:sz="8" w:space="0" w:color="000000"/>
            </w:tcBorders>
            <w:shd w:val="clear" w:color="auto" w:fill="FFFFFF"/>
          </w:tcPr>
          <w:p w14:paraId="303660E1"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Государственные природные заказники:</w:t>
            </w:r>
          </w:p>
        </w:tc>
      </w:tr>
      <w:tr w:rsidR="00F0736F" w:rsidRPr="00F0736F" w14:paraId="4311F015" w14:textId="77777777" w:rsidTr="000B2B8A">
        <w:tc>
          <w:tcPr>
            <w:tcW w:w="3939" w:type="dxa"/>
            <w:tcBorders>
              <w:top w:val="single" w:sz="8" w:space="0" w:color="000000"/>
              <w:left w:val="single" w:sz="8" w:space="0" w:color="000000"/>
              <w:bottom w:val="single" w:sz="8" w:space="0" w:color="000000"/>
            </w:tcBorders>
            <w:shd w:val="clear" w:color="auto" w:fill="FFFFFF"/>
          </w:tcPr>
          <w:p w14:paraId="02A3DDC5"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Белодымовский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637F90BA"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Осакаровский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FE01853"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3 000</w:t>
            </w:r>
          </w:p>
        </w:tc>
      </w:tr>
      <w:tr w:rsidR="00F0736F" w:rsidRPr="00F0736F" w14:paraId="7F6C0FDF" w14:textId="77777777" w:rsidTr="000B2B8A">
        <w:tc>
          <w:tcPr>
            <w:tcW w:w="3939" w:type="dxa"/>
            <w:tcBorders>
              <w:top w:val="single" w:sz="8" w:space="0" w:color="000000"/>
              <w:left w:val="single" w:sz="8" w:space="0" w:color="000000"/>
              <w:bottom w:val="single" w:sz="8" w:space="0" w:color="000000"/>
            </w:tcBorders>
            <w:shd w:val="clear" w:color="auto" w:fill="FFFFFF"/>
          </w:tcPr>
          <w:p w14:paraId="22343DDB"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Бельагашский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4935C76F"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Бухар–Жырауский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F30D51A"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1 500</w:t>
            </w:r>
          </w:p>
        </w:tc>
      </w:tr>
      <w:tr w:rsidR="00F0736F" w:rsidRPr="00F0736F" w14:paraId="70E9153E" w14:textId="77777777" w:rsidTr="000B2B8A">
        <w:tc>
          <w:tcPr>
            <w:tcW w:w="3939" w:type="dxa"/>
            <w:tcBorders>
              <w:top w:val="single" w:sz="8" w:space="0" w:color="000000"/>
              <w:left w:val="single" w:sz="8" w:space="0" w:color="000000"/>
              <w:bottom w:val="single" w:sz="8" w:space="0" w:color="000000"/>
            </w:tcBorders>
            <w:shd w:val="clear" w:color="auto" w:fill="FFFFFF"/>
          </w:tcPr>
          <w:p w14:paraId="6FA9DE83"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Кувский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62CA3535"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Каркаралинский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2682892"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33 500</w:t>
            </w:r>
          </w:p>
        </w:tc>
      </w:tr>
      <w:tr w:rsidR="00F0736F" w:rsidRPr="00F0736F" w14:paraId="071D141C" w14:textId="77777777" w:rsidTr="000B2B8A">
        <w:tc>
          <w:tcPr>
            <w:tcW w:w="3939" w:type="dxa"/>
            <w:tcBorders>
              <w:top w:val="single" w:sz="8" w:space="0" w:color="000000"/>
              <w:left w:val="single" w:sz="8" w:space="0" w:color="000000"/>
              <w:bottom w:val="single" w:sz="8" w:space="0" w:color="000000"/>
            </w:tcBorders>
            <w:shd w:val="clear" w:color="auto" w:fill="FFFFFF"/>
          </w:tcPr>
          <w:p w14:paraId="38E0F22C"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Бектауатинский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28B75C20"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Актогайский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D55FECF"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500</w:t>
            </w:r>
          </w:p>
        </w:tc>
      </w:tr>
      <w:tr w:rsidR="00F0736F" w:rsidRPr="00F0736F" w14:paraId="65487BEE" w14:textId="77777777" w:rsidTr="000B2B8A">
        <w:tc>
          <w:tcPr>
            <w:tcW w:w="3939" w:type="dxa"/>
            <w:tcBorders>
              <w:top w:val="single" w:sz="8" w:space="0" w:color="000000"/>
              <w:left w:val="single" w:sz="8" w:space="0" w:color="000000"/>
              <w:bottom w:val="single" w:sz="8" w:space="0" w:color="000000"/>
            </w:tcBorders>
            <w:shd w:val="clear" w:color="auto" w:fill="FFFFFF"/>
          </w:tcPr>
          <w:p w14:paraId="01991F89"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Караагашский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6A5B886F"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Жанааркинский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48DF6F8"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15 000</w:t>
            </w:r>
          </w:p>
        </w:tc>
      </w:tr>
      <w:tr w:rsidR="00F0736F" w:rsidRPr="00F0736F" w14:paraId="093758DE" w14:textId="77777777" w:rsidTr="000B2B8A">
        <w:tc>
          <w:tcPr>
            <w:tcW w:w="3939" w:type="dxa"/>
            <w:tcBorders>
              <w:top w:val="single" w:sz="8" w:space="0" w:color="000000"/>
              <w:left w:val="single" w:sz="8" w:space="0" w:color="000000"/>
              <w:bottom w:val="single" w:sz="8" w:space="0" w:color="000000"/>
            </w:tcBorders>
            <w:shd w:val="clear" w:color="auto" w:fill="FFFFFF"/>
          </w:tcPr>
          <w:p w14:paraId="28C7529F"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Кызыларайский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01B96C97"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Актогайский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18793A1"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18 200</w:t>
            </w:r>
          </w:p>
        </w:tc>
      </w:tr>
      <w:tr w:rsidR="00F0736F" w:rsidRPr="00F0736F" w14:paraId="2AB8ADD5" w14:textId="77777777" w:rsidTr="000B2B8A">
        <w:tc>
          <w:tcPr>
            <w:tcW w:w="3939" w:type="dxa"/>
            <w:tcBorders>
              <w:top w:val="single" w:sz="8" w:space="0" w:color="000000"/>
              <w:left w:val="single" w:sz="8" w:space="0" w:color="000000"/>
              <w:bottom w:val="single" w:sz="8" w:space="0" w:color="000000"/>
            </w:tcBorders>
            <w:shd w:val="clear" w:color="auto" w:fill="FFFFFF"/>
          </w:tcPr>
          <w:p w14:paraId="2B58EACE"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Улытауский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0D34B67B"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Улытауский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3A4957C3"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19 300</w:t>
            </w:r>
          </w:p>
        </w:tc>
      </w:tr>
      <w:tr w:rsidR="00F0736F" w:rsidRPr="00F0736F" w14:paraId="38FCCA7E" w14:textId="77777777" w:rsidTr="000B2B8A">
        <w:tc>
          <w:tcPr>
            <w:tcW w:w="3939" w:type="dxa"/>
            <w:tcBorders>
              <w:top w:val="single" w:sz="8" w:space="0" w:color="000000"/>
              <w:left w:val="single" w:sz="8" w:space="0" w:color="000000"/>
              <w:bottom w:val="single" w:sz="8" w:space="0" w:color="000000"/>
            </w:tcBorders>
            <w:shd w:val="clear" w:color="auto" w:fill="FFFFFF"/>
          </w:tcPr>
          <w:p w14:paraId="09F17DA1"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Туранговый (ботанический)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106D3447"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Актогайский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87B3067"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48</w:t>
            </w:r>
          </w:p>
        </w:tc>
      </w:tr>
      <w:tr w:rsidR="00F0736F" w:rsidRPr="00F0736F" w14:paraId="42F29A73" w14:textId="77777777" w:rsidTr="000B2B8A">
        <w:tc>
          <w:tcPr>
            <w:tcW w:w="3939" w:type="dxa"/>
            <w:tcBorders>
              <w:top w:val="single" w:sz="8" w:space="0" w:color="000000"/>
              <w:left w:val="single" w:sz="8" w:space="0" w:color="000000"/>
              <w:bottom w:val="single" w:sz="8" w:space="0" w:color="000000"/>
            </w:tcBorders>
            <w:shd w:val="clear" w:color="auto" w:fill="FFFFFF"/>
          </w:tcPr>
          <w:p w14:paraId="54F10CE7"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Когашинский (ботанический)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3E88DE8C"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Жанааркинский район</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3CE7887"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6 800</w:t>
            </w:r>
          </w:p>
        </w:tc>
      </w:tr>
      <w:tr w:rsidR="00F0736F" w:rsidRPr="00F0736F" w14:paraId="4AB64C61" w14:textId="77777777" w:rsidTr="000B2B8A">
        <w:tc>
          <w:tcPr>
            <w:tcW w:w="3939" w:type="dxa"/>
            <w:tcBorders>
              <w:top w:val="single" w:sz="8" w:space="0" w:color="000000"/>
              <w:left w:val="single" w:sz="8" w:space="0" w:color="000000"/>
              <w:bottom w:val="single" w:sz="8" w:space="0" w:color="000000"/>
            </w:tcBorders>
            <w:shd w:val="clear" w:color="auto" w:fill="FFFFFF"/>
          </w:tcPr>
          <w:p w14:paraId="701C0B9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Болдеутас ГПЗ (зоологический)</w:t>
            </w:r>
          </w:p>
        </w:tc>
        <w:tc>
          <w:tcPr>
            <w:tcW w:w="3261" w:type="dxa"/>
            <w:tcBorders>
              <w:top w:val="single" w:sz="8" w:space="0" w:color="000000"/>
              <w:left w:val="single" w:sz="8" w:space="0" w:color="000000"/>
              <w:bottom w:val="single" w:sz="8" w:space="0" w:color="000000"/>
            </w:tcBorders>
            <w:shd w:val="clear" w:color="auto" w:fill="FFFFFF"/>
            <w:vAlign w:val="bottom"/>
          </w:tcPr>
          <w:p w14:paraId="7EF56336" w14:textId="77777777" w:rsidR="00AC1D5B" w:rsidRPr="00F0736F" w:rsidRDefault="00AC1D5B" w:rsidP="00AC1D5B">
            <w:pPr>
              <w:ind w:firstLine="9"/>
              <w:jc w:val="center"/>
              <w:rPr>
                <w:color w:val="000000" w:themeColor="text1"/>
              </w:rPr>
            </w:pPr>
            <w:r w:rsidRPr="00F0736F">
              <w:rPr>
                <w:rFonts w:ascii="Times New Roman" w:hAnsi="Times New Roman" w:cs="Times New Roman"/>
                <w:color w:val="000000" w:themeColor="text1"/>
                <w:sz w:val="20"/>
                <w:szCs w:val="20"/>
              </w:rPr>
              <w:t xml:space="preserve">Каркаралинский район </w:t>
            </w:r>
          </w:p>
        </w:tc>
        <w:tc>
          <w:tcPr>
            <w:tcW w:w="267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6EC1A36" w14:textId="77777777" w:rsidR="00AC1D5B" w:rsidRPr="00F0736F" w:rsidRDefault="00AC1D5B" w:rsidP="00AC1D5B">
            <w:pPr>
              <w:ind w:firstLine="1"/>
              <w:jc w:val="center"/>
              <w:rPr>
                <w:color w:val="000000" w:themeColor="text1"/>
              </w:rPr>
            </w:pPr>
            <w:r w:rsidRPr="00F0736F">
              <w:rPr>
                <w:rFonts w:ascii="Times New Roman" w:hAnsi="Times New Roman" w:cs="Times New Roman"/>
                <w:color w:val="000000" w:themeColor="text1"/>
                <w:sz w:val="20"/>
                <w:szCs w:val="20"/>
              </w:rPr>
              <w:t>4 466</w:t>
            </w:r>
          </w:p>
        </w:tc>
      </w:tr>
    </w:tbl>
    <w:p w14:paraId="4E9CF902" w14:textId="77777777" w:rsidR="00AC1D5B" w:rsidRPr="00F0736F" w:rsidRDefault="00AC1D5B" w:rsidP="00AC1D5B">
      <w:pPr>
        <w:ind w:firstLine="709"/>
        <w:jc w:val="both"/>
        <w:rPr>
          <w:rFonts w:ascii="Times New Roman" w:hAnsi="Times New Roman" w:cs="Times New Roman"/>
          <w:color w:val="000000" w:themeColor="text1"/>
        </w:rPr>
      </w:pPr>
    </w:p>
    <w:p w14:paraId="77099E6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kern w:val="0"/>
          <w:lang w:eastAsia="ru-RU" w:bidi="ar-SA"/>
        </w:rPr>
        <w:t>Каркаралинский Государственный национальный природный пар</w:t>
      </w:r>
      <w:r w:rsidRPr="00F0736F">
        <w:rPr>
          <w:rFonts w:ascii="Times New Roman" w:eastAsia="Times New Roman" w:hAnsi="Times New Roman" w:cs="Times New Roman"/>
          <w:color w:val="000000" w:themeColor="text1"/>
          <w:kern w:val="0"/>
          <w:lang w:eastAsia="ru-RU" w:bidi="ar-SA"/>
        </w:rPr>
        <w:t>к - особо охраняемая природная территория, площадью более 90 тыс. га, основными целями которой, кроме непосредственно охраны окружающей среды, является также расширение рекреационной деятельности. На территории парка насчитывается 45 видов млекопитающих, более 120 видов птиц, 6 видов рептилий, 2 вида земноводных и 15 видов рыб, лесообразующие породы, такие как сосна, береза, осина, 18 видов грибов и др. Также на территории парка находятся 6 памятников природы: озеро Шайтанколь, озеро Бассейн, Три пещеры, Большая плата, лиственница сибирская, ель сибирская.</w:t>
      </w:r>
    </w:p>
    <w:p w14:paraId="470F166F" w14:textId="77777777" w:rsidR="00AC1D5B" w:rsidRPr="00F0736F" w:rsidRDefault="00AC1D5B" w:rsidP="00AC1D5B">
      <w:pPr>
        <w:shd w:val="clear" w:color="auto" w:fill="FFFFFF"/>
        <w:ind w:firstLine="709"/>
        <w:jc w:val="both"/>
        <w:rPr>
          <w:color w:val="000000" w:themeColor="text1"/>
        </w:rPr>
      </w:pPr>
      <w:r w:rsidRPr="00F0736F">
        <w:rPr>
          <w:rFonts w:ascii="Times New Roman" w:hAnsi="Times New Roman" w:cs="Times New Roman"/>
          <w:color w:val="000000" w:themeColor="text1"/>
        </w:rPr>
        <w:t>Приказом Комитета лесного хозяйства и животного мира (№ 17-5-6/225 от 29.08.2018г.) за РГУ «Каркаралинский ГНПП» под охрану закреплены два государственных природных заказника (зоологических) - Бектауатинский, Белдеутас - общей площадью 45 160 тыс. га.</w:t>
      </w:r>
    </w:p>
    <w:p w14:paraId="28DC7692" w14:textId="77777777" w:rsidR="00AC1D5B" w:rsidRPr="00F0736F" w:rsidRDefault="00AC1D5B" w:rsidP="00AC1D5B">
      <w:pPr>
        <w:shd w:val="clear" w:color="auto" w:fill="FFFFFF"/>
        <w:ind w:firstLine="709"/>
        <w:jc w:val="both"/>
        <w:rPr>
          <w:color w:val="000000" w:themeColor="text1"/>
        </w:rPr>
      </w:pPr>
      <w:r w:rsidRPr="00F0736F">
        <w:rPr>
          <w:rFonts w:ascii="Times New Roman" w:hAnsi="Times New Roman" w:cs="Times New Roman"/>
          <w:color w:val="000000" w:themeColor="text1"/>
        </w:rPr>
        <w:t>На территории Каркаралинского ГНПП функционируют 11 туристских маршрутов.</w:t>
      </w:r>
    </w:p>
    <w:p w14:paraId="2CBD7524"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Государственный национальный природный парк «Буйратау» </w:t>
      </w:r>
    </w:p>
    <w:p w14:paraId="7B439F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Государственный национальный природный парк «Буйратау» создан постановлением Правительства Республики Казахстан от 11 марта 2011 года № 247.  Общая площадь ГНПП «Буйратау» составляет 88 968 га.</w:t>
      </w:r>
    </w:p>
    <w:p w14:paraId="6C3B64A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ГНПП «Буйратау» расположен на территории Ерейментауского района Акмолинской области (60814 га) и на территории Осакаровского района Карагандинской области (28154 га). </w:t>
      </w:r>
    </w:p>
    <w:p w14:paraId="3D928F4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ГНПП ««Буйратау» имеет в своем составе 2 филиала: Ерейментауский и Белодымовский.</w:t>
      </w:r>
    </w:p>
    <w:p w14:paraId="3A8F5A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ГНПП «Буйратау» функционируют 4 туристских маршрута все маршруты по виду перемещения: автомобильные, по времени действия: сезонные, по форме организации: групповые и индивидуальные, общая протяженность их составляет 131,2 км. </w:t>
      </w:r>
    </w:p>
    <w:p w14:paraId="288DEECE" w14:textId="77777777" w:rsidR="00AC1D5B" w:rsidRPr="00F0736F" w:rsidRDefault="00AC1D5B" w:rsidP="00AC1D5B">
      <w:pPr>
        <w:shd w:val="clear" w:color="auto" w:fill="FFFFFF"/>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На них оборудовано: 1 смотровая площадка, 2 бивачные поляны, скамейки, пикниковые столы, указатели, аншлаги, паспорта маршрутов и др. </w:t>
      </w:r>
    </w:p>
    <w:p w14:paraId="680F266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Развитие инфраструктуры </w:t>
      </w:r>
      <w:r w:rsidRPr="00F0736F">
        <w:rPr>
          <w:rFonts w:ascii="Times New Roman" w:hAnsi="Times New Roman" w:cs="Times New Roman"/>
          <w:b/>
          <w:bCs/>
          <w:color w:val="000000" w:themeColor="text1"/>
        </w:rPr>
        <w:t>туризма</w:t>
      </w:r>
      <w:r w:rsidRPr="00F0736F">
        <w:rPr>
          <w:rFonts w:ascii="Times New Roman" w:hAnsi="Times New Roman" w:cs="Times New Roman"/>
          <w:color w:val="000000" w:themeColor="text1"/>
        </w:rPr>
        <w:t xml:space="preserve"> в области создается путем привлечения частных инвестиций в рамках «Единой программы поддержки и развития бизнеса «Дорожная карта бизнеса - 2020». Ключевыми местами туристского интереса являются: город Караганда, побережье озера Балхаш, Улытауский, Каркаралинский и Актогайский районы.  </w:t>
      </w:r>
    </w:p>
    <w:p w14:paraId="284242B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июне 2018 года проведены историко-информационный тур «Elbasy joly», приуроченный к празднованию 20-летия города Астаны (ныне Нур-Султан). В рамках Международного музыкального фестиваля «Жез киік» в Улытауском районе проведен информационный тур с участием 60 туристских операторов и ассоциаций туризма, в том числе зарубежных. Активно проводится информационная работа по продвижению туристских мест области в рамках различных телепередачах, статей в печатных и электронных СМИ.</w:t>
      </w:r>
    </w:p>
    <w:p w14:paraId="11076BBC" w14:textId="77777777" w:rsidR="00AC1D5B" w:rsidRPr="00F0736F" w:rsidRDefault="00AC1D5B" w:rsidP="00AC1D5B">
      <w:pPr>
        <w:ind w:firstLine="709"/>
        <w:jc w:val="both"/>
        <w:rPr>
          <w:rFonts w:ascii="Times New Roman" w:hAnsi="Times New Roman" w:cs="Times New Roman"/>
          <w:color w:val="000000" w:themeColor="text1"/>
        </w:rPr>
      </w:pPr>
    </w:p>
    <w:p w14:paraId="64BCD6AC"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2" w:name="_Toc57818743"/>
      <w:r w:rsidRPr="007272FB">
        <w:rPr>
          <w:rFonts w:ascii="Times New Roman" w:eastAsia="Times New Roman" w:hAnsi="Times New Roman" w:cs="Times New Roman"/>
          <w:color w:val="000000" w:themeColor="text1"/>
          <w:sz w:val="24"/>
          <w:szCs w:val="24"/>
        </w:rPr>
        <w:t>2.9. Костанайская область</w:t>
      </w:r>
      <w:bookmarkEnd w:id="52"/>
    </w:p>
    <w:p w14:paraId="3B847A59" w14:textId="77777777" w:rsidR="00AC1D5B" w:rsidRPr="00F0736F" w:rsidRDefault="00AC1D5B" w:rsidP="00AC1D5B">
      <w:pPr>
        <w:ind w:firstLine="709"/>
        <w:jc w:val="both"/>
        <w:rPr>
          <w:rFonts w:ascii="Times New Roman" w:hAnsi="Times New Roman" w:cs="Times New Roman"/>
          <w:color w:val="000000" w:themeColor="text1"/>
        </w:rPr>
      </w:pPr>
    </w:p>
    <w:p w14:paraId="6456777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6431962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Территория области - 196 тыс. км</w:t>
      </w:r>
      <w:r w:rsidRPr="00F0736F">
        <w:rPr>
          <w:rFonts w:ascii="Times New Roman" w:hAnsi="Times New Roman" w:cs="Times New Roman"/>
          <w:color w:val="000000" w:themeColor="text1"/>
          <w:vertAlign w:val="superscript"/>
        </w:rPr>
        <w:t>2</w:t>
      </w:r>
      <w:r w:rsidRPr="00F0736F">
        <w:rPr>
          <w:rFonts w:ascii="Times New Roman" w:hAnsi="Times New Roman" w:cs="Times New Roman"/>
          <w:color w:val="000000" w:themeColor="text1"/>
        </w:rPr>
        <w:t>. По состоянию на 1 января 2018 года население области составляло 875,6 тыс. человек, а на 1 января 2019 года – 872,8 тыс. человек.</w:t>
      </w:r>
    </w:p>
    <w:p w14:paraId="5D5A17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Область по объему ВРП с 2015 по 2017 годы укрепилась на 12-м месте среди регионов Казахстана. В валовом внутреннем продукте страны удельный вес области составил за 2015 - 2017 годы, соответственно, 3,5-3,4%. По ВРП на душу – 11 место</w:t>
      </w:r>
      <w:r w:rsidRPr="00F0736F">
        <w:rPr>
          <w:rFonts w:ascii="Times New Roman" w:hAnsi="Times New Roman" w:cs="Times New Roman"/>
          <w:color w:val="000000" w:themeColor="text1"/>
          <w:vertAlign w:val="superscript"/>
        </w:rPr>
        <w:footnoteReference w:id="149"/>
      </w:r>
      <w:r w:rsidRPr="00F0736F">
        <w:rPr>
          <w:rFonts w:ascii="Times New Roman" w:hAnsi="Times New Roman" w:cs="Times New Roman"/>
          <w:color w:val="000000" w:themeColor="text1"/>
        </w:rPr>
        <w:t xml:space="preserve">. </w:t>
      </w:r>
    </w:p>
    <w:p w14:paraId="64335976" w14:textId="77777777" w:rsidR="00AC1D5B" w:rsidRPr="00F0736F" w:rsidRDefault="00AC1D5B" w:rsidP="00AC1D5B">
      <w:pPr>
        <w:ind w:firstLine="709"/>
        <w:jc w:val="both"/>
        <w:rPr>
          <w:rFonts w:ascii="Times New Roman" w:hAnsi="Times New Roman" w:cs="Times New Roman"/>
          <w:color w:val="000000" w:themeColor="text1"/>
        </w:rPr>
      </w:pPr>
    </w:p>
    <w:p w14:paraId="20FBFAD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2.9.1. Валовой региональный продукт за 2015 - 2018 годы</w:t>
      </w:r>
    </w:p>
    <w:p w14:paraId="7DD3681D"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513" w:type="dxa"/>
        <w:tblLayout w:type="fixed"/>
        <w:tblLook w:val="04A0" w:firstRow="1" w:lastRow="0" w:firstColumn="1" w:lastColumn="0" w:noHBand="0" w:noVBand="1"/>
      </w:tblPr>
      <w:tblGrid>
        <w:gridCol w:w="2385"/>
        <w:gridCol w:w="2175"/>
        <w:gridCol w:w="1635"/>
        <w:gridCol w:w="1365"/>
        <w:gridCol w:w="1770"/>
      </w:tblGrid>
      <w:tr w:rsidR="00F0736F" w:rsidRPr="00F0736F" w14:paraId="18275DBC" w14:textId="77777777" w:rsidTr="000B2B8A">
        <w:trPr>
          <w:trHeight w:val="345"/>
        </w:trPr>
        <w:tc>
          <w:tcPr>
            <w:tcW w:w="2385" w:type="dxa"/>
            <w:tcBorders>
              <w:top w:val="single" w:sz="4" w:space="0" w:color="000000"/>
              <w:left w:val="single" w:sz="4" w:space="0" w:color="000000"/>
              <w:bottom w:val="single" w:sz="4" w:space="0" w:color="000000"/>
              <w:right w:val="nil"/>
            </w:tcBorders>
            <w:vAlign w:val="center"/>
            <w:hideMark/>
          </w:tcPr>
          <w:p w14:paraId="324E28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Наименование</w:t>
            </w:r>
          </w:p>
        </w:tc>
        <w:tc>
          <w:tcPr>
            <w:tcW w:w="2175" w:type="dxa"/>
            <w:tcBorders>
              <w:top w:val="single" w:sz="4" w:space="0" w:color="000000"/>
              <w:left w:val="single" w:sz="4" w:space="0" w:color="000000"/>
              <w:bottom w:val="single" w:sz="4" w:space="0" w:color="000000"/>
              <w:right w:val="nil"/>
            </w:tcBorders>
            <w:vAlign w:val="center"/>
            <w:hideMark/>
          </w:tcPr>
          <w:p w14:paraId="7B72D72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Ед. изм.</w:t>
            </w:r>
          </w:p>
        </w:tc>
        <w:tc>
          <w:tcPr>
            <w:tcW w:w="1635" w:type="dxa"/>
            <w:tcBorders>
              <w:top w:val="single" w:sz="4" w:space="0" w:color="000000"/>
              <w:left w:val="single" w:sz="4" w:space="0" w:color="000000"/>
              <w:bottom w:val="single" w:sz="4" w:space="0" w:color="000000"/>
              <w:right w:val="nil"/>
            </w:tcBorders>
            <w:vAlign w:val="center"/>
            <w:hideMark/>
          </w:tcPr>
          <w:p w14:paraId="7FB524B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2017 год</w:t>
            </w:r>
          </w:p>
        </w:tc>
        <w:tc>
          <w:tcPr>
            <w:tcW w:w="1365" w:type="dxa"/>
            <w:tcBorders>
              <w:top w:val="single" w:sz="4" w:space="0" w:color="000000"/>
              <w:left w:val="single" w:sz="4" w:space="0" w:color="000000"/>
              <w:bottom w:val="single" w:sz="4" w:space="0" w:color="000000"/>
              <w:right w:val="nil"/>
            </w:tcBorders>
            <w:hideMark/>
          </w:tcPr>
          <w:p w14:paraId="634FA01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2018 год</w:t>
            </w:r>
          </w:p>
        </w:tc>
        <w:tc>
          <w:tcPr>
            <w:tcW w:w="1770" w:type="dxa"/>
            <w:tcBorders>
              <w:top w:val="single" w:sz="4" w:space="0" w:color="000000"/>
              <w:left w:val="single" w:sz="4" w:space="0" w:color="000000"/>
              <w:bottom w:val="single" w:sz="4" w:space="0" w:color="000000"/>
              <w:right w:val="single" w:sz="4" w:space="0" w:color="000000"/>
            </w:tcBorders>
            <w:hideMark/>
          </w:tcPr>
          <w:p w14:paraId="00BE1B3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2019 год</w:t>
            </w:r>
          </w:p>
        </w:tc>
      </w:tr>
      <w:tr w:rsidR="00F0736F" w:rsidRPr="00F0736F" w14:paraId="7C3F36B2" w14:textId="77777777" w:rsidTr="000B2B8A">
        <w:tc>
          <w:tcPr>
            <w:tcW w:w="2385" w:type="dxa"/>
            <w:tcBorders>
              <w:top w:val="single" w:sz="4" w:space="0" w:color="000000"/>
              <w:left w:val="single" w:sz="4" w:space="0" w:color="000000"/>
              <w:bottom w:val="single" w:sz="4" w:space="0" w:color="000000"/>
              <w:right w:val="nil"/>
            </w:tcBorders>
            <w:vAlign w:val="center"/>
            <w:hideMark/>
          </w:tcPr>
          <w:p w14:paraId="3943AAB9"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ВРП</w:t>
            </w:r>
          </w:p>
        </w:tc>
        <w:tc>
          <w:tcPr>
            <w:tcW w:w="2175" w:type="dxa"/>
            <w:tcBorders>
              <w:top w:val="single" w:sz="4" w:space="0" w:color="000000"/>
              <w:left w:val="single" w:sz="4" w:space="0" w:color="000000"/>
              <w:bottom w:val="single" w:sz="4" w:space="0" w:color="000000"/>
              <w:right w:val="nil"/>
            </w:tcBorders>
            <w:vAlign w:val="center"/>
            <w:hideMark/>
          </w:tcPr>
          <w:p w14:paraId="73F94DBD"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Млрд. тенге</w:t>
            </w:r>
          </w:p>
        </w:tc>
        <w:tc>
          <w:tcPr>
            <w:tcW w:w="1635" w:type="dxa"/>
            <w:tcBorders>
              <w:top w:val="single" w:sz="4" w:space="0" w:color="000000"/>
              <w:left w:val="single" w:sz="4" w:space="0" w:color="000000"/>
              <w:bottom w:val="single" w:sz="4" w:space="0" w:color="000000"/>
              <w:right w:val="nil"/>
            </w:tcBorders>
            <w:vAlign w:val="center"/>
            <w:hideMark/>
          </w:tcPr>
          <w:p w14:paraId="3E283B9A"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1 850,3</w:t>
            </w:r>
          </w:p>
        </w:tc>
        <w:tc>
          <w:tcPr>
            <w:tcW w:w="1365" w:type="dxa"/>
            <w:tcBorders>
              <w:top w:val="single" w:sz="4" w:space="0" w:color="000000"/>
              <w:left w:val="single" w:sz="4" w:space="0" w:color="000000"/>
              <w:bottom w:val="single" w:sz="4" w:space="0" w:color="000000"/>
              <w:right w:val="nil"/>
            </w:tcBorders>
            <w:vAlign w:val="center"/>
            <w:hideMark/>
          </w:tcPr>
          <w:p w14:paraId="28836B2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2 069,3</w:t>
            </w:r>
          </w:p>
        </w:tc>
        <w:tc>
          <w:tcPr>
            <w:tcW w:w="1770" w:type="dxa"/>
            <w:tcBorders>
              <w:top w:val="single" w:sz="4" w:space="0" w:color="000000"/>
              <w:left w:val="single" w:sz="4" w:space="0" w:color="000000"/>
              <w:bottom w:val="single" w:sz="4" w:space="0" w:color="000000"/>
              <w:right w:val="single" w:sz="4" w:space="0" w:color="000000"/>
            </w:tcBorders>
            <w:vAlign w:val="center"/>
            <w:hideMark/>
          </w:tcPr>
          <w:p w14:paraId="54B343D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2 451,7</w:t>
            </w:r>
          </w:p>
        </w:tc>
      </w:tr>
      <w:tr w:rsidR="00F0736F" w:rsidRPr="00F0736F" w14:paraId="1D7F1005" w14:textId="77777777" w:rsidTr="000B2B8A">
        <w:tc>
          <w:tcPr>
            <w:tcW w:w="2385" w:type="dxa"/>
            <w:tcBorders>
              <w:top w:val="single" w:sz="4" w:space="0" w:color="000000"/>
              <w:left w:val="single" w:sz="4" w:space="0" w:color="000000"/>
              <w:bottom w:val="single" w:sz="4" w:space="0" w:color="000000"/>
              <w:right w:val="nil"/>
            </w:tcBorders>
            <w:vAlign w:val="center"/>
            <w:hideMark/>
          </w:tcPr>
          <w:p w14:paraId="20223A7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ИФО ВРП</w:t>
            </w:r>
          </w:p>
        </w:tc>
        <w:tc>
          <w:tcPr>
            <w:tcW w:w="2175" w:type="dxa"/>
            <w:tcBorders>
              <w:top w:val="single" w:sz="4" w:space="0" w:color="000000"/>
              <w:left w:val="single" w:sz="4" w:space="0" w:color="000000"/>
              <w:bottom w:val="single" w:sz="4" w:space="0" w:color="000000"/>
              <w:right w:val="nil"/>
            </w:tcBorders>
            <w:vAlign w:val="center"/>
            <w:hideMark/>
          </w:tcPr>
          <w:p w14:paraId="5C2974A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w:t>
            </w:r>
          </w:p>
        </w:tc>
        <w:tc>
          <w:tcPr>
            <w:tcW w:w="1635" w:type="dxa"/>
            <w:tcBorders>
              <w:top w:val="single" w:sz="4" w:space="0" w:color="000000"/>
              <w:left w:val="single" w:sz="4" w:space="0" w:color="000000"/>
              <w:bottom w:val="single" w:sz="4" w:space="0" w:color="000000"/>
              <w:right w:val="nil"/>
            </w:tcBorders>
            <w:vAlign w:val="center"/>
            <w:hideMark/>
          </w:tcPr>
          <w:p w14:paraId="3D6CA52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104,6</w:t>
            </w:r>
          </w:p>
        </w:tc>
        <w:tc>
          <w:tcPr>
            <w:tcW w:w="1365" w:type="dxa"/>
            <w:tcBorders>
              <w:top w:val="single" w:sz="4" w:space="0" w:color="000000"/>
              <w:left w:val="single" w:sz="4" w:space="0" w:color="000000"/>
              <w:bottom w:val="single" w:sz="4" w:space="0" w:color="000000"/>
              <w:right w:val="nil"/>
            </w:tcBorders>
            <w:vAlign w:val="center"/>
            <w:hideMark/>
          </w:tcPr>
          <w:p w14:paraId="0C078589"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105,9</w:t>
            </w:r>
          </w:p>
        </w:tc>
        <w:tc>
          <w:tcPr>
            <w:tcW w:w="1770" w:type="dxa"/>
            <w:tcBorders>
              <w:top w:val="single" w:sz="4" w:space="0" w:color="000000"/>
              <w:left w:val="single" w:sz="4" w:space="0" w:color="000000"/>
              <w:bottom w:val="single" w:sz="4" w:space="0" w:color="000000"/>
              <w:right w:val="single" w:sz="4" w:space="0" w:color="000000"/>
            </w:tcBorders>
            <w:vAlign w:val="center"/>
            <w:hideMark/>
          </w:tcPr>
          <w:p w14:paraId="179A822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104,6</w:t>
            </w:r>
          </w:p>
        </w:tc>
      </w:tr>
      <w:tr w:rsidR="00AC1D5B" w:rsidRPr="00F0736F" w14:paraId="1C20EEF5" w14:textId="77777777" w:rsidTr="000B2B8A">
        <w:tc>
          <w:tcPr>
            <w:tcW w:w="2385" w:type="dxa"/>
            <w:tcBorders>
              <w:top w:val="single" w:sz="4" w:space="0" w:color="000000"/>
              <w:left w:val="single" w:sz="4" w:space="0" w:color="000000"/>
              <w:bottom w:val="single" w:sz="4" w:space="0" w:color="000000"/>
              <w:right w:val="nil"/>
            </w:tcBorders>
            <w:vAlign w:val="center"/>
            <w:hideMark/>
          </w:tcPr>
          <w:p w14:paraId="2E96561A"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ВРП на душу населения</w:t>
            </w:r>
          </w:p>
        </w:tc>
        <w:tc>
          <w:tcPr>
            <w:tcW w:w="2175" w:type="dxa"/>
            <w:tcBorders>
              <w:top w:val="single" w:sz="4" w:space="0" w:color="000000"/>
              <w:left w:val="single" w:sz="4" w:space="0" w:color="000000"/>
              <w:bottom w:val="single" w:sz="4" w:space="0" w:color="000000"/>
              <w:right w:val="nil"/>
            </w:tcBorders>
            <w:vAlign w:val="bottom"/>
            <w:hideMark/>
          </w:tcPr>
          <w:p w14:paraId="5871E57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тыс.тенге</w:t>
            </w:r>
          </w:p>
        </w:tc>
        <w:tc>
          <w:tcPr>
            <w:tcW w:w="1635" w:type="dxa"/>
            <w:tcBorders>
              <w:top w:val="single" w:sz="4" w:space="0" w:color="000000"/>
              <w:left w:val="single" w:sz="4" w:space="0" w:color="000000"/>
              <w:bottom w:val="single" w:sz="4" w:space="0" w:color="000000"/>
              <w:right w:val="nil"/>
            </w:tcBorders>
            <w:vAlign w:val="center"/>
            <w:hideMark/>
          </w:tcPr>
          <w:p w14:paraId="247C945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2 108,9</w:t>
            </w:r>
          </w:p>
        </w:tc>
        <w:tc>
          <w:tcPr>
            <w:tcW w:w="1365" w:type="dxa"/>
            <w:tcBorders>
              <w:top w:val="single" w:sz="4" w:space="0" w:color="000000"/>
              <w:left w:val="single" w:sz="4" w:space="0" w:color="000000"/>
              <w:bottom w:val="single" w:sz="4" w:space="0" w:color="000000"/>
              <w:right w:val="nil"/>
            </w:tcBorders>
            <w:vAlign w:val="center"/>
            <w:hideMark/>
          </w:tcPr>
          <w:p w14:paraId="5A52C6F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2 367,1</w:t>
            </w:r>
          </w:p>
        </w:tc>
        <w:tc>
          <w:tcPr>
            <w:tcW w:w="1770" w:type="dxa"/>
            <w:tcBorders>
              <w:top w:val="single" w:sz="4" w:space="0" w:color="000000"/>
              <w:left w:val="single" w:sz="4" w:space="0" w:color="000000"/>
              <w:bottom w:val="single" w:sz="4" w:space="0" w:color="000000"/>
              <w:right w:val="single" w:sz="4" w:space="0" w:color="000000"/>
            </w:tcBorders>
            <w:vAlign w:val="center"/>
            <w:hideMark/>
          </w:tcPr>
          <w:p w14:paraId="34A7958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2 815,9</w:t>
            </w:r>
          </w:p>
        </w:tc>
      </w:tr>
    </w:tbl>
    <w:p w14:paraId="367BF157" w14:textId="77777777" w:rsidR="00AC1D5B" w:rsidRPr="00F0736F" w:rsidRDefault="00AC1D5B" w:rsidP="00AC1D5B">
      <w:pPr>
        <w:ind w:firstLine="709"/>
        <w:jc w:val="both"/>
        <w:rPr>
          <w:rFonts w:ascii="Times New Roman" w:hAnsi="Times New Roman" w:cs="Times New Roman"/>
          <w:color w:val="000000" w:themeColor="text1"/>
        </w:rPr>
      </w:pPr>
    </w:p>
    <w:p w14:paraId="4BE663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Основными региональными продуктами </w:t>
      </w:r>
      <w:r w:rsidRPr="00F0736F">
        <w:rPr>
          <w:rFonts w:ascii="Times New Roman" w:hAnsi="Times New Roman" w:cs="Times New Roman"/>
          <w:b/>
          <w:color w:val="000000" w:themeColor="text1"/>
        </w:rPr>
        <w:t>промышленного производства</w:t>
      </w:r>
      <w:r w:rsidRPr="00F0736F">
        <w:rPr>
          <w:rFonts w:ascii="Times New Roman" w:hAnsi="Times New Roman" w:cs="Times New Roman"/>
          <w:color w:val="000000" w:themeColor="text1"/>
        </w:rPr>
        <w:t xml:space="preserve"> Костанайской области являются железорудная продукция, бокситы, асбест, продукция машиностроения, мука, кондитерские изделия. </w:t>
      </w:r>
    </w:p>
    <w:p w14:paraId="607AAD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республиканском объеме промышленного производства на область приходится 100% производства железорудных окатышей, бокситов, асбеста.</w:t>
      </w:r>
    </w:p>
    <w:p w14:paraId="5D6C33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Функционируют предприятия горнодобывающей, обрабатывающей промышленности, по производству и распределению электроэнергии, газа и воды. Современная многоотраслевая промышленность представлена комбинатами, заводами, современными малыми предприятиями. </w:t>
      </w:r>
    </w:p>
    <w:p w14:paraId="1B055A2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Производством промышленной продукции занимаются около 7</w:t>
      </w:r>
      <w:r w:rsidRPr="00F0736F">
        <w:rPr>
          <w:rFonts w:ascii="Times New Roman" w:hAnsi="Times New Roman" w:cs="Times New Roman"/>
          <w:bCs/>
          <w:color w:val="000000" w:themeColor="text1"/>
        </w:rPr>
        <w:t>00 предприятий</w:t>
      </w:r>
      <w:r w:rsidRPr="00F0736F">
        <w:rPr>
          <w:rFonts w:ascii="Times New Roman" w:hAnsi="Times New Roman" w:cs="Times New Roman"/>
          <w:color w:val="000000" w:themeColor="text1"/>
        </w:rPr>
        <w:t xml:space="preserve"> с численностью работающих </w:t>
      </w:r>
      <w:r w:rsidRPr="00F0736F">
        <w:rPr>
          <w:rFonts w:ascii="Times New Roman" w:hAnsi="Times New Roman" w:cs="Times New Roman"/>
          <w:bCs/>
          <w:color w:val="000000" w:themeColor="text1"/>
        </w:rPr>
        <w:t>более 43 тыс. человек.</w:t>
      </w:r>
    </w:p>
    <w:p w14:paraId="375FE8D3"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 xml:space="preserve">По данным Комитета по статистике, объем </w:t>
      </w:r>
      <w:r w:rsidRPr="00F0736F">
        <w:rPr>
          <w:rFonts w:ascii="Times New Roman" w:hAnsi="Times New Roman" w:cs="Times New Roman"/>
          <w:b/>
          <w:bCs/>
          <w:color w:val="000000" w:themeColor="text1"/>
        </w:rPr>
        <w:t>промышленного производства</w:t>
      </w:r>
      <w:r w:rsidRPr="00F0736F">
        <w:rPr>
          <w:rFonts w:ascii="Times New Roman" w:hAnsi="Times New Roman" w:cs="Times New Roman"/>
          <w:bCs/>
          <w:color w:val="000000" w:themeColor="text1"/>
        </w:rPr>
        <w:t xml:space="preserve"> увеличился с 449,2 млрд. тенге в 2015 году до 764,3 млрд. тенге в 2017 году, до 883,4 млрд. тенге в 2018 году, и до 1207,0 млрд. тенге в 2019 году, в том числе объем обрабатывающей промышленности с 244,5 до 412,6 млрд. тенге в 2017 году, до 459,0 млрд. тенге в 2018 году и до 646,0  млрд. тенге в 2019 году. </w:t>
      </w:r>
    </w:p>
    <w:p w14:paraId="7573C702" w14:textId="77777777" w:rsidR="00AC1D5B" w:rsidRPr="00F0736F" w:rsidRDefault="00AC1D5B" w:rsidP="00AC1D5B">
      <w:pPr>
        <w:overflowPunct/>
        <w:ind w:firstLine="709"/>
        <w:jc w:val="both"/>
        <w:rPr>
          <w:color w:val="000000" w:themeColor="text1"/>
          <w:kern w:val="0"/>
          <w:sz w:val="16"/>
        </w:rPr>
      </w:pPr>
      <w:r w:rsidRPr="00F0736F">
        <w:rPr>
          <w:rFonts w:ascii="Times New Roman" w:hAnsi="Times New Roman" w:cs="Times New Roman"/>
          <w:color w:val="000000" w:themeColor="text1"/>
          <w:kern w:val="0"/>
        </w:rPr>
        <w:t xml:space="preserve">По итогам 2019 года индекс физического объема обрабатывающей промышленности </w:t>
      </w:r>
      <w:r w:rsidRPr="00F0736F">
        <w:rPr>
          <w:rFonts w:ascii="Times New Roman" w:eastAsia="font275" w:hAnsi="Times New Roman" w:cs="Times New Roman"/>
          <w:color w:val="000000" w:themeColor="text1"/>
          <w:kern w:val="0"/>
          <w:lang w:eastAsia="ru-RU" w:bidi="ar-SA"/>
        </w:rPr>
        <w:t>составил</w:t>
      </w:r>
      <w:r w:rsidRPr="00F0736F">
        <w:rPr>
          <w:rFonts w:ascii="Times New Roman" w:hAnsi="Times New Roman" w:cs="Times New Roman"/>
          <w:color w:val="000000" w:themeColor="text1"/>
          <w:kern w:val="0"/>
        </w:rPr>
        <w:t xml:space="preserve"> 126,2%. Рост в основном сложился за счет увеличения объемов производства в машиностроительной отрасли (доля в обрабатывающей промышленности – 37,5%), и металлургии (доля в обрабатывающей промышленности –</w:t>
      </w:r>
      <w:r w:rsidRPr="00F0736F">
        <w:rPr>
          <w:rFonts w:ascii="Times New Roman" w:hAnsi="Times New Roman" w:cs="Times New Roman"/>
          <w:strike/>
          <w:color w:val="000000" w:themeColor="text1"/>
          <w:kern w:val="0"/>
        </w:rPr>
        <w:t xml:space="preserve"> </w:t>
      </w:r>
      <w:r w:rsidRPr="00F0736F">
        <w:rPr>
          <w:rFonts w:ascii="Times New Roman" w:hAnsi="Times New Roman" w:cs="Times New Roman"/>
          <w:color w:val="000000" w:themeColor="text1"/>
          <w:kern w:val="0"/>
        </w:rPr>
        <w:t>19,8%). Увеличено производство автомобилей легковых – в 2 раза, автомобилей грузовых в 8,1 раза, автомобилей для перевозки десяти и более человек в 5,3 раза (ТОО «СаркаАвтоПром»), комбайнов – на 47,9% (АО «Агромашхолдинг KZ»), тракторов – в 8,6 раз (АО «Агромашхолдинг KZ», ТОО «Композит групп»), золота необработанного и полуобработанного или в виде порошка – на 9,7% (в основном за счет АО «Варваринское»), прутков и стержней горячекатаных – на 65,0% (в основном за счет ТОО «ЕвразКаспианСталь»), напитков безалкогольных – на 18,4% (в основном за счет ТОО «Фирма Арасан»).</w:t>
      </w:r>
    </w:p>
    <w:p w14:paraId="75A6883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lang w:eastAsia="ko-KR"/>
        </w:rPr>
        <w:t>Сельское хозяйство</w:t>
      </w:r>
      <w:r w:rsidRPr="00F0736F">
        <w:rPr>
          <w:rFonts w:ascii="Times New Roman" w:hAnsi="Times New Roman" w:cs="Times New Roman"/>
          <w:color w:val="000000" w:themeColor="text1"/>
          <w:lang w:eastAsia="ko-KR"/>
        </w:rPr>
        <w:t xml:space="preserve"> – вторая ведущая отрасль материального производства области, валовой объем продукции которого, по данным Комитета по статистике, увеличился с 294.6 млрд. тенге в 2015 году до 368,1 млрд. тенге в 2017 году и до 397,8 млрд. тенге в 2019 году, с преимуществом растениеводства (66,4%). В общереспубликанском валовом сборе зерна Костанайская область занимает 3 место. В среднем за период с 2015 по 2017 годы урожай зерновых составил более 4,6 млн. т. в год. В 2017 году зерна произведено на 7% больше, чем в 2015 году. </w:t>
      </w:r>
    </w:p>
    <w:p w14:paraId="10C3B25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ko-KR"/>
        </w:rPr>
        <w:t xml:space="preserve">Приоритетным в развитии земледелия области является зерновое производство, оно занимает 73,2% валовой продукции растениеводства. Посевная площадь зерновых культур по области в 2017 году составила 4194,5 тыс. га, в сравнении с 2015 годом увеличилась на 191 тыс. га. Вся посевная площадь увеличилась на 109 тыс. га и составила 5198,0 тыс. га. </w:t>
      </w:r>
      <w:r w:rsidRPr="00F0736F">
        <w:rPr>
          <w:rFonts w:ascii="Times New Roman" w:eastAsia="Calibri" w:hAnsi="Times New Roman" w:cs="Times New Roman"/>
          <w:color w:val="000000" w:themeColor="text1"/>
          <w:lang w:eastAsia="ko-KR"/>
        </w:rPr>
        <w:t>В 2017 году площадь пшеницы составила 3704,9 тыс. га, площадь под масличными культурами составила 351,3 тыс. га. Урожайность пшеницы составила в 2017 году – 1,13 т/га, а в 2018 году 1,25 т/га.</w:t>
      </w:r>
    </w:p>
    <w:p w14:paraId="3E9E8FA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численности скота и производству основных продуктов животноводства область занимает одно из ведущих мест среди регионов страны. Основными производителями животноводческой продукции региона являются хозяйства населения – 68%, сельскохозяйственные предприятия – 27,6%, крестьянские (фермерские хозяйства) – 4,4%.</w:t>
      </w:r>
    </w:p>
    <w:p w14:paraId="63F9A26D"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ko-KR"/>
        </w:rPr>
        <w:t>По области площадь пастбищ на землях сельскохозяйственного назначения составляет 4391 тыс. га, обводненных 1355 тыс. га, или 31%. С 2014 - 2016 гг. хозяйствами построено и восстановлено 101 единица шахтных колодцев и скважин. В 2017 году построен 31 колодец (скважина) при плане 30.</w:t>
      </w:r>
    </w:p>
    <w:p w14:paraId="7AD9289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77F7A98F" w14:textId="77777777" w:rsidR="00AC1D5B" w:rsidRPr="00F0736F" w:rsidRDefault="00AC1D5B" w:rsidP="00AC1D5B">
      <w:pPr>
        <w:ind w:firstLine="709"/>
        <w:jc w:val="both"/>
        <w:rPr>
          <w:color w:val="000000" w:themeColor="text1"/>
        </w:rPr>
      </w:pPr>
      <w:r w:rsidRPr="00F0736F">
        <w:rPr>
          <w:rFonts w:ascii="Times New Roman" w:eastAsia="Consolas" w:hAnsi="Times New Roman" w:cs="Times New Roman"/>
          <w:color w:val="000000" w:themeColor="text1"/>
        </w:rPr>
        <w:t>В Костанайской области имеется 136,6 тыс. га орошаемых земель, в том числе: лиманного орошения – 104,3 тыс. га; регулярного орошения – 32,3 тыс. га. Из закрепленных за сельхозтоваропроизводителями земель орошается 4442,2 га пашни, из них 3738,1 га способом дождевания, 259,5 га капельным орошением, 444,6 га по бороздам.</w:t>
      </w:r>
      <w:r w:rsidRPr="00F0736F">
        <w:rPr>
          <w:rFonts w:ascii="Times New Roman" w:eastAsia="Consolas" w:hAnsi="Times New Roman" w:cs="Times New Roman"/>
          <w:bCs/>
          <w:iCs/>
          <w:color w:val="000000" w:themeColor="text1"/>
          <w:lang w:eastAsia="ko-KR"/>
        </w:rPr>
        <w:tab/>
        <w:t xml:space="preserve">Непосредственно для полива сельскохозяйственных культур традиционно использовались дождевальные агрегаты, но наиболее эффективным, экономичным способом является применение капельного орошения. </w:t>
      </w:r>
      <w:r w:rsidRPr="00F0736F">
        <w:rPr>
          <w:rFonts w:ascii="Times New Roman" w:hAnsi="Times New Roman" w:cs="Times New Roman"/>
          <w:bCs/>
          <w:iCs/>
          <w:color w:val="000000" w:themeColor="text1"/>
        </w:rPr>
        <w:t>Внедрение инновационных влагосберегающих технологий, увеличение гербицидов и минеральных удобрений</w:t>
      </w:r>
      <w:r w:rsidRPr="00F0736F">
        <w:rPr>
          <w:rFonts w:ascii="Times New Roman" w:hAnsi="Times New Roman" w:cs="Times New Roman"/>
          <w:color w:val="000000" w:themeColor="text1"/>
          <w:lang w:val="kk-KZ"/>
        </w:rPr>
        <w:t xml:space="preserve"> позволило вырастить и собрать в 2018 году </w:t>
      </w:r>
      <w:r w:rsidRPr="00F0736F">
        <w:rPr>
          <w:rFonts w:ascii="Times New Roman" w:hAnsi="Times New Roman" w:cs="Times New Roman"/>
          <w:color w:val="000000" w:themeColor="text1"/>
        </w:rPr>
        <w:t xml:space="preserve">5015 тыс. </w:t>
      </w:r>
      <w:r w:rsidRPr="00F0736F">
        <w:rPr>
          <w:rFonts w:ascii="Times New Roman" w:hAnsi="Times New Roman" w:cs="Times New Roman"/>
          <w:color w:val="000000" w:themeColor="text1"/>
          <w:lang w:val="kk-KZ"/>
        </w:rPr>
        <w:t>т. зерна.</w:t>
      </w:r>
    </w:p>
    <w:p w14:paraId="7330B87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Увеличены площади под зернофуражными культурами, площадь которых в 2017 году составила 383 тыс. га, что больше уровня 2015 года на 10,6 тыс. га, под крупяными культурами площадь увеличена на 6 тыс. га и составила 20,5 тыс. га, под зернобобовыми культурами увеличена на 36,6 тыс. га и составила 65,8 тыс. га.</w:t>
      </w:r>
    </w:p>
    <w:p w14:paraId="2F21FEF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Площадь земель сельскохозяйственного назначения за период 2015 - 2017 годы увеличилась на 240,2 тыс. га и на 1 января 2018 года составила 10671,4 тыс. га, в том числе пашня – 6015,0 тыс. га (99,8% к уровню 2015 года), сенокосы – 113,6 тыс. га (98,6% к уровню 2015 года), пастбища – 4238,8 тыс. га (98,9% к уровню 2015 года).</w:t>
      </w:r>
    </w:p>
    <w:p w14:paraId="463EC0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частности, в 2017 году были возвращены в государственную собственность земельные участки площадью 480,9 тыс. га, в т. ч. пашни - 48,4 тыс. га, сенокосы - 1,9 тыс. га, пастбища – 417,5 тыс. га, в связи с добровольным отказом пользователей.</w:t>
      </w:r>
    </w:p>
    <w:p w14:paraId="706694F0"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2A6C9D4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Электроснабжение. </w:t>
      </w:r>
      <w:r w:rsidRPr="00F0736F">
        <w:rPr>
          <w:rFonts w:ascii="Times New Roman" w:eastAsia="Times New Roman" w:hAnsi="Times New Roman" w:cs="Times New Roman"/>
          <w:color w:val="000000" w:themeColor="text1"/>
          <w:kern w:val="0"/>
          <w:lang w:eastAsia="ru-RU" w:bidi="ar-SA"/>
        </w:rPr>
        <w:t>Костанайская область относится к энергодефицитным. Выработка электроэнергии электростанциями, расположенными на территории области, не превышает 30% от общего объема потребления (потребление электроэнергии всего по области за 2019 год – 4,77 млрд. кВт*ч, за 2018 год – 4,71 млрд. кВт*ч) и составляет 0,95 млрд. кВт*ч. Дефицит электроэнергии по области покрывается за счет внешних источников (ТОО «Экибастузская ГРЭС-1» ТОО «Экибастузская ГРЭС-2»).</w:t>
      </w:r>
      <w:r w:rsidRPr="00F0736F">
        <w:rPr>
          <w:rFonts w:ascii="Times New Roman" w:hAnsi="Times New Roman" w:cs="Times New Roman"/>
          <w:color w:val="000000" w:themeColor="text1"/>
        </w:rPr>
        <w:t xml:space="preserve"> </w:t>
      </w:r>
    </w:p>
    <w:p w14:paraId="23DA311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Производство электроэнергии в области осуществляют: Рудненская ТЭЦ АО «ССГПО» мощностью 267 МВт, Костанайская ТЭЦ 12 МВт, Аркалыкская ТЭЦ 4 МВт. Вся вырабатываемая электроэнергия используется энергоисточниками для собственных нужд предприятий. </w:t>
      </w:r>
    </w:p>
    <w:p w14:paraId="04991A38" w14:textId="77777777" w:rsidR="00AC1D5B" w:rsidRPr="00F0736F" w:rsidRDefault="00AC1D5B" w:rsidP="00AC1D5B">
      <w:pPr>
        <w:ind w:firstLine="709"/>
        <w:jc w:val="both"/>
        <w:rPr>
          <w:rFonts w:ascii="Times New Roman" w:eastAsia="Times New Roman" w:hAnsi="Times New Roman" w:cs="Times New Roman"/>
          <w:color w:val="000000" w:themeColor="text1"/>
          <w:kern w:val="0"/>
          <w:lang w:eastAsia="ru-RU" w:bidi="ar-SA"/>
        </w:rPr>
      </w:pPr>
      <w:r w:rsidRPr="00F0736F">
        <w:rPr>
          <w:rFonts w:ascii="Times New Roman" w:hAnsi="Times New Roman" w:cs="Times New Roman"/>
          <w:color w:val="000000" w:themeColor="text1"/>
        </w:rPr>
        <w:t xml:space="preserve">Общая протяженность электрических сетей – 29,3 тыс. км, в том числе кабельных линий – </w:t>
      </w:r>
      <w:r w:rsidRPr="00F0736F">
        <w:rPr>
          <w:rFonts w:ascii="Times New Roman" w:eastAsia="Times New Roman" w:hAnsi="Times New Roman" w:cs="Times New Roman"/>
          <w:color w:val="000000" w:themeColor="text1"/>
          <w:kern w:val="0"/>
          <w:lang w:eastAsia="ru-RU" w:bidi="ar-SA"/>
        </w:rPr>
        <w:t xml:space="preserve">1501,5 км. На территории области 317 подстанций напряжением 35 кВ и выше и 4140 РП, ТП, КТП 6-10/0,4 кВ. </w:t>
      </w:r>
    </w:p>
    <w:p w14:paraId="008F7C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Проблемой для энергетиков области является крайне высокая изношенность энергетического оборудования, износ эксплуатируемого электрооборудования составляет 73,4%.</w:t>
      </w:r>
    </w:p>
    <w:p w14:paraId="1BB8A5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целом по области плотность сетей в городах высока. Однако следует отметить диспропорции в плотности электро- и теплосетей между городской и сельской местностью. </w:t>
      </w:r>
    </w:p>
    <w:p w14:paraId="15A6A79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1 января 2020 года все населенные пункты Костанайской области подключены к централизованным электрическим сетям. </w:t>
      </w:r>
    </w:p>
    <w:p w14:paraId="35772554"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Для увеличения доли выработки с 2018 года реализуется проект «Строительство ветроэлектростанции Ыбырай мощностью 50 МВт в Костанайском районе Костанайской области».</w:t>
      </w:r>
    </w:p>
    <w:p w14:paraId="36DFD9D3"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Также в области активно внедряются объекты, использующие возобновляемые источники энергии малой мощности. Так в 5 городах и 16 районах области расположено более 200 объектов малых ВИЭ </w:t>
      </w:r>
      <w:r w:rsidRPr="00F0736F">
        <w:rPr>
          <w:rFonts w:ascii="Times New Roman" w:eastAsia="Times New Roman" w:hAnsi="Times New Roman" w:cs="Times New Roman"/>
          <w:i/>
          <w:color w:val="000000" w:themeColor="text1"/>
          <w:kern w:val="0"/>
          <w:lang w:eastAsia="ru-RU" w:bidi="ar-SA"/>
        </w:rPr>
        <w:t>(до 10 кВт).</w:t>
      </w:r>
    </w:p>
    <w:p w14:paraId="44B44EC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Cs/>
          <w:color w:val="000000" w:themeColor="text1"/>
        </w:rPr>
        <w:t xml:space="preserve">Теплоснабжение. </w:t>
      </w:r>
      <w:r w:rsidRPr="00F0736F">
        <w:rPr>
          <w:rFonts w:ascii="Times New Roman" w:hAnsi="Times New Roman" w:cs="Times New Roman"/>
          <w:color w:val="000000" w:themeColor="text1"/>
        </w:rPr>
        <w:t>Всего по Костанайской области насчитывается 3 ТЭЦ, котельных выше 100 Гкал/час - 6 единиц, до 100 Гкал/час - 96 единицы. Износ оборудования теплоисточников составляет в среднем 49%. В городах Костанайской области используется централизованное теплоснабжение. Уровень обеспеченности услугами централизованного теплоснабжения области составляет 42%. Численность населения, пользующегося централизованным теплоснабжением, на 1 января 2018 года составляет 362 553 тыс. человек.</w:t>
      </w:r>
    </w:p>
    <w:p w14:paraId="543E8A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тепловых сетей - 810,2 км. Износ сетей составляет 50%. За 2016 - 2018 годы по области на 1 января 2019 года модернизировано 42,35 км теплосетей, в 2018 году – 15,35 км, в 2017 году - 12,2 км, в 2016 году - 14,8 км.</w:t>
      </w:r>
    </w:p>
    <w:p w14:paraId="7E4A72F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общая протяженность тепловых сетей составила 820,4 км, из них ветхих — 95,5 км (11,6%), нуждающихся в замене — 135,5 км (16,5%), заменено — 15,7 км.</w:t>
      </w:r>
    </w:p>
    <w:p w14:paraId="09288283" w14:textId="77777777" w:rsidR="00AC1D5B" w:rsidRPr="00F0736F" w:rsidRDefault="00AC1D5B" w:rsidP="00AC1D5B">
      <w:pPr>
        <w:ind w:firstLine="709"/>
        <w:jc w:val="both"/>
        <w:rPr>
          <w:rFonts w:ascii="Times New Roman" w:eastAsia="Times New Roman" w:hAnsi="Times New Roman" w:cs="Times New Roman"/>
          <w:color w:val="000000" w:themeColor="text1"/>
          <w:kern w:val="0"/>
          <w:sz w:val="22"/>
          <w:szCs w:val="22"/>
          <w:lang w:eastAsia="ru-RU" w:bidi="ar-SA"/>
        </w:rPr>
      </w:pPr>
      <w:r w:rsidRPr="00F0736F">
        <w:rPr>
          <w:rFonts w:ascii="Times New Roman" w:hAnsi="Times New Roman" w:cs="Times New Roman"/>
          <w:b/>
          <w:bCs/>
          <w:iCs/>
          <w:color w:val="000000" w:themeColor="text1"/>
        </w:rPr>
        <w:t xml:space="preserve">Газоснабжение. </w:t>
      </w:r>
      <w:r w:rsidRPr="00F0736F">
        <w:rPr>
          <w:rFonts w:ascii="Times New Roman" w:hAnsi="Times New Roman" w:cs="Times New Roman"/>
          <w:color w:val="000000" w:themeColor="text1"/>
          <w:lang w:val="kk-KZ"/>
        </w:rPr>
        <w:t>По состоянию на 1 января 2020 года 70 населенных пунктов области обеспечены природным газом. Потребление природного газа по области за</w:t>
      </w:r>
      <w:r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eastAsia="Times New Roman" w:hAnsi="Times New Roman" w:cs="Times New Roman"/>
          <w:color w:val="000000" w:themeColor="text1"/>
          <w:kern w:val="0"/>
          <w:lang w:val="kk-KZ" w:eastAsia="ru-RU" w:bidi="ar-SA"/>
        </w:rPr>
        <w:t xml:space="preserve">2019 год составило </w:t>
      </w:r>
      <w:r w:rsidRPr="00F0736F">
        <w:rPr>
          <w:rFonts w:ascii="Times New Roman" w:eastAsia="Times New Roman" w:hAnsi="Times New Roman" w:cs="Times New Roman"/>
          <w:color w:val="000000" w:themeColor="text1"/>
          <w:kern w:val="0"/>
          <w:lang w:eastAsia="ru-RU" w:bidi="ar-SA"/>
        </w:rPr>
        <w:t>860,2</w:t>
      </w:r>
      <w:r w:rsidRPr="00F0736F">
        <w:rPr>
          <w:rFonts w:ascii="Times New Roman" w:eastAsia="Times New Roman" w:hAnsi="Times New Roman" w:cs="Times New Roman"/>
          <w:color w:val="000000" w:themeColor="text1"/>
          <w:kern w:val="0"/>
          <w:lang w:val="kk-KZ" w:eastAsia="ru-RU" w:bidi="ar-SA"/>
        </w:rPr>
        <w:t xml:space="preserve"> млн. м</w:t>
      </w:r>
      <w:r w:rsidRPr="00F0736F">
        <w:rPr>
          <w:rFonts w:ascii="Times New Roman" w:eastAsia="Times New Roman" w:hAnsi="Times New Roman" w:cs="Times New Roman"/>
          <w:color w:val="000000" w:themeColor="text1"/>
          <w:kern w:val="0"/>
          <w:vertAlign w:val="superscript"/>
          <w:lang w:val="kk-KZ" w:eastAsia="ru-RU" w:bidi="ar-SA"/>
        </w:rPr>
        <w:t>3</w:t>
      </w:r>
      <w:r w:rsidRPr="00F0736F">
        <w:rPr>
          <w:rFonts w:ascii="Times New Roman" w:eastAsia="Times New Roman" w:hAnsi="Times New Roman" w:cs="Times New Roman"/>
          <w:color w:val="000000" w:themeColor="text1"/>
          <w:kern w:val="0"/>
          <w:lang w:val="kk-KZ" w:eastAsia="ru-RU" w:bidi="ar-SA"/>
        </w:rPr>
        <w:t xml:space="preserve"> (</w:t>
      </w:r>
      <w:r w:rsidRPr="00F0736F">
        <w:rPr>
          <w:rFonts w:ascii="Times New Roman" w:eastAsia="Times New Roman" w:hAnsi="Times New Roman" w:cs="Times New Roman"/>
          <w:color w:val="000000" w:themeColor="text1"/>
          <w:kern w:val="0"/>
          <w:lang w:eastAsia="ru-RU" w:bidi="ar-SA"/>
        </w:rPr>
        <w:t>за аналогичный период 201</w:t>
      </w:r>
      <w:r w:rsidRPr="00F0736F">
        <w:rPr>
          <w:rFonts w:ascii="Times New Roman" w:eastAsia="Times New Roman" w:hAnsi="Times New Roman" w:cs="Times New Roman"/>
          <w:color w:val="000000" w:themeColor="text1"/>
          <w:kern w:val="0"/>
          <w:lang w:val="kk-KZ" w:eastAsia="ru-RU" w:bidi="ar-SA"/>
        </w:rPr>
        <w:t>8</w:t>
      </w:r>
      <w:r w:rsidRPr="00F0736F">
        <w:rPr>
          <w:rFonts w:ascii="Times New Roman" w:eastAsia="Times New Roman" w:hAnsi="Times New Roman" w:cs="Times New Roman"/>
          <w:color w:val="000000" w:themeColor="text1"/>
          <w:kern w:val="0"/>
          <w:lang w:eastAsia="ru-RU" w:bidi="ar-SA"/>
        </w:rPr>
        <w:t xml:space="preserve"> года </w:t>
      </w:r>
      <w:r w:rsidRPr="00F0736F">
        <w:rPr>
          <w:rFonts w:ascii="Times New Roman" w:eastAsia="Times New Roman" w:hAnsi="Times New Roman" w:cs="Times New Roman"/>
          <w:color w:val="000000" w:themeColor="text1"/>
          <w:kern w:val="0"/>
          <w:lang w:val="kk-KZ" w:eastAsia="ru-RU" w:bidi="ar-SA"/>
        </w:rPr>
        <w:t xml:space="preserve">– </w:t>
      </w:r>
      <w:r w:rsidRPr="00F0736F">
        <w:rPr>
          <w:rFonts w:ascii="Times New Roman" w:eastAsia="Times New Roman" w:hAnsi="Times New Roman" w:cs="Times New Roman"/>
          <w:color w:val="000000" w:themeColor="text1"/>
          <w:kern w:val="0"/>
          <w:lang w:eastAsia="ru-RU" w:bidi="ar-SA"/>
        </w:rPr>
        <w:t>870,4</w:t>
      </w:r>
      <w:r w:rsidRPr="00F0736F">
        <w:rPr>
          <w:rFonts w:ascii="Times New Roman" w:eastAsia="Times New Roman" w:hAnsi="Times New Roman" w:cs="Times New Roman"/>
          <w:color w:val="000000" w:themeColor="text1"/>
          <w:kern w:val="0"/>
          <w:lang w:val="kk-KZ" w:eastAsia="ru-RU" w:bidi="ar-SA"/>
        </w:rPr>
        <w:t xml:space="preserve"> млн. м</w:t>
      </w:r>
      <w:r w:rsidRPr="00F0736F">
        <w:rPr>
          <w:rFonts w:ascii="Times New Roman" w:eastAsia="Times New Roman" w:hAnsi="Times New Roman" w:cs="Times New Roman"/>
          <w:color w:val="000000" w:themeColor="text1"/>
          <w:kern w:val="0"/>
          <w:vertAlign w:val="superscript"/>
          <w:lang w:val="kk-KZ" w:eastAsia="ru-RU" w:bidi="ar-SA"/>
        </w:rPr>
        <w:t>3</w:t>
      </w:r>
      <w:r w:rsidRPr="00F0736F">
        <w:rPr>
          <w:rFonts w:ascii="Times New Roman" w:eastAsia="Times New Roman" w:hAnsi="Times New Roman" w:cs="Times New Roman"/>
          <w:color w:val="000000" w:themeColor="text1"/>
          <w:kern w:val="0"/>
          <w:lang w:val="kk-KZ" w:eastAsia="ru-RU" w:bidi="ar-SA"/>
        </w:rPr>
        <w:t xml:space="preserve">). </w:t>
      </w:r>
      <w:r w:rsidRPr="00F0736F">
        <w:rPr>
          <w:rFonts w:ascii="Times New Roman" w:hAnsi="Times New Roman" w:cs="Times New Roman"/>
          <w:color w:val="000000" w:themeColor="text1"/>
          <w:lang w:val="kk-KZ"/>
        </w:rPr>
        <w:t xml:space="preserve">Общая протяженность газопроводов по области составляет </w:t>
      </w:r>
      <w:r w:rsidRPr="00F0736F">
        <w:rPr>
          <w:rFonts w:ascii="Times New Roman" w:hAnsi="Times New Roman" w:cs="Times New Roman"/>
          <w:color w:val="000000" w:themeColor="text1"/>
        </w:rPr>
        <w:t>3602,17</w:t>
      </w:r>
      <w:r w:rsidRPr="00F0736F">
        <w:rPr>
          <w:rFonts w:ascii="Times New Roman" w:hAnsi="Times New Roman" w:cs="Times New Roman"/>
          <w:color w:val="000000" w:themeColor="text1"/>
          <w:lang w:val="kk-KZ"/>
        </w:rPr>
        <w:t xml:space="preserve"> км, в том числе 819,69 км магистральных газопроводов находятся в республиканской собственности единого газового оператора области АО «КазТрансГаз Аймак». Износ сетей составляет 25%. </w:t>
      </w:r>
      <w:r w:rsidRPr="00F0736F">
        <w:rPr>
          <w:rFonts w:ascii="Times New Roman" w:hAnsi="Times New Roman" w:cs="Times New Roman"/>
          <w:color w:val="000000" w:themeColor="text1"/>
        </w:rPr>
        <w:t xml:space="preserve">Численность городского населения, пользующегося природным газом, по состоянию на 1 января 2020 года составила </w:t>
      </w:r>
      <w:r w:rsidRPr="00F0736F">
        <w:rPr>
          <w:rFonts w:ascii="Times New Roman" w:eastAsia="Times New Roman" w:hAnsi="Times New Roman" w:cs="Times New Roman"/>
          <w:color w:val="000000" w:themeColor="text1"/>
          <w:kern w:val="0"/>
          <w:lang w:val="kk-KZ" w:eastAsia="ru-RU" w:bidi="ar-SA"/>
        </w:rPr>
        <w:t>417 000</w:t>
      </w:r>
      <w:r w:rsidRPr="00F0736F">
        <w:rPr>
          <w:rFonts w:ascii="Times New Roman" w:eastAsia="Times New Roman" w:hAnsi="Times New Roman" w:cs="Times New Roman"/>
          <w:color w:val="000000" w:themeColor="text1"/>
          <w:kern w:val="0"/>
          <w:lang w:eastAsia="ru-RU" w:bidi="ar-SA"/>
        </w:rPr>
        <w:t xml:space="preserve"> человек, сельского населения – </w:t>
      </w:r>
      <w:r w:rsidRPr="00F0736F">
        <w:rPr>
          <w:rFonts w:ascii="Times New Roman" w:eastAsia="Times New Roman" w:hAnsi="Times New Roman" w:cs="Times New Roman"/>
          <w:color w:val="000000" w:themeColor="text1"/>
          <w:kern w:val="0"/>
          <w:lang w:val="kk-KZ" w:eastAsia="ru-RU" w:bidi="ar-SA"/>
        </w:rPr>
        <w:t>70 185</w:t>
      </w:r>
      <w:r w:rsidRPr="00F0736F">
        <w:rPr>
          <w:rFonts w:ascii="Times New Roman" w:eastAsia="Times New Roman" w:hAnsi="Times New Roman" w:cs="Times New Roman"/>
          <w:color w:val="000000" w:themeColor="text1"/>
          <w:kern w:val="0"/>
          <w:lang w:eastAsia="ru-RU" w:bidi="ar-SA"/>
        </w:rPr>
        <w:t xml:space="preserve"> человек.</w:t>
      </w:r>
    </w:p>
    <w:p w14:paraId="722391E9"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Энергосбережение. </w:t>
      </w:r>
      <w:r w:rsidRPr="00F0736F">
        <w:rPr>
          <w:rFonts w:ascii="Times New Roman" w:hAnsi="Times New Roman" w:cs="Times New Roman"/>
          <w:color w:val="000000" w:themeColor="text1"/>
        </w:rPr>
        <w:t>В структуре потребления электроэнергии Костанайской области 51% приходится на промышленный сектор, в том числе энергетика, 26% - на транспортный сектор, 14% - население, 6% - сельское хозяйство, 3% - другие отрасли экономики. Десятью крупными промышленными предприятиями области потребляется 42% энергетических ресурсов, потребляемых промышленным сектором. Жилищный сектор потребляет около 14% электрической энергии и 64% отпускаемой тепловой энергии.</w:t>
      </w:r>
    </w:p>
    <w:p w14:paraId="59A18BE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реализации политики энергосбережения, снижения энергопотребления, энергоемкости производства и внедрения энергоэффективных технологий в строительстве, промышленности, а также модернизации ЖКХ утвержден и реализуется Региональный комплексный план энергосбережения по Костанайской области на 2015 - 2020 годы.</w:t>
      </w:r>
    </w:p>
    <w:p w14:paraId="25822612" w14:textId="77777777" w:rsidR="00AC1D5B" w:rsidRPr="00F0736F" w:rsidRDefault="00AC1D5B" w:rsidP="00AC1D5B">
      <w:pPr>
        <w:tabs>
          <w:tab w:val="left" w:pos="851"/>
        </w:tabs>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Одним из пунктов Плана является проведение энергосберегающих мероприятий в бюджетном секторе.</w:t>
      </w:r>
    </w:p>
    <w:p w14:paraId="0CFB36A4" w14:textId="77777777" w:rsidR="00AC1D5B" w:rsidRPr="00F0736F" w:rsidRDefault="00AC1D5B" w:rsidP="00AC1D5B">
      <w:pPr>
        <w:tabs>
          <w:tab w:val="left" w:pos="851"/>
        </w:tabs>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Так, за 2019 год проведен ремонт с элементами термомодернизации в 30 учреждениях. С 2015 по 2019 годы проведена термомодернизация в 130 учреждениях </w:t>
      </w:r>
      <w:r w:rsidRPr="00F0736F">
        <w:rPr>
          <w:rFonts w:ascii="Times New Roman" w:eastAsia="Times New Roman" w:hAnsi="Times New Roman" w:cs="Times New Roman"/>
          <w:i/>
          <w:color w:val="000000" w:themeColor="text1"/>
          <w:kern w:val="0"/>
          <w:lang w:eastAsia="ru-RU" w:bidi="ar-SA"/>
        </w:rPr>
        <w:t>(2015 г. - 11 объектов, 2016 год –26, 2017 год – 23 объекта, 2018 г. - 40)</w:t>
      </w:r>
      <w:r w:rsidRPr="00F0736F">
        <w:rPr>
          <w:rFonts w:ascii="Times New Roman" w:eastAsia="Times New Roman" w:hAnsi="Times New Roman" w:cs="Times New Roman"/>
          <w:color w:val="000000" w:themeColor="text1"/>
          <w:kern w:val="0"/>
          <w:lang w:eastAsia="ru-RU" w:bidi="ar-SA"/>
        </w:rPr>
        <w:t>.</w:t>
      </w:r>
    </w:p>
    <w:p w14:paraId="1C6BEA9A"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Кроме этого, в рамках проекта «Повышение энергоэффективности в Казахстане» за счет грантовых средств, представленных Международным банком реконструкции и развития за период 2018 – 2019 годы, в Костанайской области реализовано 5 проектов на общую сумму 184,1 млн. тенге: Тобольская СШ, Аулиекольская ЦРБ, освещение улиц города Лисаковск, ясли-сад № 40 Денисовского района, детская деревня «Жануя» город Костанай.</w:t>
      </w:r>
    </w:p>
    <w:p w14:paraId="7313D22F"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Проведены работы по термомодернизации учреждений, а именно замена деревянных окон, насосной станции, труб, радиаторов отопления, установлены теплоотражающие экраны, термостаты, автоматизированные тепловые пункты и другое.</w:t>
      </w:r>
    </w:p>
    <w:p w14:paraId="5A7356C6" w14:textId="77777777" w:rsidR="00AC1D5B" w:rsidRPr="00F0736F" w:rsidRDefault="00AC1D5B" w:rsidP="00AC1D5B">
      <w:pPr>
        <w:suppressAutoHyphens w:val="0"/>
        <w:overflowPunct/>
        <w:ind w:firstLine="709"/>
        <w:jc w:val="both"/>
        <w:rPr>
          <w:rFonts w:ascii="Times New Roman" w:eastAsia="Times New Roman" w:hAnsi="Times New Roman" w:cs="Times New Roman"/>
          <w:iCs/>
          <w:color w:val="000000" w:themeColor="text1"/>
          <w:kern w:val="24"/>
          <w:lang w:eastAsia="ru-RU" w:bidi="ar-SA"/>
        </w:rPr>
      </w:pPr>
      <w:r w:rsidRPr="00F0736F">
        <w:rPr>
          <w:rFonts w:ascii="Times New Roman" w:eastAsia="Calibri" w:hAnsi="Times New Roman" w:cs="Times New Roman"/>
          <w:color w:val="000000" w:themeColor="text1"/>
          <w:kern w:val="0"/>
          <w:lang w:eastAsia="ru-RU" w:bidi="ar-SA"/>
        </w:rPr>
        <w:t xml:space="preserve">В рамках Программы развития регионов за 2011-2019 годы </w:t>
      </w:r>
      <w:r w:rsidRPr="00F0736F">
        <w:rPr>
          <w:rFonts w:ascii="Times New Roman" w:eastAsia="Calibri" w:hAnsi="Times New Roman" w:cs="Times New Roman"/>
          <w:color w:val="000000" w:themeColor="text1"/>
          <w:kern w:val="0"/>
          <w:lang w:val="kk-KZ" w:eastAsia="ru-RU" w:bidi="ar-SA"/>
        </w:rPr>
        <w:t xml:space="preserve">за счет бюджетных и возвратных средств </w:t>
      </w:r>
      <w:r w:rsidRPr="00F0736F">
        <w:rPr>
          <w:rFonts w:ascii="Times New Roman" w:eastAsia="Calibri" w:hAnsi="Times New Roman" w:cs="Times New Roman"/>
          <w:color w:val="000000" w:themeColor="text1"/>
          <w:kern w:val="0"/>
          <w:lang w:eastAsia="ru-RU" w:bidi="ar-SA"/>
        </w:rPr>
        <w:t xml:space="preserve">отремонтировано </w:t>
      </w:r>
      <w:r w:rsidRPr="00F0736F">
        <w:rPr>
          <w:rFonts w:ascii="Times New Roman" w:eastAsia="Times New Roman" w:hAnsi="Times New Roman" w:cs="Times New Roman"/>
          <w:color w:val="000000" w:themeColor="text1"/>
          <w:kern w:val="24"/>
          <w:lang w:eastAsia="ru-RU" w:bidi="ar-SA"/>
        </w:rPr>
        <w:t xml:space="preserve">128 многоквартирных домов </w:t>
      </w:r>
      <w:r w:rsidRPr="00F0736F">
        <w:rPr>
          <w:rFonts w:ascii="Times New Roman" w:eastAsia="Times New Roman" w:hAnsi="Times New Roman" w:cs="Times New Roman"/>
          <w:iCs/>
          <w:color w:val="000000" w:themeColor="text1"/>
          <w:kern w:val="24"/>
          <w:lang w:eastAsia="ru-RU" w:bidi="ar-SA"/>
        </w:rPr>
        <w:t>на общую сумму 2 млрд. тенге.</w:t>
      </w:r>
    </w:p>
    <w:p w14:paraId="15D4D3F5" w14:textId="77777777" w:rsidR="00AC1D5B" w:rsidRPr="00F0736F" w:rsidRDefault="00AC1D5B" w:rsidP="00AC1D5B">
      <w:pPr>
        <w:suppressAutoHyphens w:val="0"/>
        <w:overflowPunct/>
        <w:ind w:firstLine="709"/>
        <w:jc w:val="both"/>
        <w:rPr>
          <w:rFonts w:ascii="Times New Roman" w:eastAsia="Times New Roman" w:hAnsi="Times New Roman" w:cs="Times New Roman"/>
          <w:color w:val="000000" w:themeColor="text1"/>
          <w:kern w:val="24"/>
          <w:lang w:eastAsia="ru-RU" w:bidi="ar-SA"/>
        </w:rPr>
      </w:pPr>
      <w:r w:rsidRPr="00F0736F">
        <w:rPr>
          <w:rFonts w:ascii="Times New Roman" w:eastAsia="Times New Roman" w:hAnsi="Times New Roman" w:cs="Times New Roman"/>
          <w:color w:val="000000" w:themeColor="text1"/>
          <w:kern w:val="24"/>
          <w:lang w:eastAsia="ru-RU" w:bidi="ar-SA"/>
        </w:rPr>
        <w:t>Для осуществления контроля за теплопотреблением населением устанавливаются общедомовые приборы учета тепловой энергии.</w:t>
      </w:r>
    </w:p>
    <w:p w14:paraId="20D4124E" w14:textId="77777777" w:rsidR="00AC1D5B" w:rsidRPr="00F0736F" w:rsidRDefault="00AC1D5B" w:rsidP="00AC1D5B">
      <w:pPr>
        <w:suppressAutoHyphens w:val="0"/>
        <w:overflowPunct/>
        <w:ind w:firstLine="709"/>
        <w:jc w:val="both"/>
        <w:rPr>
          <w:rFonts w:ascii="Times New Roman" w:hAnsi="Times New Roman" w:cs="Times New Roman"/>
          <w:color w:val="000000" w:themeColor="text1"/>
        </w:rPr>
      </w:pPr>
      <w:r w:rsidRPr="00F0736F">
        <w:rPr>
          <w:rFonts w:ascii="Times New Roman" w:eastAsia="Batang" w:hAnsi="Times New Roman" w:cs="Times New Roman"/>
          <w:color w:val="000000" w:themeColor="text1"/>
          <w:kern w:val="0"/>
          <w:lang w:eastAsia="ru-RU" w:bidi="ar-SA"/>
        </w:rPr>
        <w:t xml:space="preserve">На 1.01.2020 г. по области из 3448 многоквартирных жилых домов общедомовые приборы учета тепловой энергии установлены в 58% домов </w:t>
      </w:r>
      <w:r w:rsidRPr="00F0736F">
        <w:rPr>
          <w:rFonts w:ascii="Times New Roman" w:eastAsia="Batang" w:hAnsi="Times New Roman" w:cs="Times New Roman"/>
          <w:i/>
          <w:color w:val="000000" w:themeColor="text1"/>
          <w:kern w:val="0"/>
          <w:lang w:eastAsia="ru-RU" w:bidi="ar-SA"/>
        </w:rPr>
        <w:t>(1988)</w:t>
      </w:r>
      <w:r w:rsidRPr="00F0736F">
        <w:rPr>
          <w:rFonts w:ascii="Times New Roman" w:eastAsia="Batang" w:hAnsi="Times New Roman" w:cs="Times New Roman"/>
          <w:color w:val="000000" w:themeColor="text1"/>
          <w:kern w:val="0"/>
          <w:lang w:eastAsia="ru-RU" w:bidi="ar-SA"/>
        </w:rPr>
        <w:t xml:space="preserve">, по городам области в 80% МЖД </w:t>
      </w:r>
      <w:r w:rsidRPr="00F0736F">
        <w:rPr>
          <w:rFonts w:ascii="Times New Roman" w:eastAsia="Batang" w:hAnsi="Times New Roman" w:cs="Times New Roman"/>
          <w:i/>
          <w:color w:val="000000" w:themeColor="text1"/>
          <w:kern w:val="0"/>
          <w:lang w:eastAsia="ru-RU" w:bidi="ar-SA"/>
        </w:rPr>
        <w:t>(1945 из 2 431 МЖД)</w:t>
      </w:r>
      <w:r w:rsidRPr="00F0736F">
        <w:rPr>
          <w:rFonts w:ascii="Times New Roman" w:eastAsia="Batang" w:hAnsi="Times New Roman" w:cs="Times New Roman"/>
          <w:color w:val="000000" w:themeColor="text1"/>
          <w:kern w:val="0"/>
          <w:lang w:eastAsia="ru-RU" w:bidi="ar-SA"/>
        </w:rPr>
        <w:t>.</w:t>
      </w:r>
    </w:p>
    <w:p w14:paraId="02CF0B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в Костанайской области в государственный энергетический реестр включен 371 субъект. Из них 209 государственных учреждений, 109 коммунальных предприятий, 46 товариществ с ограниченной ответственностью и 7 акционерных обществ.</w:t>
      </w:r>
    </w:p>
    <w:p w14:paraId="5C09A23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Субъекты квазигосударственного сектора и частные юридические лица (162 единицы), за исключением государственных учреждений, обязаны провести энергоаудит. Из них на текущий момент провели энергоаудит 108 организаций, или 67% от общего количества субъектов.</w:t>
      </w:r>
    </w:p>
    <w:p w14:paraId="78A21D3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Из 109 бюджетных предприятий провели энергоаудит 82, или 75%. Из 46 товариществ с ограниченной ответственностью провели энергоаудит 19, или 41%. Все 7 акционерных обществ провели энергоаудит. </w:t>
      </w:r>
    </w:p>
    <w:p w14:paraId="7E48692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2019 год в реестр ГЭР включено 1268 субъектов, из них обязаны провести энергоаудит 291 субъект, на 1 января 2020 года энергоаудит проведен 142 субъектами (49%)</w:t>
      </w:r>
    </w:p>
    <w:p w14:paraId="3AF7D03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1 января 2020 общая протяженность уличного и паркового освещения в Костанайской области составляет 1847, км, 35 397 светоточек, из них 27 737 энергосберегающие.</w:t>
      </w:r>
    </w:p>
    <w:p w14:paraId="4FFBCB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повышения энергоэффективности и снижения потерь в жилых зданиях ведется модернизация домов в соответствии с программой «Модернизация жилищно-коммунального хозяйства на 2012 - 2020 годы».</w:t>
      </w:r>
    </w:p>
    <w:p w14:paraId="09B477AA"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6B5F6AEE"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Cs/>
          <w:color w:val="000000" w:themeColor="text1"/>
          <w:spacing w:val="-2"/>
        </w:rPr>
        <w:t xml:space="preserve">Водоснабжение. </w:t>
      </w:r>
      <w:r w:rsidRPr="00F0736F">
        <w:rPr>
          <w:rFonts w:ascii="Times New Roman" w:hAnsi="Times New Roman" w:cs="Times New Roman"/>
          <w:bCs/>
          <w:iCs/>
          <w:color w:val="000000" w:themeColor="text1"/>
          <w:spacing w:val="-2"/>
        </w:rPr>
        <w:t>В 2018 году о</w:t>
      </w:r>
      <w:r w:rsidRPr="00F0736F">
        <w:rPr>
          <w:rFonts w:ascii="Times New Roman" w:hAnsi="Times New Roman" w:cs="Times New Roman"/>
          <w:color w:val="000000" w:themeColor="text1"/>
        </w:rPr>
        <w:t>беспеченность централизованной системой водоснабжения по городским населенным пунктам составляет 100%, населения – составляет 97,6% (2017 год – 97,6%) или 452,6 тыс. человек. Источник водоснабжения по г.</w:t>
      </w:r>
      <w:r w:rsidRPr="00F0736F">
        <w:rPr>
          <w:rFonts w:ascii="Times New Roman" w:hAnsi="Times New Roman" w:cs="Times New Roman"/>
          <w:color w:val="000000" w:themeColor="text1"/>
          <w:lang w:eastAsia="en-US"/>
        </w:rPr>
        <w:t xml:space="preserve"> Костанай </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eastAsia="en-US"/>
        </w:rPr>
        <w:t xml:space="preserve"> Амангельдинское водохранилище и Костанайское месторождение подземных вод, г. Аркалык </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eastAsia="en-US"/>
        </w:rPr>
        <w:t xml:space="preserve">Ащи-Тастинское водохранилище, г. Лисаковск – Верхнетобольское водохранилище, г. Житикара – Желкуарское водохранилище, г. Рудный – Каратомарское водохранилище. </w:t>
      </w:r>
      <w:r w:rsidRPr="00F0736F">
        <w:rPr>
          <w:rFonts w:ascii="Times New Roman" w:hAnsi="Times New Roman" w:cs="Times New Roman"/>
          <w:color w:val="000000" w:themeColor="text1"/>
        </w:rPr>
        <w:t xml:space="preserve">Общая протяженность водопроводных сетей в городах области составляет </w:t>
      </w:r>
      <w:r w:rsidRPr="00F0736F">
        <w:rPr>
          <w:rFonts w:ascii="Times New Roman" w:hAnsi="Times New Roman" w:cs="Times New Roman"/>
          <w:color w:val="000000" w:themeColor="text1"/>
          <w:lang w:val="kk-KZ" w:eastAsia="en-US"/>
        </w:rPr>
        <w:t xml:space="preserve">1585,1 </w:t>
      </w:r>
      <w:r w:rsidRPr="00F0736F">
        <w:rPr>
          <w:rFonts w:ascii="Times New Roman" w:hAnsi="Times New Roman" w:cs="Times New Roman"/>
          <w:color w:val="000000" w:themeColor="text1"/>
          <w:lang w:eastAsia="en-US"/>
        </w:rPr>
        <w:t>км</w:t>
      </w:r>
      <w:r w:rsidRPr="00F0736F">
        <w:rPr>
          <w:rFonts w:ascii="Times New Roman" w:hAnsi="Times New Roman" w:cs="Times New Roman"/>
          <w:color w:val="000000" w:themeColor="text1"/>
        </w:rPr>
        <w:t xml:space="preserve">. </w:t>
      </w:r>
    </w:p>
    <w:p w14:paraId="469612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реализован 1 проект по Программе развития регионов до 2020 года - Реконструкция водопроводных сетей города Лисаковск (магистральные сети), в котором проживает 40,1 тысяч человек.</w:t>
      </w:r>
    </w:p>
    <w:p w14:paraId="065C94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2018 году из 548 сельских населенных пунктов области 172 СНП имеют централизованное водоснабжение, или 31,4% (в 2017 году – 30,8%). Охват населения составляет 59,4%. </w:t>
      </w:r>
      <w:r w:rsidRPr="00F0736F">
        <w:rPr>
          <w:rFonts w:ascii="Times New Roman" w:hAnsi="Times New Roman" w:cs="Times New Roman"/>
          <w:color w:val="000000" w:themeColor="text1"/>
        </w:rPr>
        <w:t>В</w:t>
      </w:r>
      <w:r w:rsidRPr="00F0736F">
        <w:rPr>
          <w:rFonts w:ascii="Times New Roman" w:hAnsi="Times New Roman" w:cs="Times New Roman"/>
          <w:color w:val="000000" w:themeColor="text1"/>
          <w:lang w:val="kk-KZ"/>
        </w:rPr>
        <w:t xml:space="preserve"> 2018 году</w:t>
      </w:r>
      <w:r w:rsidRPr="00F0736F">
        <w:rPr>
          <w:rFonts w:ascii="Times New Roman" w:hAnsi="Times New Roman" w:cs="Times New Roman"/>
          <w:i/>
          <w:color w:val="000000" w:themeColor="text1"/>
          <w:lang w:val="kk-KZ"/>
        </w:rPr>
        <w:t xml:space="preserve"> </w:t>
      </w:r>
      <w:r w:rsidRPr="00F0736F">
        <w:rPr>
          <w:rFonts w:ascii="Times New Roman" w:hAnsi="Times New Roman" w:cs="Times New Roman"/>
          <w:color w:val="000000" w:themeColor="text1"/>
          <w:lang w:val="kk-KZ"/>
        </w:rPr>
        <w:t xml:space="preserve">впервые подключено к централизованной системе водоснабжения 3 села (с. Арка Камыстинского района, с. Агаштыколь Амангельдинского района, с. Шолаксай Наурзумского района) с населением более 2,9 тыс. Человек. Для обеспечения сельских населенных пунктов центральным водоснабжением в рамках Программы развития регионов до 2020 года реализовано 10 проектов. Построено и реконструировано 329,3 км сетей водоснабжения и 8,7 км водоотведения. </w:t>
      </w:r>
    </w:p>
    <w:p w14:paraId="28AE2BD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w:t>
      </w:r>
      <w:r w:rsidRPr="00F0736F">
        <w:rPr>
          <w:rFonts w:ascii="Times New Roman" w:hAnsi="Times New Roman" w:cs="Times New Roman"/>
          <w:color w:val="000000" w:themeColor="text1"/>
          <w:lang w:val="kk-KZ"/>
        </w:rPr>
        <w:t xml:space="preserve">общая протяженность водопроводных сетей составила 4082,3 км, из них требует замены 1886 км. </w:t>
      </w:r>
      <w:r w:rsidRPr="00F0736F">
        <w:rPr>
          <w:rFonts w:ascii="Times New Roman" w:hAnsi="Times New Roman" w:cs="Times New Roman"/>
          <w:color w:val="000000" w:themeColor="text1"/>
        </w:rPr>
        <w:t>И</w:t>
      </w:r>
      <w:r w:rsidRPr="00F0736F">
        <w:rPr>
          <w:rFonts w:ascii="Times New Roman" w:hAnsi="Times New Roman" w:cs="Times New Roman"/>
          <w:color w:val="000000" w:themeColor="text1"/>
          <w:lang w:val="kk-KZ"/>
        </w:rPr>
        <w:t>з общей численности населения городов 480 238 человек, центральным водоснабжением обеспечены 472 310 человек, фактическое достижение показателя составило 98,3%.</w:t>
      </w:r>
    </w:p>
    <w:p w14:paraId="3CD3A8BF" w14:textId="77777777" w:rsidR="00AC1D5B" w:rsidRPr="00F0736F" w:rsidRDefault="00AC1D5B" w:rsidP="00AC1D5B">
      <w:pPr>
        <w:overflowPunct/>
        <w:ind w:firstLine="709"/>
        <w:jc w:val="both"/>
        <w:rPr>
          <w:color w:val="000000" w:themeColor="text1"/>
          <w:kern w:val="0"/>
          <w:sz w:val="16"/>
        </w:rPr>
      </w:pPr>
      <w:r w:rsidRPr="00F0736F">
        <w:rPr>
          <w:rFonts w:ascii="Times New Roman" w:hAnsi="Times New Roman" w:cs="Times New Roman"/>
          <w:color w:val="000000" w:themeColor="text1"/>
          <w:kern w:val="0"/>
        </w:rPr>
        <w:t xml:space="preserve">В 2019 году </w:t>
      </w:r>
      <w:r w:rsidRPr="00F0736F">
        <w:rPr>
          <w:rFonts w:ascii="Times New Roman" w:hAnsi="Times New Roman" w:cs="Times New Roman"/>
          <w:color w:val="000000" w:themeColor="text1"/>
          <w:kern w:val="0"/>
          <w:lang w:val="kk-KZ"/>
        </w:rPr>
        <w:t xml:space="preserve">фактически доступ сельских населенных пунктов к централизованному водоснабжению составил 33,6%.  </w:t>
      </w:r>
      <w:r w:rsidRPr="00F0736F">
        <w:rPr>
          <w:rFonts w:ascii="Times New Roman" w:hAnsi="Times New Roman" w:cs="Times New Roman"/>
          <w:color w:val="000000" w:themeColor="text1"/>
          <w:kern w:val="0"/>
        </w:rPr>
        <w:t>Было упразднено</w:t>
      </w:r>
      <w:r w:rsidRPr="00F0736F">
        <w:rPr>
          <w:rFonts w:ascii="Times New Roman" w:hAnsi="Times New Roman" w:cs="Times New Roman"/>
          <w:color w:val="000000" w:themeColor="text1"/>
          <w:kern w:val="0"/>
          <w:lang w:val="kk-KZ"/>
        </w:rPr>
        <w:t xml:space="preserve"> 27 сел с населением численностью до 50 человек. </w:t>
      </w:r>
      <w:r w:rsidRPr="00F0736F">
        <w:rPr>
          <w:rFonts w:ascii="Times New Roman" w:hAnsi="Times New Roman" w:cs="Times New Roman"/>
          <w:color w:val="000000" w:themeColor="text1"/>
          <w:kern w:val="0"/>
        </w:rPr>
        <w:t>Всего п</w:t>
      </w:r>
      <w:r w:rsidRPr="00F0736F">
        <w:rPr>
          <w:rFonts w:ascii="Times New Roman" w:hAnsi="Times New Roman" w:cs="Times New Roman"/>
          <w:color w:val="000000" w:themeColor="text1"/>
          <w:kern w:val="0"/>
          <w:lang w:val="kk-KZ"/>
        </w:rPr>
        <w:t xml:space="preserve">о сельскому водоснабжению в 2019 году в рамках Программы развития регионов до 2020 года было реализовано 8 проектов. </w:t>
      </w:r>
      <w:r w:rsidRPr="00F0736F">
        <w:rPr>
          <w:rFonts w:ascii="Times New Roman" w:eastAsia="font275" w:hAnsi="Times New Roman" w:cs="Times New Roman"/>
          <w:color w:val="000000" w:themeColor="text1"/>
          <w:kern w:val="0"/>
          <w:lang w:eastAsia="ru-RU" w:bidi="ar-SA"/>
        </w:rPr>
        <w:t>В</w:t>
      </w:r>
      <w:r w:rsidRPr="00F0736F">
        <w:rPr>
          <w:rFonts w:ascii="Times New Roman" w:hAnsi="Times New Roman" w:cs="Times New Roman"/>
          <w:color w:val="000000" w:themeColor="text1"/>
          <w:kern w:val="0"/>
          <w:lang w:val="kk-KZ"/>
        </w:rPr>
        <w:t xml:space="preserve">первые подключено к централизованной системе водоснабжения 4 села, в которых проживает 5,3 тысяч человек (с. Забеловка  Житикаринского района, с. Златоуст Сарыкольского района, с. Новоильиновка района Б.Майлина и с.Восточное г.Аркалык), и </w:t>
      </w:r>
      <w:r w:rsidRPr="00F0736F">
        <w:rPr>
          <w:rFonts w:ascii="Times New Roman" w:hAnsi="Times New Roman" w:cs="Times New Roman"/>
          <w:color w:val="000000" w:themeColor="text1"/>
          <w:kern w:val="0"/>
        </w:rPr>
        <w:t>улучшено</w:t>
      </w:r>
      <w:r w:rsidRPr="00F0736F">
        <w:rPr>
          <w:rFonts w:ascii="Times New Roman" w:hAnsi="Times New Roman" w:cs="Times New Roman"/>
          <w:color w:val="000000" w:themeColor="text1"/>
          <w:kern w:val="0"/>
          <w:lang w:val="kk-KZ"/>
        </w:rPr>
        <w:t xml:space="preserve"> качество предоставления услуг водоснабжения в 6 селах, в которых проживает 21,4 тысяч человек. </w:t>
      </w:r>
    </w:p>
    <w:p w14:paraId="1EFD8D97"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Водоотведение. </w:t>
      </w:r>
      <w:r w:rsidRPr="00F0736F">
        <w:rPr>
          <w:rFonts w:ascii="Times New Roman" w:hAnsi="Times New Roman" w:cs="Times New Roman"/>
          <w:bCs/>
          <w:color w:val="000000" w:themeColor="text1"/>
          <w:lang w:val="kk-KZ"/>
        </w:rPr>
        <w:t>И</w:t>
      </w:r>
      <w:r w:rsidRPr="00F0736F">
        <w:rPr>
          <w:rFonts w:ascii="Times New Roman" w:hAnsi="Times New Roman" w:cs="Times New Roman"/>
          <w:color w:val="000000" w:themeColor="text1"/>
          <w:lang w:val="kk-KZ"/>
        </w:rPr>
        <w:t xml:space="preserve">з 183 населенных пунктов, обеспеченных водой, централизованным водоотведением обеспечены 15, в том числе: в городах – 100% (5 городов и 3 поселка городского типа), в сельской местности – 4,0% (из 175 сел, обеспеченных водой, централизованным водоотведением обеспечены 7 сел). Доступ к централизованному водоотведению имеют 511,9 тыс. человек, или 59,3% жителей области, из них жителей города 465,8 тыс. человек, или 97%. </w:t>
      </w:r>
    </w:p>
    <w:p w14:paraId="002DAA6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протяженность канализационных сетей составила 1184,2 км, из них в городской местности – 1033,2 км и сельской – 151,6 км (данные Комитета по статистике). Износ сетей водоотведения составляет 69,7%. В 2019 году протяженность сетей — 1265,1 км, требует замены — 332,6 км.</w:t>
      </w:r>
    </w:p>
    <w:p w14:paraId="72EF155F" w14:textId="77777777" w:rsidR="00AC1D5B" w:rsidRPr="00F0736F" w:rsidRDefault="00AC1D5B" w:rsidP="00AC1D5B">
      <w:pPr>
        <w:overflowPunct/>
        <w:ind w:firstLine="709"/>
        <w:jc w:val="both"/>
        <w:rPr>
          <w:color w:val="000000" w:themeColor="text1"/>
          <w:kern w:val="0"/>
          <w:sz w:val="16"/>
        </w:rPr>
      </w:pPr>
      <w:r w:rsidRPr="00F0736F">
        <w:rPr>
          <w:rFonts w:ascii="Times New Roman" w:hAnsi="Times New Roman" w:cs="Times New Roman"/>
          <w:color w:val="000000" w:themeColor="text1"/>
          <w:kern w:val="0"/>
        </w:rPr>
        <w:t xml:space="preserve">В 2019 году </w:t>
      </w:r>
      <w:r w:rsidRPr="00F0736F">
        <w:rPr>
          <w:rFonts w:ascii="Times New Roman" w:hAnsi="Times New Roman" w:cs="Times New Roman"/>
          <w:color w:val="000000" w:themeColor="text1"/>
          <w:kern w:val="0"/>
          <w:lang w:val="kk-KZ"/>
        </w:rPr>
        <w:t>охват населения очисткой сточных вод составил 58,8%, индикатор выполнен на 102,4%. В</w:t>
      </w:r>
      <w:r w:rsidRPr="00F0736F">
        <w:rPr>
          <w:rFonts w:ascii="Times New Roman" w:hAnsi="Times New Roman" w:cs="Times New Roman"/>
          <w:color w:val="000000" w:themeColor="text1"/>
          <w:kern w:val="0"/>
        </w:rPr>
        <w:t xml:space="preserve">сего </w:t>
      </w:r>
      <w:r w:rsidRPr="00F0736F">
        <w:rPr>
          <w:rFonts w:ascii="Times New Roman" w:eastAsia="font275" w:hAnsi="Times New Roman" w:cs="Times New Roman"/>
          <w:color w:val="000000" w:themeColor="text1"/>
          <w:kern w:val="0"/>
          <w:lang w:eastAsia="ru-RU" w:bidi="ar-SA"/>
        </w:rPr>
        <w:t>п</w:t>
      </w:r>
      <w:r w:rsidRPr="00F0736F">
        <w:rPr>
          <w:rFonts w:ascii="Times New Roman" w:hAnsi="Times New Roman" w:cs="Times New Roman"/>
          <w:color w:val="000000" w:themeColor="text1"/>
          <w:kern w:val="0"/>
          <w:lang w:val="kk-KZ"/>
        </w:rPr>
        <w:t>остроено и реконструировано 8,7 км сетей водоотведения.</w:t>
      </w:r>
    </w:p>
    <w:p w14:paraId="5913C33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663403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состоянию воздушного бассейна Костанайская область является наиболее благополучной. Качественное состояние атмосферного воздуха на протяжении последних лет продолжает оставаться относительно стабильным. Уровень загрязнения атмосферного воздуха оценивается как низкий.</w:t>
      </w:r>
    </w:p>
    <w:p w14:paraId="7473164D" w14:textId="77777777" w:rsidR="00AC1D5B" w:rsidRPr="00F0736F" w:rsidRDefault="00AC1D5B" w:rsidP="00AC1D5B">
      <w:pPr>
        <w:ind w:firstLine="709"/>
        <w:jc w:val="both"/>
        <w:rPr>
          <w:bCs/>
          <w:color w:val="000000" w:themeColor="text1"/>
        </w:rPr>
      </w:pPr>
      <w:r w:rsidRPr="00F0736F">
        <w:rPr>
          <w:rFonts w:ascii="Times New Roman" w:hAnsi="Times New Roman" w:cs="Times New Roman"/>
          <w:bCs/>
          <w:color w:val="000000" w:themeColor="text1"/>
        </w:rPr>
        <w:t xml:space="preserve">За 2017 — 2019 годы, по данным стационарной сети наблюдений, уровень загрязнения атмосферного воздуха города Костанай оценивался </w:t>
      </w:r>
      <w:r w:rsidRPr="00F0736F">
        <w:rPr>
          <w:rFonts w:ascii="Times New Roman" w:hAnsi="Times New Roman" w:cs="Times New Roman"/>
          <w:bCs/>
          <w:color w:val="000000" w:themeColor="text1"/>
          <w:lang w:val="kk-KZ"/>
        </w:rPr>
        <w:t xml:space="preserve">как низкий - </w:t>
      </w:r>
      <w:r w:rsidRPr="00F0736F">
        <w:rPr>
          <w:rFonts w:ascii="Times New Roman" w:hAnsi="Times New Roman" w:cs="Times New Roman"/>
          <w:bCs/>
          <w:color w:val="000000" w:themeColor="text1"/>
        </w:rPr>
        <w:t>повышенный</w:t>
      </w:r>
      <w:r w:rsidRPr="00F0736F">
        <w:rPr>
          <w:rFonts w:ascii="Times New Roman" w:hAnsi="Times New Roman" w:cs="Times New Roman"/>
          <w:bCs/>
          <w:i/>
          <w:color w:val="000000" w:themeColor="text1"/>
        </w:rPr>
        <w:t>.</w:t>
      </w:r>
      <w:r w:rsidRPr="00F0736F">
        <w:rPr>
          <w:rFonts w:ascii="Times New Roman" w:hAnsi="Times New Roman" w:cs="Times New Roman"/>
          <w:bCs/>
          <w:color w:val="000000" w:themeColor="text1"/>
        </w:rPr>
        <w:t xml:space="preserve"> ИЗА составляет 2-5, СИ = </w:t>
      </w:r>
      <w:r w:rsidRPr="00F0736F">
        <w:rPr>
          <w:rFonts w:ascii="Times New Roman" w:hAnsi="Times New Roman" w:cs="Times New Roman"/>
          <w:bCs/>
          <w:color w:val="000000" w:themeColor="text1"/>
          <w:lang w:val="kk-KZ"/>
        </w:rPr>
        <w:t xml:space="preserve">3-4 (повышенный уровень) </w:t>
      </w:r>
      <w:r w:rsidRPr="00F0736F">
        <w:rPr>
          <w:rFonts w:ascii="Times New Roman" w:hAnsi="Times New Roman" w:cs="Times New Roman"/>
          <w:bCs/>
          <w:color w:val="000000" w:themeColor="text1"/>
        </w:rPr>
        <w:t xml:space="preserve">и НП = </w:t>
      </w:r>
      <w:r w:rsidRPr="00F0736F">
        <w:rPr>
          <w:rFonts w:ascii="Times New Roman" w:hAnsi="Times New Roman" w:cs="Times New Roman"/>
          <w:bCs/>
          <w:color w:val="000000" w:themeColor="text1"/>
          <w:lang w:val="kk-KZ"/>
        </w:rPr>
        <w:t>0-6</w:t>
      </w:r>
      <w:r w:rsidRPr="00F0736F">
        <w:rPr>
          <w:rFonts w:ascii="Times New Roman" w:hAnsi="Times New Roman" w:cs="Times New Roman"/>
          <w:bCs/>
          <w:color w:val="000000" w:themeColor="text1"/>
        </w:rPr>
        <w:t xml:space="preserve">% (низкий уровень).  </w:t>
      </w:r>
    </w:p>
    <w:p w14:paraId="7E2B754A" w14:textId="77777777" w:rsidR="00AC1D5B" w:rsidRPr="00F0736F" w:rsidRDefault="00AC1D5B" w:rsidP="00AC1D5B">
      <w:pPr>
        <w:ind w:firstLine="709"/>
        <w:jc w:val="both"/>
        <w:rPr>
          <w:bCs/>
          <w:color w:val="000000" w:themeColor="text1"/>
        </w:rPr>
      </w:pPr>
      <w:r w:rsidRPr="00F0736F">
        <w:rPr>
          <w:rFonts w:ascii="Times New Roman" w:hAnsi="Times New Roman" w:cs="Times New Roman"/>
          <w:bCs/>
          <w:color w:val="000000" w:themeColor="text1"/>
        </w:rPr>
        <w:t xml:space="preserve">Уровень загрязнения атмосферного воздуха города Рудный, оценивался </w:t>
      </w:r>
      <w:r w:rsidRPr="00F0736F">
        <w:rPr>
          <w:rFonts w:ascii="Times New Roman" w:hAnsi="Times New Roman" w:cs="Times New Roman"/>
          <w:bCs/>
          <w:color w:val="000000" w:themeColor="text1"/>
          <w:lang w:val="kk-KZ"/>
        </w:rPr>
        <w:t>низким</w:t>
      </w:r>
      <w:r w:rsidRPr="00F0736F">
        <w:rPr>
          <w:rFonts w:ascii="Times New Roman" w:hAnsi="Times New Roman" w:cs="Times New Roman"/>
          <w:bCs/>
          <w:color w:val="000000" w:themeColor="text1"/>
        </w:rPr>
        <w:t>.</w:t>
      </w:r>
      <w:r w:rsidRPr="00F0736F">
        <w:rPr>
          <w:rFonts w:ascii="Times New Roman" w:hAnsi="Times New Roman" w:cs="Times New Roman"/>
          <w:bCs/>
          <w:i/>
          <w:color w:val="000000" w:themeColor="text1"/>
        </w:rPr>
        <w:t xml:space="preserve"> </w:t>
      </w:r>
      <w:r w:rsidRPr="00F0736F">
        <w:rPr>
          <w:rFonts w:ascii="Times New Roman" w:hAnsi="Times New Roman" w:cs="Times New Roman"/>
          <w:bCs/>
          <w:color w:val="000000" w:themeColor="text1"/>
        </w:rPr>
        <w:t>ИЗА составляет</w:t>
      </w:r>
      <w:r w:rsidRPr="00F0736F">
        <w:rPr>
          <w:rFonts w:ascii="Times New Roman" w:hAnsi="Times New Roman" w:cs="Times New Roman"/>
          <w:bCs/>
          <w:i/>
          <w:color w:val="000000" w:themeColor="text1"/>
        </w:rPr>
        <w:t xml:space="preserve"> </w:t>
      </w:r>
      <w:r w:rsidRPr="00F0736F">
        <w:rPr>
          <w:rFonts w:ascii="Times New Roman" w:hAnsi="Times New Roman" w:cs="Times New Roman"/>
          <w:bCs/>
          <w:color w:val="000000" w:themeColor="text1"/>
        </w:rPr>
        <w:t>1-2 (низкий уровень). СИ = 1-3,7</w:t>
      </w:r>
      <w:r w:rsidRPr="00F0736F">
        <w:rPr>
          <w:rFonts w:ascii="Times New Roman" w:hAnsi="Times New Roman" w:cs="Times New Roman"/>
          <w:bCs/>
          <w:color w:val="000000" w:themeColor="text1"/>
          <w:lang w:val="kk-KZ"/>
        </w:rPr>
        <w:t xml:space="preserve"> (повышенный уровень) и </w:t>
      </w:r>
      <w:r w:rsidRPr="00F0736F">
        <w:rPr>
          <w:rFonts w:ascii="Times New Roman" w:hAnsi="Times New Roman" w:cs="Times New Roman"/>
          <w:bCs/>
          <w:color w:val="000000" w:themeColor="text1"/>
        </w:rPr>
        <w:t xml:space="preserve">НП = </w:t>
      </w:r>
      <w:r w:rsidRPr="00F0736F">
        <w:rPr>
          <w:rFonts w:ascii="Times New Roman" w:hAnsi="Times New Roman" w:cs="Times New Roman"/>
          <w:bCs/>
          <w:color w:val="000000" w:themeColor="text1"/>
          <w:lang w:val="kk-KZ"/>
        </w:rPr>
        <w:t>0-1% (низкий уровень)</w:t>
      </w:r>
      <w:r w:rsidRPr="00F0736F">
        <w:rPr>
          <w:rFonts w:ascii="Times New Roman" w:hAnsi="Times New Roman" w:cs="Times New Roman"/>
          <w:bCs/>
          <w:color w:val="000000" w:themeColor="text1"/>
        </w:rPr>
        <w:t xml:space="preserve">.  </w:t>
      </w:r>
    </w:p>
    <w:p w14:paraId="643F98AF"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 xml:space="preserve">Уровень загрязнения атмосферного воздуха поселка Карабалык оценивался как </w:t>
      </w:r>
      <w:r w:rsidRPr="00F0736F">
        <w:rPr>
          <w:rFonts w:ascii="Times New Roman" w:hAnsi="Times New Roman" w:cs="Times New Roman"/>
          <w:bCs/>
          <w:color w:val="000000" w:themeColor="text1"/>
          <w:lang w:val="kk-KZ"/>
        </w:rPr>
        <w:t>низкий</w:t>
      </w:r>
      <w:r w:rsidRPr="00F0736F">
        <w:rPr>
          <w:rFonts w:ascii="Times New Roman" w:hAnsi="Times New Roman" w:cs="Times New Roman"/>
          <w:color w:val="000000" w:themeColor="text1"/>
          <w:lang w:val="kk-KZ"/>
        </w:rPr>
        <w:t>.</w:t>
      </w:r>
      <w:r w:rsidRPr="00F0736F">
        <w:rPr>
          <w:rFonts w:ascii="Times New Roman" w:hAnsi="Times New Roman" w:cs="Times New Roman"/>
          <w:b/>
          <w:i/>
          <w:color w:val="000000" w:themeColor="text1"/>
          <w:lang w:val="kk-KZ"/>
        </w:rPr>
        <w:t xml:space="preserve"> </w:t>
      </w:r>
      <w:r w:rsidRPr="00F0736F">
        <w:rPr>
          <w:rFonts w:ascii="Times New Roman" w:hAnsi="Times New Roman" w:cs="Times New Roman"/>
          <w:color w:val="000000" w:themeColor="text1"/>
          <w:lang w:val="kk-KZ"/>
        </w:rPr>
        <w:t xml:space="preserve"> </w:t>
      </w:r>
    </w:p>
    <w:p w14:paraId="76D154B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Загрязнение воздушного бассейна области обусловлено выбросами загрязняющих веществ от предприятий горнодобывающей, теплоэнергетической промышленности, автомобильного транспорта. </w:t>
      </w:r>
    </w:p>
    <w:p w14:paraId="57AB632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2017 - 2019 годах общий объем выбросов загрязняющих веществ в атмосферу от стационарных источников по данным Комитета по статистике постоянно снижался (2017 год – 0,218 млн. т. в год, 2018 год – 0,201 млн. т., 2019 год — 0,131 млн. т.). </w:t>
      </w:r>
    </w:p>
    <w:p w14:paraId="65074FB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долю самого крупного горнодобывающего предприятия Костанайской области АО «ССГПО» приходится около 80% выбросов от общего объема промышленных выбросов предприятий области. </w:t>
      </w:r>
      <w:r w:rsidRPr="00F0736F">
        <w:rPr>
          <w:rFonts w:ascii="Times New Roman" w:hAnsi="Times New Roman" w:cs="Times New Roman"/>
          <w:color w:val="000000" w:themeColor="text1"/>
          <w:lang w:val="kk-KZ"/>
        </w:rPr>
        <w:t xml:space="preserve">Благополучному состоянию атмосферного воздуха способствует использование крупными котельными Костанайской области в качестве топлива природного газа. </w:t>
      </w:r>
      <w:r w:rsidRPr="00F0736F">
        <w:rPr>
          <w:rFonts w:ascii="Times New Roman" w:hAnsi="Times New Roman" w:cs="Times New Roman"/>
          <w:bCs/>
          <w:color w:val="000000" w:themeColor="text1"/>
          <w:lang w:val="kk-KZ"/>
        </w:rPr>
        <w:t>Исключением</w:t>
      </w:r>
      <w:r w:rsidRPr="00F0736F">
        <w:rPr>
          <w:rFonts w:ascii="Times New Roman" w:hAnsi="Times New Roman" w:cs="Times New Roman"/>
          <w:color w:val="000000" w:themeColor="text1"/>
          <w:lang w:val="kk-KZ"/>
        </w:rPr>
        <w:t xml:space="preserve"> является Аркалыкская ТЭЦ, использующая мазут. </w:t>
      </w:r>
    </w:p>
    <w:p w14:paraId="64891D8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Акиматом Костанайской области подписано соглашение о сотрудничестве с ТОО «КазТрансГазОнімдері», направленное на улучшение экологической обстановки в Костанайской области, путем внедрения природного газа взамен традиционных видов топлива для транспортных средств (бензин и дизельное топливо). В крупных городах Костанайской области (Костанай и Рудный) на общественном транспорте в большей части (90%) используется дизельное топливо, бензин. Имеется четыре газовые заправки в г. Рудный и двенадцать в г. Костанай (СНГ).</w:t>
      </w:r>
    </w:p>
    <w:p w14:paraId="7B3FABC5" w14:textId="77777777" w:rsidR="00AC1D5B" w:rsidRPr="00F0736F" w:rsidRDefault="00AC1D5B" w:rsidP="00AC1D5B">
      <w:pPr>
        <w:ind w:firstLine="709"/>
        <w:jc w:val="both"/>
        <w:rPr>
          <w:bCs/>
          <w:strike/>
          <w:color w:val="000000" w:themeColor="text1"/>
        </w:rPr>
      </w:pPr>
      <w:r w:rsidRPr="00F0736F">
        <w:rPr>
          <w:rFonts w:ascii="Times New Roman" w:hAnsi="Times New Roman" w:cs="Times New Roman"/>
          <w:bCs/>
          <w:color w:val="000000" w:themeColor="text1"/>
        </w:rPr>
        <w:t xml:space="preserve">Водные объекты Костанайской области отнесены к Тобол-Тургайскому водному бассейну. В пределах области находится более 300 рек протяженностью свыше 10 км. Наиболее крупные реки – Тобол (682 км в пределах области) с притоками и Торгай (390 км). Все реки имеют преобладающее снеговое питание. </w:t>
      </w:r>
      <w:r w:rsidRPr="00F0736F">
        <w:rPr>
          <w:rFonts w:ascii="Times New Roman" w:eastAsia="Times New Roman" w:hAnsi="Times New Roman" w:cs="Times New Roman"/>
          <w:bCs/>
          <w:color w:val="000000" w:themeColor="text1"/>
          <w:szCs w:val="28"/>
          <w:lang w:eastAsia="ru-RU"/>
        </w:rPr>
        <w:t>В пределах бассейна находится более 8000 озёр площадью от 0,01 км</w:t>
      </w:r>
      <w:r w:rsidRPr="00F0736F">
        <w:rPr>
          <w:rFonts w:ascii="Times New Roman" w:eastAsia="Times New Roman" w:hAnsi="Times New Roman" w:cs="Times New Roman"/>
          <w:bCs/>
          <w:color w:val="000000" w:themeColor="text1"/>
          <w:szCs w:val="28"/>
          <w:vertAlign w:val="superscript"/>
          <w:lang w:eastAsia="ru-RU"/>
        </w:rPr>
        <w:t>2</w:t>
      </w:r>
      <w:r w:rsidRPr="00F0736F">
        <w:rPr>
          <w:rFonts w:ascii="Times New Roman" w:eastAsia="Times New Roman" w:hAnsi="Times New Roman" w:cs="Times New Roman"/>
          <w:bCs/>
          <w:color w:val="000000" w:themeColor="text1"/>
          <w:szCs w:val="28"/>
          <w:lang w:eastAsia="ru-RU"/>
        </w:rPr>
        <w:t xml:space="preserve"> до 100 км</w:t>
      </w:r>
      <w:r w:rsidRPr="00F0736F">
        <w:rPr>
          <w:rFonts w:ascii="Times New Roman" w:eastAsia="Times New Roman" w:hAnsi="Times New Roman" w:cs="Times New Roman"/>
          <w:bCs/>
          <w:color w:val="000000" w:themeColor="text1"/>
          <w:szCs w:val="28"/>
          <w:vertAlign w:val="superscript"/>
          <w:lang w:eastAsia="ru-RU"/>
        </w:rPr>
        <w:t>2</w:t>
      </w:r>
      <w:r w:rsidRPr="00F0736F">
        <w:rPr>
          <w:rFonts w:ascii="Times New Roman" w:eastAsia="Times New Roman" w:hAnsi="Times New Roman" w:cs="Times New Roman"/>
          <w:bCs/>
          <w:color w:val="000000" w:themeColor="text1"/>
          <w:szCs w:val="28"/>
          <w:lang w:eastAsia="ru-RU"/>
        </w:rPr>
        <w:t xml:space="preserve"> , суммарная площадь которых составляет 5068 км</w:t>
      </w:r>
      <w:r w:rsidRPr="00F0736F">
        <w:rPr>
          <w:rFonts w:ascii="Times New Roman" w:eastAsia="Times New Roman" w:hAnsi="Times New Roman" w:cs="Times New Roman"/>
          <w:bCs/>
          <w:color w:val="000000" w:themeColor="text1"/>
          <w:szCs w:val="28"/>
          <w:vertAlign w:val="superscript"/>
          <w:lang w:eastAsia="ru-RU"/>
        </w:rPr>
        <w:t>2</w:t>
      </w:r>
      <w:r w:rsidRPr="00F0736F">
        <w:rPr>
          <w:rFonts w:ascii="Times New Roman" w:eastAsia="Times New Roman" w:hAnsi="Times New Roman" w:cs="Times New Roman"/>
          <w:bCs/>
          <w:color w:val="000000" w:themeColor="text1"/>
          <w:szCs w:val="28"/>
          <w:lang w:eastAsia="ru-RU"/>
        </w:rPr>
        <w:t xml:space="preserve"> и плесовых озер 877 с общей площадью 15,81 км</w:t>
      </w:r>
      <w:r w:rsidRPr="00F0736F">
        <w:rPr>
          <w:rFonts w:ascii="Times New Roman" w:eastAsia="Times New Roman" w:hAnsi="Times New Roman" w:cs="Times New Roman"/>
          <w:bCs/>
          <w:color w:val="000000" w:themeColor="text1"/>
          <w:szCs w:val="28"/>
          <w:vertAlign w:val="superscript"/>
          <w:lang w:eastAsia="ru-RU"/>
        </w:rPr>
        <w:t>2</w:t>
      </w:r>
      <w:r w:rsidRPr="00F0736F">
        <w:rPr>
          <w:rFonts w:ascii="Times New Roman" w:eastAsia="Times New Roman" w:hAnsi="Times New Roman" w:cs="Times New Roman"/>
          <w:bCs/>
          <w:color w:val="000000" w:themeColor="text1"/>
          <w:szCs w:val="28"/>
          <w:lang w:eastAsia="ru-RU"/>
        </w:rPr>
        <w:t>.</w:t>
      </w:r>
    </w:p>
    <w:p w14:paraId="54ADA6F1"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Наблюдения за загрязнением поверхностных вод на территории</w:t>
      </w:r>
      <w:r w:rsidRPr="00F0736F">
        <w:rPr>
          <w:rFonts w:ascii="Times New Roman" w:hAnsi="Times New Roman" w:cs="Times New Roman"/>
          <w:color w:val="000000" w:themeColor="text1"/>
        </w:rPr>
        <w:t xml:space="preserve"> Костанайской области проводились на 9 водных объектах: реки Тобыл, Айет, Тогызак, Уй, Желкуар, Обаган, водохранилища Аманкельды, Каратомар, Жогаргы Тобыл.</w:t>
      </w:r>
    </w:p>
    <w:p w14:paraId="24EA477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установлено четыре санкционированных сброса условно чистых вод в р. Тобол (2 ед.), озеро Кушмурун, систему озер Караколь-Кояндыкопа. Несмотря на отсутствие прямого сброса сточных вод от промышленных предприятий области, наблюдается загрязнение водных объектов как тяжелыми металлами, так и органическими загрязнителями. </w:t>
      </w:r>
    </w:p>
    <w:p w14:paraId="4AC55B6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2015 году лимит объемов сброса в водные объекты составил 0,795</w:t>
      </w:r>
      <w:r w:rsidRPr="00F0736F">
        <w:rPr>
          <w:rFonts w:ascii="Times New Roman" w:hAnsi="Times New Roman" w:cs="Times New Roman"/>
          <w:color w:val="000000" w:themeColor="text1"/>
          <w:lang w:eastAsia="en-US"/>
        </w:rPr>
        <w:t xml:space="preserve"> млн. т.</w:t>
      </w:r>
      <w:r w:rsidRPr="00F0736F">
        <w:rPr>
          <w:rFonts w:ascii="Times New Roman" w:hAnsi="Times New Roman" w:cs="Times New Roman"/>
          <w:color w:val="000000" w:themeColor="text1"/>
        </w:rPr>
        <w:t>, в 2016 году –  0,399 млн. т., в 2017 году – 0,401 млн. т. Все водовыпуски области в поверхностные водоемы находятся под контролем. По результатам мониторинга сбросы от промышленных предприятий в водоемы являются нормативно-чистыми, в общей массе не превышают предельно допустимые сбросы и отрицательного влияния на качественный состав водоемов не оказывают.</w:t>
      </w:r>
    </w:p>
    <w:p w14:paraId="104F71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Хозяйственно-бытовые сточные воды городов в объеме 30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проходят предварительную очистку на локальных очистных сооружениях. Очищенные стоки поступают в изолированные накопители – испарители, поля фильтрации.</w:t>
      </w:r>
    </w:p>
    <w:p w14:paraId="52BB7C3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Одной из наиболее значимых экологических проблем области является отсутствие станции биологической очистки в областном центре. Применяемая в настоящее время технология очистки сточных вод г. Костаная примитивна и позволяет производить очистку частично только по механическим примесям на земляных отстойниках, эксплуатируемых с 1966 года. Объем сброса практически неочищенных сточных вод г. Костаная составляет около 13 млн. м</w:t>
      </w:r>
      <w:r w:rsidRPr="00F0736F">
        <w:rPr>
          <w:rFonts w:ascii="Times New Roman" w:hAnsi="Times New Roman" w:cs="Times New Roman"/>
          <w:color w:val="000000" w:themeColor="text1"/>
          <w:vertAlign w:val="superscript"/>
        </w:rPr>
        <w:t xml:space="preserve">3 </w:t>
      </w:r>
      <w:r w:rsidRPr="00F0736F">
        <w:rPr>
          <w:rFonts w:ascii="Times New Roman" w:hAnsi="Times New Roman" w:cs="Times New Roman"/>
          <w:color w:val="000000" w:themeColor="text1"/>
        </w:rPr>
        <w:t>в год.</w:t>
      </w:r>
    </w:p>
    <w:p w14:paraId="7D99BFA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0E5AF3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Общий объем накопленных </w:t>
      </w:r>
      <w:r w:rsidRPr="00F0736F">
        <w:rPr>
          <w:rFonts w:ascii="Times New Roman" w:hAnsi="Times New Roman" w:cs="Times New Roman"/>
          <w:b/>
          <w:color w:val="000000" w:themeColor="text1"/>
        </w:rPr>
        <w:t>отходов</w:t>
      </w:r>
      <w:r w:rsidRPr="00F0736F">
        <w:rPr>
          <w:rFonts w:ascii="Times New Roman" w:hAnsi="Times New Roman" w:cs="Times New Roman"/>
          <w:color w:val="000000" w:themeColor="text1"/>
        </w:rPr>
        <w:t xml:space="preserve"> в Костанайской области на 1 января 2018 года составил 12,4 млрд. т., основная доля отходов (99%) приходится на промышленные отходы горнодобывающих предприятий: вскрышные породы (92%) и отходы обогащения (8%).</w:t>
      </w:r>
    </w:p>
    <w:p w14:paraId="524E137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Преобладающее воздействие на состояние земельных ресурсов Костанайской области оказывают предприятия горнодобывающей промышленности, сельского хозяйства, теплоэнергетики.</w:t>
      </w:r>
    </w:p>
    <w:p w14:paraId="184E64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Техногенно нарушенные и загрязненные земли распространены в промышленных зонах городов, местах добычи и переработки полезных ископаемых. При добыче открытым способом на больших территориях происходит отчуждение земель для несельскохозяйственных целей: под карьеры, отвалы, хвостохранилища, накопители рудничных и хозяйственно-бытовых вод.</w:t>
      </w:r>
    </w:p>
    <w:p w14:paraId="1266BE7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всех горнодобывающих предприятиях действует система управления отходами, которая включает в себя все этапы технологического цикла отходов, такие как предупреждение и минимизация образования отходов, учет и контроль, накопление, а также сбор, переработка, утилизация, транспортировка, хранение и удаление отходов производства. </w:t>
      </w:r>
    </w:p>
    <w:p w14:paraId="0AA4943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последние три года, по данным РГУ «Департамент экологии Костанайской области», процент утилизации отходов превысил отметку 20% по сравнению с предыдущими годами (было 18% и менее).</w:t>
      </w:r>
    </w:p>
    <w:p w14:paraId="66D717C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состоянию на 1 января 2018 года в населенных пунктах Костанайской области и</w:t>
      </w:r>
      <w:r w:rsidRPr="00F0736F">
        <w:rPr>
          <w:rFonts w:ascii="Times New Roman" w:hAnsi="Times New Roman" w:cs="Times New Roman"/>
          <w:bCs/>
          <w:color w:val="000000" w:themeColor="text1"/>
        </w:rPr>
        <w:t xml:space="preserve">меется 310 полигонов </w:t>
      </w:r>
      <w:r w:rsidRPr="00F0736F">
        <w:rPr>
          <w:rFonts w:ascii="Times New Roman" w:hAnsi="Times New Roman" w:cs="Times New Roman"/>
          <w:color w:val="000000" w:themeColor="text1"/>
        </w:rPr>
        <w:t>твердых бытовых отходов</w:t>
      </w:r>
      <w:r w:rsidRPr="00F0736F">
        <w:rPr>
          <w:rFonts w:ascii="Times New Roman" w:hAnsi="Times New Roman" w:cs="Times New Roman"/>
          <w:bCs/>
          <w:color w:val="000000" w:themeColor="text1"/>
        </w:rPr>
        <w:t xml:space="preserve"> (ТБО), все закреплены за конкретными физическими и юридическими лицами, оформившими право землепользования.</w:t>
      </w:r>
    </w:p>
    <w:p w14:paraId="64B771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образовано 350 тыс. т. ТБО, большая часть которых размещено на полигонах и сельских свалках и лишь около 2% утилизировано и направлено на дальнейшую переработку. Общий объем размещенных на полигонах ТБО отходов за 2017 год составил 300 тыс. т.. Объем утилизированных отходов в 2017 году по сравнению с прошлыми годами увеличился и составил 1,8% (2016 год - 0,1%).</w:t>
      </w:r>
    </w:p>
    <w:p w14:paraId="6C8A174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образовано 250 тыс. т. ТБО, из них переработано 9,65%. Из 313 объектов размещения ТБО 147 соответствуют экологическим и санитарным требованиям и нормам, что составляет 46,96%. Охват населения области услугами по сбору и транспортировке отходов 76,1%. Доля переработки медицинских отходов способом, альтернативным сжиганию, - 26,75% при плане 25%. </w:t>
      </w:r>
    </w:p>
    <w:p w14:paraId="08AC38EB" w14:textId="77777777" w:rsidR="00AC1D5B" w:rsidRPr="00F0736F" w:rsidRDefault="00AC1D5B" w:rsidP="00AC1D5B">
      <w:pPr>
        <w:tabs>
          <w:tab w:val="left" w:pos="142"/>
        </w:tabs>
        <w:ind w:firstLine="709"/>
        <w:jc w:val="both"/>
        <w:rPr>
          <w:rFonts w:ascii="Times New Roman" w:eastAsia="Times New Roman" w:hAnsi="Times New Roman" w:cs="Times New Roman"/>
          <w:color w:val="000000" w:themeColor="text1"/>
          <w:kern w:val="0"/>
          <w:lang w:bidi="ar-SA"/>
        </w:rPr>
      </w:pPr>
      <w:r w:rsidRPr="00F0736F">
        <w:rPr>
          <w:rFonts w:ascii="Times New Roman" w:eastAsia="Times New Roman" w:hAnsi="Times New Roman" w:cs="Times New Roman"/>
          <w:color w:val="000000" w:themeColor="text1"/>
          <w:kern w:val="0"/>
          <w:lang w:bidi="ar-SA"/>
        </w:rPr>
        <w:t xml:space="preserve">За 2019 год по области образовано 259 587 т. отходов, объем утилизированных и переработанных отходов составил 26 254 т. (доля переработки составила 10,1%, при плане 10%). </w:t>
      </w:r>
      <w:r w:rsidRPr="00F0736F">
        <w:rPr>
          <w:rFonts w:ascii="Times New Roman" w:eastAsia="Times New Roman" w:hAnsi="Times New Roman" w:cs="Times New Roman"/>
          <w:color w:val="000000" w:themeColor="text1"/>
        </w:rPr>
        <w:t>П</w:t>
      </w:r>
      <w:r w:rsidRPr="00F0736F">
        <w:rPr>
          <w:rFonts w:ascii="Times New Roman" w:eastAsia="Times New Roman" w:hAnsi="Times New Roman" w:cs="Times New Roman"/>
          <w:color w:val="000000" w:themeColor="text1"/>
          <w:kern w:val="0"/>
          <w:lang w:bidi="ar-SA"/>
        </w:rPr>
        <w:t>риведены в соответствие 111 из 266 полигонов ТБО и сельских свалок, или 41,7% при плане 40%. Собственниками проведены следующие мероприятия: обваловка и оканавливание полигонов, обустройство бетонной ванны, установка шлагбаума и сетчатого ограждения по периметру полигонов ТБО и сельских свалок. Акиматами городов и районов, собственниками полигонов ТБО в течение года проводились мероприятия по оформлению разрешений на эмиссии в окружающую среду. В результате на 191 из 266 полигонов ТБО и сельских свалок оформлены разрешения на эмиссии в окружающую среду. Проведена работа по оптимизации 40 сельских свалок (Камыстинский район -12, Костанайский район - 11, Денисовский район - 7, Узункольский район - 7, Житикаринский - 3).</w:t>
      </w:r>
    </w:p>
    <w:p w14:paraId="52104A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выявления скопления стихийных свалок на постоянной основе проводится мониторинг территории населенных пунктов в радиусе 50 км от областного центра. Работа проводится на основе космической съемки через геопортал АО НК «Қазақстан Ғарыш Сапары». По итогам мониторинга общее количество ликвидированных стихийных свалок по итогам 2019 года составило 155. </w:t>
      </w:r>
    </w:p>
    <w:p w14:paraId="5600C3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рядом компаний в сфере обращения с ТБО организован Консорциум с созданием предприятия ТОО «ECO CITY KZ». В результате за счет частных инвестиций данного предприятия в декабре 2018 года в п. Затобольск Костанайского района начата реализация проекта по строительству мусоросортировочного комплекса мощностью 40 тыс. т. в год. Акиматом района ТОО «ECO CITY KZ» предоставлен земельный участок, решаются вопросы подведения необходимой инфраструктуры. I этапом запущена конвейерно-контрольная сортировка отходов, II этапом планируется внедрение линии по санитарной обработке вторичных ресурсов (вторичных полимеров, ПЭТ, макулатуры, текстиля, металлолома, стекла) и III этап - линия грануляции полимеров. Период реализации проекта 2018-2020 годы. Стоимость проекта 300 млн. тенге.</w:t>
      </w:r>
    </w:p>
    <w:p w14:paraId="765B9B5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в 9 населенных пунктах области (г. Костанай, г. Рудный, г. Житикара, г. Аркалык, г. Тобол, Заречное, Мичуринский, Денисовский Узункольский районы) действует система раздельного сбора ТБО. Общее количество установленных специализированных контейнеров составляет 1800 единиц (в том числе 284 единицы установлены в 2019 году), в 14 населенных пунктах осуществляется сортировка ТБО (1 сортировочный комплекс отходов, 3 линии сортировки отходов, ручной сортировка отходов). </w:t>
      </w:r>
      <w:r w:rsidRPr="00F0736F">
        <w:rPr>
          <w:rFonts w:ascii="Times New Roman" w:eastAsia="Times New Roman" w:hAnsi="Times New Roman" w:cs="Times New Roman"/>
          <w:color w:val="000000" w:themeColor="text1"/>
          <w:lang w:val="kk-KZ"/>
        </w:rPr>
        <w:t>В 15 регионах области осуществляется раздельный сбор отработанных ртутьсодержащих ламп и химических источников питания от населения  (145 спецконтейнеров).</w:t>
      </w:r>
    </w:p>
    <w:p w14:paraId="3362661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 xml:space="preserve">В 26-ти населенных пунктах области, на специализированных площадках и полигонах ТБО осуществляется сортировка ТБО механизированным и ручным способами. Так, в г.Костанай и г.Тобыл функционируют 1 комплекс и 3 мусоросортировочные линии </w:t>
      </w:r>
      <w:r w:rsidRPr="00F0736F">
        <w:rPr>
          <w:rFonts w:ascii="Times New Roman" w:eastAsia="Times New Roman" w:hAnsi="Times New Roman" w:cs="Times New Roman"/>
          <w:color w:val="000000" w:themeColor="text1"/>
        </w:rPr>
        <w:t>(мусоросортировочный комплекс ТОО «EcoCityKZ» (мощность 40 тыс. т. в год), ТОО «Тазалык 2012» (мощность 100 тыс. т. в год) и мусоросортировочные линии ТОО «Атамекен 4 плюс» (мощность 70 тыс. м</w:t>
      </w:r>
      <w:r w:rsidRPr="00F0736F">
        <w:rPr>
          <w:rFonts w:ascii="Times New Roman" w:eastAsia="Times New Roman" w:hAnsi="Times New Roman" w:cs="Times New Roman"/>
          <w:color w:val="000000" w:themeColor="text1"/>
          <w:vertAlign w:val="superscript"/>
        </w:rPr>
        <w:t>3</w:t>
      </w:r>
      <w:r w:rsidRPr="00F0736F">
        <w:rPr>
          <w:rFonts w:ascii="Times New Roman" w:eastAsia="Times New Roman" w:hAnsi="Times New Roman" w:cs="Times New Roman"/>
          <w:color w:val="000000" w:themeColor="text1"/>
        </w:rPr>
        <w:t xml:space="preserve"> в год), ТОО «Экопром» (мощность до 80 тыс. т. в год)</w:t>
      </w:r>
      <w:r w:rsidRPr="00F0736F">
        <w:rPr>
          <w:rFonts w:ascii="Times New Roman" w:eastAsia="Times New Roman" w:hAnsi="Times New Roman" w:cs="Times New Roman"/>
          <w:color w:val="000000" w:themeColor="text1"/>
          <w:lang w:val="kk-KZ"/>
        </w:rPr>
        <w:t xml:space="preserve">. Ручная сортировка отходов производится на полигонах ТБО в городах Рудный, Лисаковск, Житикара, Аркалык а также в Аулиекольском, Амангельдинском, Карасуском, Костанайском, Мендыкаринском, Сарыкольском, Федоровском районах и в районе им. Б. Майлина. </w:t>
      </w:r>
    </w:p>
    <w:p w14:paraId="60F451C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Cs/>
          <w:color w:val="000000" w:themeColor="text1"/>
          <w:spacing w:val="2"/>
          <w:lang w:val="kk-KZ"/>
        </w:rPr>
        <w:t xml:space="preserve">На территории области также функционируют 6 предприятий </w:t>
      </w:r>
      <w:r w:rsidRPr="00F0736F">
        <w:rPr>
          <w:rFonts w:ascii="Times New Roman" w:eastAsia="Times New Roman" w:hAnsi="Times New Roman" w:cs="Times New Roman"/>
          <w:bCs/>
          <w:color w:val="000000" w:themeColor="text1"/>
          <w:spacing w:val="2"/>
        </w:rPr>
        <w:t>(ТОО «Фабрика нетканых материалов S.M.F system», ТОО «Карт.о-бумажный комбинат 2015», ТОО «Тазалык 2012», ИП «Дастан» и ТОО «Агротехмаш» ТОО «Еділ и компания»)</w:t>
      </w:r>
      <w:r w:rsidRPr="00F0736F">
        <w:rPr>
          <w:rFonts w:ascii="Times New Roman" w:eastAsia="Times New Roman" w:hAnsi="Times New Roman" w:cs="Times New Roman"/>
          <w:bCs/>
          <w:color w:val="000000" w:themeColor="text1"/>
          <w:spacing w:val="2"/>
          <w:lang w:val="kk-KZ"/>
        </w:rPr>
        <w:t xml:space="preserve">, осуществляющие деятельность по переработке вторсырья и выпускающие более 10 видов готовой продукции </w:t>
      </w:r>
      <w:r w:rsidRPr="00F0736F">
        <w:rPr>
          <w:rFonts w:ascii="Times New Roman" w:eastAsia="Times New Roman" w:hAnsi="Times New Roman" w:cs="Times New Roman"/>
          <w:bCs/>
          <w:color w:val="000000" w:themeColor="text1"/>
          <w:spacing w:val="2"/>
        </w:rPr>
        <w:t>(георешетка, геотекстиль, геокомпозит, геокаркасы, трубы полиэтиленовые газовые и водопроводные, брусчатка, люки смотровых колодцев, резиновая крошка, труба кабельная, лотки для яиц, шлакоблоки)</w:t>
      </w:r>
      <w:r w:rsidRPr="00F0736F">
        <w:rPr>
          <w:rFonts w:ascii="Times New Roman" w:eastAsia="Times New Roman" w:hAnsi="Times New Roman" w:cs="Times New Roman"/>
          <w:bCs/>
          <w:color w:val="000000" w:themeColor="text1"/>
          <w:spacing w:val="2"/>
          <w:lang w:val="kk-KZ"/>
        </w:rPr>
        <w:t>.</w:t>
      </w:r>
    </w:p>
    <w:p w14:paraId="17F1568C"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color w:val="000000" w:themeColor="text1"/>
          <w:szCs w:val="28"/>
          <w:lang w:val="kk-KZ" w:eastAsia="ru-RU"/>
        </w:rPr>
        <w:t xml:space="preserve">Состояние биологических ресурсов и развитие лесного, рыбного и охотничьего хозяйств, </w:t>
      </w:r>
      <w:r w:rsidRPr="00F0736F">
        <w:rPr>
          <w:rFonts w:ascii="Times New Roman" w:eastAsia="Times New Roman" w:hAnsi="Times New Roman" w:cs="Times New Roman"/>
          <w:b/>
          <w:bCs/>
          <w:i/>
          <w:color w:val="000000" w:themeColor="text1"/>
          <w:sz w:val="28"/>
          <w:szCs w:val="28"/>
          <w:lang w:val="kk-KZ" w:eastAsia="ru-RU" w:bidi="ru-RU"/>
        </w:rPr>
        <w:t xml:space="preserve">ООПТ </w:t>
      </w:r>
      <w:r w:rsidRPr="00F0736F">
        <w:rPr>
          <w:rFonts w:ascii="Times New Roman" w:eastAsia="Calibri" w:hAnsi="Times New Roman" w:cs="Times New Roman"/>
          <w:b/>
          <w:bCs/>
          <w:i/>
          <w:color w:val="000000" w:themeColor="text1"/>
          <w:szCs w:val="28"/>
          <w:lang w:val="kk-KZ" w:eastAsia="ru-RU"/>
        </w:rPr>
        <w:t>и экологического туризма</w:t>
      </w:r>
    </w:p>
    <w:p w14:paraId="2091EEE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Важную роль в охране окружающей среды играют </w:t>
      </w:r>
      <w:r w:rsidRPr="00F0736F">
        <w:rPr>
          <w:rFonts w:ascii="Times New Roman" w:hAnsi="Times New Roman" w:cs="Times New Roman"/>
          <w:b/>
          <w:color w:val="000000" w:themeColor="text1"/>
        </w:rPr>
        <w:t>лесные насаждения</w:t>
      </w:r>
      <w:r w:rsidRPr="00F0736F">
        <w:rPr>
          <w:rFonts w:ascii="Times New Roman" w:hAnsi="Times New Roman" w:cs="Times New Roman"/>
          <w:color w:val="000000" w:themeColor="text1"/>
        </w:rPr>
        <w:t>. По состоянию на 1 января 2018 года общая площадь государственного лесного фонда Костанайской области составляет 1144,222 тыс. га, в том числе покрытая лесом – 240,0 тыс. га (на 1 января 2017 года – 238,2 тыс. га, на 1 января 2016 года – 236,4 тыс. га). В 2018 году площадь покрытых лесом угодий на территории государственного лесного фонда, находящегося в ведении местных исполнительных органов, составила 230,8 тыс. га при плане 225,90 тыс. га.</w:t>
      </w:r>
    </w:p>
    <w:p w14:paraId="19862C8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целью охраны и защиты лесов, учреждениями лесного хозяйства ежегодно проводятся профилактические противопожарные мероприятия, в том числе устройство минерализованных полос по границам лесонасаждений в количестве 810 км, а также уход за существующими минерализованными полосами в количестве 51 588 км.</w:t>
      </w:r>
    </w:p>
    <w:p w14:paraId="4B66AAAE"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spacing w:val="2"/>
        </w:rPr>
        <w:t xml:space="preserve">В 2018 году </w:t>
      </w:r>
      <w:r w:rsidRPr="00F0736F">
        <w:rPr>
          <w:rFonts w:ascii="Times New Roman" w:hAnsi="Times New Roman" w:cs="Times New Roman"/>
          <w:color w:val="000000" w:themeColor="text1"/>
        </w:rPr>
        <w:t xml:space="preserve">устроено 785 км минерализованных полос по границам лесонасаждений, произведен уход за существующими минполосами в количестве 54 699 км. </w:t>
      </w:r>
      <w:r w:rsidRPr="00F0736F">
        <w:rPr>
          <w:rFonts w:ascii="Times New Roman" w:hAnsi="Times New Roman" w:cs="Times New Roman"/>
          <w:bCs/>
          <w:color w:val="000000" w:themeColor="text1"/>
          <w:spacing w:val="2"/>
        </w:rPr>
        <w:t>На участках государственного лесного фонда была произведена посадка леса сеянцами и саженцами основных лесообразующих пород (сосна и береза) на общей площади 1460 га.</w:t>
      </w:r>
    </w:p>
    <w:p w14:paraId="3CAEB02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Ежегодно осуществляется авиапатрулирование лесов вертолётом на общей площади лесного фонда 217,7 тыс. га. </w:t>
      </w:r>
      <w:r w:rsidRPr="00F0736F">
        <w:rPr>
          <w:rFonts w:ascii="Times New Roman" w:hAnsi="Times New Roman" w:cs="Times New Roman"/>
          <w:bCs/>
          <w:color w:val="000000" w:themeColor="text1"/>
        </w:rPr>
        <w:t>На участках лесного фонда устроена наземная сеть пожарно-наблюдательных вышек (ПНВ). В лесных учреждениях функционируют 22 ПНВ, которые играют важную роль в обнаружении лесных пожаров. Для увеличения количества источников водоснабжения з</w:t>
      </w:r>
      <w:r w:rsidRPr="00F0736F">
        <w:rPr>
          <w:rFonts w:ascii="Times New Roman" w:hAnsi="Times New Roman" w:cs="Times New Roman"/>
          <w:color w:val="000000" w:themeColor="text1"/>
        </w:rPr>
        <w:t>а последние годы в гослесфонде было устроено 33 новых котлована, а также 5 скважин. В лесном фонде и на прилегающих территориях используется в противопожарных целях 294 водоема. В местах отсутствия естественных водоемов, на землях гослесфонда установлено 30 ёмкостей для воды, с целью оперативной заправки противопожарной техники. По состоянию на 1 июля 2018 года в подведомственном государственном лесном фонде произошло 28 случаев лесных пожаров на лесной площади 649,2 га (в 2015 году – 40 случаев на лесной площади 1593,81 га, в 2016 году – 25 случаев на лесной площади 104,567 га, в 2017 году – 13 случаев на лесной площади 196,904 га). Средняя площадь одного лесного пожара на территории государственного лесного фонда, находящегося в ведении местных исполнительных органов, составила 0,0134 тыс. га при плане</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0,009 тыс. га.</w:t>
      </w:r>
    </w:p>
    <w:p w14:paraId="14A975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Костанайской области имеется 16 </w:t>
      </w:r>
      <w:r w:rsidRPr="00F0736F">
        <w:rPr>
          <w:rFonts w:ascii="Times New Roman" w:hAnsi="Times New Roman" w:cs="Times New Roman"/>
          <w:b/>
          <w:color w:val="000000" w:themeColor="text1"/>
        </w:rPr>
        <w:t>особо охраняемых природных территорий</w:t>
      </w:r>
      <w:r w:rsidRPr="00F0736F">
        <w:rPr>
          <w:rFonts w:ascii="Times New Roman" w:hAnsi="Times New Roman" w:cs="Times New Roman"/>
          <w:color w:val="000000" w:themeColor="text1"/>
        </w:rPr>
        <w:t xml:space="preserve"> общей площадью 2826558,6 га, в том числе: Наурзумский государственный природный заповедник, государственный природный резерват «Алтын Дала», 3 государственных природных (зоологических) заказника: Тоунсорский, Жарсор-Уркашский и Михайловский, экологический коридор «Ыргыз-Торгай-Жыланшык», а также 10 памятников природы местного значения.</w:t>
      </w:r>
    </w:p>
    <w:p w14:paraId="440BCB7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Общая площадь водно-болотных угодий составляет 864,1 тыс. га, из них водных – 506,8 тыс. га. Подавляющая часть озер подвержена заморным явлениям в зимний период. Животный мир представлен 430 видами, в том числе: млекопитающих - 65, птиц - 336, амфибий - 3, рептилий - 3 и рыб - 23 вида. </w:t>
      </w:r>
    </w:p>
    <w:p w14:paraId="138881E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пользователями животным миром закреплено 99 охотничьих угодий общей площадью в 2017 году 16178 тыс. га, резервный фонд области составляет 1085 тыс. га. За водопользователями закреплено 177 водоемов общей площадью около 72 тыс. га.</w:t>
      </w:r>
    </w:p>
    <w:p w14:paraId="76EC11D8" w14:textId="77777777" w:rsidR="00AC1D5B" w:rsidRPr="00F0736F" w:rsidRDefault="00AC1D5B" w:rsidP="00AC1D5B">
      <w:pPr>
        <w:ind w:firstLine="709"/>
        <w:jc w:val="both"/>
        <w:rPr>
          <w:color w:val="000000" w:themeColor="text1"/>
        </w:rPr>
      </w:pPr>
    </w:p>
    <w:p w14:paraId="59757BA3" w14:textId="77777777" w:rsidR="00AC1D5B" w:rsidRPr="00F0736F" w:rsidRDefault="00AC1D5B" w:rsidP="00AC1D5B">
      <w:pPr>
        <w:ind w:firstLine="709"/>
        <w:jc w:val="both"/>
        <w:rPr>
          <w:color w:val="000000" w:themeColor="text1"/>
        </w:rPr>
      </w:pPr>
    </w:p>
    <w:p w14:paraId="0B14F2E9"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3" w:name="_Toc57818744"/>
      <w:r w:rsidRPr="007272FB">
        <w:rPr>
          <w:rFonts w:ascii="Times New Roman" w:eastAsia="Times New Roman" w:hAnsi="Times New Roman" w:cs="Times New Roman"/>
          <w:color w:val="000000" w:themeColor="text1"/>
          <w:sz w:val="24"/>
          <w:szCs w:val="24"/>
        </w:rPr>
        <w:t>2.10. Кызылординская область</w:t>
      </w:r>
      <w:bookmarkEnd w:id="53"/>
    </w:p>
    <w:p w14:paraId="3DB78E31" w14:textId="77777777" w:rsidR="00AC1D5B" w:rsidRPr="00F0736F" w:rsidRDefault="00AC1D5B" w:rsidP="00AC1D5B">
      <w:pPr>
        <w:ind w:firstLine="709"/>
        <w:jc w:val="both"/>
        <w:rPr>
          <w:rFonts w:ascii="Times New Roman" w:hAnsi="Times New Roman" w:cs="Times New Roman"/>
          <w:color w:val="000000" w:themeColor="text1"/>
        </w:rPr>
      </w:pPr>
    </w:p>
    <w:p w14:paraId="45D6B47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58D5D15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Территория области - 226 тыс. кв. км. По данным Комитета по статистике, население области на 1 января 2018 года составило 783,1 тыс. человек, на 1 января 2019 года – 794,3 тыс. человек, а на 1 января 2020 года — 803,5 тыс. человек.</w:t>
      </w:r>
    </w:p>
    <w:p w14:paraId="1DCD7C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Валовой региональный продукт за 2017 год по области составил 1431,0 млрд. тенге, на душу населения – 1839,0 тыс. тенге. Объем произведенного ВРП области за 2018 год составил 1647,0 млрд. тенге (на душу населения – 2088,1 тыс. тенге), за 2019 год — 1828,9 млрд. тенге (2289,1 тыс. тенге). Рост за счет обеспечения роста во всех базовых отраслях экономики, кроме обрабатывающий промышленности, о</w:t>
      </w:r>
      <w:r w:rsidRPr="00F0736F">
        <w:rPr>
          <w:rFonts w:ascii="Times New Roman" w:eastAsia="Times New Roman" w:hAnsi="Times New Roman" w:cs="Times New Roman"/>
          <w:color w:val="000000" w:themeColor="text1"/>
        </w:rPr>
        <w:t>пераций с недвижимым имуществом</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п</w:t>
      </w:r>
      <w:r w:rsidRPr="00F0736F">
        <w:rPr>
          <w:rFonts w:ascii="Times New Roman" w:eastAsia="Times New Roman" w:hAnsi="Times New Roman" w:cs="Times New Roman"/>
          <w:color w:val="000000" w:themeColor="text1"/>
        </w:rPr>
        <w:t>рофессиональная, научная и техническая деятельность</w:t>
      </w:r>
      <w:r w:rsidRPr="00F0736F">
        <w:rPr>
          <w:rFonts w:ascii="Times New Roman" w:hAnsi="Times New Roman" w:cs="Times New Roman"/>
          <w:color w:val="000000" w:themeColor="text1"/>
        </w:rPr>
        <w:t>, г</w:t>
      </w:r>
      <w:r w:rsidRPr="00F0736F">
        <w:rPr>
          <w:rFonts w:ascii="Times New Roman" w:eastAsia="Times New Roman" w:hAnsi="Times New Roman" w:cs="Times New Roman"/>
          <w:color w:val="000000" w:themeColor="text1"/>
        </w:rPr>
        <w:t>осударственное управление и оборона; обязательное социальное обеспечение</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предоставление прочих видов услуг</w:t>
      </w:r>
      <w:r w:rsidRPr="00F0736F">
        <w:rPr>
          <w:rFonts w:ascii="Times New Roman" w:hAnsi="Times New Roman" w:cs="Times New Roman"/>
          <w:color w:val="000000" w:themeColor="text1"/>
          <w:vertAlign w:val="superscript"/>
          <w:lang w:val="kk-KZ"/>
        </w:rPr>
        <w:footnoteReference w:id="150"/>
      </w:r>
      <w:r w:rsidRPr="00F0736F">
        <w:rPr>
          <w:rFonts w:ascii="Times New Roman" w:hAnsi="Times New Roman" w:cs="Times New Roman"/>
          <w:color w:val="000000" w:themeColor="text1"/>
          <w:lang w:val="kk-KZ"/>
        </w:rPr>
        <w:t>.</w:t>
      </w:r>
    </w:p>
    <w:p w14:paraId="6F330D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w:t>
      </w:r>
      <w:r w:rsidRPr="00F0736F">
        <w:rPr>
          <w:rFonts w:ascii="Times New Roman" w:hAnsi="Times New Roman" w:cs="Times New Roman"/>
          <w:b/>
          <w:color w:val="000000" w:themeColor="text1"/>
        </w:rPr>
        <w:t>промышленного производства</w:t>
      </w:r>
      <w:r w:rsidRPr="00F0736F">
        <w:rPr>
          <w:rFonts w:ascii="Times New Roman" w:hAnsi="Times New Roman" w:cs="Times New Roman"/>
          <w:color w:val="000000" w:themeColor="text1"/>
        </w:rPr>
        <w:t xml:space="preserve"> области в 2017 году составил 731,4 млрд. тенге, в 2018 году - 941,4 млрд. тенге, а в 2019 году – 852,1 млрд. тенге. За </w:t>
      </w:r>
      <w:r w:rsidRPr="00F0736F">
        <w:rPr>
          <w:rFonts w:ascii="Times New Roman" w:hAnsi="Times New Roman" w:cs="Times New Roman"/>
          <w:color w:val="000000" w:themeColor="text1"/>
          <w:lang w:val="kk-KZ"/>
        </w:rPr>
        <w:t>2018 год</w:t>
      </w:r>
      <w:r w:rsidRPr="00F0736F">
        <w:rPr>
          <w:rFonts w:ascii="Times New Roman" w:hAnsi="Times New Roman" w:cs="Times New Roman"/>
          <w:color w:val="000000" w:themeColor="text1"/>
        </w:rPr>
        <w:t xml:space="preserve"> добыча нефти снижена на </w:t>
      </w:r>
      <w:r w:rsidRPr="00F0736F">
        <w:rPr>
          <w:rFonts w:ascii="Times New Roman" w:hAnsi="Times New Roman" w:cs="Times New Roman"/>
          <w:color w:val="000000" w:themeColor="text1"/>
          <w:lang w:val="kk-KZ"/>
        </w:rPr>
        <w:t>420,9</w:t>
      </w:r>
      <w:r w:rsidRPr="00F0736F">
        <w:rPr>
          <w:rFonts w:ascii="Times New Roman" w:hAnsi="Times New Roman" w:cs="Times New Roman"/>
          <w:color w:val="000000" w:themeColor="text1"/>
        </w:rPr>
        <w:t xml:space="preserve"> тыс. т. по сравнению с 2017 годом. Это обусловлено сокращением объемов добычи нефти, вследствие обводненности отдельных нефтяных скважин. Объемы </w:t>
      </w:r>
      <w:r w:rsidRPr="00F0736F">
        <w:rPr>
          <w:rFonts w:ascii="Times New Roman" w:hAnsi="Times New Roman" w:cs="Times New Roman"/>
          <w:b/>
          <w:color w:val="000000" w:themeColor="text1"/>
        </w:rPr>
        <w:t>обрабатывающей промышленности</w:t>
      </w:r>
      <w:r w:rsidRPr="00F0736F">
        <w:rPr>
          <w:rFonts w:ascii="Times New Roman" w:hAnsi="Times New Roman" w:cs="Times New Roman"/>
          <w:color w:val="000000" w:themeColor="text1"/>
        </w:rPr>
        <w:t xml:space="preserve"> составили 110,5 млрд. тенге в 2017 году, 119,4 млрд. тенге в 2018 году и 145,7 млрд. тенге в 2019 году.</w:t>
      </w:r>
    </w:p>
    <w:p w14:paraId="14A8E92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второй пятилетки программы индустриализации в области реализуются 25 (за 2015-2018 годы реализованы 7) проектов стоимостью 512 млрд. тенге с созданием 5,4 тыс. рабочих мест. В том числе в 2018 году в сфере стройиндустрии введены 2 производства: </w:t>
      </w:r>
    </w:p>
    <w:p w14:paraId="2F044FD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известковый завод мощностью 75 тыс. т. в год в Жанакорганском районе, продукция которого уже пользуется спросом не только в области, но и за ее пределами;</w:t>
      </w:r>
    </w:p>
    <w:p w14:paraId="53787F9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в рамках Общенационального телемоста с участием главы государства </w:t>
      </w:r>
      <w:r w:rsidRPr="00F0736F">
        <w:rPr>
          <w:rFonts w:ascii="Times New Roman" w:hAnsi="Times New Roman" w:cs="Times New Roman"/>
          <w:color w:val="000000" w:themeColor="text1"/>
          <w:lang w:val="kk-KZ"/>
        </w:rPr>
        <w:t xml:space="preserve">досрочно введено </w:t>
      </w:r>
      <w:r w:rsidRPr="00F0736F">
        <w:rPr>
          <w:rFonts w:ascii="Times New Roman" w:hAnsi="Times New Roman" w:cs="Times New Roman"/>
          <w:color w:val="000000" w:themeColor="text1"/>
        </w:rPr>
        <w:t>первое в области предприятие по производству тампонажного цемента</w:t>
      </w:r>
      <w:r w:rsidRPr="00F0736F">
        <w:rPr>
          <w:rFonts w:ascii="Times New Roman" w:hAnsi="Times New Roman" w:cs="Times New Roman"/>
          <w:color w:val="000000" w:themeColor="text1"/>
          <w:lang w:val="kk-KZ"/>
        </w:rPr>
        <w:t xml:space="preserve"> в Шиелийском районе</w:t>
      </w:r>
      <w:r w:rsidRPr="00F0736F">
        <w:rPr>
          <w:rFonts w:ascii="Times New Roman" w:hAnsi="Times New Roman" w:cs="Times New Roman"/>
          <w:color w:val="000000" w:themeColor="text1"/>
        </w:rPr>
        <w:t>.</w:t>
      </w:r>
    </w:p>
    <w:p w14:paraId="50C3A76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 приоритетом в </w:t>
      </w:r>
      <w:r w:rsidRPr="00F0736F">
        <w:rPr>
          <w:rFonts w:ascii="Times New Roman" w:hAnsi="Times New Roman" w:cs="Times New Roman"/>
          <w:b/>
          <w:color w:val="000000" w:themeColor="text1"/>
        </w:rPr>
        <w:t>агропромышленном комплексе</w:t>
      </w:r>
      <w:r w:rsidRPr="00F0736F">
        <w:rPr>
          <w:rFonts w:ascii="Times New Roman" w:hAnsi="Times New Roman" w:cs="Times New Roman"/>
          <w:color w:val="000000" w:themeColor="text1"/>
        </w:rPr>
        <w:t xml:space="preserve"> является увеличение переработки и экспорта сельскохозяйственной продукции</w:t>
      </w:r>
      <w:r w:rsidRPr="00F0736F">
        <w:rPr>
          <w:rFonts w:ascii="Times New Roman" w:hAnsi="Times New Roman" w:cs="Times New Roman"/>
          <w:color w:val="000000" w:themeColor="text1"/>
          <w:lang w:val="kk-KZ"/>
        </w:rPr>
        <w:t>, увеличение доли высокорентабельных, мало влагопотребляющих сельскохозяйственных культур.</w:t>
      </w:r>
      <w:r w:rsidRPr="00F0736F">
        <w:rPr>
          <w:rFonts w:ascii="Times New Roman" w:hAnsi="Times New Roman" w:cs="Times New Roman"/>
          <w:color w:val="000000" w:themeColor="text1"/>
        </w:rPr>
        <w:t xml:space="preserve"> Так, по итогам 2019 года производительность труда в сельском хозяйстве составила 3185,8 тыс. тенге (на 39,0% больше аналогичного периода 2018 года).</w:t>
      </w:r>
    </w:p>
    <w:p w14:paraId="7CFB368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 2017 году продукции (услуг) сельского хозяйства произведено на 88,7 млрд. тенге, в 2018 году - 103,9 млрд</w:t>
      </w:r>
      <w:r w:rsidRPr="00F0736F">
        <w:rPr>
          <w:rFonts w:ascii="Times New Roman" w:hAnsi="Times New Roman" w:cs="Times New Roman"/>
          <w:color w:val="000000" w:themeColor="text1"/>
          <w:lang w:val="kk-KZ"/>
        </w:rPr>
        <w:t xml:space="preserve">. тенге, </w:t>
      </w:r>
      <w:r w:rsidRPr="00F0736F">
        <w:rPr>
          <w:rFonts w:ascii="Times New Roman" w:hAnsi="Times New Roman" w:cs="Times New Roman"/>
          <w:color w:val="000000" w:themeColor="text1"/>
        </w:rPr>
        <w:t>а в 2019 году — 128,6 млрд. тенге, с преимуществом растениеводства (62,6%).</w:t>
      </w:r>
    </w:p>
    <w:p w14:paraId="4C678D6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в области было посеяно 184,5 тысячи га сельскохозяйственных культур. В том числе зерновые культуры - 9</w:t>
      </w:r>
      <w:r w:rsidRPr="00F0736F">
        <w:rPr>
          <w:rFonts w:ascii="Times New Roman" w:hAnsi="Times New Roman" w:cs="Times New Roman"/>
          <w:color w:val="000000" w:themeColor="text1"/>
          <w:lang w:val="kk-KZ"/>
        </w:rPr>
        <w:t>4,8</w:t>
      </w:r>
      <w:r w:rsidRPr="00F0736F">
        <w:rPr>
          <w:rFonts w:ascii="Times New Roman" w:hAnsi="Times New Roman" w:cs="Times New Roman"/>
          <w:color w:val="000000" w:themeColor="text1"/>
        </w:rPr>
        <w:t xml:space="preserve"> тыс. га, масличные культуры - 10,3 тыс. га, кормовых культур - 61,5 тыс. га, картофель, овощи и бахчевые - 17,4 тыс. га. Площадь основной культуры риса составила 8</w:t>
      </w:r>
      <w:r w:rsidRPr="00F0736F">
        <w:rPr>
          <w:rFonts w:ascii="Times New Roman" w:hAnsi="Times New Roman" w:cs="Times New Roman"/>
          <w:color w:val="000000" w:themeColor="text1"/>
          <w:lang w:val="kk-KZ"/>
        </w:rPr>
        <w:t>6,8</w:t>
      </w:r>
      <w:r w:rsidRPr="00F0736F">
        <w:rPr>
          <w:rFonts w:ascii="Times New Roman" w:hAnsi="Times New Roman" w:cs="Times New Roman"/>
          <w:color w:val="000000" w:themeColor="text1"/>
        </w:rPr>
        <w:t xml:space="preserve"> тыс. га.</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Из посеянной озимой пшеницы урожая получено 7483 т., яровой пшеницы - 2695 т., ячменя - 368 т., кукурузы на зерно - 3849 т., просо - 1766 т. Валовой сбор зерновых культур составил </w:t>
      </w:r>
      <w:r w:rsidRPr="00F0736F">
        <w:rPr>
          <w:rFonts w:ascii="Times New Roman" w:hAnsi="Times New Roman" w:cs="Times New Roman"/>
          <w:color w:val="000000" w:themeColor="text1"/>
          <w:lang w:val="kk-KZ"/>
        </w:rPr>
        <w:t>489 583 т.</w:t>
      </w:r>
    </w:p>
    <w:p w14:paraId="3BA91A83"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2019 году посеяно 183,1 тыс. га (в том числе 87,9 тыс. га риса, 9,6 тыс. га зерновых  культур кроме риса, 7,9 тыс. га масличных культур, 60,2 тыс. га кормовых культур, 17,4 тыс. га картофеля, овощей, бахчи). Посевная площадь сельскохозяйственных культур по сравнению с 2018 годом увеличилась на 5,8 тыс. га. </w:t>
      </w:r>
    </w:p>
    <w:p w14:paraId="616AE8DB"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отрасли растениеводства </w:t>
      </w:r>
      <w:r w:rsidRPr="00F0736F">
        <w:rPr>
          <w:rFonts w:ascii="Times New Roman" w:hAnsi="Times New Roman" w:cs="Times New Roman"/>
          <w:color w:val="000000" w:themeColor="text1"/>
          <w:lang w:val="kk-KZ"/>
        </w:rPr>
        <w:t>реализованы</w:t>
      </w:r>
      <w:r w:rsidRPr="00F0736F">
        <w:rPr>
          <w:rFonts w:ascii="Times New Roman" w:hAnsi="Times New Roman" w:cs="Times New Roman"/>
          <w:color w:val="000000" w:themeColor="text1"/>
        </w:rPr>
        <w:t xml:space="preserve"> 4 проекта - рисоперерабатывающие заводы</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в </w:t>
      </w:r>
      <w:r w:rsidRPr="00F0736F">
        <w:rPr>
          <w:rFonts w:ascii="Times New Roman" w:hAnsi="Times New Roman" w:cs="Times New Roman"/>
          <w:color w:val="000000" w:themeColor="text1"/>
        </w:rPr>
        <w:t xml:space="preserve">Шиелийском (КХ "Багбан Аширов»), Жанакорганском (КХ «Нурбол </w:t>
      </w:r>
      <w:r w:rsidRPr="00F0736F">
        <w:rPr>
          <w:rFonts w:ascii="Times New Roman" w:hAnsi="Times New Roman" w:cs="Times New Roman"/>
          <w:color w:val="000000" w:themeColor="text1"/>
          <w:lang w:val="kk-KZ"/>
        </w:rPr>
        <w:t>И</w:t>
      </w:r>
      <w:r w:rsidRPr="00F0736F">
        <w:rPr>
          <w:rFonts w:ascii="Times New Roman" w:hAnsi="Times New Roman" w:cs="Times New Roman"/>
          <w:color w:val="000000" w:themeColor="text1"/>
        </w:rPr>
        <w:t>»), Кармакшинском (ТОО «Жанажол») и Жалагашском районах (ТОО «Тан Л</w:t>
      </w:r>
      <w:r w:rsidRPr="00F0736F">
        <w:rPr>
          <w:rFonts w:ascii="Times New Roman" w:hAnsi="Times New Roman" w:cs="Times New Roman"/>
          <w:color w:val="000000" w:themeColor="text1"/>
          <w:lang w:val="kk-KZ"/>
        </w:rPr>
        <w:t>ТД</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Кроме того, в</w:t>
      </w:r>
      <w:r w:rsidRPr="00F0736F">
        <w:rPr>
          <w:rFonts w:ascii="Times New Roman" w:hAnsi="Times New Roman" w:cs="Times New Roman"/>
          <w:color w:val="000000" w:themeColor="text1"/>
        </w:rPr>
        <w:t xml:space="preserve"> Жалагашском районе реализован </w:t>
      </w:r>
      <w:r w:rsidRPr="00F0736F">
        <w:rPr>
          <w:rFonts w:ascii="Times New Roman" w:hAnsi="Times New Roman" w:cs="Times New Roman"/>
          <w:color w:val="000000" w:themeColor="text1"/>
          <w:lang w:val="kk-KZ"/>
        </w:rPr>
        <w:t>п</w:t>
      </w:r>
      <w:r w:rsidRPr="00F0736F">
        <w:rPr>
          <w:rFonts w:ascii="Times New Roman" w:hAnsi="Times New Roman" w:cs="Times New Roman"/>
          <w:color w:val="000000" w:themeColor="text1"/>
        </w:rPr>
        <w:t xml:space="preserve">роект </w:t>
      </w:r>
      <w:r w:rsidRPr="00F0736F">
        <w:rPr>
          <w:rFonts w:ascii="Times New Roman" w:hAnsi="Times New Roman" w:cs="Times New Roman"/>
          <w:color w:val="000000" w:themeColor="text1"/>
          <w:lang w:val="kk-KZ"/>
        </w:rPr>
        <w:t xml:space="preserve">демонстрации </w:t>
      </w:r>
      <w:r w:rsidRPr="00F0736F">
        <w:rPr>
          <w:rFonts w:ascii="Times New Roman" w:hAnsi="Times New Roman" w:cs="Times New Roman"/>
          <w:color w:val="000000" w:themeColor="text1"/>
        </w:rPr>
        <w:t xml:space="preserve">оазисного орошения (КХ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Манах баба</w:t>
      </w:r>
      <w:r w:rsidRPr="00F0736F">
        <w:rPr>
          <w:rFonts w:ascii="Times New Roman" w:hAnsi="Times New Roman" w:cs="Times New Roman"/>
          <w:color w:val="000000" w:themeColor="text1"/>
          <w:lang w:val="kk-KZ"/>
        </w:rPr>
        <w:t xml:space="preserve">»).                      Кроме этого, в декабре 2019 года </w:t>
      </w:r>
      <w:r w:rsidRPr="00F0736F">
        <w:rPr>
          <w:rFonts w:ascii="Times New Roman" w:hAnsi="Times New Roman" w:cs="Times New Roman"/>
          <w:color w:val="000000" w:themeColor="text1"/>
        </w:rPr>
        <w:t>областном центре открыт автоматизированн</w:t>
      </w:r>
      <w:r w:rsidRPr="00F0736F">
        <w:rPr>
          <w:rFonts w:ascii="Times New Roman" w:hAnsi="Times New Roman" w:cs="Times New Roman"/>
          <w:color w:val="000000" w:themeColor="text1"/>
          <w:lang w:val="kk-KZ"/>
        </w:rPr>
        <w:t>ый</w:t>
      </w:r>
      <w:r w:rsidRPr="00F0736F">
        <w:rPr>
          <w:rFonts w:ascii="Times New Roman" w:hAnsi="Times New Roman" w:cs="Times New Roman"/>
          <w:color w:val="000000" w:themeColor="text1"/>
        </w:rPr>
        <w:t xml:space="preserve"> тепличн</w:t>
      </w:r>
      <w:r w:rsidRPr="00F0736F">
        <w:rPr>
          <w:rFonts w:ascii="Times New Roman" w:hAnsi="Times New Roman" w:cs="Times New Roman"/>
          <w:color w:val="000000" w:themeColor="text1"/>
          <w:lang w:val="kk-KZ"/>
        </w:rPr>
        <w:t xml:space="preserve">ый </w:t>
      </w:r>
      <w:r w:rsidRPr="00F0736F">
        <w:rPr>
          <w:rFonts w:ascii="Times New Roman" w:hAnsi="Times New Roman" w:cs="Times New Roman"/>
          <w:color w:val="000000" w:themeColor="text1"/>
        </w:rPr>
        <w:t xml:space="preserve">комплекс на </w:t>
      </w:r>
      <w:r w:rsidRPr="00F0736F">
        <w:rPr>
          <w:rFonts w:ascii="Times New Roman" w:hAnsi="Times New Roman" w:cs="Times New Roman"/>
          <w:color w:val="000000" w:themeColor="text1"/>
          <w:lang w:val="kk-KZ"/>
        </w:rPr>
        <w:t xml:space="preserve">площади </w:t>
      </w:r>
      <w:r w:rsidRPr="00F0736F">
        <w:rPr>
          <w:rFonts w:ascii="Times New Roman" w:hAnsi="Times New Roman" w:cs="Times New Roman"/>
          <w:color w:val="000000" w:themeColor="text1"/>
        </w:rPr>
        <w:t>2</w:t>
      </w:r>
      <w:r w:rsidRPr="00F0736F">
        <w:rPr>
          <w:rFonts w:ascii="Times New Roman" w:hAnsi="Times New Roman" w:cs="Times New Roman"/>
          <w:color w:val="000000" w:themeColor="text1"/>
          <w:lang w:val="kk-KZ"/>
        </w:rPr>
        <w:t>,2</w:t>
      </w:r>
      <w:r w:rsidRPr="00F0736F">
        <w:rPr>
          <w:rFonts w:ascii="Times New Roman" w:hAnsi="Times New Roman" w:cs="Times New Roman"/>
          <w:color w:val="000000" w:themeColor="text1"/>
        </w:rPr>
        <w:t xml:space="preserve"> га (ТОО «КазАгроМир»).</w:t>
      </w:r>
    </w:p>
    <w:p w14:paraId="5D740E85"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485DF2E9"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целом по итогам 2012 - 2019 годов введено в обращение 603.8 тыс. га земельных участков путем торгов и через государственные программы. Из них в 2019 году - 57,1 тыс. га земель.</w:t>
      </w:r>
    </w:p>
    <w:p w14:paraId="573CB261"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области (земельный баланс на 01.11.2018 г.) зарегистрировано 249,8 тыс. га орошаемых земель (в т.ч. инженерных сетей 178,6 тыс. га). Из них площадь чистых орошаемых земель области 236,9 тыс. га, из них в категории сельского хозяйства - 214,7 тыс. га, земель запаса - 20,1 тыс. га, лесного фонда - 2,1 тыс. га. </w:t>
      </w:r>
    </w:p>
    <w:p w14:paraId="4E9415FE"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рамках восстановления орошаемых земель в области в 2017 - 2019 годах велись работы по реализации 3 проектов по восстановлению 158 тыс. га орошаемых и введению в оборот 29 тыс. га неиспользуемых земель с общей стоимостью 161,0 млрд. тенге. В том числе:</w:t>
      </w:r>
    </w:p>
    <w:p w14:paraId="221C9A8D"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- 15 тыс. га по проекту ПУИД-2 (9,3 млрд. тенге);</w:t>
      </w:r>
    </w:p>
    <w:p w14:paraId="3E61CE91"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- 143 тыс. га по проекту ПУИД-3 (138,3 млрд. тенге);</w:t>
      </w:r>
    </w:p>
    <w:p w14:paraId="493E651F"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по включению в оборот 29 тыс. га орошаемых земель (13,4 млрд. тенге).</w:t>
      </w:r>
    </w:p>
    <w:p w14:paraId="79BA24EF"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На проектно-сметную документацию по проекту ПУИД-2 получена государственная экспертиза. Общая стоимость проекта составляет 9,3 млрд. тенге. В 2019 году проведены соответствующие работы по финансированию проекта из республиканского бюджета (Всемирный Банк - 30%, РБ — 70%).</w:t>
      </w:r>
    </w:p>
    <w:p w14:paraId="7527DA62"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2018 году на паспортизацию водохозяйственных объектов, включенных в проект ПУИД-3, из областного бюджета выделено 410 млн. тенге, завершены работы по подготовке земельных актов. Для завершения работ по паспортизации в 2019 году выделено 362,3 млн. тенге. Работы по паспортизации водохозяйственных объектов, включенных в проект по введению в оборот 29 тыс. га (Азиатский банк развития) завершены на 98 процентов (28,4 га), переданы в республиканскую собственность. </w:t>
      </w:r>
    </w:p>
    <w:p w14:paraId="14F1E1A8"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Для обеспечения поливной водой населенных пунктов поэтапно ведутся работы по очистке, ремонту водохозяйственных объектов. В 2018 году завершены работы по очистке 6-ти каналов,</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приобретено 3 насоса</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В 2018 году по сравнению с 2017 годом при поливе сэкономлено 0,8 млрд. кубометров воды.</w:t>
      </w:r>
    </w:p>
    <w:p w14:paraId="1E6AADD8"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Consolas" w:hAnsi="Times New Roman" w:cs="Times New Roman"/>
          <w:color w:val="000000" w:themeColor="text1"/>
        </w:rPr>
        <w:t>В Кызылординской области</w:t>
      </w:r>
      <w:r w:rsidRPr="00F0736F">
        <w:rPr>
          <w:rFonts w:ascii="Times New Roman" w:eastAsia="Consolas" w:hAnsi="Times New Roman" w:cs="Times New Roman"/>
          <w:b/>
          <w:color w:val="000000" w:themeColor="text1"/>
        </w:rPr>
        <w:t xml:space="preserve"> </w:t>
      </w:r>
      <w:r w:rsidRPr="00F0736F">
        <w:rPr>
          <w:rFonts w:ascii="Times New Roman" w:eastAsia="Consolas" w:hAnsi="Times New Roman" w:cs="Times New Roman"/>
          <w:color w:val="000000" w:themeColor="text1"/>
        </w:rPr>
        <w:t xml:space="preserve">ведётся производство овощей в закрытом грунте с применением методов капельного орошения. В частности, в области функционирует всего 90 теплиц (площадью 6,7004 га), в середине декабря текущего года планируется ввести в эксплуатацию автоматизированный тепличный комплекс ТОО «КазАгроМир», с площадью 2,2 га. </w:t>
      </w:r>
    </w:p>
    <w:p w14:paraId="7D9BF9B4"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По Кызылординской области площадь пастбищ на землях сельскохозяйственного назначения составляет 1713,8 тыс. га, обводненных 1468 тыс. га, или 86%. </w:t>
      </w:r>
      <w:r w:rsidRPr="00F0736F">
        <w:rPr>
          <w:rFonts w:ascii="Times New Roman" w:eastAsia="Consolas" w:hAnsi="Times New Roman" w:cs="Times New Roman"/>
          <w:color w:val="000000" w:themeColor="text1"/>
        </w:rPr>
        <w:t>Для обеспечения устойчивого развития животноводства в области проводится соответствующая работа по освоению отгонных пастбищных угодий. За последние 6 лет на отгонных пастбищных землях оборудовано 366 штук колодцев и скважин, 253 сельхозформирования закупили солнечные панели, для 74 тыс. сельскохозяйственных животных созданы условия для выпаса.</w:t>
      </w:r>
    </w:p>
    <w:p w14:paraId="63C75E1B"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 xml:space="preserve">На </w:t>
      </w:r>
      <w:r w:rsidRPr="00F0736F">
        <w:rPr>
          <w:rFonts w:ascii="Times New Roman" w:hAnsi="Times New Roman" w:cs="Times New Roman"/>
          <w:color w:val="000000" w:themeColor="text1"/>
        </w:rPr>
        <w:t>начало 2020 года</w:t>
      </w:r>
      <w:r w:rsidRPr="00F0736F">
        <w:rPr>
          <w:rFonts w:ascii="Times New Roman" w:hAnsi="Times New Roman" w:cs="Times New Roman"/>
          <w:color w:val="000000" w:themeColor="text1"/>
          <w:lang w:val="kk-KZ"/>
        </w:rPr>
        <w:t xml:space="preserve"> общая площадь регулярно орошаемых земель составляет 194,1 тыс. га, из них используется 154,3 тыс. га поливных земель. В рамках Государственной программы АПК 2017- 2021 гг. предусмотрено восстановление ирригационных систем и сооружений на площади 28974 га орошаемых земель.  </w:t>
      </w:r>
    </w:p>
    <w:p w14:paraId="72722B6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РГП «Казводхоз» КВР МЭГП</w:t>
      </w:r>
      <w:r w:rsidRPr="00F0736F">
        <w:rPr>
          <w:rFonts w:ascii="Times New Roman" w:hAnsi="Times New Roman" w:cs="Times New Roman"/>
          <w:color w:val="000000" w:themeColor="text1"/>
        </w:rPr>
        <w:t>Р</w:t>
      </w:r>
      <w:r w:rsidRPr="00F0736F">
        <w:rPr>
          <w:rFonts w:ascii="Times New Roman" w:hAnsi="Times New Roman" w:cs="Times New Roman"/>
          <w:color w:val="000000" w:themeColor="text1"/>
          <w:lang w:val="kk-KZ"/>
        </w:rPr>
        <w:t xml:space="preserve"> планирует реализацию </w:t>
      </w:r>
      <w:r w:rsidRPr="00F0736F">
        <w:rPr>
          <w:rFonts w:ascii="Times New Roman" w:hAnsi="Times New Roman" w:cs="Times New Roman"/>
          <w:color w:val="000000" w:themeColor="text1"/>
        </w:rPr>
        <w:t>с привлечением</w:t>
      </w:r>
      <w:r w:rsidRPr="00F0736F">
        <w:rPr>
          <w:rFonts w:ascii="Times New Roman" w:hAnsi="Times New Roman" w:cs="Times New Roman"/>
          <w:color w:val="000000" w:themeColor="text1"/>
          <w:lang w:val="kk-KZ"/>
        </w:rPr>
        <w:t xml:space="preserve"> заемных средств Азиатского банка развития для восстановления орошаемых земель. По займу АБР планируемые восстановляемые объекты расположены в восьми районах, включая Жанакорганский - 441 га, Шиелиский - 1772 га, Сырдаринский - 7406 га, Жалагашский - 4221 га, Кармакшинский - 4712 га, Казалинский - 4720, Аральский - 2645 и г.Кызылорда - 3056 га на ориентировочную сумму 11,66 млрд. тенге. Проектом предусмотрено обеспечение орошаемых площадей объектами внешней инфраструктуры, строительством скважины, распределительных трубопроводов и электрических сетей. В том числе:</w:t>
      </w:r>
    </w:p>
    <w:p w14:paraId="20F87A25"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о</w:t>
      </w:r>
      <w:r w:rsidRPr="00F0736F">
        <w:rPr>
          <w:rFonts w:ascii="Times New Roman" w:hAnsi="Times New Roman" w:cs="Times New Roman"/>
          <w:color w:val="000000" w:themeColor="text1"/>
          <w:lang w:val="kk-KZ"/>
        </w:rPr>
        <w:t>росительные каналы  –  252 канала с протяженностью 1117 км;</w:t>
      </w:r>
    </w:p>
    <w:p w14:paraId="7772A1FF"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с</w:t>
      </w:r>
      <w:r w:rsidRPr="00F0736F">
        <w:rPr>
          <w:rFonts w:ascii="Times New Roman" w:hAnsi="Times New Roman" w:cs="Times New Roman"/>
          <w:color w:val="000000" w:themeColor="text1"/>
          <w:lang w:val="kk-KZ"/>
        </w:rPr>
        <w:t>ооружения на каналах – 1460  шт;</w:t>
      </w:r>
    </w:p>
    <w:p w14:paraId="03BDBB90"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к</w:t>
      </w:r>
      <w:r w:rsidRPr="00F0736F">
        <w:rPr>
          <w:rFonts w:ascii="Times New Roman" w:hAnsi="Times New Roman" w:cs="Times New Roman"/>
          <w:color w:val="000000" w:themeColor="text1"/>
          <w:lang w:val="kk-KZ"/>
        </w:rPr>
        <w:t>оллекторно-дренажная сеть (КДС) – 357,7 км;</w:t>
      </w:r>
    </w:p>
    <w:p w14:paraId="20D1239C"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с</w:t>
      </w:r>
      <w:r w:rsidRPr="00F0736F">
        <w:rPr>
          <w:rFonts w:ascii="Times New Roman" w:hAnsi="Times New Roman" w:cs="Times New Roman"/>
          <w:color w:val="000000" w:themeColor="text1"/>
          <w:lang w:val="kk-KZ"/>
        </w:rPr>
        <w:t>кважины вертикального дренажа – 27 шт.</w:t>
      </w:r>
    </w:p>
    <w:p w14:paraId="124FD62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2019 году объем риса, посеянного по области на </w:t>
      </w:r>
      <w:r w:rsidRPr="00F0736F">
        <w:rPr>
          <w:color w:val="000000" w:themeColor="text1"/>
        </w:rPr>
        <w:t>87 933</w:t>
      </w:r>
      <w:r w:rsidRPr="00F0736F">
        <w:rPr>
          <w:rFonts w:ascii="Times New Roman" w:hAnsi="Times New Roman" w:cs="Times New Roman"/>
          <w:color w:val="000000" w:themeColor="text1"/>
        </w:rPr>
        <w:t xml:space="preserve"> га земли, это семена 100% высокой репродукции, где доля отечественных сортов семян составила 8%. </w:t>
      </w:r>
    </w:p>
    <w:p w14:paraId="1BD7CF78"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2019 году с целью сортообновления, сортообмена из Краснодара было завезено 380 т. элитных семян сортов риса Янтарь, Лидер, которые были распределены по хозяйствам Тан ЛТД, Тонкерис и на более 1500 гектарах земли.</w:t>
      </w:r>
    </w:p>
    <w:p w14:paraId="413EE9A3"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целях получения качественного урожая из посева использовано 55,8 тыс. т. минеральных удобрений и 63,6 тыс. литров гербицидов. В целом за последние 5 лет приобретено 1049 единиц новой сельскохозяйственной техники на сумму 25,5 млрд. тенге (в том числе через АО «КазАгроФинанс» 649 единиц на сумму 22,2 млрд. тенге и за счет собственных средств 400 единиц на сумму 3,3 млрд. тенге), машинно-тракторный парк обновлен на 23,7%. </w:t>
      </w:r>
    </w:p>
    <w:p w14:paraId="2595F12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результате рисоводы области за последние 6 лет добились рекордного урожая. В частности, с каждого гектара основной культуры было собрано 60,3 центнера риса (в 2018 году – 54,5 цн/га), всего собрано 530,5 тыс. т. риса. </w:t>
      </w:r>
    </w:p>
    <w:p w14:paraId="04511DF8"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2019 году впервые в области в 3-х хозяйствах посеяны на 50 га рациональные соевые культуры, результат оправдал надежды. В ближайшие годы планируется довести посевы сои до 500 га.</w:t>
      </w:r>
    </w:p>
    <w:p w14:paraId="36F75A6F"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За последние 3 года введено в эксплуатацию две откормочные площадки на 3000 голов  и два на 1500 голов. В настоящее время ведутся работы по откорму бычков в целях обеспечения на внутреннего и внешнего рынка мясопродуктами.</w:t>
      </w:r>
    </w:p>
    <w:p w14:paraId="4A5515A9"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соответствии с Программой по развитию мясного животноводства на 2018-2027 годы по области проведена племенная и селекционная работа по породному преобразованию, где из 163,9 тыс. голов маточного поголовья, было охвачено селекционной работой 56,1 тыс. голов.</w:t>
      </w:r>
    </w:p>
    <w:p w14:paraId="3D2CDD38"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Times New Roman" w:hAnsi="Times New Roman" w:cs="Times New Roman"/>
          <w:color w:val="000000" w:themeColor="text1"/>
        </w:rPr>
        <w:t xml:space="preserve">В 2018 - 2019 годы в рамках финансирования создано 15 племенных хозяйств-репродукторов мясного и молочного направления общей численностью 2249 голов. </w:t>
      </w:r>
      <w:r w:rsidRPr="00F0736F">
        <w:rPr>
          <w:rFonts w:ascii="Times New Roman" w:hAnsi="Times New Roman" w:cs="Times New Roman"/>
          <w:color w:val="000000" w:themeColor="text1"/>
        </w:rPr>
        <w:t>В целях повышения продуктивности мясной продукции региона на откормочные площадки реализовано 5244 головы бычков от маточного поголовья крупного рогатого скота, участвовавших в породном преобразовании.</w:t>
      </w:r>
    </w:p>
    <w:p w14:paraId="7D2F8B9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цифровизации агропромышленного комплекса в области проведена работа по внедрению элементов «точного земледелия» в отрасли земледелия и созданию «умных ферм» в отрасли животноводства. Согласно плану по разработке электронных карт пастбищных, сенокосных и многолетних насаждений в 2019 году в общей сложности 1,9 млн. га из них: пастбища - 1924 тыс. га, сенокос - 37,0 тыс. га, многолетние насаждения - 0,6 тыс. га).</w:t>
      </w:r>
    </w:p>
    <w:p w14:paraId="240B801E"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соответствии с заданием все районы составляют электронную карту (1425,4 тыс. га пастбищных - 74,1 %, 15,3 тыс. га сенокосов - 42,2%, многолетних насаждений - 24,6 %) и проводят разъяснительную работу среди сельхозтоваропроизводителей. </w:t>
      </w:r>
    </w:p>
    <w:p w14:paraId="683ECB66"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4C0DF35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Общая протяженность систем электроснабжения области составляет более 10 тыс. км линий электропередачи и 1837 подстанций различного напряжения, степень износа составляет 69%.</w:t>
      </w:r>
    </w:p>
    <w:p w14:paraId="4E3DA1BB"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За последние пять лет реконструированы подстанции «Арал», «Жанаказалы» мощностью 110/35/10 кВ в Аральском и Казалинском районах, подстанции «Тасбогет», «Арай», «Центр», «Шымбай», «Жанаарык», «Казандык» мощностью 35/10 кВ в городе Кызылорда. Кроме того, модернизированы пункт оперативного управления и трансформаторные блоки на ПС мощностью 35/10 кВ «Теренозек» в Сырдарьинской области.</w:t>
      </w:r>
    </w:p>
    <w:p w14:paraId="2D725B33"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2018 году были продолжены строительно-монтажные работы по электроснабжению левобережной части реки Сырдария в городе Кызылорда (1 очередь), на которые из областного бюджета выделено 650 млн. тенге. </w:t>
      </w:r>
    </w:p>
    <w:p w14:paraId="17218C52"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Завершены строительные работы по реконструкции систем электроснабжения в н.п. Акжарма Сырдарьинского района, на которые из областного бюджета выделено и освоено                 186,3 млн.тенге. Объект принят в эксплуатацию. </w:t>
      </w:r>
    </w:p>
    <w:p w14:paraId="7D10E2A1"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font4398" w:hAnsi="Times New Roman" w:cs="Times New Roman"/>
          <w:color w:val="000000" w:themeColor="text1"/>
          <w:lang w:val="kk-KZ" w:eastAsia="ru-RU"/>
        </w:rPr>
        <w:t>Получено положительное заключение вневедомственной экспертизы проектно-сметной документации по проектам «Расширение и реконструкция электрических сетей 6-10/0,4 кВ пос.Торетам и аульного округа Акай»,</w:t>
      </w:r>
      <w:r w:rsidRPr="00F0736F">
        <w:rPr>
          <w:rFonts w:ascii="Times New Roman" w:eastAsia="font4398" w:hAnsi="Times New Roman" w:cs="Times New Roman"/>
          <w:i/>
          <w:color w:val="000000" w:themeColor="text1"/>
          <w:lang w:val="kk-KZ" w:eastAsia="ru-RU"/>
        </w:rPr>
        <w:t xml:space="preserve"> «</w:t>
      </w:r>
      <w:r w:rsidRPr="00F0736F">
        <w:rPr>
          <w:rFonts w:ascii="Times New Roman" w:eastAsia="font4398" w:hAnsi="Times New Roman" w:cs="Times New Roman"/>
          <w:color w:val="000000" w:themeColor="text1"/>
          <w:lang w:val="kk-KZ" w:eastAsia="ru-RU"/>
        </w:rPr>
        <w:t xml:space="preserve">Реконструкция ПС-220/35/10 кВ в пос.Жосалы Кызылординской области», «Расширение и реконструкция ПС 35/10 кВ №22 пос.Торетам  Кармакшинского района». </w:t>
      </w:r>
    </w:p>
    <w:p w14:paraId="0BD32736"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Завершена разработка проектно-сметной документации по проектам «Реконструкция подстанции ПС 35/10кВ «ГМЗ» в городе Кызылорде», «Реконструкция подстанции ПС 35/10кВ «Силикатная» в городе Кызылорде», «Реконструкция подстанции ПС 35/10кВ «Комсомол» в городе Кызылорде», «Реконструкция подстанции ПС 35/10кВ «Залинейная» в городе Кызылорде», «Реконструкция подстанции ПС 35/10кВ «Промышленная» в городе Кызылорде». </w:t>
      </w:r>
    </w:p>
    <w:p w14:paraId="3E940BAC"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рамках сотрудничества с Европейским Банком Реконструкции и Развития реализуется проект общей стоимостью 5,2 млрд. тенге по модернизации электрических сетей в г. Кызылорде и Шиелийском районе. В соответствии с проектом, будет реконструировано 70 подстанций и более 300 км электрических линий. На сегодняшний день выполнено 80% запланированных работ. В результате потребители окраин города Кызылорды и кента Шиели будут снабжены бесперебойным и качественным электроснабжением. </w:t>
      </w:r>
    </w:p>
    <w:p w14:paraId="5090A325"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font4398" w:hAnsi="Times New Roman" w:cs="Times New Roman"/>
          <w:color w:val="000000" w:themeColor="text1"/>
          <w:lang w:val="kk-KZ" w:eastAsia="ru-RU"/>
        </w:rPr>
        <w:t xml:space="preserve">В области продолжаются работы по строительству </w:t>
      </w:r>
      <w:r w:rsidRPr="00F0736F">
        <w:rPr>
          <w:rFonts w:ascii="Times New Roman" w:eastAsia="font4398" w:hAnsi="Times New Roman" w:cs="Times New Roman"/>
          <w:b/>
          <w:color w:val="000000" w:themeColor="text1"/>
          <w:lang w:val="kk-KZ" w:eastAsia="ru-RU"/>
        </w:rPr>
        <w:t xml:space="preserve">возобновляемых </w:t>
      </w:r>
      <w:r w:rsidRPr="00F0736F">
        <w:rPr>
          <w:rFonts w:ascii="Times New Roman" w:eastAsia="font4398" w:hAnsi="Times New Roman" w:cs="Times New Roman"/>
          <w:color w:val="000000" w:themeColor="text1"/>
          <w:lang w:val="kk-KZ" w:eastAsia="ru-RU"/>
        </w:rPr>
        <w:t xml:space="preserve">источников энергии. </w:t>
      </w:r>
    </w:p>
    <w:p w14:paraId="57CF9E3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eastAsia="Times New Roman" w:hAnsi="Times New Roman" w:cs="Times New Roman"/>
          <w:color w:val="000000" w:themeColor="text1"/>
          <w:lang w:val="kk-KZ" w:eastAsia="ru-RU"/>
        </w:rPr>
      </w:pPr>
      <w:r w:rsidRPr="00F0736F">
        <w:rPr>
          <w:rFonts w:ascii="Times New Roman" w:eastAsia="Times New Roman" w:hAnsi="Times New Roman" w:cs="Times New Roman"/>
          <w:color w:val="000000" w:themeColor="text1"/>
          <w:lang w:val="kk-KZ" w:eastAsia="ru-RU"/>
        </w:rPr>
        <w:t>В 2019 году в Жалагашском и Шиелинском районах области введены в эксплуатацию две солнечные электростанции общей мощностью 78 МВт, построенные за счет средств инвесторов.</w:t>
      </w:r>
    </w:p>
    <w:p w14:paraId="52F6047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eastAsia="Times New Roman" w:hAnsi="Times New Roman" w:cs="Times New Roman"/>
          <w:color w:val="000000" w:themeColor="text1"/>
          <w:lang w:val="kk-KZ" w:eastAsia="ru-RU"/>
        </w:rPr>
      </w:pPr>
      <w:r w:rsidRPr="00F0736F">
        <w:rPr>
          <w:rFonts w:ascii="Times New Roman" w:eastAsia="Times New Roman" w:hAnsi="Times New Roman" w:cs="Times New Roman"/>
          <w:color w:val="000000" w:themeColor="text1"/>
          <w:lang w:val="kk-KZ" w:eastAsia="ru-RU"/>
        </w:rPr>
        <w:t>Инвестор АО «Гидроэнергетическая компания» намерено до конца 2020 года построить солнечную электростанцию мощностью 10 МВт в Жанакорганском районе стоимостью 3,2 млрд. тенге.</w:t>
      </w:r>
    </w:p>
    <w:p w14:paraId="43162A90"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font4398" w:hAnsi="Times New Roman" w:cs="Times New Roman"/>
          <w:color w:val="000000" w:themeColor="text1"/>
          <w:lang w:val="kk-KZ" w:eastAsia="ru-RU"/>
        </w:rPr>
        <w:t>Реализация вышеуказанных работ даст возможность стать энергонезависимым от внешних источников, а также поспособствует достижению поставленных целей, намеченных в Концепции «по переходу к зеленой экономике».</w:t>
      </w:r>
      <w:r w:rsidRPr="00F0736F">
        <w:rPr>
          <w:rFonts w:ascii="Times New Roman" w:eastAsia="font4398" w:hAnsi="Times New Roman" w:cs="Times New Roman"/>
          <w:color w:val="000000" w:themeColor="text1"/>
          <w:lang w:eastAsia="ru-RU"/>
        </w:rPr>
        <w:tab/>
      </w:r>
    </w:p>
    <w:p w14:paraId="446BAE4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font4398" w:hAnsi="Times New Roman" w:cs="Times New Roman"/>
          <w:color w:val="000000" w:themeColor="text1"/>
          <w:lang w:val="kk-KZ" w:eastAsia="ru-RU"/>
        </w:rPr>
        <w:t>З</w:t>
      </w:r>
      <w:r w:rsidRPr="00F0736F">
        <w:rPr>
          <w:rFonts w:ascii="Times New Roman" w:eastAsia="font4398" w:hAnsi="Times New Roman" w:cs="Times New Roman"/>
          <w:color w:val="000000" w:themeColor="text1"/>
          <w:lang w:eastAsia="ru-RU"/>
        </w:rPr>
        <w:t>апланирован</w:t>
      </w:r>
      <w:r w:rsidRPr="00F0736F">
        <w:rPr>
          <w:rFonts w:ascii="Times New Roman" w:eastAsia="font4398" w:hAnsi="Times New Roman" w:cs="Times New Roman"/>
          <w:color w:val="000000" w:themeColor="text1"/>
          <w:lang w:val="kk-KZ" w:eastAsia="ru-RU"/>
        </w:rPr>
        <w:t>ный</w:t>
      </w:r>
      <w:r w:rsidRPr="00F0736F">
        <w:rPr>
          <w:rFonts w:ascii="Times New Roman" w:eastAsia="font4398" w:hAnsi="Times New Roman" w:cs="Times New Roman"/>
          <w:color w:val="000000" w:themeColor="text1"/>
          <w:lang w:eastAsia="ru-RU"/>
        </w:rPr>
        <w:t xml:space="preserve"> </w:t>
      </w:r>
      <w:r w:rsidRPr="00F0736F">
        <w:rPr>
          <w:rFonts w:ascii="Times New Roman" w:eastAsia="font4398" w:hAnsi="Times New Roman" w:cs="Times New Roman"/>
          <w:color w:val="000000" w:themeColor="text1"/>
          <w:lang w:val="kk-KZ" w:eastAsia="ru-RU"/>
        </w:rPr>
        <w:t>на</w:t>
      </w:r>
      <w:r w:rsidRPr="00F0736F">
        <w:rPr>
          <w:rFonts w:ascii="Times New Roman" w:eastAsia="font4398" w:hAnsi="Times New Roman" w:cs="Times New Roman"/>
          <w:color w:val="000000" w:themeColor="text1"/>
          <w:lang w:eastAsia="ru-RU"/>
        </w:rPr>
        <w:t xml:space="preserve"> 2018 год</w:t>
      </w:r>
      <w:r w:rsidRPr="00F0736F">
        <w:rPr>
          <w:rFonts w:ascii="Times New Roman" w:eastAsia="font4398" w:hAnsi="Times New Roman" w:cs="Times New Roman"/>
          <w:color w:val="000000" w:themeColor="text1"/>
          <w:lang w:val="kk-KZ" w:eastAsia="ru-RU"/>
        </w:rPr>
        <w:t xml:space="preserve"> показатель «</w:t>
      </w:r>
      <w:r w:rsidRPr="00F0736F">
        <w:rPr>
          <w:rFonts w:ascii="Times New Roman" w:eastAsia="font4398" w:hAnsi="Times New Roman" w:cs="Times New Roman"/>
          <w:color w:val="000000" w:themeColor="text1"/>
          <w:lang w:eastAsia="ru-RU"/>
        </w:rPr>
        <w:t>доля вырабатываемой электроэнергии ВИЭ</w:t>
      </w:r>
      <w:r w:rsidRPr="00F0736F">
        <w:rPr>
          <w:rFonts w:ascii="Times New Roman" w:eastAsia="font4398" w:hAnsi="Times New Roman" w:cs="Times New Roman"/>
          <w:color w:val="000000" w:themeColor="text1"/>
          <w:lang w:val="kk-KZ" w:eastAsia="ru-RU"/>
        </w:rPr>
        <w:t xml:space="preserve"> в общем объеме вырабатываемой электроэнергии области»</w:t>
      </w:r>
      <w:r w:rsidRPr="00F0736F">
        <w:rPr>
          <w:rFonts w:ascii="Times New Roman" w:eastAsia="font4398" w:hAnsi="Times New Roman" w:cs="Times New Roman"/>
          <w:color w:val="000000" w:themeColor="text1"/>
          <w:lang w:eastAsia="ru-RU"/>
        </w:rPr>
        <w:t xml:space="preserve"> фактически достигнут</w:t>
      </w:r>
      <w:r w:rsidRPr="00F0736F">
        <w:rPr>
          <w:rFonts w:ascii="Times New Roman" w:eastAsia="font4398" w:hAnsi="Times New Roman" w:cs="Times New Roman"/>
          <w:color w:val="000000" w:themeColor="text1"/>
          <w:lang w:val="kk-KZ" w:eastAsia="ru-RU"/>
        </w:rPr>
        <w:t xml:space="preserve"> и составил</w:t>
      </w:r>
      <w:r w:rsidRPr="00F0736F">
        <w:rPr>
          <w:rFonts w:ascii="Times New Roman" w:eastAsia="font4398" w:hAnsi="Times New Roman" w:cs="Times New Roman"/>
          <w:color w:val="000000" w:themeColor="text1"/>
          <w:lang w:eastAsia="ru-RU"/>
        </w:rPr>
        <w:t xml:space="preserve"> 0,07%</w:t>
      </w:r>
      <w:r w:rsidRPr="00F0736F">
        <w:rPr>
          <w:rFonts w:ascii="Times New Roman" w:eastAsia="font4398" w:hAnsi="Times New Roman" w:cs="Times New Roman"/>
          <w:color w:val="000000" w:themeColor="text1"/>
          <w:lang w:val="kk-KZ" w:eastAsia="ru-RU"/>
        </w:rPr>
        <w:t xml:space="preserve">. </w:t>
      </w:r>
    </w:p>
    <w:p w14:paraId="7209BD12"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b/>
          <w:bCs/>
          <w:color w:val="000000" w:themeColor="text1"/>
        </w:rPr>
        <w:t xml:space="preserve">По теплоснабжению. </w:t>
      </w:r>
      <w:r w:rsidRPr="00F0736F">
        <w:rPr>
          <w:rFonts w:ascii="Times New Roman" w:hAnsi="Times New Roman" w:cs="Times New Roman"/>
          <w:color w:val="000000" w:themeColor="text1"/>
        </w:rPr>
        <w:t>В 2017 - 2019 годах в</w:t>
      </w:r>
      <w:r w:rsidRPr="00F0736F">
        <w:rPr>
          <w:rFonts w:ascii="Times New Roman" w:eastAsia="Arial Unicode MS" w:hAnsi="Times New Roman" w:cs="Times New Roman"/>
          <w:color w:val="000000" w:themeColor="text1"/>
          <w:lang w:eastAsia="ru-RU"/>
        </w:rPr>
        <w:t xml:space="preserve"> рамках государственной программы «Нұрлы</w:t>
      </w:r>
      <w:r w:rsidRPr="00F0736F">
        <w:rPr>
          <w:rFonts w:ascii="Times New Roman" w:eastAsia="Arial Unicode MS" w:hAnsi="Times New Roman" w:cs="Times New Roman"/>
          <w:color w:val="000000" w:themeColor="text1"/>
          <w:lang w:val="kk-KZ" w:eastAsia="ru-RU"/>
        </w:rPr>
        <w:t xml:space="preserve"> </w:t>
      </w:r>
      <w:r w:rsidRPr="00F0736F">
        <w:rPr>
          <w:rFonts w:ascii="Times New Roman" w:eastAsia="Arial Unicode MS" w:hAnsi="Times New Roman" w:cs="Times New Roman"/>
          <w:color w:val="000000" w:themeColor="text1"/>
          <w:lang w:eastAsia="ru-RU"/>
        </w:rPr>
        <w:t xml:space="preserve">жол» из Национального фонда для реконструкции систем теплоснабжения города Кызылорды выделено 2,2 млрд. тенге, реконструировано 7046 метров систем теплоснабжения. </w:t>
      </w:r>
      <w:r w:rsidRPr="00F0736F">
        <w:rPr>
          <w:color w:val="000000" w:themeColor="text1"/>
        </w:rPr>
        <w:t xml:space="preserve">Завершены строительно-монтажные работы по реконструкции котельной «Белкол» ГП «КТЭО» в г. Кызылорда, объекты введены в эксплуатацию. </w:t>
      </w:r>
      <w:r w:rsidRPr="00F0736F">
        <w:rPr>
          <w:rFonts w:ascii="Times New Roman" w:eastAsia="Arial Unicode MS" w:hAnsi="Times New Roman" w:cs="Times New Roman"/>
          <w:color w:val="000000" w:themeColor="text1"/>
          <w:lang w:eastAsia="ru-RU"/>
        </w:rPr>
        <w:t xml:space="preserve">В результате, 1335 жителей и 3 социальных объекта обеспечены бесперебойным и качественным теплоснабжением. </w:t>
      </w:r>
    </w:p>
    <w:p w14:paraId="7AA74F3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2019 году в рамках государственно-частного партнерства котельные 4 социальных объектов Аральского и 9 объектов Шиелийского районов переведены на газовое отопление, на сегодняшний день ведутся работы по сервисному обслуживанию. В результате, при переводе 13 социальных объектов на газовое отопление, объем средств, выделяемых на топливо, уменьшится в 3-4 раза. </w:t>
      </w:r>
    </w:p>
    <w:p w14:paraId="7F974F4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2019 году общая протяженность тепловых сетей в области составила 204,5 км, из них ветхие — 39,2 км (16,1%), нуждаются в замене — 38,5 км (15,8%), заменено 6,8 км.</w:t>
      </w:r>
    </w:p>
    <w:p w14:paraId="6AC9C763"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b/>
          <w:color w:val="000000" w:themeColor="text1"/>
        </w:rPr>
        <w:t>Газоснабжение</w:t>
      </w:r>
      <w:r w:rsidRPr="00F0736F">
        <w:rPr>
          <w:rFonts w:ascii="Times New Roman" w:hAnsi="Times New Roman" w:cs="Times New Roman"/>
          <w:color w:val="000000" w:themeColor="text1"/>
        </w:rPr>
        <w:t xml:space="preserve"> районных центров и населенных пунктов Кызылординской области реализуется через специально предусмотренные отводы магистрального газопровода «Бейнеу-Бозой-Шымкент».</w:t>
      </w:r>
    </w:p>
    <w:p w14:paraId="59F30465"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В 2015 году за счет средств республиканского и областного бюджетов были полностью газифицированы селао Тасбогет и Кызылжарма Кызылорды, а также в рамках инвестиционной программы АО «КазТрансГаз Аймак» газифицированы 4 районных центра (Арал, Айтеке би, Шиели, Жанакорган) и город Байконур.</w:t>
      </w:r>
    </w:p>
    <w:p w14:paraId="5AFC720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strike/>
          <w:color w:val="000000" w:themeColor="text1"/>
          <w:lang w:val="kk-KZ"/>
        </w:rPr>
      </w:pPr>
      <w:r w:rsidRPr="00F0736F">
        <w:rPr>
          <w:rFonts w:ascii="Times New Roman" w:hAnsi="Times New Roman" w:cs="Times New Roman"/>
          <w:color w:val="000000" w:themeColor="text1"/>
        </w:rPr>
        <w:t xml:space="preserve">В указанных населенных пунктах насчитывается 25 </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03 жилых дома, из них более </w:t>
      </w:r>
      <w:r w:rsidRPr="00F0736F">
        <w:rPr>
          <w:rFonts w:ascii="Times New Roman" w:hAnsi="Times New Roman" w:cs="Times New Roman"/>
          <w:color w:val="000000" w:themeColor="text1"/>
          <w:lang w:val="kk-KZ"/>
        </w:rPr>
        <w:t>21</w:t>
      </w:r>
      <w:r w:rsidRPr="00F0736F">
        <w:rPr>
          <w:rFonts w:ascii="Times New Roman" w:hAnsi="Times New Roman" w:cs="Times New Roman"/>
          <w:color w:val="000000" w:themeColor="text1"/>
        </w:rPr>
        <w:t xml:space="preserve"> тыс. на сегодняшний день пользуются голубым топливом.</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В 2018-2019 годах на основе государственно-частного партнерства произведена замена котлов на газ на 13 дополнительных объектах социальной сферы. В результате расходы бюджета на отопление социальных объектов сократятся в 4-5 раз.</w:t>
      </w:r>
    </w:p>
    <w:p w14:paraId="21AF607E"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2017-2019 годах для обеспечения газом 3 районных центров (Жосалы, Жалагаш, Теренозек) в поселках Жосалы и Теренозек от магистрального газопровода «Бейнеу-Шымкент» проложены газопроводы, установлена автоматизированная газораспределительная станция. Стоимость проекта составляет 3,6 млрд. тенге</w:t>
      </w:r>
    </w:p>
    <w:p w14:paraId="6015957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Кроме того, в 2018-2019 годах разработаны проекты газификации поселков Наурыз и Махамбет, города Кызылорда, города Казалы Казалинского района, села Жалагаш Жалагашского района.</w:t>
      </w:r>
    </w:p>
    <w:p w14:paraId="3713F250"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были запущены проекты внутриквартальной газификации в остальных 3 райцентрах области (Жосалы, Жалагаш, Теренозек). На эти цели из республиканского и областного бюджетов было выделено 3,2 млрд. тенге. Проекты переходные до 2020 года.</w:t>
      </w:r>
    </w:p>
    <w:p w14:paraId="1343B91D"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2019 года уровень газификации населения составил 63%.</w:t>
      </w:r>
    </w:p>
    <w:p w14:paraId="28213D0B"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eastAsia="Arial Unicode MS" w:hAnsi="Times New Roman" w:cs="Times New Roman"/>
          <w:color w:val="000000" w:themeColor="text1"/>
          <w:lang w:eastAsia="ru-RU"/>
        </w:rPr>
        <w:t>В 2018 году завершен</w:t>
      </w:r>
      <w:r w:rsidRPr="00F0736F">
        <w:rPr>
          <w:rFonts w:ascii="Times New Roman" w:eastAsia="Arial Unicode MS" w:hAnsi="Times New Roman" w:cs="Times New Roman"/>
          <w:color w:val="000000" w:themeColor="text1"/>
          <w:lang w:val="kk-KZ" w:eastAsia="ru-RU"/>
        </w:rPr>
        <w:t>а</w:t>
      </w:r>
      <w:r w:rsidRPr="00F0736F">
        <w:rPr>
          <w:rFonts w:ascii="Times New Roman" w:eastAsia="Arial Unicode MS" w:hAnsi="Times New Roman" w:cs="Times New Roman"/>
          <w:color w:val="000000" w:themeColor="text1"/>
          <w:lang w:eastAsia="ru-RU"/>
        </w:rPr>
        <w:t xml:space="preserve"> реконструкция и переоборудование на газовое топливо котельных 5 объектов: 2 объектов здравоохранения пос. Шиели, 1 объекта Жанакорганской центральной районной больницы, филиала ОМЦ города Байконур и средней школы №83 Аральского района, а по объекту Казалинского родильного дома приемка объекта осуществлена в 2020 году. </w:t>
      </w:r>
    </w:p>
    <w:p w14:paraId="1E2F889E"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В Кызылординской области в 2016 году утвержден Комплексный план </w:t>
      </w:r>
      <w:r w:rsidRPr="00F0736F">
        <w:rPr>
          <w:rFonts w:ascii="Times New Roman" w:hAnsi="Times New Roman" w:cs="Times New Roman"/>
          <w:b/>
          <w:color w:val="000000" w:themeColor="text1"/>
        </w:rPr>
        <w:t>по экономии электроэнергии</w:t>
      </w:r>
      <w:r w:rsidRPr="00F0736F">
        <w:rPr>
          <w:rFonts w:ascii="Times New Roman" w:hAnsi="Times New Roman" w:cs="Times New Roman"/>
          <w:color w:val="000000" w:themeColor="text1"/>
        </w:rPr>
        <w:t xml:space="preserve"> на 2016 - 2020 годы. </w:t>
      </w:r>
    </w:p>
    <w:p w14:paraId="2098E307"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В настоящее время в области 30% улиц с уличным освещением заменены на светодиодные лампочки, что позволит сэкономить 12% электроэнергии.</w:t>
      </w:r>
    </w:p>
    <w:p w14:paraId="244A3DEA" w14:textId="77777777" w:rsidR="00AC1D5B" w:rsidRPr="00F0736F" w:rsidRDefault="00AC1D5B" w:rsidP="00AC1D5B">
      <w:pPr>
        <w:pBdr>
          <w:top w:val="none" w:sz="0" w:space="0" w:color="000000"/>
          <w:left w:val="none" w:sz="0" w:space="0" w:color="000000"/>
          <w:bottom w:val="single" w:sz="4" w:space="2" w:color="FFFFFF"/>
          <w:right w:val="none" w:sz="0" w:space="0" w:color="000000"/>
        </w:pBdr>
        <w:ind w:firstLine="709"/>
        <w:contextualSpacing/>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4F360097"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В настоящее время в Кызылординской области 233 населенных пункта, из которых 3 - городских (Кызылорда, Арал, Казалы) и 230 - сельских (РС). Общая численность населения составляет 809,2 тыс. человек (в том числе Байконур - 39 498 человек).</w:t>
      </w:r>
    </w:p>
    <w:p w14:paraId="65C17EBD"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322 тыс. человек проживают в 3-х городских поселениях, в том числе Кызылорда (282,8 тыс. человек), Арал (33,7 тыс. человек), Казалы (5,5 тыс. человек). Доля подключения к централизованному водоснабжению составляет 315,6 тыс. человек, или 98%.</w:t>
      </w:r>
    </w:p>
    <w:p w14:paraId="4B28095A"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Обеспечение питьевой водой в 96 на</w:t>
      </w:r>
      <w:r w:rsidRPr="00F0736F">
        <w:rPr>
          <w:rFonts w:ascii="Times New Roman" w:hAnsi="Times New Roman" w:cs="Times New Roman"/>
          <w:color w:val="000000" w:themeColor="text1"/>
          <w:lang w:val="kk-KZ"/>
        </w:rPr>
        <w:t>с</w:t>
      </w:r>
      <w:r w:rsidRPr="00F0736F">
        <w:rPr>
          <w:rFonts w:ascii="Times New Roman" w:hAnsi="Times New Roman" w:cs="Times New Roman"/>
          <w:color w:val="000000" w:themeColor="text1"/>
        </w:rPr>
        <w:t>е</w:t>
      </w:r>
      <w:r w:rsidRPr="00F0736F">
        <w:rPr>
          <w:rFonts w:ascii="Times New Roman" w:hAnsi="Times New Roman" w:cs="Times New Roman"/>
          <w:color w:val="000000" w:themeColor="text1"/>
          <w:lang w:val="kk-KZ"/>
        </w:rPr>
        <w:t>ленны</w:t>
      </w:r>
      <w:r w:rsidRPr="00F0736F">
        <w:rPr>
          <w:rFonts w:ascii="Times New Roman" w:hAnsi="Times New Roman" w:cs="Times New Roman"/>
          <w:color w:val="000000" w:themeColor="text1"/>
        </w:rPr>
        <w:t>х пунктах области с населением 234</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8</w:t>
      </w:r>
      <w:r w:rsidRPr="00F0736F">
        <w:rPr>
          <w:rFonts w:ascii="Times New Roman" w:hAnsi="Times New Roman" w:cs="Times New Roman"/>
          <w:color w:val="000000" w:themeColor="text1"/>
          <w:lang w:val="kk-KZ"/>
        </w:rPr>
        <w:t xml:space="preserve"> тыс.</w:t>
      </w:r>
      <w:r w:rsidRPr="00F0736F">
        <w:rPr>
          <w:rFonts w:ascii="Times New Roman" w:hAnsi="Times New Roman" w:cs="Times New Roman"/>
          <w:color w:val="000000" w:themeColor="text1"/>
        </w:rPr>
        <w:t xml:space="preserve"> человек</w:t>
      </w:r>
      <w:r w:rsidRPr="00F0736F">
        <w:rPr>
          <w:rFonts w:ascii="Times New Roman" w:hAnsi="Times New Roman" w:cs="Times New Roman"/>
          <w:color w:val="000000" w:themeColor="text1"/>
          <w:lang w:val="kk-KZ"/>
        </w:rPr>
        <w:t xml:space="preserve"> осуществляется тремя групповыми водопроводами: Арало-Сарыбулакским, Октябрьским и Жиделинским:</w:t>
      </w:r>
    </w:p>
    <w:p w14:paraId="59FBA2BA"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по Аральскому району 42 населенных пункта;</w:t>
      </w:r>
    </w:p>
    <w:p w14:paraId="259E9C07"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по Казалинскому району 22 населенных пункта;</w:t>
      </w:r>
    </w:p>
    <w:p w14:paraId="50D485F1"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по Кармакшинскому району 5 населенных пунктов;</w:t>
      </w:r>
    </w:p>
    <w:p w14:paraId="042360BF"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по Шиелийскому району 19 населенных пунктов;</w:t>
      </w:r>
    </w:p>
    <w:p w14:paraId="5C432BF8"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по Жанакорганскому району 8 населенных пунктов.</w:t>
      </w:r>
    </w:p>
    <w:p w14:paraId="17FAA5DC"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iCs/>
          <w:color w:val="000000" w:themeColor="text1"/>
        </w:rPr>
      </w:pPr>
      <w:r w:rsidRPr="00F0736F">
        <w:rPr>
          <w:rFonts w:ascii="Times New Roman" w:hAnsi="Times New Roman" w:cs="Times New Roman"/>
          <w:color w:val="000000" w:themeColor="text1"/>
        </w:rPr>
        <w:t xml:space="preserve">Из 230 сельских населенных пунктов (численность </w:t>
      </w:r>
      <w:r w:rsidRPr="00F0736F">
        <w:rPr>
          <w:rFonts w:ascii="Times New Roman" w:hAnsi="Times New Roman" w:cs="Times New Roman"/>
          <w:iCs/>
          <w:color w:val="000000" w:themeColor="text1"/>
        </w:rPr>
        <w:t>населения 447,8 тыс. человек):</w:t>
      </w:r>
    </w:p>
    <w:p w14:paraId="05B99775"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iCs/>
          <w:color w:val="000000" w:themeColor="text1"/>
        </w:rPr>
      </w:pPr>
      <w:r w:rsidRPr="00F0736F">
        <w:rPr>
          <w:rFonts w:ascii="Times New Roman" w:hAnsi="Times New Roman" w:cs="Times New Roman"/>
          <w:iCs/>
          <w:color w:val="000000" w:themeColor="text1"/>
        </w:rPr>
        <w:t>- 193, или 84%, 435,7 тыс. человек, или 97,1% населения подключены к централизованной системе водоснабжения;</w:t>
      </w:r>
    </w:p>
    <w:p w14:paraId="3BF40F43"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iCs/>
          <w:color w:val="000000" w:themeColor="text1"/>
        </w:rPr>
      </w:pPr>
      <w:r w:rsidRPr="00F0736F">
        <w:rPr>
          <w:rFonts w:ascii="Times New Roman" w:hAnsi="Times New Roman" w:cs="Times New Roman"/>
          <w:iCs/>
          <w:color w:val="000000" w:themeColor="text1"/>
        </w:rPr>
        <w:t>- 37, или 16%, 12,1 тыс. человек, или 2,9% населения децентрализованы.</w:t>
      </w:r>
    </w:p>
    <w:p w14:paraId="1CFA5A2E"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iCs/>
          <w:color w:val="000000" w:themeColor="text1"/>
        </w:rPr>
      </w:pPr>
      <w:r w:rsidRPr="00F0736F">
        <w:rPr>
          <w:rFonts w:ascii="Times New Roman" w:hAnsi="Times New Roman" w:cs="Times New Roman"/>
          <w:iCs/>
          <w:color w:val="000000" w:themeColor="text1"/>
        </w:rPr>
        <w:t>Доля подключения к централизованной канализации:</w:t>
      </w:r>
    </w:p>
    <w:p w14:paraId="4B624C36" w14:textId="77777777" w:rsidR="00AC1D5B" w:rsidRPr="00F0736F" w:rsidRDefault="00AC1D5B" w:rsidP="00AC1D5B">
      <w:pPr>
        <w:pBdr>
          <w:top w:val="none" w:sz="0" w:space="0" w:color="000000"/>
          <w:left w:val="none" w:sz="0" w:space="0" w:color="000000"/>
          <w:bottom w:val="single" w:sz="4" w:space="30" w:color="FFFFFF"/>
          <w:right w:val="none" w:sz="0" w:space="0" w:color="000000"/>
        </w:pBdr>
        <w:ind w:firstLine="709"/>
        <w:contextualSpacing/>
        <w:jc w:val="both"/>
        <w:rPr>
          <w:rFonts w:ascii="Times New Roman" w:hAnsi="Times New Roman" w:cs="Times New Roman"/>
          <w:iCs/>
          <w:color w:val="000000" w:themeColor="text1"/>
        </w:rPr>
      </w:pPr>
      <w:r w:rsidRPr="00F0736F">
        <w:rPr>
          <w:rFonts w:ascii="Times New Roman" w:hAnsi="Times New Roman" w:cs="Times New Roman"/>
          <w:iCs/>
          <w:color w:val="000000" w:themeColor="text1"/>
        </w:rPr>
        <w:t>152 726 человек, или 54% в городе Кызылорда;</w:t>
      </w:r>
    </w:p>
    <w:p w14:paraId="1512819F"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в сельской местности - 3 районных центра (Теренозек, Шиели, Айтеке би), 0,4% населения (в том числе 1644 человека).</w:t>
      </w:r>
    </w:p>
    <w:p w14:paraId="0203679D"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В рамках Программы развития регионов до 2020 года, «Нурлы жол» из областного</w:t>
      </w:r>
      <w:r w:rsidRPr="00F0736F">
        <w:rPr>
          <w:rFonts w:ascii="Times New Roman" w:hAnsi="Times New Roman" w:cs="Times New Roman"/>
          <w:color w:val="000000" w:themeColor="text1"/>
        </w:rPr>
        <w:t xml:space="preserve"> бюджета на питьевое водоснабжение в 2018-2019 годы на 34 проекта выделено 10 750,8 млн. тенге. В результате модернизировано 620,3 км водопровода и 19,1 км канализации. В том числе</w:t>
      </w:r>
      <w:r w:rsidRPr="00F0736F">
        <w:rPr>
          <w:rFonts w:ascii="Times New Roman" w:hAnsi="Times New Roman" w:cs="Times New Roman"/>
          <w:color w:val="000000" w:themeColor="text1"/>
          <w:lang w:val="kk-KZ"/>
        </w:rPr>
        <w:t>:</w:t>
      </w:r>
    </w:p>
    <w:p w14:paraId="57AAA403"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 в 2018 году выделено 3 456,5 млн. тенге на 21 проект (Кызылорда - 17 проектов, Казалинский</w:t>
      </w:r>
      <w:r w:rsidRPr="00F0736F">
        <w:rPr>
          <w:rFonts w:ascii="Times New Roman" w:hAnsi="Times New Roman" w:cs="Times New Roman"/>
          <w:color w:val="000000" w:themeColor="text1"/>
        </w:rPr>
        <w:t xml:space="preserve"> район - 1, Жалагашский район - 2, Сырдарьинский район - 1), модернизировано 99,9 км </w:t>
      </w:r>
      <w:r w:rsidRPr="00F0736F">
        <w:rPr>
          <w:rFonts w:ascii="Times New Roman" w:hAnsi="Times New Roman" w:cs="Times New Roman"/>
          <w:color w:val="000000" w:themeColor="text1"/>
          <w:lang w:val="kk-KZ"/>
        </w:rPr>
        <w:t>сетей питьевого водоснабжения и 16,6 км канализационных сетей;</w:t>
      </w:r>
    </w:p>
    <w:p w14:paraId="4862E6DA"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 в</w:t>
      </w:r>
      <w:r w:rsidRPr="00F0736F">
        <w:rPr>
          <w:rFonts w:ascii="Times New Roman" w:eastAsia="Calibri" w:hAnsi="Times New Roman" w:cs="Times New Roman"/>
          <w:color w:val="000000" w:themeColor="text1"/>
        </w:rPr>
        <w:t xml:space="preserve"> 2019 году выделено 7 294,3 млн. тенге на 13 проектов (Кызылорда - Бирказан, Досан, Караултобе, Наурыз, Сабалак и др., Улицы Коркыт Ата, Есенов, Аральский район - Саксаул, Казалинский район - Туктибаев, Жалагашский район - Жанадарьинская, Аккырская, </w:t>
      </w:r>
      <w:r w:rsidRPr="00F0736F">
        <w:rPr>
          <w:rFonts w:ascii="Times New Roman" w:hAnsi="Times New Roman" w:cs="Times New Roman"/>
          <w:color w:val="000000" w:themeColor="text1"/>
          <w:lang w:val="kk-KZ"/>
        </w:rPr>
        <w:t>Макпалкольская, Жанакорганская - 1) модернизировано 520,4 км сетей питьевого водоснабжения и 2,5 км канализационных сетей.</w:t>
      </w:r>
    </w:p>
    <w:p w14:paraId="153F08EC" w14:textId="77777777" w:rsidR="00AC1D5B" w:rsidRPr="00F0736F" w:rsidRDefault="00AC1D5B" w:rsidP="00AC1D5B">
      <w:pPr>
        <w:pBdr>
          <w:bottom w:val="single" w:sz="4" w:space="7" w:color="FFFFFF"/>
        </w:pBdr>
        <w:ind w:firstLine="709"/>
        <w:jc w:val="both"/>
        <w:rPr>
          <w:rFonts w:ascii="Times New Roman" w:hAnsi="Times New Roman" w:cs="Times New Roman"/>
          <w:b/>
          <w:bCs/>
          <w:i/>
          <w:iCs/>
          <w:color w:val="000000" w:themeColor="text1"/>
          <w:lang w:val="kk-KZ"/>
        </w:rPr>
      </w:pPr>
      <w:r w:rsidRPr="00F0736F">
        <w:rPr>
          <w:rFonts w:ascii="Times New Roman" w:hAnsi="Times New Roman" w:cs="Times New Roman"/>
          <w:b/>
          <w:bCs/>
          <w:i/>
          <w:iCs/>
          <w:color w:val="000000" w:themeColor="text1"/>
          <w:lang w:val="kk-KZ"/>
        </w:rPr>
        <w:t>Состояние окружающей среды, сокращение объемов загрязнения воздуха и воды.</w:t>
      </w:r>
    </w:p>
    <w:p w14:paraId="2E460367"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 xml:space="preserve">За 2017 — 2019 годы, по данным стационарной сети наблюдений, уровень загрязнения атмосферного воздуха города Кызылорда оценивался как низкий-повышенный. ИЗА составляет 3-4 (низкий и повышенный уровень), СИ = 2–4,9 (повышенный уровень) и НП = 0-1% (повышенный уровень).  Уровень загрязнения атмосферного воздуха города Акай оценивался как низкий. ИЗА составляет 2-4, СИ = 1-2, НП = 0-1%.  Атмосферный воздух поселка Торетам характеризуется низким уровнем загрязнения. ИЗА составляет 1. СИ равным 1 и НП = 0%.  </w:t>
      </w:r>
    </w:p>
    <w:p w14:paraId="4EFD4CB3" w14:textId="77777777" w:rsidR="00AC1D5B" w:rsidRPr="00F0736F" w:rsidRDefault="00AC1D5B" w:rsidP="00AC1D5B">
      <w:pPr>
        <w:pBdr>
          <w:bottom w:val="single" w:sz="4" w:space="7"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По состоянию на начало 2020 года в Кызылординской области числится 129 предприятий I категории, из них: 80% выбросов загрязняющих веществ приходится на предприятия нефтегазового сектора, 15% - теплоэнергетического, 5% иные предприятия. Нормативные и фактические</w:t>
      </w:r>
      <w:r w:rsidRPr="00F0736F">
        <w:rPr>
          <w:rFonts w:ascii="Times New Roman" w:hAnsi="Times New Roman" w:cs="Times New Roman"/>
          <w:color w:val="000000" w:themeColor="text1"/>
        </w:rPr>
        <w:t xml:space="preserve"> эмиссии представлены в таблице 2.10.1</w:t>
      </w:r>
    </w:p>
    <w:p w14:paraId="66745767" w14:textId="77777777" w:rsidR="00AC1D5B" w:rsidRPr="00F0736F" w:rsidRDefault="00AC1D5B" w:rsidP="00AC1D5B">
      <w:pPr>
        <w:pBdr>
          <w:bottom w:val="single" w:sz="4" w:space="30" w:color="FFFFFF"/>
        </w:pBdr>
        <w:ind w:firstLine="709"/>
        <w:jc w:val="both"/>
        <w:rPr>
          <w:rFonts w:ascii="Times New Roman" w:hAnsi="Times New Roman" w:cs="Times New Roman"/>
          <w:color w:val="000000" w:themeColor="text1"/>
        </w:rPr>
      </w:pPr>
    </w:p>
    <w:p w14:paraId="1849E53C" w14:textId="77777777" w:rsidR="00AC1D5B" w:rsidRPr="00F0736F" w:rsidRDefault="00AC1D5B" w:rsidP="00AC1D5B">
      <w:pPr>
        <w:pBdr>
          <w:bottom w:val="single" w:sz="4" w:space="30"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Таблица 2.10.1. Динамика по разрешенным и фактическим эмиссиям </w:t>
      </w:r>
    </w:p>
    <w:tbl>
      <w:tblPr>
        <w:tblW w:w="9783" w:type="dxa"/>
        <w:tblInd w:w="108" w:type="dxa"/>
        <w:tblLayout w:type="fixed"/>
        <w:tblLook w:val="0000" w:firstRow="0" w:lastRow="0" w:firstColumn="0" w:lastColumn="0" w:noHBand="0" w:noVBand="0"/>
      </w:tblPr>
      <w:tblGrid>
        <w:gridCol w:w="1985"/>
        <w:gridCol w:w="1350"/>
        <w:gridCol w:w="1305"/>
        <w:gridCol w:w="1272"/>
        <w:gridCol w:w="1242"/>
        <w:gridCol w:w="1353"/>
        <w:gridCol w:w="1276"/>
      </w:tblGrid>
      <w:tr w:rsidR="00F0736F" w:rsidRPr="00F0736F" w14:paraId="317223E4" w14:textId="77777777" w:rsidTr="000B2B8A">
        <w:tc>
          <w:tcPr>
            <w:tcW w:w="1985" w:type="dxa"/>
            <w:vMerge w:val="restart"/>
            <w:tcBorders>
              <w:top w:val="single" w:sz="4" w:space="0" w:color="000000"/>
              <w:left w:val="single" w:sz="4" w:space="0" w:color="000000"/>
              <w:bottom w:val="single" w:sz="4" w:space="0" w:color="000000"/>
            </w:tcBorders>
            <w:shd w:val="clear" w:color="auto" w:fill="auto"/>
          </w:tcPr>
          <w:p w14:paraId="65EBE7F7"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Виды эмиссий</w:t>
            </w:r>
          </w:p>
        </w:tc>
        <w:tc>
          <w:tcPr>
            <w:tcW w:w="2655" w:type="dxa"/>
            <w:gridSpan w:val="2"/>
            <w:tcBorders>
              <w:top w:val="single" w:sz="4" w:space="0" w:color="000000"/>
              <w:left w:val="single" w:sz="4" w:space="0" w:color="000000"/>
              <w:bottom w:val="single" w:sz="4" w:space="0" w:color="000000"/>
            </w:tcBorders>
            <w:shd w:val="clear" w:color="auto" w:fill="auto"/>
          </w:tcPr>
          <w:p w14:paraId="262EDF46"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2017 год</w:t>
            </w:r>
          </w:p>
        </w:tc>
        <w:tc>
          <w:tcPr>
            <w:tcW w:w="2514" w:type="dxa"/>
            <w:gridSpan w:val="2"/>
            <w:tcBorders>
              <w:top w:val="single" w:sz="4" w:space="0" w:color="000000"/>
              <w:left w:val="single" w:sz="4" w:space="0" w:color="000000"/>
              <w:bottom w:val="single" w:sz="4" w:space="0" w:color="000000"/>
            </w:tcBorders>
            <w:shd w:val="clear" w:color="auto" w:fill="auto"/>
          </w:tcPr>
          <w:p w14:paraId="6F385386"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2018 год</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auto"/>
          </w:tcPr>
          <w:p w14:paraId="5EE92660"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2019 год</w:t>
            </w:r>
          </w:p>
        </w:tc>
      </w:tr>
      <w:tr w:rsidR="00F0736F" w:rsidRPr="00F0736F" w14:paraId="7D8335C1" w14:textId="77777777" w:rsidTr="000B2B8A">
        <w:tc>
          <w:tcPr>
            <w:tcW w:w="1985" w:type="dxa"/>
            <w:vMerge/>
            <w:tcBorders>
              <w:top w:val="single" w:sz="4" w:space="0" w:color="000000"/>
              <w:left w:val="single" w:sz="4" w:space="0" w:color="000000"/>
              <w:bottom w:val="single" w:sz="4" w:space="0" w:color="000000"/>
            </w:tcBorders>
            <w:shd w:val="clear" w:color="auto" w:fill="auto"/>
          </w:tcPr>
          <w:p w14:paraId="02D7B4B4" w14:textId="77777777" w:rsidR="00AC1D5B" w:rsidRPr="00F0736F" w:rsidRDefault="00AC1D5B" w:rsidP="00AC1D5B">
            <w:pPr>
              <w:shd w:val="clear" w:color="auto" w:fill="FFFFFF"/>
              <w:overflowPunct/>
              <w:snapToGrid w:val="0"/>
              <w:ind w:firstLine="34"/>
              <w:jc w:val="center"/>
              <w:rPr>
                <w:rFonts w:ascii="Times New Roman" w:eastAsia="Tahoma" w:hAnsi="Times New Roman" w:cs="Times New Roman"/>
                <w:color w:val="000000" w:themeColor="text1"/>
                <w:sz w:val="20"/>
                <w:szCs w:val="20"/>
              </w:rPr>
            </w:pPr>
          </w:p>
        </w:tc>
        <w:tc>
          <w:tcPr>
            <w:tcW w:w="1350" w:type="dxa"/>
            <w:tcBorders>
              <w:left w:val="single" w:sz="4" w:space="0" w:color="000000"/>
              <w:bottom w:val="single" w:sz="4" w:space="0" w:color="000000"/>
            </w:tcBorders>
            <w:shd w:val="clear" w:color="auto" w:fill="auto"/>
          </w:tcPr>
          <w:p w14:paraId="283C0CD2"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лимит</w:t>
            </w:r>
          </w:p>
        </w:tc>
        <w:tc>
          <w:tcPr>
            <w:tcW w:w="1305" w:type="dxa"/>
            <w:tcBorders>
              <w:left w:val="single" w:sz="4" w:space="0" w:color="000000"/>
              <w:bottom w:val="single" w:sz="4" w:space="0" w:color="000000"/>
            </w:tcBorders>
            <w:shd w:val="clear" w:color="auto" w:fill="auto"/>
          </w:tcPr>
          <w:p w14:paraId="22C4AD4F"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w:t>
            </w:r>
          </w:p>
        </w:tc>
        <w:tc>
          <w:tcPr>
            <w:tcW w:w="1272" w:type="dxa"/>
            <w:tcBorders>
              <w:left w:val="single" w:sz="4" w:space="0" w:color="000000"/>
              <w:bottom w:val="single" w:sz="4" w:space="0" w:color="000000"/>
            </w:tcBorders>
            <w:shd w:val="clear" w:color="auto" w:fill="auto"/>
          </w:tcPr>
          <w:p w14:paraId="6E397215"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лимит</w:t>
            </w:r>
          </w:p>
        </w:tc>
        <w:tc>
          <w:tcPr>
            <w:tcW w:w="1242" w:type="dxa"/>
            <w:tcBorders>
              <w:left w:val="single" w:sz="4" w:space="0" w:color="000000"/>
              <w:bottom w:val="single" w:sz="4" w:space="0" w:color="000000"/>
            </w:tcBorders>
            <w:shd w:val="clear" w:color="auto" w:fill="auto"/>
          </w:tcPr>
          <w:p w14:paraId="2CDA8D49"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w:t>
            </w:r>
          </w:p>
        </w:tc>
        <w:tc>
          <w:tcPr>
            <w:tcW w:w="1353" w:type="dxa"/>
            <w:tcBorders>
              <w:left w:val="single" w:sz="4" w:space="0" w:color="000000"/>
              <w:bottom w:val="single" w:sz="4" w:space="0" w:color="000000"/>
            </w:tcBorders>
            <w:shd w:val="clear" w:color="auto" w:fill="auto"/>
          </w:tcPr>
          <w:p w14:paraId="576AF486"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лимит</w:t>
            </w:r>
          </w:p>
        </w:tc>
        <w:tc>
          <w:tcPr>
            <w:tcW w:w="1276" w:type="dxa"/>
            <w:tcBorders>
              <w:left w:val="single" w:sz="4" w:space="0" w:color="000000"/>
              <w:bottom w:val="single" w:sz="4" w:space="0" w:color="000000"/>
              <w:right w:val="single" w:sz="4" w:space="0" w:color="000000"/>
            </w:tcBorders>
            <w:shd w:val="clear" w:color="auto" w:fill="auto"/>
          </w:tcPr>
          <w:p w14:paraId="3D338BB3"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 (2 кв.)</w:t>
            </w:r>
          </w:p>
        </w:tc>
      </w:tr>
      <w:tr w:rsidR="00F0736F" w:rsidRPr="00F0736F" w14:paraId="32CD8889" w14:textId="77777777" w:rsidTr="000B2B8A">
        <w:tc>
          <w:tcPr>
            <w:tcW w:w="1985" w:type="dxa"/>
            <w:tcBorders>
              <w:top w:val="single" w:sz="4" w:space="0" w:color="000000"/>
              <w:left w:val="single" w:sz="4" w:space="0" w:color="000000"/>
              <w:bottom w:val="single" w:sz="4" w:space="0" w:color="000000"/>
            </w:tcBorders>
            <w:shd w:val="clear" w:color="auto" w:fill="auto"/>
            <w:vAlign w:val="center"/>
          </w:tcPr>
          <w:p w14:paraId="2DB22440" w14:textId="77777777" w:rsidR="00AC1D5B" w:rsidRPr="00F0736F" w:rsidRDefault="00AC1D5B" w:rsidP="00AC1D5B">
            <w:pPr>
              <w:shd w:val="clear" w:color="auto" w:fill="FFFFFF"/>
              <w:overflowPunct/>
              <w:ind w:firstLine="34"/>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Выбросы, тыс. т.</w:t>
            </w:r>
          </w:p>
        </w:tc>
        <w:tc>
          <w:tcPr>
            <w:tcW w:w="1350" w:type="dxa"/>
            <w:tcBorders>
              <w:top w:val="single" w:sz="4" w:space="0" w:color="000000"/>
              <w:left w:val="single" w:sz="4" w:space="0" w:color="000000"/>
              <w:bottom w:val="single" w:sz="4" w:space="0" w:color="000000"/>
            </w:tcBorders>
            <w:shd w:val="clear" w:color="auto" w:fill="auto"/>
            <w:vAlign w:val="center"/>
          </w:tcPr>
          <w:p w14:paraId="26257DE6" w14:textId="77777777" w:rsidR="00AC1D5B" w:rsidRPr="00F0736F" w:rsidRDefault="00AC1D5B" w:rsidP="00AC1D5B">
            <w:pPr>
              <w:ind w:firstLine="34"/>
              <w:jc w:val="center"/>
              <w:rPr>
                <w:color w:val="000000" w:themeColor="text1"/>
                <w:sz w:val="20"/>
                <w:szCs w:val="20"/>
              </w:rPr>
            </w:pPr>
            <w:r w:rsidRPr="00F0736F">
              <w:rPr>
                <w:rFonts w:ascii="Times New Roman" w:hAnsi="Times New Roman" w:cs="Times New Roman"/>
                <w:color w:val="000000" w:themeColor="text1"/>
                <w:sz w:val="20"/>
                <w:szCs w:val="20"/>
              </w:rPr>
              <w:t>68,781</w:t>
            </w:r>
          </w:p>
        </w:tc>
        <w:tc>
          <w:tcPr>
            <w:tcW w:w="1305" w:type="dxa"/>
            <w:tcBorders>
              <w:top w:val="single" w:sz="4" w:space="0" w:color="000000"/>
              <w:left w:val="single" w:sz="4" w:space="0" w:color="000000"/>
              <w:bottom w:val="single" w:sz="4" w:space="0" w:color="000000"/>
            </w:tcBorders>
            <w:shd w:val="clear" w:color="auto" w:fill="auto"/>
            <w:vAlign w:val="center"/>
          </w:tcPr>
          <w:p w14:paraId="075BA172"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28,359</w:t>
            </w:r>
          </w:p>
        </w:tc>
        <w:tc>
          <w:tcPr>
            <w:tcW w:w="1272" w:type="dxa"/>
            <w:tcBorders>
              <w:top w:val="single" w:sz="4" w:space="0" w:color="000000"/>
              <w:left w:val="single" w:sz="4" w:space="0" w:color="000000"/>
              <w:bottom w:val="single" w:sz="4" w:space="0" w:color="000000"/>
            </w:tcBorders>
            <w:shd w:val="clear" w:color="auto" w:fill="auto"/>
          </w:tcPr>
          <w:p w14:paraId="614D516D"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70,054</w:t>
            </w:r>
          </w:p>
        </w:tc>
        <w:tc>
          <w:tcPr>
            <w:tcW w:w="1242" w:type="dxa"/>
            <w:tcBorders>
              <w:top w:val="single" w:sz="4" w:space="0" w:color="000000"/>
              <w:left w:val="single" w:sz="4" w:space="0" w:color="000000"/>
              <w:bottom w:val="single" w:sz="4" w:space="0" w:color="000000"/>
            </w:tcBorders>
            <w:shd w:val="clear" w:color="auto" w:fill="auto"/>
          </w:tcPr>
          <w:p w14:paraId="6E39B995"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26</w:t>
            </w:r>
          </w:p>
        </w:tc>
        <w:tc>
          <w:tcPr>
            <w:tcW w:w="1353" w:type="dxa"/>
            <w:tcBorders>
              <w:top w:val="single" w:sz="4" w:space="0" w:color="000000"/>
              <w:left w:val="single" w:sz="4" w:space="0" w:color="000000"/>
              <w:bottom w:val="single" w:sz="4" w:space="0" w:color="000000"/>
            </w:tcBorders>
            <w:shd w:val="clear" w:color="auto" w:fill="auto"/>
          </w:tcPr>
          <w:p w14:paraId="3791740D"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68,245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1DF85A"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13</w:t>
            </w:r>
          </w:p>
        </w:tc>
      </w:tr>
      <w:tr w:rsidR="00F0736F" w:rsidRPr="00F0736F" w14:paraId="35918AD5" w14:textId="77777777" w:rsidTr="000B2B8A">
        <w:trPr>
          <w:trHeight w:val="189"/>
        </w:trPr>
        <w:tc>
          <w:tcPr>
            <w:tcW w:w="1985" w:type="dxa"/>
            <w:tcBorders>
              <w:top w:val="single" w:sz="4" w:space="0" w:color="000000"/>
              <w:left w:val="single" w:sz="4" w:space="0" w:color="000000"/>
              <w:bottom w:val="single" w:sz="4" w:space="0" w:color="000000"/>
            </w:tcBorders>
            <w:shd w:val="clear" w:color="auto" w:fill="auto"/>
            <w:vAlign w:val="center"/>
          </w:tcPr>
          <w:p w14:paraId="11FBC292" w14:textId="77777777" w:rsidR="00AC1D5B" w:rsidRPr="00F0736F" w:rsidRDefault="00AC1D5B" w:rsidP="00AC1D5B">
            <w:pPr>
              <w:shd w:val="clear" w:color="auto" w:fill="FFFFFF"/>
              <w:overflowPunct/>
              <w:ind w:firstLine="34"/>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Сбросы, тыс. т.</w:t>
            </w:r>
          </w:p>
        </w:tc>
        <w:tc>
          <w:tcPr>
            <w:tcW w:w="1350" w:type="dxa"/>
            <w:tcBorders>
              <w:top w:val="single" w:sz="4" w:space="0" w:color="000000"/>
              <w:left w:val="single" w:sz="4" w:space="0" w:color="000000"/>
              <w:bottom w:val="single" w:sz="4" w:space="0" w:color="000000"/>
            </w:tcBorders>
            <w:shd w:val="clear" w:color="auto" w:fill="auto"/>
            <w:vAlign w:val="center"/>
          </w:tcPr>
          <w:p w14:paraId="02640381"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 xml:space="preserve">62 </w:t>
            </w:r>
          </w:p>
        </w:tc>
        <w:tc>
          <w:tcPr>
            <w:tcW w:w="1305" w:type="dxa"/>
            <w:tcBorders>
              <w:top w:val="single" w:sz="4" w:space="0" w:color="000000"/>
              <w:left w:val="single" w:sz="4" w:space="0" w:color="000000"/>
              <w:bottom w:val="single" w:sz="4" w:space="0" w:color="000000"/>
            </w:tcBorders>
            <w:shd w:val="clear" w:color="auto" w:fill="auto"/>
            <w:vAlign w:val="center"/>
          </w:tcPr>
          <w:p w14:paraId="51E722A3"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8,126</w:t>
            </w:r>
          </w:p>
        </w:tc>
        <w:tc>
          <w:tcPr>
            <w:tcW w:w="1272" w:type="dxa"/>
            <w:tcBorders>
              <w:top w:val="single" w:sz="4" w:space="0" w:color="000000"/>
              <w:left w:val="single" w:sz="4" w:space="0" w:color="000000"/>
              <w:bottom w:val="single" w:sz="4" w:space="0" w:color="000000"/>
            </w:tcBorders>
            <w:shd w:val="clear" w:color="auto" w:fill="auto"/>
          </w:tcPr>
          <w:p w14:paraId="2B289897"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87,36</w:t>
            </w:r>
          </w:p>
        </w:tc>
        <w:tc>
          <w:tcPr>
            <w:tcW w:w="1242" w:type="dxa"/>
            <w:tcBorders>
              <w:top w:val="single" w:sz="4" w:space="0" w:color="000000"/>
              <w:left w:val="single" w:sz="4" w:space="0" w:color="000000"/>
              <w:bottom w:val="single" w:sz="4" w:space="0" w:color="000000"/>
            </w:tcBorders>
            <w:shd w:val="clear" w:color="auto" w:fill="auto"/>
          </w:tcPr>
          <w:p w14:paraId="4F72AD60"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9,04</w:t>
            </w:r>
          </w:p>
        </w:tc>
        <w:tc>
          <w:tcPr>
            <w:tcW w:w="1353" w:type="dxa"/>
            <w:tcBorders>
              <w:top w:val="single" w:sz="4" w:space="0" w:color="000000"/>
              <w:left w:val="single" w:sz="4" w:space="0" w:color="000000"/>
              <w:bottom w:val="single" w:sz="4" w:space="0" w:color="000000"/>
            </w:tcBorders>
            <w:shd w:val="clear" w:color="auto" w:fill="auto"/>
          </w:tcPr>
          <w:p w14:paraId="7D721184"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87,8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16E666"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4,946</w:t>
            </w:r>
          </w:p>
        </w:tc>
      </w:tr>
      <w:tr w:rsidR="00AC1D5B" w:rsidRPr="00F0736F" w14:paraId="6E313B25" w14:textId="77777777" w:rsidTr="000B2B8A">
        <w:trPr>
          <w:trHeight w:val="189"/>
        </w:trPr>
        <w:tc>
          <w:tcPr>
            <w:tcW w:w="1985" w:type="dxa"/>
            <w:tcBorders>
              <w:top w:val="single" w:sz="4" w:space="0" w:color="000000"/>
              <w:left w:val="single" w:sz="4" w:space="0" w:color="000000"/>
              <w:bottom w:val="single" w:sz="4" w:space="0" w:color="000000"/>
            </w:tcBorders>
            <w:shd w:val="clear" w:color="auto" w:fill="auto"/>
            <w:vAlign w:val="center"/>
          </w:tcPr>
          <w:p w14:paraId="2B87D490" w14:textId="77777777" w:rsidR="00AC1D5B" w:rsidRPr="00F0736F" w:rsidRDefault="00AC1D5B" w:rsidP="00AC1D5B">
            <w:pPr>
              <w:shd w:val="clear" w:color="auto" w:fill="FFFFFF"/>
              <w:overflowPunct/>
              <w:ind w:firstLine="34"/>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Отходы, тыс. т.</w:t>
            </w:r>
          </w:p>
        </w:tc>
        <w:tc>
          <w:tcPr>
            <w:tcW w:w="1350" w:type="dxa"/>
            <w:tcBorders>
              <w:top w:val="single" w:sz="4" w:space="0" w:color="000000"/>
              <w:left w:val="single" w:sz="4" w:space="0" w:color="000000"/>
              <w:bottom w:val="single" w:sz="4" w:space="0" w:color="000000"/>
            </w:tcBorders>
            <w:shd w:val="clear" w:color="auto" w:fill="auto"/>
            <w:vAlign w:val="center"/>
          </w:tcPr>
          <w:p w14:paraId="14F26138"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575,031</w:t>
            </w:r>
          </w:p>
        </w:tc>
        <w:tc>
          <w:tcPr>
            <w:tcW w:w="1305" w:type="dxa"/>
            <w:tcBorders>
              <w:top w:val="single" w:sz="4" w:space="0" w:color="000000"/>
              <w:left w:val="single" w:sz="4" w:space="0" w:color="000000"/>
              <w:bottom w:val="single" w:sz="4" w:space="0" w:color="000000"/>
            </w:tcBorders>
            <w:shd w:val="clear" w:color="auto" w:fill="auto"/>
            <w:vAlign w:val="center"/>
          </w:tcPr>
          <w:p w14:paraId="31887112"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141,663</w:t>
            </w:r>
          </w:p>
        </w:tc>
        <w:tc>
          <w:tcPr>
            <w:tcW w:w="1272" w:type="dxa"/>
            <w:tcBorders>
              <w:top w:val="single" w:sz="4" w:space="0" w:color="000000"/>
              <w:left w:val="single" w:sz="4" w:space="0" w:color="000000"/>
              <w:bottom w:val="single" w:sz="4" w:space="0" w:color="000000"/>
            </w:tcBorders>
            <w:shd w:val="clear" w:color="auto" w:fill="auto"/>
          </w:tcPr>
          <w:p w14:paraId="5A667D34"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1 467,292</w:t>
            </w:r>
          </w:p>
        </w:tc>
        <w:tc>
          <w:tcPr>
            <w:tcW w:w="1242" w:type="dxa"/>
            <w:tcBorders>
              <w:top w:val="single" w:sz="4" w:space="0" w:color="000000"/>
              <w:left w:val="single" w:sz="4" w:space="0" w:color="000000"/>
              <w:bottom w:val="single" w:sz="4" w:space="0" w:color="000000"/>
            </w:tcBorders>
            <w:shd w:val="clear" w:color="auto" w:fill="auto"/>
          </w:tcPr>
          <w:p w14:paraId="28DE208A"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481,092</w:t>
            </w:r>
          </w:p>
        </w:tc>
        <w:tc>
          <w:tcPr>
            <w:tcW w:w="1353" w:type="dxa"/>
            <w:tcBorders>
              <w:top w:val="single" w:sz="4" w:space="0" w:color="000000"/>
              <w:left w:val="single" w:sz="4" w:space="0" w:color="000000"/>
              <w:bottom w:val="single" w:sz="4" w:space="0" w:color="000000"/>
            </w:tcBorders>
            <w:shd w:val="clear" w:color="auto" w:fill="auto"/>
          </w:tcPr>
          <w:p w14:paraId="6C931024"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1 303,5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0DF3641" w14:textId="77777777" w:rsidR="00AC1D5B" w:rsidRPr="00F0736F" w:rsidRDefault="00AC1D5B" w:rsidP="00AC1D5B">
            <w:pPr>
              <w:shd w:val="clear" w:color="auto" w:fill="FFFFFF"/>
              <w:overflowPunct/>
              <w:ind w:firstLine="34"/>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118,754</w:t>
            </w:r>
          </w:p>
        </w:tc>
      </w:tr>
    </w:tbl>
    <w:p w14:paraId="71B6EAFB" w14:textId="77777777" w:rsidR="00AC1D5B" w:rsidRPr="00F0736F" w:rsidRDefault="00AC1D5B" w:rsidP="00AC1D5B">
      <w:pPr>
        <w:ind w:firstLine="709"/>
        <w:jc w:val="both"/>
        <w:rPr>
          <w:color w:val="000000" w:themeColor="text1"/>
        </w:rPr>
      </w:pPr>
    </w:p>
    <w:p w14:paraId="116198C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w:t>
      </w:r>
      <w:r w:rsidRPr="00F0736F">
        <w:rPr>
          <w:rFonts w:ascii="Times New Roman" w:hAnsi="Times New Roman" w:cs="Times New Roman"/>
          <w:b/>
          <w:color w:val="000000" w:themeColor="text1"/>
        </w:rPr>
        <w:t>снижения выбросов</w:t>
      </w:r>
      <w:r w:rsidRPr="00F0736F">
        <w:rPr>
          <w:rFonts w:ascii="Times New Roman" w:hAnsi="Times New Roman" w:cs="Times New Roman"/>
          <w:color w:val="000000" w:themeColor="text1"/>
        </w:rPr>
        <w:t xml:space="preserve"> оксидов серы и азота в окружающую среду из 1645 единиц общественного транспорта, действующего в Кызылординской области, 663 единицы или 40% были переведены на газовые виды топлива. Количество газозаправочных станций в регионе достигло 99. Количество автомобилей, использующих сжиженный газ, в регионе составляет в 2015 году – 2725</w:t>
      </w:r>
      <w:r w:rsidRPr="00F0736F">
        <w:rPr>
          <w:rFonts w:ascii="Times New Roman" w:hAnsi="Times New Roman" w:cs="Times New Roman"/>
          <w:color w:val="000000" w:themeColor="text1"/>
          <w:lang w:val="kk-KZ"/>
        </w:rPr>
        <w:t xml:space="preserve"> ед.</w:t>
      </w:r>
      <w:r w:rsidRPr="00F0736F">
        <w:rPr>
          <w:rFonts w:ascii="Times New Roman" w:hAnsi="Times New Roman" w:cs="Times New Roman"/>
          <w:color w:val="000000" w:themeColor="text1"/>
        </w:rPr>
        <w:t>, в 2017 году – 10 222</w:t>
      </w:r>
      <w:r w:rsidRPr="00F0736F">
        <w:rPr>
          <w:rFonts w:ascii="Times New Roman" w:hAnsi="Times New Roman" w:cs="Times New Roman"/>
          <w:color w:val="000000" w:themeColor="text1"/>
          <w:lang w:val="kk-KZ"/>
        </w:rPr>
        <w:t xml:space="preserve"> ед.</w:t>
      </w:r>
      <w:r w:rsidRPr="00F0736F">
        <w:rPr>
          <w:rFonts w:ascii="Times New Roman" w:hAnsi="Times New Roman" w:cs="Times New Roman"/>
          <w:color w:val="000000" w:themeColor="text1"/>
        </w:rPr>
        <w:t>, в 2018 году – 13 172 ед.</w:t>
      </w:r>
    </w:p>
    <w:p w14:paraId="682F761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Кызылординской области проводились на 2 водных объектах - в реке Сырдарья и Аральском море. </w:t>
      </w:r>
    </w:p>
    <w:p w14:paraId="7FD24218" w14:textId="77777777" w:rsidR="00AC1D5B" w:rsidRPr="00F0736F" w:rsidRDefault="00AC1D5B" w:rsidP="00AC1D5B">
      <w:pPr>
        <w:ind w:firstLine="709"/>
        <w:jc w:val="both"/>
        <w:rPr>
          <w:bCs/>
          <w:color w:val="000000" w:themeColor="text1"/>
        </w:rPr>
      </w:pPr>
      <w:r w:rsidRPr="00F0736F">
        <w:rPr>
          <w:rFonts w:ascii="Times New Roman" w:hAnsi="Times New Roman" w:cs="Times New Roman"/>
          <w:bCs/>
          <w:color w:val="000000" w:themeColor="text1"/>
        </w:rPr>
        <w:t xml:space="preserve">В 2017 году качество воды </w:t>
      </w:r>
      <w:r w:rsidRPr="00F0736F">
        <w:rPr>
          <w:rFonts w:ascii="Times New Roman" w:hAnsi="Times New Roman" w:cs="Times New Roman"/>
          <w:bCs/>
          <w:color w:val="000000" w:themeColor="text1"/>
          <w:lang w:val="kk-KZ"/>
        </w:rPr>
        <w:t xml:space="preserve">реки </w:t>
      </w:r>
      <w:r w:rsidRPr="00F0736F">
        <w:rPr>
          <w:rFonts w:ascii="Times New Roman" w:hAnsi="Times New Roman" w:cs="Times New Roman"/>
          <w:bCs/>
          <w:color w:val="000000" w:themeColor="text1"/>
        </w:rPr>
        <w:t xml:space="preserve">Сырдарья </w:t>
      </w:r>
      <w:r w:rsidRPr="00F0736F">
        <w:rPr>
          <w:rFonts w:ascii="Times New Roman" w:hAnsi="Times New Roman" w:cs="Times New Roman"/>
          <w:bCs/>
          <w:color w:val="000000" w:themeColor="text1"/>
          <w:lang w:val="kk-KZ"/>
        </w:rPr>
        <w:t xml:space="preserve">и </w:t>
      </w:r>
      <w:r w:rsidRPr="00F0736F">
        <w:rPr>
          <w:rFonts w:ascii="Times New Roman" w:hAnsi="Times New Roman" w:cs="Times New Roman"/>
          <w:bCs/>
          <w:color w:val="000000" w:themeColor="text1"/>
        </w:rPr>
        <w:t>Аральского моря</w:t>
      </w:r>
      <w:r w:rsidRPr="00F0736F">
        <w:rPr>
          <w:rFonts w:ascii="Times New Roman" w:hAnsi="Times New Roman" w:cs="Times New Roman"/>
          <w:bCs/>
          <w:color w:val="000000" w:themeColor="text1"/>
          <w:lang w:val="kk-KZ"/>
        </w:rPr>
        <w:t xml:space="preserve"> оценивается как </w:t>
      </w:r>
      <w:r w:rsidRPr="00F0736F">
        <w:rPr>
          <w:rFonts w:ascii="Times New Roman" w:hAnsi="Times New Roman" w:cs="Times New Roman"/>
          <w:bCs/>
          <w:color w:val="000000" w:themeColor="text1"/>
        </w:rPr>
        <w:t>«умеренного уровня загрязнения». По сравнению с 201</w:t>
      </w:r>
      <w:r w:rsidRPr="00F0736F">
        <w:rPr>
          <w:rFonts w:ascii="Times New Roman" w:hAnsi="Times New Roman" w:cs="Times New Roman"/>
          <w:bCs/>
          <w:color w:val="000000" w:themeColor="text1"/>
          <w:lang w:val="kk-KZ"/>
        </w:rPr>
        <w:t>6</w:t>
      </w:r>
      <w:r w:rsidRPr="00F0736F">
        <w:rPr>
          <w:rFonts w:ascii="Times New Roman" w:hAnsi="Times New Roman" w:cs="Times New Roman"/>
          <w:bCs/>
          <w:color w:val="000000" w:themeColor="text1"/>
        </w:rPr>
        <w:t xml:space="preserve"> годо</w:t>
      </w:r>
      <w:r w:rsidRPr="00F0736F">
        <w:rPr>
          <w:rFonts w:ascii="Times New Roman" w:hAnsi="Times New Roman" w:cs="Times New Roman"/>
          <w:bCs/>
          <w:color w:val="000000" w:themeColor="text1"/>
          <w:lang w:val="kk-KZ"/>
        </w:rPr>
        <w:t>м</w:t>
      </w:r>
      <w:r w:rsidRPr="00F0736F">
        <w:rPr>
          <w:rFonts w:ascii="Times New Roman" w:hAnsi="Times New Roman" w:cs="Times New Roman"/>
          <w:bCs/>
          <w:color w:val="000000" w:themeColor="text1"/>
        </w:rPr>
        <w:t xml:space="preserve"> качество воды реки Сырдарья и Аральского моря </w:t>
      </w:r>
      <w:r w:rsidRPr="00F0736F">
        <w:rPr>
          <w:rFonts w:ascii="Times New Roman" w:hAnsi="Times New Roman" w:cs="Times New Roman"/>
          <w:bCs/>
          <w:color w:val="000000" w:themeColor="text1"/>
          <w:lang w:val="kk-KZ"/>
        </w:rPr>
        <w:t>улучшилось</w:t>
      </w:r>
      <w:r w:rsidRPr="00F0736F">
        <w:rPr>
          <w:rFonts w:ascii="Times New Roman" w:hAnsi="Times New Roman" w:cs="Times New Roman"/>
          <w:bCs/>
          <w:color w:val="000000" w:themeColor="text1"/>
          <w:vertAlign w:val="superscript"/>
          <w:lang w:val="kk-KZ"/>
        </w:rPr>
        <w:footnoteReference w:id="151"/>
      </w:r>
      <w:r w:rsidRPr="00F0736F">
        <w:rPr>
          <w:rFonts w:ascii="Times New Roman" w:hAnsi="Times New Roman" w:cs="Times New Roman"/>
          <w:bCs/>
          <w:color w:val="000000" w:themeColor="text1"/>
        </w:rPr>
        <w:t>.</w:t>
      </w:r>
    </w:p>
    <w:p w14:paraId="403E8895"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В 2018 году</w:t>
      </w:r>
      <w:r w:rsidRPr="00F0736F">
        <w:rPr>
          <w:rFonts w:ascii="Times New Roman" w:hAnsi="Times New Roman" w:cs="Times New Roman"/>
          <w:color w:val="000000" w:themeColor="text1"/>
        </w:rPr>
        <w:t xml:space="preserve"> качество воды реки Сырдарья и Аральского моря на территории Кызылординской области оценивается как «умеренного уровня загрязнения». По сравнению с 2017 годом качество воды реки Сырдарья и Аральского моря существенно не изменилось</w:t>
      </w:r>
      <w:r w:rsidRPr="00F0736F">
        <w:rPr>
          <w:rFonts w:ascii="Times New Roman" w:hAnsi="Times New Roman" w:cs="Times New Roman"/>
          <w:color w:val="000000" w:themeColor="text1"/>
          <w:vertAlign w:val="superscript"/>
        </w:rPr>
        <w:footnoteReference w:id="152"/>
      </w:r>
      <w:r w:rsidRPr="00F0736F">
        <w:rPr>
          <w:rFonts w:ascii="Times New Roman" w:hAnsi="Times New Roman" w:cs="Times New Roman"/>
          <w:color w:val="000000" w:themeColor="text1"/>
        </w:rPr>
        <w:t>.</w:t>
      </w:r>
    </w:p>
    <w:p w14:paraId="3A0A8B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Единой классификации качество воды реки Сырдария и Аральского моря на территории Кызылординской области за 2019 год</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относится к 4 классу</w:t>
      </w:r>
      <w:r w:rsidRPr="00F0736F">
        <w:rPr>
          <w:rFonts w:ascii="Times New Roman" w:hAnsi="Times New Roman" w:cs="Times New Roman"/>
          <w:color w:val="000000" w:themeColor="text1"/>
          <w:vertAlign w:val="superscript"/>
        </w:rPr>
        <w:footnoteReference w:id="153"/>
      </w:r>
      <w:r w:rsidRPr="00F0736F">
        <w:rPr>
          <w:rFonts w:ascii="Times New Roman" w:hAnsi="Times New Roman" w:cs="Times New Roman"/>
          <w:color w:val="000000" w:themeColor="text1"/>
        </w:rPr>
        <w:t xml:space="preserve">. </w:t>
      </w:r>
    </w:p>
    <w:p w14:paraId="418FEF2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49D5A81E"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В 2017 году объем образованных ТБО составил 148 000 т.</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из них переработано</w:t>
      </w:r>
      <w:r w:rsidRPr="00F0736F">
        <w:rPr>
          <w:rFonts w:ascii="Times New Roman" w:hAnsi="Times New Roman" w:cs="Times New Roman"/>
          <w:color w:val="000000" w:themeColor="text1"/>
          <w:lang w:val="kk-KZ"/>
        </w:rPr>
        <w:t xml:space="preserve"> 5200 т., доля переработки составила </w:t>
      </w:r>
      <w:r w:rsidRPr="00F0736F">
        <w:rPr>
          <w:rFonts w:ascii="Times New Roman" w:hAnsi="Times New Roman" w:cs="Times New Roman"/>
          <w:color w:val="000000" w:themeColor="text1"/>
        </w:rPr>
        <w:t xml:space="preserve">3,5%. </w:t>
      </w:r>
    </w:p>
    <w:p w14:paraId="249F6CA7" w14:textId="77777777" w:rsidR="00AC1D5B" w:rsidRPr="00F0736F" w:rsidRDefault="00AC1D5B" w:rsidP="00AC1D5B">
      <w:pPr>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 xml:space="preserve">В 2018 году образовано 147 000 т. ТБО, из них переработано 4700 т., доля переработки - 3,9%.В 2018 году 60,87% населения было охвачено услугами по сбору и вывозу ТБО. </w:t>
      </w:r>
    </w:p>
    <w:p w14:paraId="13180FC6" w14:textId="77777777" w:rsidR="00AC1D5B" w:rsidRPr="00F0736F" w:rsidRDefault="00AC1D5B" w:rsidP="00AC1D5B">
      <w:pPr>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В 2019 году образовано 122 000 т. ТБО, из них 17000 т. переработано, доля переработки – 14%. Ежегодно образуется порядка 120-140 тыс. т. ТБО.</w:t>
      </w:r>
    </w:p>
    <w:p w14:paraId="1D21CEE3"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 xml:space="preserve">На сегодня в области имеются 145 полигонов, из них 5, или 3,45% приведены в соответствие экологическим требованиям. </w:t>
      </w:r>
    </w:p>
    <w:p w14:paraId="350A9788"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lang w:val="kk-KZ"/>
        </w:rPr>
        <w:t xml:space="preserve">Раздельный сбор по области внедрен </w:t>
      </w:r>
      <w:r w:rsidRPr="00F0736F">
        <w:rPr>
          <w:rFonts w:ascii="Times New Roman" w:hAnsi="Times New Roman" w:cs="Times New Roman"/>
          <w:color w:val="000000" w:themeColor="text1"/>
        </w:rPr>
        <w:t>недостаточно</w:t>
      </w:r>
      <w:r w:rsidRPr="00F0736F">
        <w:rPr>
          <w:rFonts w:ascii="Times New Roman" w:hAnsi="Times New Roman" w:cs="Times New Roman"/>
          <w:color w:val="000000" w:themeColor="text1"/>
          <w:lang w:val="kk-KZ"/>
        </w:rPr>
        <w:t xml:space="preserve">. </w:t>
      </w:r>
      <w:r w:rsidRPr="00F0736F">
        <w:rPr>
          <w:rFonts w:ascii="Times New Roman" w:eastAsia="Times New Roman" w:hAnsi="Times New Roman" w:cs="Times New Roman"/>
          <w:color w:val="000000" w:themeColor="text1"/>
          <w:lang w:val="kk-KZ"/>
        </w:rPr>
        <w:t xml:space="preserve">Для сбора у населения ртутьсодержащих ламп по области установлено 874 контейнера, приобретенные в рамках проекта ПРООН в 2015 году (24 ед.) и в рамках РОП в 2017 году (850 ед.). Из них, в городе Кызылорда установлены 155, в районных центрах – 720. </w:t>
      </w:r>
    </w:p>
    <w:p w14:paraId="726417AB"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в радиусе 50 км вокруг города Кызылорда выявлено 222 незаконные свалки, из них местными исполнительными органами расчищено 220 незаконных свалок.</w:t>
      </w:r>
    </w:p>
    <w:p w14:paraId="04ECDE1B"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области имеются следующие индивидуальные предприниматели, занимающиеся сортировкой и утилизацией отходов: </w:t>
      </w:r>
    </w:p>
    <w:p w14:paraId="0E116357"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ТОО «Ибрайхан и К ЛТД» в г. Кызылорда осуществляет сортировку ТБО с извлечением стекла, шины, пластмассы, тканей, строительного мусора, перерабатывает полимерные отходы с производством тротуарной плитки, </w:t>
      </w:r>
      <w:r w:rsidRPr="00F0736F">
        <w:rPr>
          <w:rFonts w:ascii="Times New Roman" w:eastAsia="Times New Roman" w:hAnsi="Times New Roman" w:cs="Times New Roman"/>
          <w:color w:val="000000" w:themeColor="text1"/>
        </w:rPr>
        <w:t>черепицы. О</w:t>
      </w:r>
      <w:r w:rsidRPr="00F0736F">
        <w:rPr>
          <w:rFonts w:ascii="Times New Roman" w:hAnsi="Times New Roman" w:cs="Times New Roman"/>
          <w:color w:val="000000" w:themeColor="text1"/>
        </w:rPr>
        <w:t xml:space="preserve">стальные отходы вывозятся на полигон для захоронения; </w:t>
      </w:r>
    </w:p>
    <w:p w14:paraId="4C1CB68E"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ТОО «Smart Rubber» производит шланги для капельного орошения из изношенных автомобильных шин;</w:t>
      </w:r>
    </w:p>
    <w:p w14:paraId="04943709"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Kyzylorda Paper, ТОО «ДаЖаЭр», ИП «Август» сортируют и собирают макулатуру, картон, бумагу, пластик, пластиковые отходы. В учреждениях устанавливают экобоксы для сбора макулатуры и пластиковых отходов;</w:t>
      </w:r>
    </w:p>
    <w:p w14:paraId="451018C1"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ТОО «Эко-Н Сервис» осуществляет утилизацию отработанных ртутьсодержащих ламп. </w:t>
      </w:r>
    </w:p>
    <w:p w14:paraId="15927EB4"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году в целях увеличения доли переработки отходов в рамках государственно - частного партнерства (ГЧП) реализовывается проект «Строительство комплекса по сортировке 60,0 тыс. т. отходов в год». 50% строительства полигона будет осуществляться частным инвестором за счет собственных средств. Общая стоимость проекта - 1,3 млрд. тенге. Сортировочный комплекс будет располагаться в 3,7 км от поселка Белкуль. </w:t>
      </w:r>
    </w:p>
    <w:p w14:paraId="30138A05"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По итогам вышеуказанных работ доля утилизации твердых бытовых отходов к их образованию будет увеличена в несколько раз.</w:t>
      </w:r>
    </w:p>
    <w:p w14:paraId="78A2B85B"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eastAsia="Calibri" w:hAnsi="Times New Roman" w:cs="Times New Roman"/>
          <w:b/>
          <w:bCs/>
          <w:i/>
          <w:iCs/>
          <w:color w:val="000000" w:themeColor="text1"/>
          <w:lang w:val="kk-KZ" w:eastAsia="ru-RU"/>
        </w:rPr>
        <w:t xml:space="preserve">Состояние биологических ресурсов и развитие лесного, рыбного и охотничьего хозяйств, </w:t>
      </w:r>
      <w:r w:rsidRPr="00F0736F">
        <w:rPr>
          <w:rFonts w:ascii="Times New Roman" w:eastAsia="font4398" w:hAnsi="Times New Roman" w:cs="Times New Roman"/>
          <w:b/>
          <w:bCs/>
          <w:i/>
          <w:iCs/>
          <w:color w:val="000000" w:themeColor="text1"/>
          <w:lang w:val="kk-KZ" w:eastAsia="ru-RU" w:bidi="ru-RU"/>
        </w:rPr>
        <w:t xml:space="preserve">ООПТ </w:t>
      </w:r>
      <w:r w:rsidRPr="00F0736F">
        <w:rPr>
          <w:rFonts w:ascii="Times New Roman" w:eastAsia="Calibri" w:hAnsi="Times New Roman" w:cs="Times New Roman"/>
          <w:b/>
          <w:bCs/>
          <w:i/>
          <w:iCs/>
          <w:color w:val="000000" w:themeColor="text1"/>
          <w:lang w:val="kk-KZ" w:eastAsia="ru-RU"/>
        </w:rPr>
        <w:t>и экологического туризма.</w:t>
      </w:r>
    </w:p>
    <w:p w14:paraId="15877365"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eastAsia="Calibri" w:hAnsi="Times New Roman" w:cs="Times New Roman"/>
          <w:b/>
          <w:color w:val="000000" w:themeColor="text1"/>
        </w:rPr>
        <w:t>Лесное хозяйство.</w:t>
      </w:r>
      <w:r w:rsidRPr="00F0736F">
        <w:rPr>
          <w:rFonts w:ascii="Times New Roman" w:eastAsia="Calibri" w:hAnsi="Times New Roman" w:cs="Times New Roman"/>
          <w:color w:val="000000" w:themeColor="text1"/>
        </w:rPr>
        <w:t xml:space="preserve"> В 2017 и 2018 годах п</w:t>
      </w:r>
      <w:r w:rsidRPr="00F0736F">
        <w:rPr>
          <w:rFonts w:ascii="Times New Roman" w:eastAsia="Times New Roman" w:hAnsi="Times New Roman" w:cs="Times New Roman"/>
          <w:color w:val="000000" w:themeColor="text1"/>
          <w:lang w:eastAsia="ru-RU"/>
        </w:rPr>
        <w:t>о области общая площадь гослесфонда составила 6,5 млн. га, в т.ч. покрытые лесом - 3,03 млн. га.</w:t>
      </w:r>
    </w:p>
    <w:p w14:paraId="0862B8BF"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Общая численность работников в ГУ лесного хозяйства по области 545 человек. Учреждениями лесного хозяйства проводится ряд работ по охране, защите и воспроизводству лесов. На сегодняшний день работают 8 государственных учреждений лесного и животного мира при Кызылординском областном управлении природных ресурсов и регулирования природопользования. </w:t>
      </w:r>
      <w:r w:rsidRPr="00F0736F">
        <w:rPr>
          <w:rFonts w:ascii="Times New Roman" w:hAnsi="Times New Roman" w:cs="Times New Roman"/>
          <w:color w:val="000000" w:themeColor="text1"/>
        </w:rPr>
        <w:t xml:space="preserve">За 2017 год в государственном лесном фонде была запланирована посадка на площади 10709 га, и полностью выполнена. За 2018 год </w:t>
      </w:r>
      <w:r w:rsidRPr="00F0736F">
        <w:rPr>
          <w:rFonts w:ascii="Times New Roman" w:eastAsia="Times New Roman" w:hAnsi="Times New Roman" w:cs="Times New Roman"/>
          <w:color w:val="000000" w:themeColor="text1"/>
          <w:kern w:val="0"/>
          <w:lang w:eastAsia="ru-RU" w:bidi="ar-SA"/>
        </w:rPr>
        <w:t>в государственном лесном фонде запланирована посадка на площади 10334 га, и полностью выполнена. Из них 5000 гектаров расположены на осушенном дне Аральского моря. </w:t>
      </w:r>
    </w:p>
    <w:p w14:paraId="4E561CB3"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целях воспроизводства леса организуются временные питомники на 17,8 га для выращивания саженцев деревьев. В целях предупреждения и ликвидации пожаров в учреждениях лесного хозяйства имеются 13 единиц противопожарных машин и работают 54 пожарника. </w:t>
      </w:r>
    </w:p>
    <w:p w14:paraId="5897EA66"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пожароопасный сезон 2018 года в целях предупреждения и ликвидации пожаров проведены новые минерализованные полосы на 438 километрах, а также произведено обновление минерализованных полос на 3193 километрах. Учреждениями лесного хозяйства на участках государственного лесного фонда проведен 231 рейд, выявлено 6 случаев незаконной порубки деревьев леса, приняты соответствующие меры. С начала года в сфере по оказанию государственных услуг всего выдано 256 билетов, из них: лесной билет – 243 штук, лесорубочный билет - 13 штук. По оказанию государственных услуг при выдаче лесорубочного и лесного билета, не зарегистрированы жалобы и заявления с нарушениями сроков. Вместе с тем что на осушенном дне Аральского моря во главе с представителями из Южной Кореи посажены саженцы саксаула на площади 5000 га. Повсеместно проводятся мероприятия по содействию естественному возобновлению лесов. </w:t>
      </w:r>
    </w:p>
    <w:p w14:paraId="5708300F"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За пожароопасный сезон 2019 года зарегистрировано 4 случая лесных пожаров на площади 2,86 га, из них нелесные угодья 2,86 га.</w:t>
      </w:r>
    </w:p>
    <w:p w14:paraId="70288397"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noProof/>
          <w:color w:val="000000" w:themeColor="text1"/>
        </w:rPr>
        <mc:AlternateContent>
          <mc:Choice Requires="wps">
            <w:drawing>
              <wp:anchor distT="0" distB="0" distL="114300" distR="114300" simplePos="0" relativeHeight="251664896" behindDoc="0" locked="0" layoutInCell="1" allowOverlap="1" wp14:anchorId="3F084112" wp14:editId="3AB5354B">
                <wp:simplePos x="0" y="0"/>
                <wp:positionH relativeFrom="column">
                  <wp:posOffset>0</wp:posOffset>
                </wp:positionH>
                <wp:positionV relativeFrom="paragraph">
                  <wp:posOffset>0</wp:posOffset>
                </wp:positionV>
                <wp:extent cx="635000" cy="635000"/>
                <wp:effectExtent l="9525" t="9525" r="0" b="0"/>
                <wp:wrapNone/>
                <wp:docPr id="27" name="AutoShape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0"/>
                              </a:lnTo>
                              <a:lnTo>
                                <a:pt x="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611B" id="AutoShape 8"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" path="m,l,,,,,xe">
                <v:stroke joinstyle="miter"/>
                <v:path o:connecttype="custom" o:connectlocs="635000,317500;317500,635000;0,317500;317500,0" o:connectangles="0,90,180,270" textboxrect="3163,3163,18437,18437"/>
                <o:lock v:ext="edit" selection="t"/>
              </v:shape>
            </w:pict>
          </mc:Fallback>
        </mc:AlternateContent>
      </w:r>
      <w:r w:rsidRPr="00F0736F">
        <w:rPr>
          <w:noProof/>
          <w:color w:val="000000" w:themeColor="text1"/>
        </w:rPr>
        <mc:AlternateContent>
          <mc:Choice Requires="wps">
            <w:drawing>
              <wp:anchor distT="0" distB="0" distL="114300" distR="114300" simplePos="0" relativeHeight="251662848" behindDoc="0" locked="0" layoutInCell="1" allowOverlap="1" wp14:anchorId="54CA4B59" wp14:editId="6FB96BA6">
                <wp:simplePos x="0" y="0"/>
                <wp:positionH relativeFrom="column">
                  <wp:posOffset>-890270</wp:posOffset>
                </wp:positionH>
                <wp:positionV relativeFrom="paragraph">
                  <wp:posOffset>17145</wp:posOffset>
                </wp:positionV>
                <wp:extent cx="896620" cy="495300"/>
                <wp:effectExtent l="0" t="0" r="3175" b="1905"/>
                <wp:wrapNone/>
                <wp:docPr id="28" name="TextBox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495300"/>
                        </a:xfrm>
                        <a:custGeom>
                          <a:avLst/>
                          <a:gdLst>
                            <a:gd name="G0" fmla="*/ 1 1413 2"/>
                            <a:gd name="G1" fmla="*/ 1 781 2"/>
                            <a:gd name="G2" fmla="+- 781 0 0"/>
                            <a:gd name="G3" fmla="+- 1413 0 0"/>
                          </a:gdLst>
                          <a:ahLst/>
                          <a:cxnLst>
                            <a:cxn ang="0">
                              <a:pos x="r" y="vc"/>
                            </a:cxn>
                            <a:cxn ang="5400000">
                              <a:pos x="hc" y="b"/>
                            </a:cxn>
                            <a:cxn ang="10800000">
                              <a:pos x="l" y="vc"/>
                            </a:cxn>
                            <a:cxn ang="16200000">
                              <a:pos x="hc" y="t"/>
                            </a:cxn>
                          </a:cxnLst>
                          <a:rect l="0" t="0" r="0" b="0"/>
                          <a:pathLst>
                            <a:path>
                              <a:moveTo>
                                <a:pt x="0" y="0"/>
                              </a:moveTo>
                              <a:lnTo>
                                <a:pt x="0" y="0"/>
                              </a:lnTo>
                              <a:lnTo>
                                <a:pt x="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713795" id="TextBox 1" o:spid="_x0000_s1026" style="position:absolute;margin-left:-70.1pt;margin-top:1.35pt;width:70.6pt;height:39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9662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" path="m,l,,,,,xe" filled="f" stroked="f" strokecolor="#3465a4">
                <v:path o:connecttype="custom" o:connectlocs="896620,247650;448310,495300;0,247650;448310,0" o:connectangles="0,90,180,270" textboxrect="0,0,896620,495300"/>
              </v:shape>
            </w:pict>
          </mc:Fallback>
        </mc:AlternateContent>
      </w:r>
      <w:r w:rsidRPr="00F0736F">
        <w:rPr>
          <w:rFonts w:ascii="Times New Roman" w:hAnsi="Times New Roman" w:cs="Times New Roman"/>
          <w:noProof/>
          <w:color w:val="000000" w:themeColor="text1"/>
        </w:rPr>
        <mc:AlternateContent>
          <mc:Choice Requires="wps">
            <w:drawing>
              <wp:anchor distT="72390" distB="72390" distL="0" distR="3175" simplePos="0" relativeHeight="251663872" behindDoc="0" locked="0" layoutInCell="1" allowOverlap="1" wp14:anchorId="3763A2BC" wp14:editId="0466E1A3">
                <wp:simplePos x="0" y="0"/>
                <wp:positionH relativeFrom="column">
                  <wp:posOffset>-890270</wp:posOffset>
                </wp:positionH>
                <wp:positionV relativeFrom="paragraph">
                  <wp:posOffset>17145</wp:posOffset>
                </wp:positionV>
                <wp:extent cx="843915" cy="44259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F48B0" w14:textId="77777777" w:rsidR="00137211" w:rsidRDefault="00137211" w:rsidP="00AC1D5B">
                            <w:pPr>
                              <w:pStyle w:val="Para"/>
                              <w:spacing w:before="0" w:after="0"/>
                              <w:jc w:val="right"/>
                            </w:pPr>
                          </w:p>
                        </w:txbxContent>
                      </wps:txbx>
                      <wps:bodyPr rot="0" vert="horz" wrap="square" lIns="144145" tIns="98425" rIns="144145" bIns="984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3A2BC" id="_x0000_t202" coordsize="21600,21600" o:spt="202" path="m,l,21600r21600,l21600,xe">
                <v:stroke joinstyle="miter"/>
                <v:path gradientshapeok="t" o:connecttype="rect"/>
              </v:shapetype>
              <v:shape id="Text Box 2" o:spid="_x0000_s1026" type="#_x0000_t202" style="position:absolute;left:0;text-align:left;margin-left:-70.1pt;margin-top:1.35pt;width:66.45pt;height:34.85pt;z-index:251663872;visibility:visible;mso-wrap-style:square;mso-width-percent:0;mso-height-percent:0;mso-wrap-distance-left:0;mso-wrap-distance-top:5.7pt;mso-wrap-distance-right:.25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" stroked="f">
                <v:textbox inset="11.35pt,7.75pt,11.35pt,7.75pt">
                  <w:txbxContent>
                    <w:p w14:paraId="582F48B0" w14:textId="77777777" w:rsidR="00137211" w:rsidRDefault="00137211" w:rsidP="00AC1D5B">
                      <w:pPr>
                        <w:pStyle w:val="Para"/>
                        <w:spacing w:before="0" w:after="0"/>
                        <w:jc w:val="right"/>
                      </w:pPr>
                    </w:p>
                  </w:txbxContent>
                </v:textbox>
              </v:shape>
            </w:pict>
          </mc:Fallback>
        </mc:AlternateContent>
      </w:r>
      <w:r w:rsidRPr="00F0736F">
        <w:rPr>
          <w:rFonts w:ascii="Times New Roman" w:hAnsi="Times New Roman" w:cs="Times New Roman"/>
          <w:color w:val="000000" w:themeColor="text1"/>
        </w:rPr>
        <w:t>За 2019 год на территории государственного лесного фонда выявлено 6 фактов незаконной рубки леса с общим объемом 9,72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с суммой ущерба 173,6 тыс. тенге. По всем фактам материалы переданы в правоохранительные органы, по ним возбуждено 6 уголовных дел. </w:t>
      </w:r>
    </w:p>
    <w:p w14:paraId="5D4D3762"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eastAsia="Calibri" w:hAnsi="Times New Roman" w:cs="Times New Roman"/>
          <w:b/>
          <w:color w:val="000000" w:themeColor="text1"/>
        </w:rPr>
        <w:t>Рыбное хозяйство.</w:t>
      </w:r>
      <w:r w:rsidRPr="00F0736F">
        <w:rPr>
          <w:rFonts w:ascii="Times New Roman" w:eastAsia="Calibri" w:hAnsi="Times New Roman" w:cs="Times New Roman"/>
          <w:color w:val="000000" w:themeColor="text1"/>
        </w:rPr>
        <w:t xml:space="preserve"> </w:t>
      </w:r>
      <w:r w:rsidRPr="00F0736F">
        <w:rPr>
          <w:rFonts w:ascii="Times New Roman" w:eastAsia="Times New Roman" w:hAnsi="Times New Roman" w:cs="Times New Roman"/>
          <w:color w:val="000000" w:themeColor="text1"/>
          <w:lang w:eastAsia="ru-RU"/>
        </w:rPr>
        <w:t>В 2</w:t>
      </w:r>
      <w:r w:rsidRPr="00F0736F">
        <w:rPr>
          <w:rFonts w:ascii="Times New Roman" w:eastAsia="Times New Roman" w:hAnsi="Times New Roman" w:cs="Times New Roman"/>
          <w:color w:val="000000" w:themeColor="text1"/>
          <w:lang w:val="kk-KZ" w:eastAsia="ru-RU"/>
        </w:rPr>
        <w:t>017</w:t>
      </w:r>
      <w:r w:rsidRPr="00F0736F">
        <w:rPr>
          <w:rFonts w:ascii="Times New Roman" w:eastAsia="Times New Roman" w:hAnsi="Times New Roman" w:cs="Times New Roman"/>
          <w:color w:val="000000" w:themeColor="text1"/>
          <w:lang w:eastAsia="ru-RU"/>
        </w:rPr>
        <w:t xml:space="preserve"> году все 18 участков Малого Аральского моря, а также из 203 водоемов местного значения 142 закреплены на долгосрочное пользование за природопользователями, на конкурсной основе. Из оставшихся рыбохозяйственных водоемов местного значения 61 находятся в резервном фонде. На территории области расположено 37 охотничьих угодий, из них 32 закреплены на долгосрочное пользование за природопользователями, на конкурсной основе. За 2017 год выдано разрешение на вылов рыбы </w:t>
      </w:r>
      <w:r w:rsidRPr="00F0736F">
        <w:rPr>
          <w:rFonts w:ascii="Times New Roman" w:eastAsia="Times New Roman" w:hAnsi="Times New Roman" w:cs="Times New Roman"/>
          <w:color w:val="000000" w:themeColor="text1"/>
          <w:lang w:val="kk-KZ" w:eastAsia="ru-RU"/>
        </w:rPr>
        <w:t>8856,7</w:t>
      </w:r>
      <w:r w:rsidRPr="00F0736F">
        <w:rPr>
          <w:rFonts w:ascii="Times New Roman" w:eastAsia="Times New Roman" w:hAnsi="Times New Roman" w:cs="Times New Roman"/>
          <w:color w:val="000000" w:themeColor="text1"/>
          <w:lang w:eastAsia="ru-RU"/>
        </w:rPr>
        <w:t xml:space="preserve"> т., поступило в республиканский бюджет 140 млн. тенге.</w:t>
      </w:r>
    </w:p>
    <w:p w14:paraId="76528A6F"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lang w:eastAsia="ru-RU"/>
        </w:rPr>
        <w:t>Приказом Министра сельского хозяйства Республики Казахстан утвержденная квота на вылов рыбы на 2018 год составляет 7</w:t>
      </w:r>
      <w:r w:rsidRPr="00F0736F">
        <w:rPr>
          <w:rFonts w:ascii="Times New Roman" w:eastAsia="Times New Roman" w:hAnsi="Times New Roman" w:cs="Times New Roman"/>
          <w:color w:val="000000" w:themeColor="text1"/>
          <w:lang w:val="kk-KZ" w:eastAsia="ru-RU"/>
        </w:rPr>
        <w:t>470,61</w:t>
      </w:r>
      <w:r w:rsidRPr="00F0736F">
        <w:rPr>
          <w:rFonts w:ascii="Times New Roman" w:eastAsia="Times New Roman" w:hAnsi="Times New Roman" w:cs="Times New Roman"/>
          <w:color w:val="000000" w:themeColor="text1"/>
          <w:lang w:eastAsia="ru-RU"/>
        </w:rPr>
        <w:t xml:space="preserve"> т. </w:t>
      </w:r>
      <w:r w:rsidRPr="00F0736F">
        <w:rPr>
          <w:rFonts w:ascii="Times New Roman" w:eastAsia="Calibri" w:hAnsi="Times New Roman" w:cs="Times New Roman"/>
          <w:color w:val="000000" w:themeColor="text1"/>
        </w:rPr>
        <w:t>З</w:t>
      </w:r>
      <w:r w:rsidRPr="00F0736F">
        <w:rPr>
          <w:rFonts w:ascii="Times New Roman" w:eastAsia="Times New Roman" w:hAnsi="Times New Roman" w:cs="Times New Roman"/>
          <w:bCs/>
          <w:color w:val="000000" w:themeColor="text1"/>
          <w:lang w:eastAsia="ru-RU"/>
        </w:rPr>
        <w:t>а 2018 год по области</w:t>
      </w:r>
      <w:r w:rsidRPr="00F0736F">
        <w:rPr>
          <w:rFonts w:ascii="Times New Roman" w:eastAsia="Times New Roman" w:hAnsi="Times New Roman" w:cs="Times New Roman"/>
          <w:color w:val="000000" w:themeColor="text1"/>
          <w:lang w:eastAsia="ru-RU"/>
        </w:rPr>
        <w:t> выловлено 8</w:t>
      </w:r>
      <w:r w:rsidRPr="00F0736F">
        <w:rPr>
          <w:rFonts w:ascii="Times New Roman" w:eastAsia="Times New Roman" w:hAnsi="Times New Roman" w:cs="Times New Roman"/>
          <w:color w:val="000000" w:themeColor="text1"/>
          <w:lang w:val="kk-KZ" w:eastAsia="ru-RU"/>
        </w:rPr>
        <w:t>477</w:t>
      </w:r>
      <w:r w:rsidRPr="00F0736F">
        <w:rPr>
          <w:rFonts w:ascii="Times New Roman" w:eastAsia="Times New Roman" w:hAnsi="Times New Roman" w:cs="Times New Roman"/>
          <w:color w:val="000000" w:themeColor="text1"/>
          <w:lang w:eastAsia="ru-RU"/>
        </w:rPr>
        <w:t xml:space="preserve"> т. рыбы. В 2017 году в области работает 8 рыбоперерабатывающих заводов с годовой мощностью более 11 тыс. т. В 2018 году объем переработки рыбы составил 4071 т. </w:t>
      </w:r>
    </w:p>
    <w:p w14:paraId="5795AA60"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рамках </w:t>
      </w:r>
      <w:r w:rsidRPr="00F0736F">
        <w:rPr>
          <w:rFonts w:ascii="Times New Roman" w:hAnsi="Times New Roman" w:cs="Times New Roman"/>
          <w:b/>
          <w:color w:val="000000" w:themeColor="text1"/>
        </w:rPr>
        <w:t>развития туризма</w:t>
      </w:r>
      <w:r w:rsidRPr="00F0736F">
        <w:rPr>
          <w:rFonts w:ascii="Times New Roman" w:hAnsi="Times New Roman" w:cs="Times New Roman"/>
          <w:color w:val="000000" w:themeColor="text1"/>
        </w:rPr>
        <w:t xml:space="preserve"> области в регионе продолжается работа по развитию объектов придорожного сервиса на международном автомобильном коридоре «Западная Европа - Западный Китай». В Кызылординской области 55 точек под строительство объектов.</w:t>
      </w:r>
    </w:p>
    <w:p w14:paraId="23B60E00"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Постановлением Правительства Республики Казахстан от 31 мая 2019 года № 360 утверждена «Государственная программа развития туризма Республики Казахстан на 2019-2025 годы».</w:t>
      </w:r>
    </w:p>
    <w:p w14:paraId="1A43E9C6"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lang w:val="kk-KZ"/>
        </w:rPr>
        <w:t>Туристическая карта Республики Казахстан включает 3 туристических объекта региона: зона отдыха «Камыстыбас», курорт «Жанакорган», развлекательно-туристическая зона «Байконур». В то же время проект по созданию развлекательной туристической зоны «Байконур» включен в список ТОП-10 приоритетных объектов туристической карты.</w:t>
      </w:r>
    </w:p>
    <w:p w14:paraId="3A6C0741"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целях дальнейшего развития туристического потенциала космодрома Байконур по модели развития космического туризма на мысе Канаверал, штат Флорида, США, было разработано технико-экономическое обоснование (далее – ТЭО) проекта создания развлекательной туристической зоны «Байконур». Определен и зарегистрирован земельный участок на территории Кармакшинского района на 1579 км международной автомобильной дороги «Западная Европа - Западный Китай». </w:t>
      </w:r>
    </w:p>
    <w:p w14:paraId="5D5F168A"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результате работ по изучению, популяризации и внесению в репрезентативный список нематериального культурного наследия ЮНЕСКО многонациональная заявка «Наследие Коркыт ата» включена в список нематериального культурного наследия ЮНЕСКО.</w:t>
      </w:r>
    </w:p>
    <w:p w14:paraId="23F08261"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рамках программной статьи «Взгляд в будущее: Модернизация духовного сознания» в регионе впервые был организован областной форум историков и краеведов, в областном музее создано объединение молодых краеведов и открылся зал «Қасиетті Қазақстан және Археология».</w:t>
      </w:r>
    </w:p>
    <w:p w14:paraId="5CC67956"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рамках проекта «География святых мест Казахстана» в целях сохранения, изучения и развития туризма велись археологические раскопки в городищах Сыганак, Жанкент, Сортобе, Кышкала, Бабиш мола. Установлена стела Сыганак и осуществлено ограждение городища Сыганак.</w:t>
      </w:r>
    </w:p>
    <w:p w14:paraId="4529B7A0"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Отреставрированы мечеть-медресе Калжан ахуна, памятники Мырзабай ахуна и Марал ишана, определены охранные зоны городища Озгент и мавзолея Толегетай-Кылышты ата, расположенные в Жанакорганском районе. </w:t>
      </w:r>
    </w:p>
    <w:p w14:paraId="6C7657BA"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Введены в эксплуатацию 1 здание архива и 2 сельских клуба в аулах Енбекши Шиелийского района, Мадениет Жалагашского района, а также на левом берегу реки Сырдарьи открылись музей истории города и центр «Рухани жаңғыру». </w:t>
      </w:r>
    </w:p>
    <w:p w14:paraId="13107C46"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рамках областного проектного офиса разработана интерактивная карта объектов историко-культурного наследия области в 3D формате и установлены QR-коды на 150 памятниках истории и культуры. </w:t>
      </w:r>
    </w:p>
    <w:p w14:paraId="7A7C4D16" w14:textId="77777777" w:rsidR="00AC1D5B" w:rsidRPr="00F0736F" w:rsidRDefault="00AC1D5B" w:rsidP="00AC1D5B">
      <w:pPr>
        <w:pBdr>
          <w:top w:val="none" w:sz="0" w:space="0" w:color="000000"/>
          <w:left w:val="none" w:sz="0" w:space="0" w:color="000000"/>
          <w:bottom w:val="single" w:sz="4" w:space="3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Для формирования положительного имиджа региона был изготовлен туристский каталог «Туристические достопримечательности» </w:t>
      </w:r>
      <w:r w:rsidRPr="00F0736F">
        <w:rPr>
          <w:rFonts w:ascii="Times New Roman" w:hAnsi="Times New Roman" w:cs="Times New Roman"/>
          <w:color w:val="000000" w:themeColor="text1"/>
          <w:lang w:val="kk-KZ"/>
        </w:rPr>
        <w:t xml:space="preserve">и </w:t>
      </w:r>
      <w:r w:rsidRPr="00F0736F">
        <w:rPr>
          <w:rFonts w:ascii="Times New Roman" w:hAnsi="Times New Roman" w:cs="Times New Roman"/>
          <w:color w:val="000000" w:themeColor="text1"/>
        </w:rPr>
        <w:t>путеводитель на 3-х языках «Туристские объекты Кызылординской области»</w:t>
      </w:r>
      <w:r w:rsidRPr="00F0736F">
        <w:rPr>
          <w:rFonts w:ascii="Times New Roman" w:hAnsi="Times New Roman" w:cs="Times New Roman"/>
          <w:color w:val="000000" w:themeColor="text1"/>
          <w:lang w:val="kk-KZ"/>
        </w:rPr>
        <w:t>.</w:t>
      </w:r>
    </w:p>
    <w:p w14:paraId="0DA64606"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4" w:name="_Toc57818745"/>
      <w:r w:rsidRPr="007272FB">
        <w:rPr>
          <w:rFonts w:ascii="Times New Roman" w:eastAsia="Times New Roman" w:hAnsi="Times New Roman" w:cs="Times New Roman"/>
          <w:color w:val="000000" w:themeColor="text1"/>
          <w:sz w:val="24"/>
          <w:szCs w:val="24"/>
        </w:rPr>
        <w:t>2.11. Мангистауская область</w:t>
      </w:r>
      <w:bookmarkEnd w:id="54"/>
    </w:p>
    <w:p w14:paraId="3ED8FF90" w14:textId="77777777" w:rsidR="00AC1D5B" w:rsidRPr="00F0736F" w:rsidRDefault="00AC1D5B" w:rsidP="00AC1D5B">
      <w:pPr>
        <w:ind w:firstLine="709"/>
        <w:jc w:val="both"/>
        <w:rPr>
          <w:rFonts w:ascii="Times New Roman" w:hAnsi="Times New Roman" w:cs="Times New Roman"/>
          <w:color w:val="000000" w:themeColor="text1"/>
        </w:rPr>
      </w:pPr>
    </w:p>
    <w:p w14:paraId="25D117AC"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6185EB9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Территория области составляет 165,6 тыс. кв. км. Численность населения области на 01.01.2018 года –</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660,3 тыс. человек, на 01.01.2019 года – 678,2 тыс. </w:t>
      </w:r>
      <w:r w:rsidRPr="00F0736F">
        <w:rPr>
          <w:rFonts w:ascii="Times New Roman" w:hAnsi="Times New Roman" w:cs="Times New Roman"/>
          <w:color w:val="000000" w:themeColor="text1"/>
        </w:rPr>
        <w:t>ч</w:t>
      </w:r>
      <w:r w:rsidRPr="00F0736F">
        <w:rPr>
          <w:rFonts w:ascii="Times New Roman" w:hAnsi="Times New Roman" w:cs="Times New Roman"/>
          <w:color w:val="000000" w:themeColor="text1"/>
          <w:lang w:val="kk-KZ"/>
        </w:rPr>
        <w:t xml:space="preserve">еловек, </w:t>
      </w:r>
      <w:r w:rsidRPr="00F0736F">
        <w:rPr>
          <w:rFonts w:ascii="Times New Roman" w:hAnsi="Times New Roman" w:cs="Times New Roman"/>
          <w:color w:val="000000" w:themeColor="text1"/>
        </w:rPr>
        <w:t>а на 01.01.2020 года — 698,8 тыс. человек</w:t>
      </w:r>
      <w:r w:rsidRPr="00F0736F">
        <w:rPr>
          <w:rFonts w:ascii="Times New Roman" w:hAnsi="Times New Roman" w:cs="Times New Roman"/>
          <w:color w:val="000000" w:themeColor="text1"/>
          <w:lang w:val="kk-KZ"/>
        </w:rPr>
        <w:t xml:space="preserve">. Выгодное географическое расположение области на берегу Каспийского моря обеспечивает близость к странам, генерирующим основные туристские потоки. Транспортная логистика и туризм определены важными конкурентными преимуществами области, развитие которых будет способствовать диверсификации экономики и  созданию новых  рабочих мест. </w:t>
      </w:r>
    </w:p>
    <w:p w14:paraId="69ABCBF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объем валового регионального продукта вырос с </w:t>
      </w:r>
      <w:r w:rsidRPr="00F0736F">
        <w:rPr>
          <w:rFonts w:ascii="Times New Roman" w:hAnsi="Times New Roman" w:cs="Times New Roman"/>
          <w:color w:val="000000" w:themeColor="text1"/>
          <w:lang w:val="kk-KZ"/>
        </w:rPr>
        <w:t xml:space="preserve">1764,8 </w:t>
      </w:r>
      <w:r w:rsidRPr="00F0736F">
        <w:rPr>
          <w:rFonts w:ascii="Times New Roman" w:hAnsi="Times New Roman" w:cs="Times New Roman"/>
          <w:color w:val="000000" w:themeColor="text1"/>
        </w:rPr>
        <w:t>млрд. тенге в 201</w:t>
      </w:r>
      <w:r w:rsidRPr="00F0736F">
        <w:rPr>
          <w:rFonts w:ascii="Times New Roman" w:hAnsi="Times New Roman" w:cs="Times New Roman"/>
          <w:color w:val="000000" w:themeColor="text1"/>
          <w:lang w:val="kk-KZ"/>
        </w:rPr>
        <w:t>2</w:t>
      </w:r>
      <w:r w:rsidRPr="00F0736F">
        <w:rPr>
          <w:rFonts w:ascii="Times New Roman" w:hAnsi="Times New Roman" w:cs="Times New Roman"/>
          <w:color w:val="000000" w:themeColor="text1"/>
        </w:rPr>
        <w:t xml:space="preserve"> году до </w:t>
      </w:r>
      <w:r w:rsidRPr="00F0736F">
        <w:rPr>
          <w:rFonts w:ascii="Times New Roman" w:hAnsi="Times New Roman" w:cs="Times New Roman"/>
          <w:color w:val="000000" w:themeColor="text1"/>
          <w:lang w:val="kk-KZ"/>
        </w:rPr>
        <w:t>3296,1</w:t>
      </w:r>
      <w:r w:rsidRPr="00F0736F">
        <w:rPr>
          <w:rFonts w:ascii="Times New Roman" w:hAnsi="Times New Roman" w:cs="Times New Roman"/>
          <w:color w:val="000000" w:themeColor="text1"/>
        </w:rPr>
        <w:t xml:space="preserve"> млрд. тенге 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w:t>
      </w:r>
      <w:r w:rsidRPr="00F0736F">
        <w:rPr>
          <w:rFonts w:ascii="Times New Roman" w:hAnsi="Times New Roman" w:cs="Times New Roman"/>
          <w:color w:val="000000" w:themeColor="text1"/>
          <w:lang w:val="kk-KZ"/>
        </w:rPr>
        <w:t xml:space="preserve">Объем ВРП на душу населения по итогам 2017 года </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5058,8 тыс. тенге. В 2018 году, соответственно, – 3803,1 млрд. тенге и 5682,5 тыс. </w:t>
      </w:r>
      <w:r w:rsidRPr="00F0736F">
        <w:rPr>
          <w:rFonts w:ascii="Times New Roman" w:hAnsi="Times New Roman" w:cs="Times New Roman"/>
          <w:color w:val="000000" w:themeColor="text1"/>
        </w:rPr>
        <w:t>т</w:t>
      </w:r>
      <w:r w:rsidRPr="00F0736F">
        <w:rPr>
          <w:rFonts w:ascii="Times New Roman" w:hAnsi="Times New Roman" w:cs="Times New Roman"/>
          <w:color w:val="000000" w:themeColor="text1"/>
          <w:lang w:val="kk-KZ"/>
        </w:rPr>
        <w:t xml:space="preserve">енге, </w:t>
      </w:r>
      <w:r w:rsidRPr="00F0736F">
        <w:rPr>
          <w:rFonts w:ascii="Times New Roman" w:hAnsi="Times New Roman" w:cs="Times New Roman"/>
          <w:color w:val="000000" w:themeColor="text1"/>
        </w:rPr>
        <w:t>в 2019 году — 3685,4 и 5352,8.</w:t>
      </w:r>
    </w:p>
    <w:p w14:paraId="7EBD4B0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w:t>
      </w:r>
      <w:r w:rsidRPr="00F0736F">
        <w:rPr>
          <w:rFonts w:ascii="Times New Roman" w:hAnsi="Times New Roman" w:cs="Times New Roman"/>
          <w:b/>
          <w:color w:val="000000" w:themeColor="text1"/>
        </w:rPr>
        <w:t>промышленного производства</w:t>
      </w:r>
      <w:r w:rsidRPr="00F0736F">
        <w:rPr>
          <w:rFonts w:ascii="Times New Roman" w:hAnsi="Times New Roman" w:cs="Times New Roman"/>
          <w:color w:val="000000" w:themeColor="text1"/>
        </w:rPr>
        <w:t xml:space="preserve"> в 2017 году составил 2316,2 млрд. тенге, в 2018 году – 2892,3 млрд. тенге, а 2019 году – 2908,8 млрд. тенге, в том числе </w:t>
      </w:r>
      <w:r w:rsidRPr="00F0736F">
        <w:rPr>
          <w:rFonts w:ascii="Times New Roman" w:hAnsi="Times New Roman" w:cs="Times New Roman"/>
          <w:b/>
          <w:color w:val="000000" w:themeColor="text1"/>
        </w:rPr>
        <w:t>обрабатывающей промышленности</w:t>
      </w:r>
      <w:r w:rsidRPr="00F0736F">
        <w:rPr>
          <w:rFonts w:ascii="Times New Roman" w:hAnsi="Times New Roman" w:cs="Times New Roman"/>
          <w:color w:val="000000" w:themeColor="text1"/>
        </w:rPr>
        <w:t xml:space="preserve"> в 2017 году – 146,6 млрд. тенге, в 2018 году – 159,9 млрд. тенге, в 2019 году – 175,6 млрд. тенге. Промышленное производство представлено, главным образом, горнодобывающей промышленностью. Обрабатывающая промышленность представлена металлургией и производством готовых металлоизделий, машиностроением и химической промышленностью. П</w:t>
      </w:r>
      <w:r w:rsidRPr="00F0736F">
        <w:rPr>
          <w:rFonts w:ascii="Times New Roman" w:hAnsi="Times New Roman" w:cs="Times New Roman"/>
          <w:color w:val="000000" w:themeColor="text1"/>
          <w:lang w:val="kk-KZ"/>
        </w:rPr>
        <w:t>оказатель «Производительность труда в обрабатывающей промышленности» при плане 19,3 тыс. долл. США/чел. факт составил 17,5 тыс. долл. США/чел. (2019 год – 15,1 тыс. долл. США/чел.)</w:t>
      </w:r>
    </w:p>
    <w:p w14:paraId="3EF331A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Основные предприятия отрасли машиностроения: ТОО «Актауский машиностроительный завод», АО «Каскор-Машзавод», ТОО «АктауОйлМаш», ТОО «Сага-Аташ» и др. В 2018 году введен в эксплуатацию цех по производству и комплексному обслуживанию установок электроцентробежных погружных насосов (ТОО «Шлюмберже»)</w:t>
      </w:r>
      <w:r w:rsidRPr="00F0736F">
        <w:rPr>
          <w:rFonts w:ascii="Times New Roman" w:hAnsi="Times New Roman" w:cs="Times New Roman"/>
          <w:color w:val="000000" w:themeColor="text1"/>
          <w:vertAlign w:val="superscript"/>
          <w:lang w:val="kk-KZ"/>
        </w:rPr>
        <w:footnoteReference w:id="154"/>
      </w:r>
      <w:r w:rsidRPr="00F0736F">
        <w:rPr>
          <w:rFonts w:ascii="Times New Roman" w:hAnsi="Times New Roman" w:cs="Times New Roman"/>
          <w:color w:val="000000" w:themeColor="text1"/>
          <w:lang w:val="kk-KZ"/>
        </w:rPr>
        <w:t xml:space="preserve">. </w:t>
      </w:r>
    </w:p>
    <w:p w14:paraId="12C4372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Основные предприятия нефтехимической отрасли: </w:t>
      </w:r>
      <w:r w:rsidRPr="00F0736F">
        <w:rPr>
          <w:rFonts w:ascii="Times New Roman" w:eastAsia="SimSun" w:hAnsi="Times New Roman" w:cs="Times New Roman"/>
          <w:color w:val="000000" w:themeColor="text1"/>
          <w:lang w:val="kk-KZ"/>
        </w:rPr>
        <w:t xml:space="preserve">ТОО «СП «CASPI BITUM», ТОО «Казахский газоперерабатывающий завод» (ТОО «КазГПЗ»). </w:t>
      </w:r>
      <w:r w:rsidRPr="00F0736F">
        <w:rPr>
          <w:rFonts w:ascii="Times New Roman" w:hAnsi="Times New Roman" w:cs="Times New Roman"/>
          <w:color w:val="000000" w:themeColor="text1"/>
        </w:rPr>
        <w:t>Основные виды продукции: окисленный дорожный битум</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сжиженные углеводородные газы. </w:t>
      </w:r>
      <w:r w:rsidRPr="00F0736F">
        <w:rPr>
          <w:rFonts w:ascii="Times New Roman" w:eastAsia="SimSun" w:hAnsi="Times New Roman" w:cs="Times New Roman"/>
          <w:color w:val="000000" w:themeColor="text1"/>
          <w:lang w:val="kk-KZ"/>
        </w:rPr>
        <w:t>По итогам</w:t>
      </w:r>
      <w:r w:rsidRPr="00F0736F">
        <w:rPr>
          <w:rFonts w:ascii="Times New Roman" w:hAnsi="Times New Roman" w:cs="Times New Roman"/>
          <w:color w:val="000000" w:themeColor="text1"/>
          <w:lang w:val="kk-KZ"/>
        </w:rPr>
        <w:t xml:space="preserve"> 2017 года объем производства отрасли вырос на 40,6% по сравнению с предыдущим годом.</w:t>
      </w:r>
    </w:p>
    <w:p w14:paraId="0C83723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Основное предприятие</w:t>
      </w:r>
      <w:r w:rsidRPr="00F0736F">
        <w:rPr>
          <w:rFonts w:ascii="Times New Roman" w:eastAsia="Times New Roman" w:hAnsi="Times New Roman" w:cs="Times New Roman"/>
          <w:color w:val="000000" w:themeColor="text1"/>
          <w:lang w:val="kk-KZ"/>
        </w:rPr>
        <w:t xml:space="preserve"> химической промышленности - А</w:t>
      </w:r>
      <w:r w:rsidRPr="00F0736F">
        <w:rPr>
          <w:rFonts w:ascii="Times New Roman" w:eastAsia="Times New Roman" w:hAnsi="Times New Roman" w:cs="Times New Roman"/>
          <w:color w:val="000000" w:themeColor="text1"/>
        </w:rPr>
        <w:t>О «КазАзот»</w:t>
      </w:r>
      <w:r w:rsidRPr="00F0736F">
        <w:rPr>
          <w:rFonts w:ascii="Times New Roman" w:eastAsia="Times New Roman" w:hAnsi="Times New Roman" w:cs="Times New Roman"/>
          <w:color w:val="000000" w:themeColor="text1"/>
          <w:lang w:val="kk-KZ"/>
        </w:rPr>
        <w:t xml:space="preserve"> дает </w:t>
      </w:r>
      <w:r w:rsidRPr="00F0736F">
        <w:rPr>
          <w:rFonts w:ascii="Times New Roman" w:eastAsia="Times New Roman" w:hAnsi="Times New Roman" w:cs="Times New Roman"/>
          <w:color w:val="000000" w:themeColor="text1"/>
        </w:rPr>
        <w:t>более 90% всего объема выпуска азотных минеральных удобрений в РК.  Основные виды продукции: аммиачная селитра, аммиак жидкий, азотная кислота.</w:t>
      </w:r>
      <w:r w:rsidRPr="00F0736F">
        <w:rPr>
          <w:rFonts w:ascii="Times New Roman" w:hAnsi="Times New Roman" w:cs="Times New Roman"/>
          <w:color w:val="000000" w:themeColor="text1"/>
          <w:lang w:val="kk-KZ"/>
        </w:rPr>
        <w:t xml:space="preserve"> </w:t>
      </w:r>
    </w:p>
    <w:p w14:paraId="29C236B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валовая продукция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Мангистауской области 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составила 13,7 млрд. тенге (ИФО – 107,7%), в 2018 году – 15,7 млрд. тенге, а в 2019 году — 19,4 млрд. тенге, с преимуществом животноводства (78,7%).</w:t>
      </w:r>
    </w:p>
    <w:p w14:paraId="1AB92EC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Отсутствие поверхностных источников пресной воды, культурных пастбищ, резко континентальный, засушливый климат, прямая зависимость урожайности естественных пастбищ от погодных условий, жесткие гидрологические условия, высокая минерализация подземных водных источников ограничивают развитие аграрного сектора.</w:t>
      </w:r>
    </w:p>
    <w:p w14:paraId="4D4408D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46131E2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Земли сельскохозяйственного назначения – 5,99 млн. га (36%), посевная площадь основных сельхозкультур в 2017 году – 1,028,9 тыс. га (</w:t>
      </w:r>
      <w:r w:rsidRPr="00F0736F">
        <w:rPr>
          <w:rFonts w:ascii="Times New Roman" w:hAnsi="Times New Roman" w:cs="Times New Roman"/>
          <w:color w:val="000000" w:themeColor="text1"/>
          <w:lang w:val="kk-KZ"/>
        </w:rPr>
        <w:t>0,016</w:t>
      </w:r>
      <w:r w:rsidRPr="00F0736F">
        <w:rPr>
          <w:rFonts w:ascii="Times New Roman" w:hAnsi="Times New Roman" w:cs="Times New Roman"/>
          <w:color w:val="000000" w:themeColor="text1"/>
        </w:rPr>
        <w:t xml:space="preserve">%), в том числе </w:t>
      </w:r>
      <w:r w:rsidRPr="00F0736F">
        <w:rPr>
          <w:rFonts w:ascii="Times New Roman" w:hAnsi="Times New Roman" w:cs="Times New Roman"/>
          <w:color w:val="000000" w:themeColor="text1"/>
          <w:lang w:val="kk-KZ"/>
        </w:rPr>
        <w:t xml:space="preserve">посевная </w:t>
      </w:r>
      <w:r w:rsidRPr="00F0736F">
        <w:rPr>
          <w:rFonts w:ascii="Times New Roman" w:hAnsi="Times New Roman" w:cs="Times New Roman"/>
          <w:color w:val="000000" w:themeColor="text1"/>
        </w:rPr>
        <w:t xml:space="preserve">площадь с использованием передовой влагосберегающей технологии (капельное орошение) – 0,893 тыс. га (рост в 3,15 раза к 2012 году). </w:t>
      </w:r>
      <w:r w:rsidRPr="00F0736F">
        <w:rPr>
          <w:rFonts w:ascii="Times New Roman" w:hAnsi="Times New Roman" w:cs="Times New Roman"/>
          <w:color w:val="000000" w:themeColor="text1"/>
          <w:lang w:val="kk-KZ"/>
        </w:rPr>
        <w:t xml:space="preserve">В разрезе угодий территория области представлена, в основном, пастбищными угодьями, общая площадь которых составляет 12,7 млн. га. </w:t>
      </w:r>
      <w:r w:rsidRPr="00F0736F">
        <w:rPr>
          <w:rFonts w:ascii="Times New Roman" w:hAnsi="Times New Roman" w:cs="Times New Roman"/>
          <w:color w:val="000000" w:themeColor="text1"/>
        </w:rPr>
        <w:t>Обводненных пастбищ 2788,7 тыс. га. В 2017 году построено 56 колодцев (скважин) при плане 54. В 2019 году работают 57 теплиц на 27,4 га, когда как в 2017 году работало 27 теплиц на 19,8 га. Прирост составляет 111%.</w:t>
      </w:r>
    </w:p>
    <w:p w14:paraId="6679A5E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структуре сельского хозяйства преобладает животноводство, основанное на круглогодичном пастбищном содержании животных (верблюдов, овец и лошадей) </w:t>
      </w:r>
      <w:r w:rsidRPr="00F0736F">
        <w:rPr>
          <w:rFonts w:ascii="Times New Roman" w:hAnsi="Times New Roman" w:cs="Times New Roman"/>
          <w:color w:val="000000" w:themeColor="text1"/>
          <w:lang w:val="kk-KZ"/>
        </w:rPr>
        <w:t>с использованием слабосоленых подземных вод шахтных и трубчатых колодцев</w:t>
      </w:r>
      <w:r w:rsidRPr="00F0736F">
        <w:rPr>
          <w:rFonts w:ascii="Times New Roman" w:hAnsi="Times New Roman" w:cs="Times New Roman"/>
          <w:color w:val="000000" w:themeColor="text1"/>
        </w:rPr>
        <w:t>.</w:t>
      </w:r>
    </w:p>
    <w:p w14:paraId="63DE449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60F94A9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lang w:eastAsia="ru-RU"/>
        </w:rPr>
        <w:t xml:space="preserve">Электроснабжение. </w:t>
      </w:r>
      <w:r w:rsidRPr="00F0736F">
        <w:rPr>
          <w:rFonts w:ascii="Times New Roman" w:eastAsia="Times New Roman" w:hAnsi="Times New Roman" w:cs="Times New Roman"/>
          <w:color w:val="000000" w:themeColor="text1"/>
          <w:lang w:eastAsia="ru-RU"/>
        </w:rPr>
        <w:t xml:space="preserve">ТОО «МАЭК-Казатомпром» является единственным энергопроизводящим предприятием и энергоснабжающей организацией для всех потребителей в Мангистауской области. Транспортировка электроэнергии в городах и районах области осуществляется по электрическим сетям АО «Мангистауская распределительная электросетевая компания» (АО «МРЭК»), по городу Актау – ГКП «АУЭС». Электроснабжение по городам и районам области осуществляется государственными коммунальными организациями.   </w:t>
      </w:r>
    </w:p>
    <w:p w14:paraId="56B03E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состав ТОО «МАЭК-Казатомпром» входят две теплоэлектроцентрали ТЭЦ-1 и ТЭЦ-2, одна конденсационная электростанция ТЭС.</w:t>
      </w:r>
    </w:p>
    <w:p w14:paraId="42478574"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Установленная электрическая мощность электростанций ТОО «МАЭК-Казатомпром» составляет</w:t>
      </w:r>
      <w:r w:rsidRPr="00F0736F">
        <w:rPr>
          <w:rFonts w:ascii="Times New Roman" w:eastAsia="Times New Roman" w:hAnsi="Times New Roman" w:cs="Times New Roman"/>
          <w:color w:val="000000" w:themeColor="text1"/>
          <w:lang w:val="kk-KZ" w:eastAsia="ru-RU"/>
        </w:rPr>
        <w:t xml:space="preserve"> </w:t>
      </w:r>
      <w:r w:rsidRPr="00F0736F">
        <w:rPr>
          <w:rFonts w:ascii="Times New Roman" w:eastAsia="Times New Roman" w:hAnsi="Times New Roman" w:cs="Times New Roman"/>
          <w:color w:val="000000" w:themeColor="text1"/>
          <w:lang w:eastAsia="ru-RU"/>
        </w:rPr>
        <w:t xml:space="preserve">1330 МВт, рабочая </w:t>
      </w:r>
      <w:r w:rsidRPr="00F0736F">
        <w:rPr>
          <w:rFonts w:ascii="Times New Roman" w:eastAsia="Times New Roman" w:hAnsi="Times New Roman" w:cs="Times New Roman"/>
          <w:color w:val="000000" w:themeColor="text1"/>
          <w:lang w:val="kk-KZ" w:eastAsia="ru-RU"/>
        </w:rPr>
        <w:t xml:space="preserve">– </w:t>
      </w:r>
      <w:r w:rsidRPr="00F0736F">
        <w:rPr>
          <w:rFonts w:ascii="Times New Roman" w:eastAsia="Times New Roman" w:hAnsi="Times New Roman" w:cs="Times New Roman"/>
          <w:color w:val="000000" w:themeColor="text1"/>
          <w:lang w:eastAsia="ru-RU"/>
        </w:rPr>
        <w:t xml:space="preserve">735,8 МВт. Кроме того, предприятие обеспечивает г. Актау и его близлежащие районы питьевой водой и тепловой энергией. Общая протяженность сетей электроснабжения по области составляет </w:t>
      </w:r>
      <w:r w:rsidRPr="00F0736F">
        <w:rPr>
          <w:rFonts w:ascii="Times New Roman" w:eastAsia="Times New Roman" w:hAnsi="Times New Roman" w:cs="Times New Roman"/>
          <w:color w:val="000000" w:themeColor="text1"/>
          <w:lang w:val="kk-KZ" w:eastAsia="ru-RU"/>
        </w:rPr>
        <w:t>11349</w:t>
      </w:r>
      <w:r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val="kk-KZ" w:eastAsia="ru-RU"/>
        </w:rPr>
        <w:t>2</w:t>
      </w:r>
      <w:r w:rsidRPr="00F0736F">
        <w:rPr>
          <w:rFonts w:ascii="Times New Roman" w:eastAsia="Times New Roman" w:hAnsi="Times New Roman" w:cs="Times New Roman"/>
          <w:color w:val="000000" w:themeColor="text1"/>
          <w:lang w:eastAsia="ru-RU"/>
        </w:rPr>
        <w:t>7 км</w:t>
      </w:r>
      <w:r w:rsidRPr="00F0736F">
        <w:rPr>
          <w:rFonts w:ascii="Times New Roman" w:eastAsia="Times New Roman" w:hAnsi="Times New Roman" w:cs="Times New Roman"/>
          <w:color w:val="000000" w:themeColor="text1"/>
          <w:lang w:val="kk-KZ" w:eastAsia="ru-RU"/>
        </w:rPr>
        <w:t>.</w:t>
      </w:r>
      <w:r w:rsidRPr="00F0736F">
        <w:rPr>
          <w:rFonts w:ascii="Times New Roman" w:eastAsia="Times New Roman" w:hAnsi="Times New Roman" w:cs="Times New Roman"/>
          <w:color w:val="000000" w:themeColor="text1"/>
          <w:lang w:eastAsia="ru-RU"/>
        </w:rPr>
        <w:t xml:space="preserve"> </w:t>
      </w:r>
    </w:p>
    <w:p w14:paraId="4CD78BD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связи с интенсивным развитием региона ежегодно растет потребление электроэнергии и дефицит ее производства может наступить уже в 2020 - 2022 годах.</w:t>
      </w:r>
    </w:p>
    <w:p w14:paraId="041D2CC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развития энергетики региона разработаны технико-экономические исследования (ТЭИ) по определению целесообразности реконструкции действующих и строительству новых генерирующих источников в Мангистауской области. Согласно исследованиям ТЭИ выявлена необходимость строительства парогазового энергоблока (ПГУ) мощностью 250 МВт. Имеется экспертное заключение РГП «Госэкспертиза» по ТЭО «Строительство парогазовой установки (ПГУ) мощностью 250 МВт на площадке ТОО «МАЭК-Казатомпром». Рассматриваются варианты предложений по строительству ПГУ-250 МВт от потенциальных инвесторов-поставщиков.</w:t>
      </w:r>
    </w:p>
    <w:p w14:paraId="6E4C589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Другой возможностью покрытия энергодефицита в регионе должно стать использование </w:t>
      </w:r>
      <w:r w:rsidRPr="00F0736F">
        <w:rPr>
          <w:rFonts w:ascii="Times New Roman" w:eastAsia="Times New Roman" w:hAnsi="Times New Roman" w:cs="Times New Roman"/>
          <w:b/>
          <w:color w:val="000000" w:themeColor="text1"/>
          <w:lang w:eastAsia="ru-RU"/>
        </w:rPr>
        <w:t>возобновляемых источников энергии</w:t>
      </w:r>
      <w:r w:rsidRPr="00F0736F">
        <w:rPr>
          <w:rFonts w:ascii="Times New Roman" w:eastAsia="Times New Roman" w:hAnsi="Times New Roman" w:cs="Times New Roman"/>
          <w:color w:val="000000" w:themeColor="text1"/>
          <w:lang w:eastAsia="ru-RU"/>
        </w:rPr>
        <w:t>, в первую очередь, с использованием энергии ветра. Перспективной территорией для строительства ветроэлектростанций является Тупкараганский район. Также г</w:t>
      </w:r>
      <w:r w:rsidRPr="00F0736F">
        <w:rPr>
          <w:rFonts w:ascii="Times New Roman" w:hAnsi="Times New Roman" w:cs="Times New Roman"/>
          <w:color w:val="000000" w:themeColor="text1"/>
        </w:rPr>
        <w:t xml:space="preserve">ород Форт-Шевченко находится в зоне высоких ветровых нагрузок, что делает возможным использование ветроэнергетики для производства электроэнергии в больших масштабах. </w:t>
      </w:r>
    </w:p>
    <w:p w14:paraId="01EF617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Всего за 2017 — 2019 годы реализовано 3 проекта общей мощностью 50,6 Мвт:</w:t>
      </w:r>
    </w:p>
    <w:p w14:paraId="577AC62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СЭС в районе с. Батыр, 2 МВт (ТОО «Групп Индепендент»);</w:t>
      </w:r>
    </w:p>
    <w:p w14:paraId="1C10C1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ВЭС в г. Форт-Шевченко, 43,6 МВт, (ТОО «Совместное предприятие КТ Редкометальная компания»);</w:t>
      </w:r>
    </w:p>
    <w:p w14:paraId="49E1FB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ВЭС в с. Акшукур, 5 МВт (ТОО «БЕСТ-Групп НС»).</w:t>
      </w:r>
    </w:p>
    <w:p w14:paraId="7D73D9A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стадии реализации:</w:t>
      </w:r>
    </w:p>
    <w:p w14:paraId="6071931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ВЭС в Каракиянском районе, 10 МВт (ТОО «ВЭС Жангиз»);</w:t>
      </w:r>
    </w:p>
    <w:p w14:paraId="0025A94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ВЭС в Каракиянском районе, 5 МВт (ТОО «ВЭС Сервис»).</w:t>
      </w:r>
    </w:p>
    <w:p w14:paraId="3FDB2E2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lang w:eastAsia="ru-RU"/>
        </w:rPr>
        <w:t xml:space="preserve">Энергосбережение. </w:t>
      </w:r>
      <w:r w:rsidRPr="00F0736F">
        <w:rPr>
          <w:rFonts w:ascii="Times New Roman" w:eastAsia="Times New Roman" w:hAnsi="Times New Roman" w:cs="Times New Roman"/>
          <w:color w:val="000000" w:themeColor="text1"/>
          <w:lang w:eastAsia="ru-RU"/>
        </w:rPr>
        <w:t>82% энергопотребления региона приходится на промышленный сектор, в том числе строительство - 1,2%, на транспортный сектор - 3,0%, потери в сетях общего пользования - 8,4%</w:t>
      </w:r>
      <w:r w:rsidRPr="00F0736F">
        <w:rPr>
          <w:rFonts w:ascii="Times New Roman" w:eastAsia="Times New Roman" w:hAnsi="Times New Roman" w:cs="Times New Roman"/>
          <w:color w:val="000000" w:themeColor="text1"/>
          <w:lang w:val="kk-KZ" w:eastAsia="ru-RU"/>
        </w:rPr>
        <w:t>,</w:t>
      </w:r>
      <w:r w:rsidRPr="00F0736F">
        <w:rPr>
          <w:rFonts w:ascii="Times New Roman" w:eastAsia="Times New Roman" w:hAnsi="Times New Roman" w:cs="Times New Roman"/>
          <w:color w:val="000000" w:themeColor="text1"/>
          <w:lang w:eastAsia="ru-RU"/>
        </w:rPr>
        <w:t xml:space="preserve"> сельское хозяйство - 0,5%, отпущено за пределы области - 4,8%. 9 крупными промышленными предприятиями области потребляется 35% энергетических ресурсов, потребляемых промышленным сектором.</w:t>
      </w:r>
    </w:p>
    <w:p w14:paraId="56858A1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решения вопросов по энергосбережению и повышению энергоэффективности в области проводится работа с крупными энергетическими предприятиями. Разработаны комплексные планы по энергосбережению, в которых предусмотрены мероприятия по ремонту, модернизации оборудований, введению на объектах АО «МРЭК», ГКП «АУЭС» автоматизированных систем контроля и учета электроэнергии, использованию энергосберегающих ламп в сетях освещения.</w:t>
      </w:r>
    </w:p>
    <w:p w14:paraId="5C0EB3D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Cs/>
          <w:color w:val="000000" w:themeColor="text1"/>
          <w:lang w:eastAsia="ru-RU"/>
        </w:rPr>
        <w:t>В 2017 году по модернизации системы уличного освещения были установлены 1706 шт. светодиодных светильников уличного освещения и 808 шт. энергосберегающих ламп в скверах города Актау. Кроме того, в городе Форт-Шевченко и сел</w:t>
      </w:r>
      <w:r w:rsidRPr="00F0736F">
        <w:rPr>
          <w:rFonts w:ascii="Times New Roman" w:eastAsia="Times New Roman" w:hAnsi="Times New Roman" w:cs="Times New Roman"/>
          <w:bCs/>
          <w:color w:val="000000" w:themeColor="text1"/>
          <w:lang w:val="kk-KZ" w:eastAsia="ru-RU"/>
        </w:rPr>
        <w:t>е</w:t>
      </w:r>
      <w:r w:rsidRPr="00F0736F">
        <w:rPr>
          <w:rFonts w:ascii="Times New Roman" w:eastAsia="Times New Roman" w:hAnsi="Times New Roman" w:cs="Times New Roman"/>
          <w:bCs/>
          <w:color w:val="000000" w:themeColor="text1"/>
          <w:lang w:eastAsia="ru-RU"/>
        </w:rPr>
        <w:t xml:space="preserve"> Уштаган Мангистаукого района установлены 191 шт. светодиодных светильников уличного освещения. Также совместно с </w:t>
      </w:r>
      <w:r w:rsidRPr="00F0736F">
        <w:rPr>
          <w:rFonts w:ascii="Times New Roman" w:eastAsia="Times New Roman" w:hAnsi="Times New Roman" w:cs="Times New Roman"/>
          <w:bCs/>
          <w:color w:val="000000" w:themeColor="text1"/>
          <w:lang w:val="kk-KZ" w:eastAsia="ru-RU"/>
        </w:rPr>
        <w:t>к</w:t>
      </w:r>
      <w:r w:rsidRPr="00F0736F">
        <w:rPr>
          <w:rFonts w:ascii="Times New Roman" w:eastAsia="Times New Roman" w:hAnsi="Times New Roman" w:cs="Times New Roman"/>
          <w:bCs/>
          <w:color w:val="000000" w:themeColor="text1"/>
          <w:lang w:eastAsia="ru-RU"/>
        </w:rPr>
        <w:t>итайской компанией ТОО «</w:t>
      </w:r>
      <w:r w:rsidRPr="00F0736F">
        <w:rPr>
          <w:rFonts w:ascii="Times New Roman" w:eastAsia="Times New Roman" w:hAnsi="Times New Roman" w:cs="Times New Roman"/>
          <w:bCs/>
          <w:color w:val="000000" w:themeColor="text1"/>
          <w:lang w:val="en-US" w:eastAsia="ru-RU"/>
        </w:rPr>
        <w:t>Sourse</w:t>
      </w:r>
      <w:r w:rsidRPr="00F0736F">
        <w:rPr>
          <w:rFonts w:ascii="Times New Roman" w:eastAsia="Times New Roman" w:hAnsi="Times New Roman" w:cs="Times New Roman"/>
          <w:bCs/>
          <w:color w:val="000000" w:themeColor="text1"/>
          <w:lang w:eastAsia="ru-RU"/>
        </w:rPr>
        <w:t xml:space="preserve"> </w:t>
      </w:r>
      <w:r w:rsidRPr="00F0736F">
        <w:rPr>
          <w:rFonts w:ascii="Times New Roman" w:eastAsia="Times New Roman" w:hAnsi="Times New Roman" w:cs="Times New Roman"/>
          <w:bCs/>
          <w:color w:val="000000" w:themeColor="text1"/>
          <w:lang w:val="en-US" w:eastAsia="ru-RU"/>
        </w:rPr>
        <w:t>energy</w:t>
      </w:r>
      <w:r w:rsidRPr="00F0736F">
        <w:rPr>
          <w:rFonts w:ascii="Times New Roman" w:eastAsia="Times New Roman" w:hAnsi="Times New Roman" w:cs="Times New Roman"/>
          <w:bCs/>
          <w:color w:val="000000" w:themeColor="text1"/>
          <w:lang w:eastAsia="ru-RU"/>
        </w:rPr>
        <w:t>» проведены работы по замен</w:t>
      </w:r>
      <w:r w:rsidRPr="00F0736F">
        <w:rPr>
          <w:rFonts w:ascii="Times New Roman" w:eastAsia="Times New Roman" w:hAnsi="Times New Roman" w:cs="Times New Roman"/>
          <w:bCs/>
          <w:color w:val="000000" w:themeColor="text1"/>
          <w:lang w:val="kk-KZ" w:eastAsia="ru-RU"/>
        </w:rPr>
        <w:t xml:space="preserve">е </w:t>
      </w:r>
      <w:r w:rsidRPr="00F0736F">
        <w:rPr>
          <w:rFonts w:ascii="Times New Roman" w:eastAsia="Times New Roman" w:hAnsi="Times New Roman" w:cs="Times New Roman"/>
          <w:bCs/>
          <w:color w:val="000000" w:themeColor="text1"/>
          <w:lang w:eastAsia="ru-RU"/>
        </w:rPr>
        <w:t xml:space="preserve">ламп уличного освещения на светодиодные </w:t>
      </w:r>
      <w:r w:rsidRPr="00F0736F">
        <w:rPr>
          <w:rFonts w:ascii="Times New Roman" w:eastAsia="Times New Roman" w:hAnsi="Times New Roman" w:cs="Times New Roman"/>
          <w:bCs/>
          <w:color w:val="000000" w:themeColor="text1"/>
          <w:lang w:val="kk-KZ" w:eastAsia="ru-RU"/>
        </w:rPr>
        <w:t>(</w:t>
      </w:r>
      <w:r w:rsidRPr="00F0736F">
        <w:rPr>
          <w:rFonts w:ascii="Times New Roman" w:eastAsia="Times New Roman" w:hAnsi="Times New Roman" w:cs="Times New Roman"/>
          <w:bCs/>
          <w:color w:val="000000" w:themeColor="text1"/>
          <w:lang w:eastAsia="ru-RU"/>
        </w:rPr>
        <w:t>82 штук</w:t>
      </w:r>
      <w:r w:rsidRPr="00F0736F">
        <w:rPr>
          <w:rFonts w:ascii="Times New Roman" w:eastAsia="Times New Roman" w:hAnsi="Times New Roman" w:cs="Times New Roman"/>
          <w:bCs/>
          <w:color w:val="000000" w:themeColor="text1"/>
          <w:lang w:val="kk-KZ" w:eastAsia="ru-RU"/>
        </w:rPr>
        <w:t xml:space="preserve">) </w:t>
      </w:r>
      <w:r w:rsidRPr="00F0736F">
        <w:rPr>
          <w:rFonts w:ascii="Times New Roman" w:eastAsia="Times New Roman" w:hAnsi="Times New Roman" w:cs="Times New Roman"/>
          <w:bCs/>
          <w:color w:val="000000" w:themeColor="text1"/>
          <w:lang w:eastAsia="ru-RU"/>
        </w:rPr>
        <w:t xml:space="preserve">в городе Актау. </w:t>
      </w:r>
    </w:p>
    <w:p w14:paraId="3B16677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Cs/>
          <w:color w:val="000000" w:themeColor="text1"/>
          <w:lang w:eastAsia="ru-RU"/>
        </w:rPr>
        <w:t>В целях внедрения технологии по энергосбережению проведены следующие работы: ГКП «АУЭС»</w:t>
      </w:r>
      <w:r w:rsidRPr="00F0736F">
        <w:rPr>
          <w:rFonts w:ascii="Times New Roman" w:eastAsia="Times New Roman" w:hAnsi="Times New Roman" w:cs="Times New Roman"/>
          <w:bCs/>
          <w:color w:val="000000" w:themeColor="text1"/>
          <w:lang w:val="kk-KZ" w:eastAsia="ru-RU"/>
        </w:rPr>
        <w:t>,</w:t>
      </w:r>
      <w:r w:rsidRPr="00F0736F">
        <w:rPr>
          <w:rFonts w:ascii="Times New Roman" w:eastAsia="Times New Roman" w:hAnsi="Times New Roman" w:cs="Times New Roman"/>
          <w:bCs/>
          <w:color w:val="000000" w:themeColor="text1"/>
          <w:lang w:eastAsia="ru-RU"/>
        </w:rPr>
        <w:t xml:space="preserve"> занимающ</w:t>
      </w:r>
      <w:r w:rsidRPr="00F0736F">
        <w:rPr>
          <w:rFonts w:ascii="Times New Roman" w:eastAsia="Times New Roman" w:hAnsi="Times New Roman" w:cs="Times New Roman"/>
          <w:bCs/>
          <w:color w:val="000000" w:themeColor="text1"/>
          <w:lang w:val="kk-KZ" w:eastAsia="ru-RU"/>
        </w:rPr>
        <w:t>ее</w:t>
      </w:r>
      <w:r w:rsidRPr="00F0736F">
        <w:rPr>
          <w:rFonts w:ascii="Times New Roman" w:eastAsia="Times New Roman" w:hAnsi="Times New Roman" w:cs="Times New Roman"/>
          <w:bCs/>
          <w:color w:val="000000" w:themeColor="text1"/>
          <w:lang w:eastAsia="ru-RU"/>
        </w:rPr>
        <w:t>ся передачей и распределением электрической энергии по г. Актау</w:t>
      </w:r>
      <w:r w:rsidRPr="00F0736F">
        <w:rPr>
          <w:rFonts w:ascii="Times New Roman" w:eastAsia="Times New Roman" w:hAnsi="Times New Roman" w:cs="Times New Roman"/>
          <w:bCs/>
          <w:color w:val="000000" w:themeColor="text1"/>
          <w:lang w:val="kk-KZ" w:eastAsia="ru-RU"/>
        </w:rPr>
        <w:t>,</w:t>
      </w:r>
      <w:r w:rsidRPr="00F0736F">
        <w:rPr>
          <w:rFonts w:ascii="Times New Roman" w:eastAsia="Times New Roman" w:hAnsi="Times New Roman" w:cs="Times New Roman"/>
          <w:bCs/>
          <w:color w:val="000000" w:themeColor="text1"/>
          <w:lang w:eastAsia="ru-RU"/>
        </w:rPr>
        <w:t xml:space="preserve"> продолжает работы по внедрению автоматической системы коммерческого учёта электроэнергии (АСКУЭ)</w:t>
      </w:r>
      <w:r w:rsidRPr="00F0736F">
        <w:rPr>
          <w:rFonts w:ascii="Times New Roman" w:eastAsia="Times New Roman" w:hAnsi="Times New Roman" w:cs="Times New Roman"/>
          <w:bCs/>
          <w:color w:val="000000" w:themeColor="text1"/>
          <w:lang w:val="kk-KZ" w:eastAsia="ru-RU"/>
        </w:rPr>
        <w:t xml:space="preserve">. Были </w:t>
      </w:r>
      <w:r w:rsidRPr="00F0736F">
        <w:rPr>
          <w:rFonts w:ascii="Times New Roman" w:eastAsia="Times New Roman" w:hAnsi="Times New Roman" w:cs="Times New Roman"/>
          <w:bCs/>
          <w:color w:val="000000" w:themeColor="text1"/>
          <w:lang w:eastAsia="ru-RU"/>
        </w:rPr>
        <w:t>внедрен</w:t>
      </w:r>
      <w:r w:rsidRPr="00F0736F">
        <w:rPr>
          <w:rFonts w:ascii="Times New Roman" w:eastAsia="Times New Roman" w:hAnsi="Times New Roman" w:cs="Times New Roman"/>
          <w:bCs/>
          <w:color w:val="000000" w:themeColor="text1"/>
          <w:lang w:val="kk-KZ" w:eastAsia="ru-RU"/>
        </w:rPr>
        <w:t>ы</w:t>
      </w:r>
      <w:r w:rsidRPr="00F0736F">
        <w:rPr>
          <w:rFonts w:ascii="Times New Roman" w:eastAsia="Times New Roman" w:hAnsi="Times New Roman" w:cs="Times New Roman"/>
          <w:bCs/>
          <w:color w:val="000000" w:themeColor="text1"/>
          <w:lang w:eastAsia="ru-RU"/>
        </w:rPr>
        <w:t xml:space="preserve"> 918 комплектов</w:t>
      </w:r>
      <w:r w:rsidRPr="00F0736F">
        <w:rPr>
          <w:rFonts w:ascii="Times New Roman" w:eastAsia="Times New Roman" w:hAnsi="Times New Roman" w:cs="Times New Roman"/>
          <w:bCs/>
          <w:color w:val="000000" w:themeColor="text1"/>
          <w:lang w:val="kk-KZ" w:eastAsia="ru-RU"/>
        </w:rPr>
        <w:t>,</w:t>
      </w:r>
      <w:r w:rsidRPr="00F0736F">
        <w:rPr>
          <w:rFonts w:ascii="Times New Roman" w:eastAsia="Times New Roman" w:hAnsi="Times New Roman" w:cs="Times New Roman"/>
          <w:bCs/>
          <w:color w:val="000000" w:themeColor="text1"/>
          <w:lang w:eastAsia="ru-RU"/>
        </w:rPr>
        <w:t xml:space="preserve"> </w:t>
      </w:r>
      <w:r w:rsidRPr="00F0736F">
        <w:rPr>
          <w:rFonts w:ascii="Times New Roman" w:eastAsia="Times New Roman" w:hAnsi="Times New Roman" w:cs="Times New Roman"/>
          <w:bCs/>
          <w:color w:val="000000" w:themeColor="text1"/>
          <w:lang w:val="kk-KZ" w:eastAsia="ru-RU"/>
        </w:rPr>
        <w:t xml:space="preserve">что </w:t>
      </w:r>
      <w:r w:rsidRPr="00F0736F">
        <w:rPr>
          <w:rFonts w:ascii="Times New Roman" w:eastAsia="Times New Roman" w:hAnsi="Times New Roman" w:cs="Times New Roman"/>
          <w:bCs/>
          <w:color w:val="000000" w:themeColor="text1"/>
          <w:lang w:eastAsia="ru-RU"/>
        </w:rPr>
        <w:t>привело к экономии энергоресурсов до 20 - 30%. В настоящее время для дальнейшего продолжения данно</w:t>
      </w:r>
      <w:r w:rsidRPr="00F0736F">
        <w:rPr>
          <w:rFonts w:ascii="Times New Roman" w:eastAsia="Times New Roman" w:hAnsi="Times New Roman" w:cs="Times New Roman"/>
          <w:bCs/>
          <w:color w:val="000000" w:themeColor="text1"/>
          <w:lang w:val="kk-KZ" w:eastAsia="ru-RU"/>
        </w:rPr>
        <w:t>й</w:t>
      </w:r>
      <w:r w:rsidRPr="00F0736F">
        <w:rPr>
          <w:rFonts w:ascii="Times New Roman" w:eastAsia="Times New Roman" w:hAnsi="Times New Roman" w:cs="Times New Roman"/>
          <w:bCs/>
          <w:color w:val="000000" w:themeColor="text1"/>
          <w:lang w:eastAsia="ru-RU"/>
        </w:rPr>
        <w:t xml:space="preserve"> работ</w:t>
      </w:r>
      <w:r w:rsidRPr="00F0736F">
        <w:rPr>
          <w:rFonts w:ascii="Times New Roman" w:eastAsia="Times New Roman" w:hAnsi="Times New Roman" w:cs="Times New Roman"/>
          <w:bCs/>
          <w:color w:val="000000" w:themeColor="text1"/>
          <w:lang w:val="kk-KZ" w:eastAsia="ru-RU"/>
        </w:rPr>
        <w:t>ы</w:t>
      </w:r>
      <w:r w:rsidRPr="00F0736F">
        <w:rPr>
          <w:rFonts w:ascii="Times New Roman" w:eastAsia="Times New Roman" w:hAnsi="Times New Roman" w:cs="Times New Roman"/>
          <w:bCs/>
          <w:color w:val="000000" w:themeColor="text1"/>
          <w:lang w:eastAsia="ru-RU"/>
        </w:rPr>
        <w:t xml:space="preserve"> по механизму государственно-частного партнерства ведутся переговоры с опытн</w:t>
      </w:r>
      <w:r w:rsidRPr="00F0736F">
        <w:rPr>
          <w:rFonts w:ascii="Times New Roman" w:eastAsia="Times New Roman" w:hAnsi="Times New Roman" w:cs="Times New Roman"/>
          <w:bCs/>
          <w:color w:val="000000" w:themeColor="text1"/>
          <w:lang w:val="kk-KZ" w:eastAsia="ru-RU"/>
        </w:rPr>
        <w:t>ой</w:t>
      </w:r>
      <w:r w:rsidRPr="00F0736F">
        <w:rPr>
          <w:rFonts w:ascii="Times New Roman" w:eastAsia="Times New Roman" w:hAnsi="Times New Roman" w:cs="Times New Roman"/>
          <w:bCs/>
          <w:color w:val="000000" w:themeColor="text1"/>
          <w:lang w:eastAsia="ru-RU"/>
        </w:rPr>
        <w:t xml:space="preserve"> компани</w:t>
      </w:r>
      <w:r w:rsidRPr="00F0736F">
        <w:rPr>
          <w:rFonts w:ascii="Times New Roman" w:eastAsia="Times New Roman" w:hAnsi="Times New Roman" w:cs="Times New Roman"/>
          <w:bCs/>
          <w:color w:val="000000" w:themeColor="text1"/>
          <w:lang w:val="kk-KZ" w:eastAsia="ru-RU"/>
        </w:rPr>
        <w:t>ей</w:t>
      </w:r>
      <w:r w:rsidRPr="00F0736F">
        <w:rPr>
          <w:rFonts w:ascii="Times New Roman" w:eastAsia="Times New Roman" w:hAnsi="Times New Roman" w:cs="Times New Roman"/>
          <w:bCs/>
          <w:color w:val="000000" w:themeColor="text1"/>
          <w:lang w:eastAsia="ru-RU"/>
        </w:rPr>
        <w:t xml:space="preserve"> ТОО «Смарт Гидс». Также АСКУЭ внедрены в АО «МРЭК», в результате которого снижены нормативные потери с 9% до 6%.</w:t>
      </w:r>
    </w:p>
    <w:p w14:paraId="658C460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Ведется пропаганда энергосбережения среди населения, публикуются статьи по вопросам рационального и эффективного использования и экономии энергоресурсов, формирования культуры энергосбережения.</w:t>
      </w:r>
    </w:p>
    <w:p w14:paraId="51684A4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color w:val="000000" w:themeColor="text1"/>
        </w:rPr>
        <w:t>Теплоснабжение.</w:t>
      </w:r>
      <w:r w:rsidRPr="00F0736F">
        <w:rPr>
          <w:rFonts w:ascii="Times New Roman" w:hAnsi="Times New Roman" w:cs="Times New Roman"/>
          <w:color w:val="000000" w:themeColor="text1"/>
        </w:rPr>
        <w:t xml:space="preserve"> По данным Комитета по статистике в 2019 году общая протяженность тепловых сетей по области – 579,2 км, которые находятся в коммунальной собственности, из них ветхие — 44,1 км (7,6%), нуждаются в замене — 195,3 км (33,7%), заменено — 3,1 км. </w:t>
      </w:r>
    </w:p>
    <w:p w14:paraId="28F71C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городах Актау, Жанаозен и с. Мангистау используется централизованное теплоснабжение. Теплоснабжение города Актау обеспечивается от ТЭЦ-1 и ТЭЦ-2 ТОО «МАЭК-Казатомпром». Уровень обеспеченности услугами централизованного теплоснабжения области составляет 51%.</w:t>
      </w:r>
    </w:p>
    <w:p w14:paraId="2B19B4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Теплоснабжение города Жанаозен производится центральной котельной ГКП «Озенжылу». </w:t>
      </w:r>
    </w:p>
    <w:p w14:paraId="1440AA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районных центрах и сельских населенных пунктах в качестве источников тепла используются автономные котельные и газовые котлы. Перевод их на централизованное отопление экономически нецелесообразен.</w:t>
      </w:r>
    </w:p>
    <w:p w14:paraId="0FECB9C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lang w:eastAsia="ru-RU"/>
        </w:rPr>
        <w:t xml:space="preserve">Газоснабжение. </w:t>
      </w:r>
      <w:r w:rsidRPr="00F0736F">
        <w:rPr>
          <w:rFonts w:ascii="Times New Roman" w:eastAsia="Times New Roman" w:hAnsi="Times New Roman" w:cs="Times New Roman"/>
          <w:color w:val="000000" w:themeColor="text1"/>
          <w:lang w:eastAsia="ru-RU"/>
        </w:rPr>
        <w:t>Общая газотранспортная система Мангистауской области (далее МО) состоит из магистральных и распределительных газопроводов</w:t>
      </w:r>
      <w:r w:rsidRPr="00F0736F">
        <w:rPr>
          <w:rFonts w:ascii="Times New Roman" w:eastAsia="Times New Roman" w:hAnsi="Times New Roman" w:cs="Times New Roman"/>
          <w:color w:val="000000" w:themeColor="text1"/>
          <w:lang w:val="kk-KZ" w:eastAsia="ru-RU"/>
        </w:rPr>
        <w:t>,</w:t>
      </w:r>
      <w:r w:rsidRPr="00F0736F">
        <w:rPr>
          <w:rFonts w:ascii="Times New Roman" w:eastAsia="Times New Roman" w:hAnsi="Times New Roman" w:cs="Times New Roman"/>
          <w:color w:val="000000" w:themeColor="text1"/>
          <w:lang w:eastAsia="ru-RU"/>
        </w:rPr>
        <w:t xml:space="preserve"> принадлежащих АО «Интергаз Центральная Азия» (ИЦА), АО «КазТрансГаз Аймак» (КТГА).</w:t>
      </w:r>
    </w:p>
    <w:p w14:paraId="079ECEA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Обеспеченность газом в трех городах области составляет 100%, а в селах — 91,4% (53 СНП).</w:t>
      </w:r>
    </w:p>
    <w:p w14:paraId="726B60B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Общая протяженность газопроводных сетей по области составляет 4926 км, из них: магистральные газопроводы - 1930,0 км; распределительные газопроводы – 2995,9 км.  Сети газопроводов в разрезе балансодержателей: магистральные газопроводы: принадлежащие ИЦА - 1501,8 км; принадлежащие КТГА –</w:t>
      </w:r>
      <w:r w:rsidRPr="00F0736F">
        <w:rPr>
          <w:rFonts w:ascii="Times New Roman" w:eastAsia="Times New Roman" w:hAnsi="Times New Roman" w:cs="Times New Roman"/>
          <w:color w:val="000000" w:themeColor="text1"/>
          <w:lang w:val="kk-KZ" w:eastAsia="ru-RU"/>
        </w:rPr>
        <w:t xml:space="preserve"> </w:t>
      </w:r>
      <w:r w:rsidRPr="00F0736F">
        <w:rPr>
          <w:rFonts w:ascii="Times New Roman" w:eastAsia="Times New Roman" w:hAnsi="Times New Roman" w:cs="Times New Roman"/>
          <w:color w:val="000000" w:themeColor="text1"/>
          <w:lang w:eastAsia="ru-RU"/>
        </w:rPr>
        <w:t>428,2 км; Распределительные газопроводы: принадлежащие КТГА - 2995,9 км.</w:t>
      </w:r>
    </w:p>
    <w:p w14:paraId="1C6B4513"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В соответствии с Законом РК «О газе и газоснабжении» и постановлением Правительства РК от 05.07.2012 г.</w:t>
      </w:r>
      <w:r w:rsidRPr="00F0736F">
        <w:rPr>
          <w:rFonts w:ascii="Times New Roman" w:eastAsia="Times New Roman" w:hAnsi="Times New Roman" w:cs="Times New Roman"/>
          <w:color w:val="000000" w:themeColor="text1"/>
          <w:lang w:val="kk-KZ" w:eastAsia="ru-RU"/>
        </w:rPr>
        <w:t xml:space="preserve"> </w:t>
      </w:r>
      <w:r w:rsidRPr="00F0736F">
        <w:rPr>
          <w:rFonts w:ascii="Times New Roman" w:eastAsia="Times New Roman" w:hAnsi="Times New Roman" w:cs="Times New Roman"/>
          <w:color w:val="000000" w:themeColor="text1"/>
          <w:lang w:eastAsia="ru-RU"/>
        </w:rPr>
        <w:t xml:space="preserve">№914 АО «КазТрансГаз» определено единым национальным оператором в сфере газа и газоснабжения.  В области эти функции выполняет Мангистауский производственный филиал АО «КазТрансГаз Аймак» (МПФ). </w:t>
      </w:r>
    </w:p>
    <w:p w14:paraId="5A459AAE"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3B4BE891"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pacing w:val="-2"/>
        </w:rPr>
        <w:t xml:space="preserve">Водоснабжение в городской местности. </w:t>
      </w:r>
      <w:r w:rsidRPr="00F0736F">
        <w:rPr>
          <w:rFonts w:ascii="Times New Roman" w:eastAsia="Times New Roman" w:hAnsi="Times New Roman" w:cs="Times New Roman"/>
          <w:color w:val="000000" w:themeColor="text1"/>
          <w:lang w:eastAsia="ru-RU"/>
        </w:rPr>
        <w:t xml:space="preserve">Регион расположен в полупустынной зоне, в этой связи водные ресурсы крайне ограничены. Водообеспечение области осуществляется посредством 3-х источников: </w:t>
      </w:r>
    </w:p>
    <w:p w14:paraId="6A25D6F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1) опресненная морская вода (ТОО «МАЭК-Казатомпром»);</w:t>
      </w:r>
    </w:p>
    <w:p w14:paraId="48B4CF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2) волжская вода, подаваемая водоводом «Астрахань-Мангышлак»;</w:t>
      </w:r>
    </w:p>
    <w:p w14:paraId="5B7D88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3) месторождения подземных вод.</w:t>
      </w:r>
    </w:p>
    <w:p w14:paraId="79EE7B2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Доступ городского населения к централизованному водоснабжению по итогам 201</w:t>
      </w:r>
      <w:r w:rsidRPr="00F0736F">
        <w:rPr>
          <w:rFonts w:ascii="Times New Roman" w:eastAsia="Times New Roman" w:hAnsi="Times New Roman" w:cs="Times New Roman"/>
          <w:color w:val="000000" w:themeColor="text1"/>
          <w:lang w:val="kk-KZ" w:eastAsia="ru-RU"/>
        </w:rPr>
        <w:t>7</w:t>
      </w:r>
      <w:r w:rsidRPr="00F0736F">
        <w:rPr>
          <w:rFonts w:ascii="Times New Roman" w:eastAsia="Times New Roman" w:hAnsi="Times New Roman" w:cs="Times New Roman"/>
          <w:color w:val="000000" w:themeColor="text1"/>
          <w:lang w:eastAsia="ru-RU"/>
        </w:rPr>
        <w:t xml:space="preserve"> года (с учетом малого города Форт-Шевченко) составляет 99,</w:t>
      </w:r>
      <w:r w:rsidRPr="00F0736F">
        <w:rPr>
          <w:rFonts w:ascii="Times New Roman" w:eastAsia="Times New Roman" w:hAnsi="Times New Roman" w:cs="Times New Roman"/>
          <w:color w:val="000000" w:themeColor="text1"/>
          <w:lang w:val="kk-KZ" w:eastAsia="ru-RU"/>
        </w:rPr>
        <w:t>8</w:t>
      </w:r>
      <w:r w:rsidRPr="00F0736F">
        <w:rPr>
          <w:rFonts w:ascii="Times New Roman" w:eastAsia="Times New Roman" w:hAnsi="Times New Roman" w:cs="Times New Roman"/>
          <w:color w:val="000000" w:themeColor="text1"/>
          <w:lang w:eastAsia="ru-RU"/>
        </w:rPr>
        <w:t xml:space="preserve">%, в 2019 году — 100%. Общая протяженность водопроводных сетей в городах составляла в 2017 и в 2018 годах 1455,3 км, в 2019 году — 1465,3 км. В изношенном состоянии находились в 2018 году- 227 км водопроводных сетей, в 2019 году — 239,9 км (данные Комитета по статистике). Большую долю данного показателя составляет износ сетей города Актау – 86%. </w:t>
      </w:r>
    </w:p>
    <w:p w14:paraId="4CF8312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eastAsia="ru-RU"/>
        </w:rPr>
        <w:t xml:space="preserve">В результате реализации проекта «Строительство питьевого водопровода и бытовой канализации в г.Форт-Шевченко и селе Баутино» (1 очередь) за счет средств Национального фонда, охват городского населения </w:t>
      </w:r>
      <w:r w:rsidRPr="00F0736F">
        <w:rPr>
          <w:rFonts w:ascii="Times New Roman" w:eastAsia="Times New Roman" w:hAnsi="Times New Roman" w:cs="Times New Roman"/>
          <w:color w:val="000000" w:themeColor="text1"/>
          <w:lang w:eastAsia="ru-RU"/>
        </w:rPr>
        <w:t>централизованным водоснабжением уже по итогам 201</w:t>
      </w:r>
      <w:r w:rsidRPr="00F0736F">
        <w:rPr>
          <w:rFonts w:ascii="Times New Roman" w:eastAsia="Times New Roman" w:hAnsi="Times New Roman" w:cs="Times New Roman"/>
          <w:color w:val="000000" w:themeColor="text1"/>
          <w:lang w:val="kk-KZ" w:eastAsia="ru-RU"/>
        </w:rPr>
        <w:t>8</w:t>
      </w:r>
      <w:r w:rsidRPr="00F0736F">
        <w:rPr>
          <w:rFonts w:ascii="Times New Roman" w:eastAsia="Times New Roman" w:hAnsi="Times New Roman" w:cs="Times New Roman"/>
          <w:color w:val="000000" w:themeColor="text1"/>
          <w:lang w:eastAsia="ru-RU"/>
        </w:rPr>
        <w:t xml:space="preserve"> года </w:t>
      </w:r>
      <w:r w:rsidRPr="00F0736F">
        <w:rPr>
          <w:rFonts w:ascii="Times New Roman" w:eastAsia="Times New Roman" w:hAnsi="Times New Roman" w:cs="Times New Roman"/>
          <w:color w:val="000000" w:themeColor="text1"/>
          <w:lang w:val="kk-KZ" w:eastAsia="ru-RU"/>
        </w:rPr>
        <w:t>состави</w:t>
      </w:r>
      <w:r w:rsidRPr="00F0736F">
        <w:rPr>
          <w:rFonts w:ascii="Times New Roman" w:eastAsia="Times New Roman" w:hAnsi="Times New Roman" w:cs="Times New Roman"/>
          <w:color w:val="000000" w:themeColor="text1"/>
          <w:lang w:eastAsia="ru-RU"/>
        </w:rPr>
        <w:t>л</w:t>
      </w:r>
      <w:r w:rsidRPr="00F0736F">
        <w:rPr>
          <w:rFonts w:ascii="Times New Roman" w:eastAsia="Times New Roman" w:hAnsi="Times New Roman" w:cs="Times New Roman"/>
          <w:color w:val="000000" w:themeColor="text1"/>
          <w:lang w:val="kk-KZ" w:eastAsia="ru-RU"/>
        </w:rPr>
        <w:t xml:space="preserve"> 100%. </w:t>
      </w:r>
    </w:p>
    <w:p w14:paraId="6882B434"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spacing w:val="-2"/>
          <w:lang w:eastAsia="ru-RU"/>
        </w:rPr>
        <w:t xml:space="preserve">Водоснабжение в сельской местности. </w:t>
      </w:r>
      <w:r w:rsidRPr="00F0736F">
        <w:rPr>
          <w:rFonts w:ascii="Times New Roman" w:eastAsia="Times New Roman" w:hAnsi="Times New Roman" w:cs="Times New Roman"/>
          <w:color w:val="000000" w:themeColor="text1"/>
          <w:lang w:eastAsia="ru-RU"/>
        </w:rPr>
        <w:t>По итогам 201</w:t>
      </w:r>
      <w:r w:rsidRPr="00F0736F">
        <w:rPr>
          <w:rFonts w:ascii="Times New Roman" w:eastAsia="Times New Roman" w:hAnsi="Times New Roman" w:cs="Times New Roman"/>
          <w:color w:val="000000" w:themeColor="text1"/>
          <w:lang w:val="kk-KZ" w:eastAsia="ru-RU"/>
        </w:rPr>
        <w:t>7</w:t>
      </w:r>
      <w:r w:rsidRPr="00F0736F">
        <w:rPr>
          <w:rFonts w:ascii="Times New Roman" w:eastAsia="Times New Roman" w:hAnsi="Times New Roman" w:cs="Times New Roman"/>
          <w:color w:val="000000" w:themeColor="text1"/>
          <w:lang w:eastAsia="ru-RU"/>
        </w:rPr>
        <w:t xml:space="preserve"> года по области 3</w:t>
      </w:r>
      <w:r w:rsidRPr="00F0736F">
        <w:rPr>
          <w:rFonts w:ascii="Times New Roman" w:eastAsia="Times New Roman" w:hAnsi="Times New Roman" w:cs="Times New Roman"/>
          <w:color w:val="000000" w:themeColor="text1"/>
          <w:lang w:val="kk-KZ" w:eastAsia="ru-RU"/>
        </w:rPr>
        <w:t>9</w:t>
      </w:r>
      <w:r w:rsidRPr="00F0736F">
        <w:rPr>
          <w:rFonts w:ascii="Times New Roman" w:eastAsia="Times New Roman" w:hAnsi="Times New Roman" w:cs="Times New Roman"/>
          <w:color w:val="000000" w:themeColor="text1"/>
          <w:lang w:eastAsia="ru-RU"/>
        </w:rPr>
        <w:t xml:space="preserve"> сельских населенных пунктов имеют доступ к централизованному водоснабжению (ТОО «МАЭК-Казатомпром», водовод «Астрахань-Мангышлак», месторождения Туйесу, Сауыскан, Куюлус, Торорпа, Онды, Шайыр), 1</w:t>
      </w:r>
      <w:r w:rsidRPr="00F0736F">
        <w:rPr>
          <w:rFonts w:ascii="Times New Roman" w:eastAsia="Times New Roman" w:hAnsi="Times New Roman" w:cs="Times New Roman"/>
          <w:color w:val="000000" w:themeColor="text1"/>
          <w:lang w:val="kk-KZ" w:eastAsia="ru-RU"/>
        </w:rPr>
        <w:t>4</w:t>
      </w:r>
      <w:r w:rsidRPr="00F0736F">
        <w:rPr>
          <w:rFonts w:ascii="Times New Roman" w:eastAsia="Times New Roman" w:hAnsi="Times New Roman" w:cs="Times New Roman"/>
          <w:color w:val="000000" w:themeColor="text1"/>
          <w:lang w:eastAsia="ru-RU"/>
        </w:rPr>
        <w:t xml:space="preserve"> СНП пользуются децентрализованным водоснабжением (месторождения Сам, Карагайлы, Аккудук, Акмыш, Саускан, Уланак, Тущибек, Беки, Боздак). 8 сельских населенных пунктов пользуются привозной водой (месторождения Баскудук, Туйесу, Сауыскан). В 2019 году обеспечено централизованным водоснабжением 44 СНП (75,8%).</w:t>
      </w:r>
    </w:p>
    <w:p w14:paraId="7948259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водопроводных сетей в селах составляла в 2017 и в 2018 годах 1061,6 км, в 2019 году — 1140,6. В изношенном состоянии находились в 2018 году - 227 км водопроводных сетей, в 2019 году — 63 км (данные Комитета по статистике).</w:t>
      </w:r>
    </w:p>
    <w:p w14:paraId="5FD66DD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Охват сельских населенных пунктов централизованным водоснабжением на 1.</w:t>
      </w:r>
      <w:r w:rsidRPr="00F0736F">
        <w:rPr>
          <w:rFonts w:ascii="Times New Roman" w:eastAsia="Times New Roman" w:hAnsi="Times New Roman" w:cs="Times New Roman"/>
          <w:color w:val="000000" w:themeColor="text1"/>
          <w:lang w:val="kk-KZ" w:eastAsia="ru-RU"/>
        </w:rPr>
        <w:t>10</w:t>
      </w:r>
      <w:r w:rsidRPr="00F0736F">
        <w:rPr>
          <w:rFonts w:ascii="Times New Roman" w:eastAsia="Times New Roman" w:hAnsi="Times New Roman" w:cs="Times New Roman"/>
          <w:color w:val="000000" w:themeColor="text1"/>
          <w:lang w:eastAsia="ru-RU"/>
        </w:rPr>
        <w:t>.201</w:t>
      </w:r>
      <w:r w:rsidRPr="00F0736F">
        <w:rPr>
          <w:rFonts w:ascii="Times New Roman" w:eastAsia="Times New Roman" w:hAnsi="Times New Roman" w:cs="Times New Roman"/>
          <w:color w:val="000000" w:themeColor="text1"/>
          <w:lang w:val="kk-KZ" w:eastAsia="ru-RU"/>
        </w:rPr>
        <w:t xml:space="preserve">8 </w:t>
      </w:r>
      <w:r w:rsidRPr="00F0736F">
        <w:rPr>
          <w:rFonts w:ascii="Times New Roman" w:eastAsia="Times New Roman" w:hAnsi="Times New Roman" w:cs="Times New Roman"/>
          <w:color w:val="000000" w:themeColor="text1"/>
          <w:lang w:eastAsia="ru-RU"/>
        </w:rPr>
        <w:t xml:space="preserve">г. составил </w:t>
      </w:r>
      <w:r w:rsidRPr="00F0736F">
        <w:rPr>
          <w:rFonts w:ascii="Times New Roman" w:eastAsia="Times New Roman" w:hAnsi="Times New Roman" w:cs="Times New Roman"/>
          <w:color w:val="000000" w:themeColor="text1"/>
          <w:lang w:val="kk-KZ" w:eastAsia="ru-RU"/>
        </w:rPr>
        <w:t>64</w:t>
      </w:r>
      <w:r w:rsidRPr="00F0736F">
        <w:rPr>
          <w:rFonts w:ascii="Times New Roman" w:eastAsia="Times New Roman" w:hAnsi="Times New Roman" w:cs="Times New Roman"/>
          <w:color w:val="000000" w:themeColor="text1"/>
          <w:lang w:eastAsia="ru-RU"/>
        </w:rPr>
        <w:t>%. Доступ сельского населения к централизованному водоснабжению по итогам 2018 года составил 69%.</w:t>
      </w:r>
    </w:p>
    <w:p w14:paraId="403FB6A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В территориальном срезе степень доступа к централизованной системе водоснабжения по районам (по численности населения) выглядит следующим образом: Мунайлинский район – </w:t>
      </w:r>
      <w:r w:rsidRPr="00F0736F">
        <w:rPr>
          <w:rFonts w:ascii="Times New Roman" w:eastAsia="Times New Roman" w:hAnsi="Times New Roman" w:cs="Times New Roman"/>
          <w:color w:val="000000" w:themeColor="text1"/>
          <w:lang w:val="kk-KZ" w:eastAsia="ru-RU"/>
        </w:rPr>
        <w:t>47,46</w:t>
      </w:r>
      <w:r w:rsidRPr="00F0736F">
        <w:rPr>
          <w:rFonts w:ascii="Times New Roman" w:eastAsia="Times New Roman" w:hAnsi="Times New Roman" w:cs="Times New Roman"/>
          <w:color w:val="000000" w:themeColor="text1"/>
          <w:lang w:eastAsia="ru-RU"/>
        </w:rPr>
        <w:t xml:space="preserve">%, Бейнеуский район – 68,6%, Тупкараганский район – 86,9%, Каракиянский район – </w:t>
      </w:r>
      <w:r w:rsidRPr="00F0736F">
        <w:rPr>
          <w:rFonts w:ascii="Times New Roman" w:eastAsia="Times New Roman" w:hAnsi="Times New Roman" w:cs="Times New Roman"/>
          <w:color w:val="000000" w:themeColor="text1"/>
          <w:lang w:val="kk-KZ" w:eastAsia="ru-RU"/>
        </w:rPr>
        <w:t>89,24</w:t>
      </w:r>
      <w:r w:rsidRPr="00F0736F">
        <w:rPr>
          <w:rFonts w:ascii="Times New Roman" w:eastAsia="Times New Roman" w:hAnsi="Times New Roman" w:cs="Times New Roman"/>
          <w:color w:val="000000" w:themeColor="text1"/>
          <w:lang w:eastAsia="ru-RU"/>
        </w:rPr>
        <w:t xml:space="preserve">%, Мангистауский район – </w:t>
      </w:r>
      <w:r w:rsidRPr="00F0736F">
        <w:rPr>
          <w:rFonts w:ascii="Times New Roman" w:eastAsia="Times New Roman" w:hAnsi="Times New Roman" w:cs="Times New Roman"/>
          <w:color w:val="000000" w:themeColor="text1"/>
          <w:lang w:val="kk-KZ" w:eastAsia="ru-RU"/>
        </w:rPr>
        <w:t>77,67</w:t>
      </w:r>
      <w:r w:rsidRPr="00F0736F">
        <w:rPr>
          <w:rFonts w:ascii="Times New Roman" w:eastAsia="Times New Roman" w:hAnsi="Times New Roman" w:cs="Times New Roman"/>
          <w:color w:val="000000" w:themeColor="text1"/>
          <w:lang w:eastAsia="ru-RU"/>
        </w:rPr>
        <w:t>%.</w:t>
      </w:r>
    </w:p>
    <w:p w14:paraId="674FFD30"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По СНП фактические потери воды составили </w:t>
      </w:r>
      <w:r w:rsidRPr="00F0736F">
        <w:rPr>
          <w:rFonts w:ascii="Times New Roman" w:eastAsia="Times New Roman" w:hAnsi="Times New Roman" w:cs="Times New Roman"/>
          <w:color w:val="000000" w:themeColor="text1"/>
          <w:lang w:val="kk-KZ" w:eastAsia="ru-RU"/>
        </w:rPr>
        <w:t>628,214</w:t>
      </w:r>
      <w:r w:rsidRPr="00F0736F">
        <w:rPr>
          <w:rFonts w:ascii="Times New Roman" w:eastAsia="Times New Roman" w:hAnsi="Times New Roman" w:cs="Times New Roman"/>
          <w:color w:val="000000" w:themeColor="text1"/>
          <w:lang w:eastAsia="ru-RU"/>
        </w:rPr>
        <w:t xml:space="preserve"> тыс.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w:t>
      </w:r>
    </w:p>
    <w:p w14:paraId="02B0FB5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Основная проблема в сфере водоснабжения — это существующий дефицит воды в области при постоянном росте населения и экономики. Усугубляет данную проблему изношенность инфраструктуры, в частности, водовода «Астрахань - Мангышлак», который является одним из основных источников воды для области.</w:t>
      </w:r>
    </w:p>
    <w:p w14:paraId="5AA64D4F"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lang w:eastAsia="ru-RU"/>
        </w:rPr>
        <w:t xml:space="preserve">Водоотведение. </w:t>
      </w:r>
      <w:r w:rsidRPr="00F0736F">
        <w:rPr>
          <w:rFonts w:ascii="Times New Roman" w:eastAsia="Times New Roman" w:hAnsi="Times New Roman" w:cs="Times New Roman"/>
          <w:color w:val="000000" w:themeColor="text1"/>
          <w:lang w:eastAsia="ru-RU"/>
        </w:rPr>
        <w:t xml:space="preserve">Системами водоотведения и очистки сточных вод оборудованы только города Актау и Жанаозен. По области действует 31 канализационное сооружение. Протяженность канализационных сетей в 2018 году составила 539,6 км, из них 246,3 км нуждаются в замене, в 2019 году, соответственно, 546,6 км и 511,2 км (данные Комитета по статистике). Сети канализации эксплуатируются более 30 лет и имеют уровень износа более </w:t>
      </w:r>
      <w:r w:rsidRPr="00F0736F">
        <w:rPr>
          <w:rFonts w:ascii="Times New Roman" w:eastAsia="Times New Roman" w:hAnsi="Times New Roman" w:cs="Times New Roman"/>
          <w:color w:val="000000" w:themeColor="text1"/>
          <w:lang w:val="kk-KZ" w:eastAsia="ru-RU"/>
        </w:rPr>
        <w:t>80</w:t>
      </w:r>
      <w:r w:rsidRPr="00F0736F">
        <w:rPr>
          <w:rFonts w:ascii="Times New Roman" w:eastAsia="Times New Roman" w:hAnsi="Times New Roman" w:cs="Times New Roman"/>
          <w:color w:val="000000" w:themeColor="text1"/>
          <w:lang w:eastAsia="ru-RU"/>
        </w:rPr>
        <w:t>%, канализационные насосные станции – 8</w:t>
      </w:r>
      <w:r w:rsidRPr="00F0736F">
        <w:rPr>
          <w:rFonts w:ascii="Times New Roman" w:eastAsia="Times New Roman" w:hAnsi="Times New Roman" w:cs="Times New Roman"/>
          <w:color w:val="000000" w:themeColor="text1"/>
          <w:lang w:val="kk-KZ" w:eastAsia="ru-RU"/>
        </w:rPr>
        <w:t>1</w:t>
      </w:r>
      <w:r w:rsidRPr="00F0736F">
        <w:rPr>
          <w:rFonts w:ascii="Times New Roman" w:eastAsia="Times New Roman" w:hAnsi="Times New Roman" w:cs="Times New Roman"/>
          <w:color w:val="000000" w:themeColor="text1"/>
          <w:lang w:eastAsia="ru-RU"/>
        </w:rPr>
        <w:t>%, очистные сооружения канализации – 9</w:t>
      </w:r>
      <w:r w:rsidRPr="00F0736F">
        <w:rPr>
          <w:rFonts w:ascii="Times New Roman" w:eastAsia="Times New Roman" w:hAnsi="Times New Roman" w:cs="Times New Roman"/>
          <w:color w:val="000000" w:themeColor="text1"/>
          <w:lang w:val="kk-KZ" w:eastAsia="ru-RU"/>
        </w:rPr>
        <w:t>1</w:t>
      </w:r>
      <w:r w:rsidRPr="00F0736F">
        <w:rPr>
          <w:rFonts w:ascii="Times New Roman" w:eastAsia="Times New Roman" w:hAnsi="Times New Roman" w:cs="Times New Roman"/>
          <w:color w:val="000000" w:themeColor="text1"/>
          <w:lang w:eastAsia="ru-RU"/>
        </w:rPr>
        <w:t xml:space="preserve">%. </w:t>
      </w:r>
    </w:p>
    <w:p w14:paraId="38F0A55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Доступ населения к централизованному водоотведению в городах (с учетом малого города Форт-Шевченко) по итогам 201</w:t>
      </w:r>
      <w:r w:rsidRPr="00F0736F">
        <w:rPr>
          <w:rFonts w:ascii="Times New Roman" w:eastAsia="Times New Roman" w:hAnsi="Times New Roman" w:cs="Times New Roman"/>
          <w:color w:val="000000" w:themeColor="text1"/>
          <w:lang w:val="kk-KZ" w:eastAsia="ru-RU"/>
        </w:rPr>
        <w:t>7 - 2018</w:t>
      </w:r>
      <w:r w:rsidRPr="00F0736F">
        <w:rPr>
          <w:rFonts w:ascii="Times New Roman" w:eastAsia="Times New Roman" w:hAnsi="Times New Roman" w:cs="Times New Roman"/>
          <w:color w:val="000000" w:themeColor="text1"/>
          <w:lang w:eastAsia="ru-RU"/>
        </w:rPr>
        <w:t xml:space="preserve"> годов составляет </w:t>
      </w:r>
      <w:r w:rsidRPr="00F0736F">
        <w:rPr>
          <w:rFonts w:ascii="Times New Roman" w:eastAsia="Times New Roman" w:hAnsi="Times New Roman" w:cs="Times New Roman"/>
          <w:color w:val="000000" w:themeColor="text1"/>
          <w:lang w:val="kk-KZ" w:eastAsia="ru-RU"/>
        </w:rPr>
        <w:t>93</w:t>
      </w:r>
      <w:r w:rsidRPr="00F0736F">
        <w:rPr>
          <w:rFonts w:ascii="Times New Roman" w:eastAsia="Times New Roman" w:hAnsi="Times New Roman" w:cs="Times New Roman"/>
          <w:color w:val="000000" w:themeColor="text1"/>
          <w:lang w:eastAsia="ru-RU"/>
        </w:rPr>
        <w:t>,</w:t>
      </w:r>
      <w:r w:rsidRPr="00F0736F">
        <w:rPr>
          <w:rFonts w:ascii="Times New Roman" w:eastAsia="Times New Roman" w:hAnsi="Times New Roman" w:cs="Times New Roman"/>
          <w:color w:val="000000" w:themeColor="text1"/>
          <w:lang w:val="kk-KZ" w:eastAsia="ru-RU"/>
        </w:rPr>
        <w:t>1</w:t>
      </w:r>
      <w:r w:rsidRPr="00F0736F">
        <w:rPr>
          <w:rFonts w:ascii="Times New Roman" w:eastAsia="Times New Roman" w:hAnsi="Times New Roman" w:cs="Times New Roman"/>
          <w:color w:val="000000" w:themeColor="text1"/>
          <w:lang w:eastAsia="ru-RU"/>
        </w:rPr>
        <w:t xml:space="preserve">%. </w:t>
      </w:r>
    </w:p>
    <w:p w14:paraId="0304030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По итогам 201</w:t>
      </w:r>
      <w:r w:rsidRPr="00F0736F">
        <w:rPr>
          <w:rFonts w:ascii="Times New Roman" w:eastAsia="Times New Roman" w:hAnsi="Times New Roman" w:cs="Times New Roman"/>
          <w:color w:val="000000" w:themeColor="text1"/>
          <w:lang w:val="kk-KZ" w:eastAsia="ru-RU"/>
        </w:rPr>
        <w:t>7</w:t>
      </w:r>
      <w:r w:rsidRPr="00F0736F">
        <w:rPr>
          <w:rFonts w:ascii="Times New Roman" w:eastAsia="Times New Roman" w:hAnsi="Times New Roman" w:cs="Times New Roman"/>
          <w:color w:val="000000" w:themeColor="text1"/>
          <w:lang w:eastAsia="ru-RU"/>
        </w:rPr>
        <w:t xml:space="preserve"> года в 6 селах, или 17,1%, имеется централизованное водоотведение из 3</w:t>
      </w:r>
      <w:r w:rsidRPr="00F0736F">
        <w:rPr>
          <w:rFonts w:ascii="Times New Roman" w:eastAsia="Times New Roman" w:hAnsi="Times New Roman" w:cs="Times New Roman"/>
          <w:color w:val="000000" w:themeColor="text1"/>
          <w:lang w:val="kk-KZ" w:eastAsia="ru-RU"/>
        </w:rPr>
        <w:t>9</w:t>
      </w:r>
      <w:r w:rsidRPr="00F0736F">
        <w:rPr>
          <w:rFonts w:ascii="Times New Roman" w:eastAsia="Times New Roman" w:hAnsi="Times New Roman" w:cs="Times New Roman"/>
          <w:color w:val="000000" w:themeColor="text1"/>
          <w:lang w:eastAsia="ru-RU"/>
        </w:rPr>
        <w:t xml:space="preserve"> СНП, которые обеспечены централизованным водообеспечением. В СНП преимущественно используются септики. Доступ сельского населения к водоотведению по итогам 2017 - 2018 годов составил 3,8%.</w:t>
      </w:r>
    </w:p>
    <w:p w14:paraId="4BF5DAA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в рамках программы «Развитие регионов до 2020 года» на реализацию проектов «Строительство системы канализации в селе Шетпе. 2 очередь» и «Строительство канализационного очистного сооружения в селе Шетпе Мангистауского района» были выделены средства и РБ в размере 300 млн. тенге. Проекты, переходящие на 2019 год. </w:t>
      </w:r>
    </w:p>
    <w:p w14:paraId="31D1CC6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Для решения проблем по обеспечению сельских населенных пунктов централизованным водоотве</w:t>
      </w:r>
      <w:r w:rsidRPr="00F0736F">
        <w:rPr>
          <w:rFonts w:ascii="Times New Roman" w:eastAsia="Times New Roman" w:hAnsi="Times New Roman" w:cs="Times New Roman"/>
          <w:color w:val="000000" w:themeColor="text1"/>
          <w:lang w:val="kk-KZ" w:eastAsia="ru-RU"/>
        </w:rPr>
        <w:t>де</w:t>
      </w:r>
      <w:r w:rsidRPr="00F0736F">
        <w:rPr>
          <w:rFonts w:ascii="Times New Roman" w:eastAsia="Times New Roman" w:hAnsi="Times New Roman" w:cs="Times New Roman"/>
          <w:color w:val="000000" w:themeColor="text1"/>
          <w:lang w:eastAsia="ru-RU"/>
        </w:rPr>
        <w:t>нием</w:t>
      </w:r>
      <w:r w:rsidRPr="00F0736F">
        <w:rPr>
          <w:rFonts w:ascii="Times New Roman" w:eastAsia="Times New Roman" w:hAnsi="Times New Roman" w:cs="Times New Roman"/>
          <w:color w:val="000000" w:themeColor="text1"/>
          <w:lang w:val="kk-KZ" w:eastAsia="ru-RU"/>
        </w:rPr>
        <w:t xml:space="preserve"> </w:t>
      </w:r>
      <w:r w:rsidRPr="00F0736F">
        <w:rPr>
          <w:rFonts w:ascii="Times New Roman" w:eastAsia="Times New Roman" w:hAnsi="Times New Roman" w:cs="Times New Roman"/>
          <w:color w:val="000000" w:themeColor="text1"/>
          <w:lang w:eastAsia="ru-RU"/>
        </w:rPr>
        <w:t>разработаны проекты по ст</w:t>
      </w:r>
      <w:r w:rsidRPr="00F0736F">
        <w:rPr>
          <w:rFonts w:ascii="Times New Roman" w:eastAsia="Times New Roman" w:hAnsi="Times New Roman" w:cs="Times New Roman"/>
          <w:color w:val="000000" w:themeColor="text1"/>
          <w:lang w:val="kk-KZ" w:eastAsia="ru-RU"/>
        </w:rPr>
        <w:t>р</w:t>
      </w:r>
      <w:r w:rsidRPr="00F0736F">
        <w:rPr>
          <w:rFonts w:ascii="Times New Roman" w:eastAsia="Times New Roman" w:hAnsi="Times New Roman" w:cs="Times New Roman"/>
          <w:color w:val="000000" w:themeColor="text1"/>
          <w:lang w:eastAsia="ru-RU"/>
        </w:rPr>
        <w:t xml:space="preserve">оительству сетей канализации в </w:t>
      </w:r>
      <w:r w:rsidRPr="00F0736F">
        <w:rPr>
          <w:rFonts w:ascii="Times New Roman" w:eastAsia="Times New Roman" w:hAnsi="Times New Roman" w:cs="Times New Roman"/>
          <w:color w:val="000000" w:themeColor="text1"/>
          <w:lang w:val="kk-KZ" w:eastAsia="ru-RU"/>
        </w:rPr>
        <w:t>2</w:t>
      </w:r>
      <w:r w:rsidRPr="00F0736F">
        <w:rPr>
          <w:rFonts w:ascii="Times New Roman" w:eastAsia="Times New Roman" w:hAnsi="Times New Roman" w:cs="Times New Roman"/>
          <w:color w:val="000000" w:themeColor="text1"/>
          <w:lang w:eastAsia="ru-RU"/>
        </w:rPr>
        <w:t xml:space="preserve"> селах (Курык, Мангистау). </w:t>
      </w:r>
    </w:p>
    <w:p w14:paraId="589A66F3"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eastAsia="Times New Roman" w:hAnsi="Times New Roman" w:cs="Times New Roman"/>
          <w:color w:val="000000" w:themeColor="text1"/>
          <w:lang w:eastAsia="ru-RU"/>
        </w:rPr>
        <w:t>В 2019 году централизованным водоотведением обеспечено 3,8% населения СНП от общего населения СНП области, или 15 405 человек из 404 735 человек. В 2018 - 2019 годах из республиканского бюджета выделено и освоено 1,8 млрд. тенге на строительство КОС и сетей водоотведения в селе Шетпе Мангистауского района (стоимость проекта – 2,9 млрд. тенге). Проект, переходящий на 2020 год.</w:t>
      </w:r>
    </w:p>
    <w:p w14:paraId="366C5D9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764EE6C8"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За 2017 - 2019 годы</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w:t>
      </w:r>
      <w:r w:rsidRPr="00F0736F">
        <w:rPr>
          <w:rFonts w:ascii="Times New Roman" w:hAnsi="Times New Roman" w:cs="Times New Roman"/>
          <w:b/>
          <w:color w:val="000000" w:themeColor="text1"/>
        </w:rPr>
        <w:t>города Актау</w:t>
      </w:r>
      <w:r w:rsidRPr="00F0736F">
        <w:rPr>
          <w:rFonts w:ascii="Times New Roman" w:hAnsi="Times New Roman" w:cs="Times New Roman"/>
          <w:color w:val="000000" w:themeColor="text1"/>
        </w:rPr>
        <w:t xml:space="preserve"> оценивался </w:t>
      </w:r>
      <w:r w:rsidRPr="00F0736F">
        <w:rPr>
          <w:rFonts w:ascii="Times New Roman" w:hAnsi="Times New Roman" w:cs="Times New Roman"/>
          <w:color w:val="000000" w:themeColor="text1"/>
          <w:lang w:val="kk-KZ"/>
        </w:rPr>
        <w:t>повышенным</w:t>
      </w:r>
      <w:r w:rsidRPr="00F0736F">
        <w:rPr>
          <w:rFonts w:ascii="Times New Roman" w:hAnsi="Times New Roman" w:cs="Times New Roman"/>
          <w:i/>
          <w:color w:val="000000" w:themeColor="text1"/>
        </w:rPr>
        <w:t>.</w:t>
      </w:r>
      <w:r w:rsidRPr="00F0736F">
        <w:rPr>
          <w:rFonts w:ascii="Times New Roman" w:hAnsi="Times New Roman" w:cs="Times New Roman"/>
          <w:b/>
          <w:i/>
          <w:color w:val="000000" w:themeColor="text1"/>
        </w:rPr>
        <w:t xml:space="preserve"> </w:t>
      </w:r>
      <w:r w:rsidRPr="00F0736F">
        <w:rPr>
          <w:rFonts w:ascii="Times New Roman" w:hAnsi="Times New Roman" w:cs="Times New Roman"/>
          <w:color w:val="000000" w:themeColor="text1"/>
        </w:rPr>
        <w:t xml:space="preserve">ИЗА составляет 5-7 (повышенный, высокий уровень). СИ = </w:t>
      </w:r>
      <w:r w:rsidRPr="00F0736F">
        <w:rPr>
          <w:rFonts w:ascii="Times New Roman" w:hAnsi="Times New Roman" w:cs="Times New Roman"/>
          <w:color w:val="000000" w:themeColor="text1"/>
          <w:lang w:val="kk-KZ"/>
        </w:rPr>
        <w:t xml:space="preserve">8–22,3 (высокий </w:t>
      </w:r>
      <w:r w:rsidRPr="00F0736F">
        <w:rPr>
          <w:rFonts w:ascii="Times New Roman" w:hAnsi="Times New Roman" w:cs="Times New Roman"/>
          <w:color w:val="000000" w:themeColor="text1"/>
        </w:rPr>
        <w:t xml:space="preserve">и очень высокий </w:t>
      </w:r>
      <w:r w:rsidRPr="00F0736F">
        <w:rPr>
          <w:rFonts w:ascii="Times New Roman" w:hAnsi="Times New Roman" w:cs="Times New Roman"/>
          <w:color w:val="000000" w:themeColor="text1"/>
          <w:lang w:val="kk-KZ"/>
        </w:rPr>
        <w:t xml:space="preserve">уровень) </w:t>
      </w:r>
      <w:r w:rsidRPr="00F0736F">
        <w:rPr>
          <w:rFonts w:ascii="Times New Roman" w:hAnsi="Times New Roman" w:cs="Times New Roman"/>
          <w:color w:val="000000" w:themeColor="text1"/>
        </w:rPr>
        <w:t>по взвешенным частицами РМ10</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lang w:val="kk-KZ"/>
        </w:rPr>
        <w:t xml:space="preserve">и </w:t>
      </w:r>
      <w:r w:rsidRPr="00F0736F">
        <w:rPr>
          <w:rFonts w:ascii="Times New Roman" w:hAnsi="Times New Roman" w:cs="Times New Roman"/>
          <w:color w:val="000000" w:themeColor="text1"/>
        </w:rPr>
        <w:t>НП = 1-2</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(повышенный уровень).</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 xml:space="preserve"> </w:t>
      </w:r>
    </w:p>
    <w:p w14:paraId="4BF875B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города Жанаозен</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низкий</w:t>
      </w:r>
      <w:r w:rsidRPr="00F0736F">
        <w:rPr>
          <w:rFonts w:ascii="Times New Roman" w:hAnsi="Times New Roman" w:cs="Times New Roman"/>
          <w:color w:val="000000" w:themeColor="text1"/>
        </w:rPr>
        <w:t xml:space="preserve">. ИЗА составляет 1-5 (низкий и повышенный (в 2018 году) уровень), СИ = 3,6-4 (повышенный уровень) </w:t>
      </w:r>
      <w:r w:rsidRPr="00F0736F">
        <w:rPr>
          <w:rFonts w:ascii="Times New Roman" w:hAnsi="Times New Roman" w:cs="Times New Roman"/>
          <w:color w:val="000000" w:themeColor="text1"/>
          <w:lang w:val="kk-KZ"/>
        </w:rPr>
        <w:t xml:space="preserve">и </w:t>
      </w:r>
      <w:r w:rsidRPr="00F0736F">
        <w:rPr>
          <w:rFonts w:ascii="Times New Roman" w:hAnsi="Times New Roman" w:cs="Times New Roman"/>
          <w:color w:val="000000" w:themeColor="text1"/>
        </w:rPr>
        <w:t xml:space="preserve">НП равен </w:t>
      </w:r>
      <w:r w:rsidRPr="00F0736F">
        <w:rPr>
          <w:rFonts w:ascii="Times New Roman" w:hAnsi="Times New Roman" w:cs="Times New Roman"/>
          <w:color w:val="000000" w:themeColor="text1"/>
          <w:lang w:val="kk-KZ"/>
        </w:rPr>
        <w:t>0-3</w:t>
      </w:r>
      <w:r w:rsidRPr="00F0736F">
        <w:rPr>
          <w:rFonts w:ascii="Times New Roman" w:hAnsi="Times New Roman" w:cs="Times New Roman"/>
          <w:color w:val="000000" w:themeColor="text1"/>
        </w:rPr>
        <w:t xml:space="preserve">% (низкий и повышенный (в 2018 году) уровень).  </w:t>
      </w:r>
    </w:p>
    <w:p w14:paraId="15C835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поселка Бейнеу</w:t>
      </w:r>
      <w:r w:rsidRPr="00F0736F">
        <w:rPr>
          <w:rFonts w:ascii="Times New Roman" w:hAnsi="Times New Roman" w:cs="Times New Roman"/>
          <w:color w:val="000000" w:themeColor="text1"/>
        </w:rPr>
        <w:t xml:space="preserve"> оценивался </w:t>
      </w:r>
      <w:r w:rsidRPr="00F0736F">
        <w:rPr>
          <w:rFonts w:ascii="Times New Roman" w:hAnsi="Times New Roman" w:cs="Times New Roman"/>
          <w:color w:val="000000" w:themeColor="text1"/>
          <w:lang w:val="kk-KZ"/>
        </w:rPr>
        <w:t>низким</w:t>
      </w:r>
      <w:r w:rsidRPr="00F0736F">
        <w:rPr>
          <w:rFonts w:ascii="Times New Roman" w:hAnsi="Times New Roman" w:cs="Times New Roman"/>
          <w:color w:val="000000" w:themeColor="text1"/>
        </w:rPr>
        <w:t>.</w:t>
      </w:r>
      <w:r w:rsidRPr="00F0736F">
        <w:rPr>
          <w:rFonts w:ascii="Times New Roman" w:hAnsi="Times New Roman" w:cs="Times New Roman"/>
          <w:b/>
          <w:i/>
          <w:color w:val="000000" w:themeColor="text1"/>
        </w:rPr>
        <w:t xml:space="preserve"> </w:t>
      </w:r>
      <w:r w:rsidRPr="00F0736F">
        <w:rPr>
          <w:rFonts w:ascii="Times New Roman" w:hAnsi="Times New Roman" w:cs="Times New Roman"/>
          <w:color w:val="000000" w:themeColor="text1"/>
        </w:rPr>
        <w:t>ИЗА составляет 2-7 (низкий и высокий (в 2018 году) уровень), СИ = 4,2-</w:t>
      </w:r>
      <w:r w:rsidRPr="00F0736F">
        <w:rPr>
          <w:rFonts w:ascii="Times New Roman" w:hAnsi="Times New Roman" w:cs="Times New Roman"/>
          <w:color w:val="000000" w:themeColor="text1"/>
          <w:lang w:val="kk-KZ"/>
        </w:rPr>
        <w:t>9 (</w:t>
      </w:r>
      <w:r w:rsidRPr="00F0736F">
        <w:rPr>
          <w:rFonts w:ascii="Times New Roman" w:hAnsi="Times New Roman" w:cs="Times New Roman"/>
          <w:color w:val="000000" w:themeColor="text1"/>
        </w:rPr>
        <w:t xml:space="preserve">повышенный и </w:t>
      </w:r>
      <w:r w:rsidRPr="00F0736F">
        <w:rPr>
          <w:rFonts w:ascii="Times New Roman" w:hAnsi="Times New Roman" w:cs="Times New Roman"/>
          <w:color w:val="000000" w:themeColor="text1"/>
          <w:lang w:val="kk-KZ"/>
        </w:rPr>
        <w:t xml:space="preserve">высокий уровень), </w:t>
      </w:r>
      <w:r w:rsidRPr="00F0736F">
        <w:rPr>
          <w:rFonts w:ascii="Times New Roman" w:hAnsi="Times New Roman" w:cs="Times New Roman"/>
          <w:color w:val="000000" w:themeColor="text1"/>
        </w:rPr>
        <w:t>НП = 0-</w:t>
      </w:r>
      <w:r w:rsidRPr="00F0736F">
        <w:rPr>
          <w:rFonts w:ascii="Times New Roman" w:hAnsi="Times New Roman" w:cs="Times New Roman"/>
          <w:color w:val="000000" w:themeColor="text1"/>
          <w:lang w:val="kk-KZ"/>
        </w:rPr>
        <w:t>3</w:t>
      </w:r>
      <w:r w:rsidRPr="00F0736F">
        <w:rPr>
          <w:rFonts w:ascii="Times New Roman" w:hAnsi="Times New Roman" w:cs="Times New Roman"/>
          <w:color w:val="000000" w:themeColor="text1"/>
        </w:rPr>
        <w:t xml:space="preserve">% (повышенный уровень).  </w:t>
      </w:r>
    </w:p>
    <w:p w14:paraId="3CB3E26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Общее количество выбросов загрязняющих веществ</w:t>
      </w:r>
      <w:r w:rsidRPr="00F0736F">
        <w:rPr>
          <w:rFonts w:ascii="Times New Roman" w:hAnsi="Times New Roman" w:cs="Times New Roman"/>
          <w:color w:val="000000" w:themeColor="text1"/>
        </w:rPr>
        <w:t xml:space="preserve"> составило в 2019 году 64,5 тыс. т.</w:t>
      </w: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Для сокращения выбросов все энергоносители области: ТОО «МАЭК-Казатомпром» и другие теплоэлектростанции, котельные вахтовых поселков и всех населенных пунктов предприятий, котельные социальных и индивидуальных жилых объектов переведены на природный газ.</w:t>
      </w:r>
    </w:p>
    <w:p w14:paraId="5C00D33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по состоянию на 1 января 2018 года газобаллонными системами охвачены 88 513 единиц всех зарегистрированных 166 005 автомобилей, или 53,3% всего автотранспорта области.</w:t>
      </w:r>
    </w:p>
    <w:p w14:paraId="26B4E53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таких работ, Актау становится одним из самых чистых городов республики.</w:t>
      </w:r>
    </w:p>
    <w:p w14:paraId="04CA33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в 2018 году Департаментом подписан Меморандум о сотрудничестве с ТОО «Каспий битум» с целью внедрения системы контроля за выбросами вредных веществ в промышленных предприятиях в режиме «Онлайн».</w:t>
      </w:r>
    </w:p>
    <w:p w14:paraId="5C33962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по согласованному с Департаментом плану мероприятий по охране окружающей среды на внедрение данной системы ТОО «Каспий битум» выделено 45 млн. долларов США. Завершение работ намечено на 2020 год.</w:t>
      </w:r>
    </w:p>
    <w:p w14:paraId="4214F25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соответствии с пунктом 7 статьи 20 Экологического кодекса Республики Казахстан и «Правилами определения целевых показателей качества окружающей среды», утвержденными Приказом Министра энергетики Республики Казахстан от 26 февраля 2015 года №145, разработаны «Целевые показатели качества окружающей среды Мангистауской области».</w:t>
      </w:r>
    </w:p>
    <w:p w14:paraId="38A2FEE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утвержден перечень особо острых экологических проблем для развития систем экологического мониторинга с свободным онлайн-доступом и достижения «целевых показателей качества окружающей среды Мангистауской области» и направлен в ответственные органы для исполнения.</w:t>
      </w:r>
    </w:p>
    <w:p w14:paraId="601AB0D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качеством морской воды</w:t>
      </w:r>
      <w:r w:rsidRPr="00F0736F">
        <w:rPr>
          <w:rFonts w:ascii="Times New Roman" w:hAnsi="Times New Roman" w:cs="Times New Roman"/>
          <w:color w:val="000000" w:themeColor="text1"/>
        </w:rPr>
        <w:t xml:space="preserve"> Среднего Каспия проведены на следующих прибрежных станциях и вековых разрезах: Форт-Шевченко, Фетисово, Каламкас, Кендерли-Дивичи (3 точки), Песчанный-Дербент (3 точки), Мангышлак-Чечень (3 точки), акватория дамбы на побережье АО «ММГ» (3 точки), район п. Курык (3 точки), приграничная территория Среднего и Южного Каспия (3 точки), СЭЗ «Морпорт Актау» (4 точки), месторождения Каражанбас, Арман.</w:t>
      </w:r>
    </w:p>
    <w:p w14:paraId="7AFE699D"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В 201</w:t>
      </w:r>
      <w:r w:rsidRPr="00F0736F">
        <w:rPr>
          <w:rFonts w:ascii="Times New Roman" w:hAnsi="Times New Roman" w:cs="Times New Roman"/>
          <w:b/>
          <w:color w:val="000000" w:themeColor="text1"/>
          <w:lang w:val="kk-KZ"/>
        </w:rPr>
        <w:t>7</w:t>
      </w:r>
      <w:r w:rsidRPr="00F0736F">
        <w:rPr>
          <w:rFonts w:ascii="Times New Roman" w:hAnsi="Times New Roman" w:cs="Times New Roman"/>
          <w:b/>
          <w:color w:val="000000" w:themeColor="text1"/>
        </w:rPr>
        <w:t xml:space="preserve"> году</w:t>
      </w:r>
      <w:r w:rsidRPr="00F0736F">
        <w:rPr>
          <w:rFonts w:ascii="Times New Roman" w:hAnsi="Times New Roman" w:cs="Times New Roman"/>
          <w:color w:val="000000" w:themeColor="text1"/>
        </w:rPr>
        <w:t xml:space="preserve"> качество воды на Среднем Каспии </w:t>
      </w:r>
      <w:r w:rsidRPr="00F0736F">
        <w:rPr>
          <w:rFonts w:ascii="Times New Roman" w:hAnsi="Times New Roman" w:cs="Times New Roman"/>
          <w:color w:val="000000" w:themeColor="text1"/>
          <w:lang w:val="kk-KZ"/>
        </w:rPr>
        <w:t xml:space="preserve">по КИЗВ </w:t>
      </w:r>
      <w:r w:rsidRPr="00F0736F">
        <w:rPr>
          <w:rFonts w:ascii="Times New Roman" w:hAnsi="Times New Roman" w:cs="Times New Roman"/>
          <w:color w:val="000000" w:themeColor="text1"/>
        </w:rPr>
        <w:t>характеризуются как «нормативно чистая». В сравнении с 201</w:t>
      </w:r>
      <w:r w:rsidRPr="00F0736F">
        <w:rPr>
          <w:rFonts w:ascii="Times New Roman" w:hAnsi="Times New Roman" w:cs="Times New Roman"/>
          <w:color w:val="000000" w:themeColor="text1"/>
          <w:lang w:val="kk-KZ"/>
        </w:rPr>
        <w:t>6</w:t>
      </w:r>
      <w:r w:rsidRPr="00F0736F">
        <w:rPr>
          <w:rFonts w:ascii="Times New Roman" w:hAnsi="Times New Roman" w:cs="Times New Roman"/>
          <w:color w:val="000000" w:themeColor="text1"/>
        </w:rPr>
        <w:t xml:space="preserve"> годом качество воды не изменилось</w:t>
      </w:r>
      <w:r w:rsidRPr="00F0736F">
        <w:rPr>
          <w:rFonts w:ascii="Times New Roman" w:hAnsi="Times New Roman" w:cs="Times New Roman"/>
          <w:color w:val="000000" w:themeColor="text1"/>
          <w:vertAlign w:val="superscript"/>
        </w:rPr>
        <w:footnoteReference w:id="155"/>
      </w:r>
      <w:r w:rsidRPr="00F0736F">
        <w:rPr>
          <w:rFonts w:ascii="Times New Roman" w:hAnsi="Times New Roman" w:cs="Times New Roman"/>
          <w:color w:val="000000" w:themeColor="text1"/>
        </w:rPr>
        <w:t>.</w:t>
      </w:r>
    </w:p>
    <w:p w14:paraId="0D269982"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В 2018 году</w:t>
      </w:r>
      <w:r w:rsidRPr="00F0736F">
        <w:rPr>
          <w:rFonts w:ascii="Times New Roman" w:hAnsi="Times New Roman" w:cs="Times New Roman"/>
          <w:color w:val="000000" w:themeColor="text1"/>
        </w:rPr>
        <w:t xml:space="preserve"> качество воды на Среднем Каспии по КИЗВ характеризуются как «нормативно чистая». В сравнении с 2017 годом качество воды не изменилось</w:t>
      </w:r>
      <w:r w:rsidRPr="00F0736F">
        <w:rPr>
          <w:rFonts w:ascii="Times New Roman" w:hAnsi="Times New Roman" w:cs="Times New Roman"/>
          <w:color w:val="000000" w:themeColor="text1"/>
          <w:vertAlign w:val="superscript"/>
        </w:rPr>
        <w:footnoteReference w:id="156"/>
      </w:r>
      <w:r w:rsidRPr="00F0736F">
        <w:rPr>
          <w:rFonts w:ascii="Times New Roman" w:hAnsi="Times New Roman" w:cs="Times New Roman"/>
          <w:color w:val="000000" w:themeColor="text1"/>
        </w:rPr>
        <w:t>.</w:t>
      </w:r>
    </w:p>
    <w:p w14:paraId="1CDBD23E"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В 2019 году</w:t>
      </w:r>
      <w:r w:rsidRPr="00F0736F">
        <w:rPr>
          <w:rFonts w:ascii="Times New Roman" w:hAnsi="Times New Roman" w:cs="Times New Roman"/>
          <w:color w:val="000000" w:themeColor="text1"/>
        </w:rPr>
        <w:t xml:space="preserve"> по Единой классификации качество воды Каспийского моря на территории Мангистауской области не нормируются (&gt;5 класса)</w:t>
      </w:r>
      <w:r w:rsidRPr="00F0736F">
        <w:rPr>
          <w:rFonts w:ascii="Times New Roman" w:hAnsi="Times New Roman" w:cs="Times New Roman"/>
          <w:color w:val="000000" w:themeColor="text1"/>
          <w:vertAlign w:val="superscript"/>
        </w:rPr>
        <w:footnoteReference w:id="157"/>
      </w:r>
      <w:r w:rsidRPr="00F0736F">
        <w:rPr>
          <w:rFonts w:ascii="Times New Roman" w:hAnsi="Times New Roman" w:cs="Times New Roman"/>
          <w:color w:val="000000" w:themeColor="text1"/>
        </w:rPr>
        <w:t xml:space="preserve">. </w:t>
      </w:r>
    </w:p>
    <w:p w14:paraId="381D48F9"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568557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на полигон было собрано 182 323 т. </w:t>
      </w:r>
      <w:r w:rsidRPr="00F0736F">
        <w:rPr>
          <w:rFonts w:ascii="Times New Roman" w:hAnsi="Times New Roman" w:cs="Times New Roman"/>
          <w:bCs/>
          <w:color w:val="000000" w:themeColor="text1"/>
        </w:rPr>
        <w:t>ТБО</w:t>
      </w:r>
      <w:r w:rsidRPr="00F0736F">
        <w:rPr>
          <w:rFonts w:ascii="Times New Roman" w:hAnsi="Times New Roman" w:cs="Times New Roman"/>
          <w:color w:val="000000" w:themeColor="text1"/>
        </w:rPr>
        <w:t>, из них утилизировано 22 871 т., или 12,5%.</w:t>
      </w:r>
      <w:r w:rsidRPr="00F0736F">
        <w:rPr>
          <w:rFonts w:ascii="Times New Roman" w:hAnsi="Times New Roman" w:cs="Times New Roman"/>
          <w:color w:val="000000" w:themeColor="text1"/>
          <w:sz w:val="21"/>
          <w:szCs w:val="21"/>
        </w:rPr>
        <w:t xml:space="preserve"> </w:t>
      </w:r>
      <w:r w:rsidRPr="00F0736F">
        <w:rPr>
          <w:rFonts w:ascii="Times New Roman" w:hAnsi="Times New Roman" w:cs="Times New Roman"/>
          <w:color w:val="000000" w:themeColor="text1"/>
        </w:rPr>
        <w:t>В 2017 году объем образованных ТБО составило 190,1 тыс. т.., из них переработано 6,49%.</w:t>
      </w:r>
    </w:p>
    <w:p w14:paraId="548D757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численность населения составляла 649,1 млн. чел., из них 84,6% было охвачено услугами по сбору и вывозу ТБО. Из 24 объектов размещения ТБО 8 соответствуют экологическим и санитарным требованиям и нормам, что составляет 33,33%.</w:t>
      </w:r>
    </w:p>
    <w:p w14:paraId="51DFB63C"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hAnsi="Times New Roman" w:cs="Times New Roman"/>
          <w:color w:val="000000" w:themeColor="text1"/>
          <w:lang w:eastAsia="ru-RU"/>
        </w:rPr>
        <w:t xml:space="preserve">В 2019 году доля утилизации твердых бытовых отходов к их образованию составила 33,8% (при плане 15%). Имеется 8 действующих полигонов, которые соответствуют санитарным требованиям, один из которых является частным и принадлежит ТОО «Экотерра». Вместе с тем, дополнительно выделено 16 мест для временного размещения отходов, не соответствующие санитарным требованиям. </w:t>
      </w:r>
    </w:p>
    <w:p w14:paraId="0E5F06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Актау установлены 700 контейнеров для раздельного сбора ТБО и 4 пункта сбора вторсырья, в Мунайлинском районе имеется 1 пункт сбора вторсырья.</w:t>
      </w:r>
    </w:p>
    <w:p w14:paraId="6E8902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w:t>
      </w:r>
      <w:r w:rsidRPr="00F0736F">
        <w:rPr>
          <w:rFonts w:ascii="Times New Roman" w:eastAsia="Times New Roman" w:hAnsi="Times New Roman" w:cs="Times New Roman"/>
          <w:color w:val="000000" w:themeColor="text1"/>
          <w:kern w:val="0"/>
          <w:lang w:eastAsia="ru-RU" w:bidi="ar-SA"/>
        </w:rPr>
        <w:t>о данным департамента экологии, съемкой АО «Национальная компания «Қазақстан Ғарыш Сапары» в Мангистауской области на 151 точке выявлены несанкционированные свалки отходов. В том числе:</w:t>
      </w:r>
    </w:p>
    <w:p w14:paraId="193CD2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по городу Актау - 58;</w:t>
      </w:r>
    </w:p>
    <w:p w14:paraId="4D5ADD8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по Мунайлинскому району - 34 точки, из них ликвидировано 20;</w:t>
      </w:r>
    </w:p>
    <w:p w14:paraId="31F2778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по Тупкараганскому району - 40 точек, из них ликвидировано 9;</w:t>
      </w:r>
    </w:p>
    <w:p w14:paraId="3DE0B2A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принадлежащие физическим и юридическим лицам - 19 точек, полностью ликвидировано.</w:t>
      </w:r>
    </w:p>
    <w:p w14:paraId="7031F852"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В связи с этим, в настоящее время в целях выявления и ликвидации собственника отходов создана комиссия, проводится осмотр и проверка. В результате, в настоящее время в 48 точках полностью очищены несанкционированные свалки </w:t>
      </w:r>
      <w:r w:rsidRPr="00F0736F">
        <w:rPr>
          <w:rFonts w:ascii="Times New Roman" w:eastAsia="Times New Roman" w:hAnsi="Times New Roman" w:cs="Times New Roman"/>
          <w:iCs/>
          <w:color w:val="000000" w:themeColor="text1"/>
          <w:kern w:val="0"/>
          <w:lang w:eastAsia="ru-RU" w:bidi="ar-SA"/>
        </w:rPr>
        <w:t>(Мунайлинский район – 20, Тупкараганский район – 9, принадлежащие физическим и юридическим лицам - 19).</w:t>
      </w:r>
    </w:p>
    <w:p w14:paraId="48104B3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Раздельным сбором ТБО занимаются 8 предприятий (ТОО «IT ProfService», «EcoWeste Aktau», «ЖерАнаГрупп», «Қала жолдары», «Caspiy Operating», «Бейнеумех транс сервис», Каспий коммуналдық қызметі», ИП «Есимов»).</w:t>
      </w:r>
    </w:p>
    <w:p w14:paraId="342246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2014 г. в г. Жанаозен функционирует мусороперерабатывающий завод с мощностью 50 - 80 тыс. т./год.</w:t>
      </w:r>
    </w:p>
    <w:p w14:paraId="21F1246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апреля 2018 года в г. Актау и Мунайлинском районе ТОО «GLOBAL EСOSORT» за счет собственных средств установило и запустило мусоросортировочные линии ТБО с мощностью 50 тыс. т./год на полигоне ТБО ГКП «Коктем».</w:t>
      </w:r>
    </w:p>
    <w:p w14:paraId="3B0EC1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вблизи населенного пункта Баскудык Мунайлинского района ТОО «АктауТазаКала» запустила мусоросортировочную станцию мощностью 50 тыс. т./год по 8 фракциям, запрещенным для захоронения на полигонах ТБО.</w:t>
      </w:r>
    </w:p>
    <w:p w14:paraId="402E11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ТОО «Актаувторсырье» планирует открыть мини-завод по сортировке ТБО в Мунайлинском районе. Ведется работа по получению экологических разрешений.</w:t>
      </w:r>
    </w:p>
    <w:p w14:paraId="425298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Каракиянском районе ТОО «Мангистау Тазалык» были предоставлены специальные земельные участки и установлены установки по сортировке. Сейчас ведутся работы по прокладке линий электропередач.</w:t>
      </w:r>
    </w:p>
    <w:p w14:paraId="75C30E0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по Тупкараганскому району планируется установка ручных сортировочных станций в населенных пунктах Акшукур, Сайын Шапагатов.</w:t>
      </w:r>
    </w:p>
    <w:p w14:paraId="56FD00C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В области для стабилизации жидкой фазы </w:t>
      </w:r>
      <w:r w:rsidRPr="00F0736F">
        <w:rPr>
          <w:rFonts w:ascii="Times New Roman" w:eastAsia="Times New Roman" w:hAnsi="Times New Roman" w:cs="Times New Roman"/>
          <w:b/>
          <w:color w:val="000000" w:themeColor="text1"/>
          <w:kern w:val="0"/>
          <w:lang w:eastAsia="ru-RU" w:bidi="ar-SA"/>
        </w:rPr>
        <w:t>хвостохранилища «Кошкар-Ата»</w:t>
      </w:r>
      <w:r w:rsidRPr="00F0736F">
        <w:rPr>
          <w:rFonts w:ascii="Times New Roman" w:eastAsia="Times New Roman" w:hAnsi="Times New Roman" w:cs="Times New Roman"/>
          <w:color w:val="000000" w:themeColor="text1"/>
          <w:kern w:val="0"/>
          <w:lang w:eastAsia="ru-RU" w:bidi="ar-SA"/>
        </w:rPr>
        <w:t xml:space="preserve"> ежегодно вливается 8,4 млн. м</w:t>
      </w:r>
      <w:r w:rsidRPr="00F0736F">
        <w:rPr>
          <w:rFonts w:ascii="Times New Roman" w:eastAsia="Times New Roman" w:hAnsi="Times New Roman" w:cs="Times New Roman"/>
          <w:color w:val="000000" w:themeColor="text1"/>
          <w:kern w:val="0"/>
          <w:vertAlign w:val="superscript"/>
          <w:lang w:eastAsia="ru-RU" w:bidi="ar-SA"/>
        </w:rPr>
        <w:t>3</w:t>
      </w:r>
      <w:r w:rsidRPr="00F0736F">
        <w:rPr>
          <w:rFonts w:ascii="Times New Roman" w:eastAsia="Times New Roman" w:hAnsi="Times New Roman" w:cs="Times New Roman"/>
          <w:color w:val="000000" w:themeColor="text1"/>
          <w:kern w:val="0"/>
          <w:lang w:eastAsia="ru-RU" w:bidi="ar-SA"/>
        </w:rPr>
        <w:t xml:space="preserve"> очищенных вод. С 2015 года создается зелёная защитная зона на юге впадины «Кошкар-Ата» общей площадью 88,2 га, которая способствует улучшению экологического, санитарно-гигиенического состояния и стабилизации микроклимата с.о. Баскудык. В ноябре 2018 года Комитетом внутреннего государственного аудита Министерства финансов Республики Казахстан в целях эффективного расходования государственных средств в Министерстве энергетики Республики Казахстан, по результатам аудиторской проверки, проведенной Комитетом по внутреннему государственному аудиту Министерства финансов Республики Казахстан, рассматривается вопрос внесения корректировок и изменений в ПСД «Рекультивация хвостохранилища Кошкар-Ата I – этап»</w:t>
      </w:r>
      <w:r w:rsidRPr="00F0736F">
        <w:rPr>
          <w:rFonts w:ascii="Times New Roman" w:eastAsia="Times New Roman" w:hAnsi="Times New Roman" w:cs="Times New Roman"/>
          <w:b/>
          <w:bCs/>
          <w:color w:val="000000" w:themeColor="text1"/>
          <w:kern w:val="0"/>
          <w:lang w:eastAsia="ru-RU" w:bidi="ar-SA"/>
        </w:rPr>
        <w:t>.</w:t>
      </w:r>
    </w:p>
    <w:p w14:paraId="43137F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регионе решаются вопросы, связанные с бесхозными опасными отходами. В таблице 2.11.1. представлены наиболее крупные бесхозяйные опасные отходы и пути их решения.</w:t>
      </w:r>
    </w:p>
    <w:p w14:paraId="5E13F2D7" w14:textId="77777777" w:rsidR="00AC1D5B" w:rsidRPr="00F0736F" w:rsidRDefault="00AC1D5B" w:rsidP="00AC1D5B">
      <w:pPr>
        <w:ind w:firstLine="709"/>
        <w:jc w:val="both"/>
        <w:rPr>
          <w:rFonts w:ascii="Times New Roman" w:hAnsi="Times New Roman" w:cs="Times New Roman"/>
          <w:color w:val="000000" w:themeColor="text1"/>
        </w:rPr>
      </w:pPr>
    </w:p>
    <w:p w14:paraId="3E581A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2.11.1. Решение проблем бесхозяйных отходов</w:t>
      </w:r>
    </w:p>
    <w:p w14:paraId="54FE0FD2"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120" w:type="dxa"/>
        <w:tblLayout w:type="fixed"/>
        <w:tblCellMar>
          <w:top w:w="120" w:type="dxa"/>
          <w:left w:w="120" w:type="dxa"/>
          <w:bottom w:w="120" w:type="dxa"/>
          <w:right w:w="120" w:type="dxa"/>
        </w:tblCellMar>
        <w:tblLook w:val="0000" w:firstRow="0" w:lastRow="0" w:firstColumn="0" w:lastColumn="0" w:noHBand="0" w:noVBand="0"/>
      </w:tblPr>
      <w:tblGrid>
        <w:gridCol w:w="2382"/>
        <w:gridCol w:w="7518"/>
      </w:tblGrid>
      <w:tr w:rsidR="00F0736F" w:rsidRPr="00F0736F" w14:paraId="241E9BD2" w14:textId="77777777" w:rsidTr="000B2B8A">
        <w:tc>
          <w:tcPr>
            <w:tcW w:w="2382" w:type="dxa"/>
            <w:tcBorders>
              <w:top w:val="single" w:sz="6" w:space="0" w:color="000000"/>
              <w:left w:val="single" w:sz="6" w:space="0" w:color="000000"/>
              <w:bottom w:val="single" w:sz="6" w:space="0" w:color="000000"/>
            </w:tcBorders>
            <w:shd w:val="clear" w:color="auto" w:fill="FFFFFF"/>
          </w:tcPr>
          <w:p w14:paraId="31B1CB46" w14:textId="77777777" w:rsidR="00AC1D5B" w:rsidRPr="00F0736F" w:rsidRDefault="00AC1D5B" w:rsidP="00AC1D5B">
            <w:pPr>
              <w:jc w:val="both"/>
              <w:rPr>
                <w:color w:val="000000" w:themeColor="text1"/>
              </w:rPr>
            </w:pPr>
            <w:r w:rsidRPr="00F0736F">
              <w:rPr>
                <w:rFonts w:ascii="Times New Roman" w:eastAsia="Times New Roman" w:hAnsi="Times New Roman" w:cs="Times New Roman"/>
                <w:color w:val="000000" w:themeColor="text1"/>
                <w:kern w:val="0"/>
                <w:sz w:val="20"/>
                <w:szCs w:val="20"/>
                <w:lang w:eastAsia="ru-RU" w:bidi="ar-SA"/>
              </w:rPr>
              <w:t> </w:t>
            </w:r>
            <w:r w:rsidRPr="00F0736F">
              <w:rPr>
                <w:rFonts w:ascii="Times New Roman" w:eastAsia="Times New Roman" w:hAnsi="Times New Roman" w:cs="Times New Roman"/>
                <w:bCs/>
                <w:color w:val="000000" w:themeColor="text1"/>
                <w:kern w:val="0"/>
                <w:sz w:val="20"/>
                <w:szCs w:val="20"/>
                <w:lang w:eastAsia="ru-RU" w:bidi="ar-SA"/>
              </w:rPr>
              <w:t>Наименование бесхозяйных опасных отходов</w:t>
            </w:r>
          </w:p>
        </w:tc>
        <w:tc>
          <w:tcPr>
            <w:tcW w:w="7518" w:type="dxa"/>
            <w:tcBorders>
              <w:top w:val="single" w:sz="6" w:space="0" w:color="000000"/>
              <w:left w:val="single" w:sz="6" w:space="0" w:color="000000"/>
              <w:bottom w:val="single" w:sz="6" w:space="0" w:color="000000"/>
              <w:right w:val="single" w:sz="6" w:space="0" w:color="000000"/>
            </w:tcBorders>
            <w:shd w:val="clear" w:color="auto" w:fill="FFFFFF"/>
          </w:tcPr>
          <w:p w14:paraId="0CD00A0F"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Пути их решения</w:t>
            </w:r>
          </w:p>
        </w:tc>
      </w:tr>
      <w:tr w:rsidR="00F0736F" w:rsidRPr="00F0736F" w14:paraId="13D016AB" w14:textId="77777777" w:rsidTr="000B2B8A">
        <w:tc>
          <w:tcPr>
            <w:tcW w:w="2382" w:type="dxa"/>
            <w:tcBorders>
              <w:top w:val="single" w:sz="6" w:space="0" w:color="000000"/>
              <w:left w:val="single" w:sz="6" w:space="0" w:color="000000"/>
              <w:bottom w:val="single" w:sz="6" w:space="0" w:color="000000"/>
            </w:tcBorders>
            <w:shd w:val="clear" w:color="auto" w:fill="FFFFFF"/>
          </w:tcPr>
          <w:p w14:paraId="454C8DDF"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Отходы колчедана и серы, находящиеся на территории ТОО «КазАзот»</w:t>
            </w:r>
          </w:p>
        </w:tc>
        <w:tc>
          <w:tcPr>
            <w:tcW w:w="7518" w:type="dxa"/>
            <w:tcBorders>
              <w:top w:val="single" w:sz="6" w:space="0" w:color="000000"/>
              <w:left w:val="single" w:sz="6" w:space="0" w:color="000000"/>
              <w:bottom w:val="single" w:sz="6" w:space="0" w:color="000000"/>
              <w:right w:val="single" w:sz="6" w:space="0" w:color="000000"/>
            </w:tcBorders>
            <w:shd w:val="clear" w:color="auto" w:fill="FFFFFF"/>
          </w:tcPr>
          <w:p w14:paraId="24EB81E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 2012 году при инвентаризации отходов на территории бывшего "сернокислотного завода" выявлено 96852,9 т. железного колчедана и 4939,2 т. сернистых отходов.</w:t>
            </w:r>
          </w:p>
          <w:p w14:paraId="79E31EE1"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Отходы переданы в республиканскую собственность решением Актауского городского суда №2-4796/10-14 от 28 октября 2014 года.</w:t>
            </w:r>
          </w:p>
          <w:p w14:paraId="1924A523"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 2018 году были проведены лабораторные исследования, определено их воздействие на окружающую среду и установлено количество опасных отходов, расположенных на территории бывшего «сернокислотного завода».</w:t>
            </w:r>
          </w:p>
          <w:p w14:paraId="2DDFEBE2"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АО «Жасыл Даму» проводит конкурсы по реализации опасных отходов в соответствии с «Правилами управления бесхозяйными опасными отходами, признанными решением суда поступившими в республиканскую собственность», утвержденными Приказом Министра энергетики Республики Казахстан от 20 марта 2015 года № 229.</w:t>
            </w:r>
          </w:p>
          <w:p w14:paraId="0269117A" w14:textId="77777777" w:rsidR="00AC1D5B" w:rsidRPr="00F0736F" w:rsidRDefault="00AC1D5B" w:rsidP="00AC1D5B">
            <w:pPr>
              <w:jc w:val="both"/>
              <w:rPr>
                <w:color w:val="000000" w:themeColor="text1"/>
              </w:rPr>
            </w:pPr>
          </w:p>
        </w:tc>
      </w:tr>
      <w:tr w:rsidR="00F0736F" w:rsidRPr="00F0736F" w14:paraId="6E900ECF" w14:textId="77777777" w:rsidTr="000B2B8A">
        <w:tc>
          <w:tcPr>
            <w:tcW w:w="2382" w:type="dxa"/>
            <w:tcBorders>
              <w:top w:val="single" w:sz="6" w:space="0" w:color="000000"/>
              <w:left w:val="single" w:sz="6" w:space="0" w:color="000000"/>
              <w:bottom w:val="single" w:sz="6" w:space="0" w:color="000000"/>
            </w:tcBorders>
            <w:shd w:val="clear" w:color="auto" w:fill="FFFFFF"/>
          </w:tcPr>
          <w:p w14:paraId="31024B15"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Бесхозяйные радиоактивные и токсичные отходы, расположенные на хвостохранилище "Кошкар-Ата»</w:t>
            </w:r>
          </w:p>
        </w:tc>
        <w:tc>
          <w:tcPr>
            <w:tcW w:w="7518" w:type="dxa"/>
            <w:tcBorders>
              <w:top w:val="single" w:sz="6" w:space="0" w:color="000000"/>
              <w:left w:val="single" w:sz="6" w:space="0" w:color="000000"/>
              <w:bottom w:val="single" w:sz="6" w:space="0" w:color="000000"/>
              <w:right w:val="single" w:sz="6" w:space="0" w:color="000000"/>
            </w:tcBorders>
            <w:shd w:val="clear" w:color="auto" w:fill="FFFFFF"/>
          </w:tcPr>
          <w:p w14:paraId="40072E82"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Решением Мунайлинского районного суда от 2015 года отходы хвостохранилища «Кошкар-Ата» переданы в республиканскую собственность. Отходы были переданы в республиканскую собственность 29.01.2016 года. (Министерство Энергетики РК).</w:t>
            </w:r>
          </w:p>
        </w:tc>
      </w:tr>
      <w:tr w:rsidR="00F0736F" w:rsidRPr="00F0736F" w14:paraId="2A08D3E1" w14:textId="77777777" w:rsidTr="000B2B8A">
        <w:tc>
          <w:tcPr>
            <w:tcW w:w="2382" w:type="dxa"/>
            <w:tcBorders>
              <w:top w:val="single" w:sz="6" w:space="0" w:color="000000"/>
              <w:left w:val="single" w:sz="6" w:space="0" w:color="000000"/>
              <w:bottom w:val="single" w:sz="6" w:space="0" w:color="000000"/>
            </w:tcBorders>
            <w:shd w:val="clear" w:color="auto" w:fill="FFFFFF"/>
          </w:tcPr>
          <w:p w14:paraId="27951662"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Нефтяные отходы (шламы), расположенные в г. Жанаозен, на территории в районе МУ-3, ЦППН, Альбсеноманский бывший технический водозабор</w:t>
            </w:r>
          </w:p>
        </w:tc>
        <w:tc>
          <w:tcPr>
            <w:tcW w:w="7518" w:type="dxa"/>
            <w:tcBorders>
              <w:top w:val="single" w:sz="6" w:space="0" w:color="000000"/>
              <w:left w:val="single" w:sz="6" w:space="0" w:color="000000"/>
              <w:bottom w:val="single" w:sz="6" w:space="0" w:color="000000"/>
              <w:right w:val="single" w:sz="6" w:space="0" w:color="000000"/>
            </w:tcBorders>
            <w:shd w:val="clear" w:color="auto" w:fill="FFFFFF"/>
          </w:tcPr>
          <w:p w14:paraId="1D8878C2"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 соответствии с решением Жанаозенского городского суда № 2-3129/15-05 от 23 декабря 2015 года указанные отходы признаны бесхозяйными и приняты в республиканскую собственность АО «Жасыл Даму».</w:t>
            </w:r>
          </w:p>
          <w:p w14:paraId="178D6513"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АО «Жасыл Даму» реализованы данные отходы ТОО «ЭкоОриентир» для извлечения, переработки и дальнейшей рекультивации территории.</w:t>
            </w:r>
          </w:p>
          <w:p w14:paraId="266B3F07"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Общий объем около 304 136 т., которые размещены на территории ЦППН - 130,0748 га, МУ-3-2,4296 га, бывшего Алыбсеноманского технического водохранилища - 859,3 га. </w:t>
            </w:r>
          </w:p>
          <w:p w14:paraId="7B5DC110"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Полностью завершены работы по изъятию и переработке нефтяных шламов на амбаре МУ-3 и проведена рекультивация территории. </w:t>
            </w:r>
          </w:p>
          <w:p w14:paraId="56C474A1"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Амбар ЦППН очищен на 60% (24,7 га) и рекультивирован на 46% (18,9 га).</w:t>
            </w:r>
          </w:p>
          <w:p w14:paraId="49BB1B08"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Алыбсеноманский технический водозабор очищен на 20% (171 га).</w:t>
            </w:r>
          </w:p>
        </w:tc>
      </w:tr>
      <w:tr w:rsidR="00F0736F" w:rsidRPr="00F0736F" w14:paraId="5BF3DDAE" w14:textId="77777777" w:rsidTr="000B2B8A">
        <w:tc>
          <w:tcPr>
            <w:tcW w:w="2382" w:type="dxa"/>
            <w:tcBorders>
              <w:top w:val="single" w:sz="6" w:space="0" w:color="000000"/>
              <w:left w:val="single" w:sz="6" w:space="0" w:color="000000"/>
              <w:bottom w:val="single" w:sz="6" w:space="0" w:color="000000"/>
            </w:tcBorders>
            <w:shd w:val="clear" w:color="auto" w:fill="FFFFFF"/>
          </w:tcPr>
          <w:p w14:paraId="2FB52DA4"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11 несанкционированных шламонакопителей на контрактной территории АО «Озенмунайгаз»</w:t>
            </w:r>
          </w:p>
        </w:tc>
        <w:tc>
          <w:tcPr>
            <w:tcW w:w="7518" w:type="dxa"/>
            <w:tcBorders>
              <w:top w:val="single" w:sz="6" w:space="0" w:color="000000"/>
              <w:left w:val="single" w:sz="6" w:space="0" w:color="000000"/>
              <w:bottom w:val="single" w:sz="6" w:space="0" w:color="000000"/>
              <w:right w:val="single" w:sz="6" w:space="0" w:color="000000"/>
            </w:tcBorders>
            <w:shd w:val="clear" w:color="auto" w:fill="FFFFFF"/>
          </w:tcPr>
          <w:p w14:paraId="54A4AA51" w14:textId="77777777" w:rsidR="00AC1D5B" w:rsidRPr="00F0736F" w:rsidRDefault="00AC1D5B" w:rsidP="00AC1D5B">
            <w:pPr>
              <w:jc w:val="both"/>
              <w:rPr>
                <w:rFonts w:ascii="Times New Roman" w:eastAsia="Times New Roman" w:hAnsi="Times New Roman" w:cs="Times New Roman"/>
                <w:color w:val="000000" w:themeColor="text1"/>
                <w:kern w:val="0"/>
                <w:lang w:eastAsia="ru-RU" w:bidi="ar-SA"/>
              </w:rPr>
            </w:pPr>
            <w:r w:rsidRPr="00F0736F">
              <w:rPr>
                <w:rFonts w:ascii="Times New Roman" w:hAnsi="Times New Roman" w:cs="Times New Roman"/>
                <w:color w:val="000000" w:themeColor="text1"/>
                <w:sz w:val="20"/>
                <w:szCs w:val="20"/>
              </w:rPr>
              <w:t>На основании решения Каракиянского районного суда № 2682 от 3.03.2015 года и акта комиссии от 4.07.2015 года отходы в количестве 1288,35 тыс. м</w:t>
            </w:r>
            <w:r w:rsidRPr="00F0736F">
              <w:rPr>
                <w:rFonts w:ascii="Times New Roman" w:hAnsi="Times New Roman" w:cs="Times New Roman"/>
                <w:color w:val="000000" w:themeColor="text1"/>
                <w:sz w:val="20"/>
                <w:szCs w:val="20"/>
                <w:vertAlign w:val="superscript"/>
              </w:rPr>
              <w:t>3</w:t>
            </w:r>
            <w:r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hAnsi="Times New Roman" w:cs="Times New Roman"/>
                <w:color w:val="000000" w:themeColor="text1"/>
                <w:sz w:val="20"/>
                <w:szCs w:val="20"/>
              </w:rPr>
              <w:t>или 1765,0 т, расположенные на 11 складах нефтепродуктов, были переданы в АО «Озенмунайгаз» для переработки и утилизации.</w:t>
            </w:r>
          </w:p>
          <w:p w14:paraId="4C26D90A" w14:textId="77777777" w:rsidR="00AC1D5B" w:rsidRPr="00F0736F" w:rsidRDefault="00AC1D5B" w:rsidP="00AC1D5B">
            <w:pPr>
              <w:jc w:val="both"/>
              <w:rPr>
                <w:rFonts w:ascii="Times New Roman" w:eastAsia="Times New Roman" w:hAnsi="Times New Roman" w:cs="Times New Roman"/>
                <w:color w:val="000000" w:themeColor="text1"/>
                <w:kern w:val="0"/>
                <w:lang w:eastAsia="ru-RU" w:bidi="ar-SA"/>
              </w:rPr>
            </w:pPr>
            <w:r w:rsidRPr="00F0736F">
              <w:rPr>
                <w:rFonts w:ascii="Times New Roman" w:hAnsi="Times New Roman" w:cs="Times New Roman"/>
                <w:color w:val="000000" w:themeColor="text1"/>
                <w:sz w:val="20"/>
                <w:szCs w:val="20"/>
              </w:rPr>
              <w:t>В целях реализации меморандума об удалении 1 288,35 тыс. м</w:t>
            </w:r>
            <w:r w:rsidRPr="00F0736F">
              <w:rPr>
                <w:rFonts w:ascii="Times New Roman" w:hAnsi="Times New Roman" w:cs="Times New Roman"/>
                <w:color w:val="000000" w:themeColor="text1"/>
                <w:sz w:val="20"/>
                <w:szCs w:val="20"/>
                <w:vertAlign w:val="superscript"/>
              </w:rPr>
              <w:t>3</w:t>
            </w:r>
            <w:r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hAnsi="Times New Roman" w:cs="Times New Roman"/>
                <w:color w:val="000000" w:themeColor="text1"/>
                <w:sz w:val="20"/>
                <w:szCs w:val="20"/>
              </w:rPr>
              <w:t>отходов на своей территории АО "Озенмунайгаз" в 2015-2021 годах запланировал выделить средств в размере1 млрд. тенге</w:t>
            </w:r>
          </w:p>
          <w:p w14:paraId="096138E4"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 2015 году было очищено нефтесодержащих отходов в объеме 102 676,712 т. В связи с дефицитом средств работы прекращены.</w:t>
            </w:r>
          </w:p>
          <w:p w14:paraId="71D037A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На контрактной территории АО «Озенмунайгаз» планируется очистка 2019 году - 150,0 тыс. т. в 2020 году 150,0 тыс. т. из вышеуказанного 1 765,0 т.</w:t>
            </w:r>
          </w:p>
        </w:tc>
      </w:tr>
      <w:tr w:rsidR="00AC1D5B" w:rsidRPr="00F0736F" w14:paraId="71343787" w14:textId="77777777" w:rsidTr="000B2B8A">
        <w:tc>
          <w:tcPr>
            <w:tcW w:w="2382" w:type="dxa"/>
            <w:tcBorders>
              <w:top w:val="single" w:sz="6" w:space="0" w:color="000000"/>
              <w:left w:val="single" w:sz="6" w:space="0" w:color="000000"/>
              <w:bottom w:val="single" w:sz="6" w:space="0" w:color="000000"/>
            </w:tcBorders>
            <w:shd w:val="clear" w:color="auto" w:fill="auto"/>
          </w:tcPr>
          <w:p w14:paraId="358C382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Бесхозяйные химические отходы, материалы, реагенты, сырье, находящиеся на территории ТОО  «АЗПМ»</w:t>
            </w:r>
          </w:p>
        </w:tc>
        <w:tc>
          <w:tcPr>
            <w:tcW w:w="7518" w:type="dxa"/>
            <w:tcBorders>
              <w:top w:val="single" w:sz="6" w:space="0" w:color="000000"/>
              <w:left w:val="single" w:sz="6" w:space="0" w:color="000000"/>
              <w:bottom w:val="single" w:sz="6" w:space="0" w:color="000000"/>
              <w:right w:val="single" w:sz="6" w:space="0" w:color="000000"/>
            </w:tcBorders>
            <w:shd w:val="clear" w:color="auto" w:fill="auto"/>
          </w:tcPr>
          <w:p w14:paraId="5F52DEC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Общий объем бесхозяйных химических отходов, материалов, реагентов и сырья (211 видов), расположенных на территории бывшего ТОО «АЗПМ» (ныне ТОО «Индустриальный парк Мангистау»), составляет 2142,130 т.</w:t>
            </w:r>
          </w:p>
          <w:p w14:paraId="09392B06" w14:textId="77777777" w:rsidR="00AC1D5B" w:rsidRPr="00F0736F" w:rsidRDefault="00AC1D5B" w:rsidP="00AC1D5B">
            <w:pPr>
              <w:jc w:val="both"/>
              <w:rPr>
                <w:rFonts w:asciiTheme="minorHAnsi" w:hAnsiTheme="minorHAnsi"/>
                <w:color w:val="000000" w:themeColor="text1"/>
              </w:rPr>
            </w:pPr>
            <w:r w:rsidRPr="00F0736F">
              <w:rPr>
                <w:rFonts w:ascii="Times New Roman" w:hAnsi="Times New Roman" w:cs="Times New Roman"/>
                <w:color w:val="000000" w:themeColor="text1"/>
                <w:sz w:val="20"/>
                <w:szCs w:val="20"/>
              </w:rPr>
              <w:t>В 2018 году в соответствии с решением суда Управление природных ресурсов и регулирования природопользования Мангистауской области передало отходы в республиканскую собственность АО «Жасыл Даму» в количестве 197 наименований.</w:t>
            </w:r>
          </w:p>
        </w:tc>
      </w:tr>
    </w:tbl>
    <w:p w14:paraId="7B4338A4" w14:textId="77777777" w:rsidR="00AC1D5B" w:rsidRPr="00F0736F" w:rsidRDefault="00AC1D5B" w:rsidP="00AC1D5B">
      <w:pPr>
        <w:jc w:val="both"/>
        <w:rPr>
          <w:rFonts w:ascii="Times New Roman" w:eastAsia="Times New Roman" w:hAnsi="Times New Roman" w:cs="Times New Roman"/>
          <w:color w:val="000000" w:themeColor="text1"/>
          <w:kern w:val="0"/>
          <w:lang w:eastAsia="ru-RU" w:bidi="ar-SA"/>
        </w:rPr>
      </w:pPr>
    </w:p>
    <w:p w14:paraId="5CE0DC7E"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Проблема борьбы с </w:t>
      </w:r>
      <w:r w:rsidRPr="00F0736F">
        <w:rPr>
          <w:rFonts w:ascii="Times New Roman" w:eastAsia="Times New Roman" w:hAnsi="Times New Roman" w:cs="Times New Roman"/>
          <w:b/>
          <w:color w:val="000000" w:themeColor="text1"/>
          <w:kern w:val="0"/>
          <w:lang w:eastAsia="ru-RU" w:bidi="ar-SA"/>
        </w:rPr>
        <w:t>подвижными песками</w:t>
      </w:r>
      <w:r w:rsidRPr="00F0736F">
        <w:rPr>
          <w:rFonts w:ascii="Times New Roman" w:eastAsia="Times New Roman" w:hAnsi="Times New Roman" w:cs="Times New Roman"/>
          <w:color w:val="000000" w:themeColor="text1"/>
          <w:kern w:val="0"/>
          <w:lang w:eastAsia="ru-RU" w:bidi="ar-SA"/>
        </w:rPr>
        <w:t xml:space="preserve"> становится актуальной для многих аридных регионов Казахстана, особенно в областях активного преобразования, к которым относятся и песчаные массивы Туйесу Каракиянского района, Бостанкум и Кызылкум Мангистауского района.</w:t>
      </w:r>
    </w:p>
    <w:p w14:paraId="3977C3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Начиная с 2004 года продолжается работа по восстановлению растительного покрова деградированных песчаных массивов Туйесу рядом с с. Сенек и с 2007 года Бостанкум вблизи с. Уштаган. С 2011 года ведутся работы по борьбе с подвижными песками в с. Тущыкудык и с 2016 года с. Шебир Мангистауского района. По итогам 2018 года вокруг 4-х населенных пунктов появился зеленый защитный пояс с площадью 3830 га. Работа продолжается.</w:t>
      </w:r>
    </w:p>
    <w:p w14:paraId="429ED31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2018 году разработана проектная документация по защите от подвижных песков населенных пунктов Жарма, Сазды, Сауыскан Мангистауского района. Работа в них будет проводиться в ближайшие годы.</w:t>
      </w:r>
    </w:p>
    <w:p w14:paraId="62149708"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color w:val="000000" w:themeColor="text1"/>
          <w:spacing w:val="-2"/>
          <w:kern w:val="0"/>
          <w:lang w:eastAsia="ru-RU" w:bidi="ar-SA"/>
        </w:rPr>
        <w:t xml:space="preserve">Состояние биологических ресурсов и развитие лесного, рыбного и охотничьего хозяйств, </w:t>
      </w:r>
      <w:r w:rsidRPr="00F0736F">
        <w:rPr>
          <w:rFonts w:ascii="Times New Roman" w:eastAsia="Times New Roman" w:hAnsi="Times New Roman" w:cs="Times New Roman"/>
          <w:b/>
          <w:bCs/>
          <w:i/>
          <w:color w:val="000000" w:themeColor="text1"/>
          <w:spacing w:val="-2"/>
          <w:kern w:val="0"/>
          <w:lang w:val="kk-KZ" w:eastAsia="ru-RU" w:bidi="ru-RU"/>
        </w:rPr>
        <w:t xml:space="preserve">ООПТ </w:t>
      </w:r>
      <w:r w:rsidRPr="00F0736F">
        <w:rPr>
          <w:rFonts w:ascii="Times New Roman" w:eastAsia="Calibri" w:hAnsi="Times New Roman" w:cs="Times New Roman"/>
          <w:b/>
          <w:bCs/>
          <w:i/>
          <w:color w:val="000000" w:themeColor="text1"/>
          <w:spacing w:val="-2"/>
          <w:kern w:val="0"/>
          <w:lang w:eastAsia="ru-RU" w:bidi="ar-SA"/>
        </w:rPr>
        <w:t>и экологического туризма</w:t>
      </w:r>
    </w:p>
    <w:p w14:paraId="4AF2F5E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Общая площадь земель </w:t>
      </w:r>
      <w:r w:rsidRPr="00F0736F">
        <w:rPr>
          <w:rFonts w:ascii="Times New Roman" w:eastAsia="Times New Roman" w:hAnsi="Times New Roman" w:cs="Times New Roman"/>
          <w:b/>
          <w:color w:val="000000" w:themeColor="text1"/>
          <w:kern w:val="0"/>
          <w:lang w:eastAsia="ru-RU" w:bidi="ar-SA"/>
        </w:rPr>
        <w:t>лесного фонда</w:t>
      </w:r>
      <w:r w:rsidRPr="00F0736F">
        <w:rPr>
          <w:rFonts w:ascii="Times New Roman" w:eastAsia="Times New Roman" w:hAnsi="Times New Roman" w:cs="Times New Roman"/>
          <w:color w:val="000000" w:themeColor="text1"/>
          <w:kern w:val="0"/>
          <w:lang w:eastAsia="ru-RU" w:bidi="ar-SA"/>
        </w:rPr>
        <w:t xml:space="preserve"> Бейнеуского и Самского государственных лесных учреждений, финансируемых из местного бюджета области, составляет 253299 тыс. га, в том числе лесной покров - 125 161 га. В них посеяно 300 га семян черного саксаула в год. За последние два года к землям лесного фонда присоединились 200 га (148 га в 2017 году, 52 га в 2018 году) лесных покрытий. </w:t>
      </w:r>
    </w:p>
    <w:p w14:paraId="65D0A39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Подготовлены все документы на строительство постоянного лесного питомника общей площадью 8,75 га на сумму 98,0 млн тенге в год, предназначенного для использования очищенной воды от канализационных очистных сооружений в селе Бейнеу, а также создание нового Лесного учреждения на полуострове Бузачи площадью 76 305 га, стоимостью 67,0 млн. тенге.</w:t>
      </w:r>
    </w:p>
    <w:p w14:paraId="1021B22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проектно-сметный проект строительства лесного питомника был передан в Управление строительства, архитектуры и градостроительства Мангистауской области.</w:t>
      </w:r>
    </w:p>
    <w:p w14:paraId="77BD30A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Кроме того, согласован с вице-министром МСХ РК и утвержден акимом области «Пошаговый план по увеличению объемов воспроизводства лесов и лесоразведению акимата Мангистауской области на 2019 - 2030 годы».</w:t>
      </w:r>
    </w:p>
    <w:p w14:paraId="30005B5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в весенние и осенние периоды постановлением акимата области проводятся мероприятия по озеленению, санитарной очистке и благоустройству территорий населенных пунктов.</w:t>
      </w:r>
    </w:p>
    <w:p w14:paraId="18BE2A2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городах и населенных пунктах области имеются 18 парков общей площадью 45 гектаров.</w:t>
      </w:r>
    </w:p>
    <w:p w14:paraId="5263B71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Работа по озеленению населенных пунктов продолжается. В целях улучшения экологического состояния территорий населенных пунктов в 2018 году принято постановление акимата Мангистауской области №36 о проведении мероприятий по озеленению, благоустройству и санитарной очистке территорий населенных пунктов области с 15 марта по 30 апреля. </w:t>
      </w:r>
      <w:r w:rsidRPr="00F0736F">
        <w:rPr>
          <w:rFonts w:ascii="Times New Roman" w:eastAsia="Consolas" w:hAnsi="Times New Roman" w:cs="Times New Roman"/>
          <w:color w:val="000000" w:themeColor="text1"/>
        </w:rPr>
        <w:t>За 2019 год было посажено: 31613 деревьев, 4340 кустарников и 1965 м</w:t>
      </w:r>
      <w:r w:rsidRPr="00F0736F">
        <w:rPr>
          <w:rFonts w:ascii="Times New Roman" w:eastAsia="Consolas" w:hAnsi="Times New Roman" w:cs="Times New Roman"/>
          <w:color w:val="000000" w:themeColor="text1"/>
          <w:vertAlign w:val="superscript"/>
        </w:rPr>
        <w:t xml:space="preserve">2 </w:t>
      </w:r>
      <w:r w:rsidRPr="00F0736F">
        <w:rPr>
          <w:rFonts w:ascii="Times New Roman" w:eastAsia="Consolas" w:hAnsi="Times New Roman" w:cs="Times New Roman"/>
          <w:color w:val="000000" w:themeColor="text1"/>
        </w:rPr>
        <w:t xml:space="preserve">цветников. </w:t>
      </w:r>
    </w:p>
    <w:p w14:paraId="5673CB8A"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Рыбное хозяйство. </w:t>
      </w:r>
      <w:r w:rsidRPr="00F0736F">
        <w:rPr>
          <w:rFonts w:ascii="Times New Roman" w:hAnsi="Times New Roman" w:cs="Times New Roman"/>
          <w:iCs/>
          <w:color w:val="000000" w:themeColor="text1"/>
          <w:lang w:val="kk-KZ"/>
        </w:rPr>
        <w:t xml:space="preserve">Промысловые виды рыб – сельдевые, кефалевые и частиковые виды рыб. Морское рыболовство неразвито из-за сезонности и экономической нецелесообразности проходных и полупроходных рыб, которые совершают длительные миграционные переходы с юга Каспийского моря на север и обратно в зависимости от времени года.  </w:t>
      </w:r>
    </w:p>
    <w:p w14:paraId="33545356" w14:textId="77777777" w:rsidR="00AC1D5B" w:rsidRPr="00F0736F" w:rsidRDefault="00AC1D5B" w:rsidP="00AC1D5B">
      <w:pPr>
        <w:ind w:firstLine="709"/>
        <w:jc w:val="both"/>
        <w:rPr>
          <w:color w:val="000000" w:themeColor="text1"/>
        </w:rPr>
      </w:pPr>
      <w:r w:rsidRPr="00F0736F">
        <w:rPr>
          <w:rFonts w:ascii="Times New Roman" w:hAnsi="Times New Roman" w:cs="Times New Roman"/>
          <w:iCs/>
          <w:color w:val="000000" w:themeColor="text1"/>
          <w:lang w:val="kk-KZ"/>
        </w:rPr>
        <w:t>П</w:t>
      </w:r>
      <w:r w:rsidRPr="00F0736F">
        <w:rPr>
          <w:rFonts w:ascii="Times New Roman" w:hAnsi="Times New Roman" w:cs="Times New Roman"/>
          <w:iCs/>
          <w:color w:val="000000" w:themeColor="text1"/>
        </w:rPr>
        <w:t>рибрежным рыболовством в области занимаются 15 хозяйствующих субъектов</w:t>
      </w:r>
      <w:r w:rsidRPr="00F0736F">
        <w:rPr>
          <w:rFonts w:ascii="Times New Roman" w:hAnsi="Times New Roman" w:cs="Times New Roman"/>
          <w:iCs/>
          <w:color w:val="000000" w:themeColor="text1"/>
          <w:lang w:val="kk-KZ"/>
        </w:rPr>
        <w:t>.</w:t>
      </w:r>
      <w:r w:rsidRPr="00F0736F">
        <w:rPr>
          <w:rFonts w:ascii="Times New Roman" w:hAnsi="Times New Roman" w:cs="Times New Roman"/>
          <w:iCs/>
          <w:color w:val="000000" w:themeColor="text1"/>
        </w:rPr>
        <w:t xml:space="preserve"> </w:t>
      </w:r>
      <w:r w:rsidRPr="00F0736F">
        <w:rPr>
          <w:rFonts w:ascii="Times New Roman" w:hAnsi="Times New Roman" w:cs="Times New Roman"/>
          <w:iCs/>
          <w:color w:val="000000" w:themeColor="text1"/>
          <w:lang w:val="kk-KZ"/>
        </w:rPr>
        <w:t>В</w:t>
      </w:r>
      <w:r w:rsidRPr="00F0736F">
        <w:rPr>
          <w:rFonts w:ascii="Times New Roman" w:hAnsi="Times New Roman" w:cs="Times New Roman"/>
          <w:iCs/>
          <w:color w:val="000000" w:themeColor="text1"/>
        </w:rPr>
        <w:t>ылов рыбы ведется в прибрежной зоне Каспийского моря</w:t>
      </w:r>
      <w:r w:rsidRPr="00F0736F">
        <w:rPr>
          <w:rFonts w:ascii="Times New Roman" w:hAnsi="Times New Roman" w:cs="Times New Roman"/>
          <w:iCs/>
          <w:color w:val="000000" w:themeColor="text1"/>
          <w:lang w:val="kk-KZ"/>
        </w:rPr>
        <w:t>:</w:t>
      </w:r>
      <w:r w:rsidRPr="00F0736F">
        <w:rPr>
          <w:rFonts w:ascii="Times New Roman" w:hAnsi="Times New Roman" w:cs="Times New Roman"/>
          <w:iCs/>
          <w:color w:val="000000" w:themeColor="text1"/>
        </w:rPr>
        <w:t xml:space="preserve"> в районе месторождени</w:t>
      </w:r>
      <w:r w:rsidRPr="00F0736F">
        <w:rPr>
          <w:rFonts w:ascii="Times New Roman" w:hAnsi="Times New Roman" w:cs="Times New Roman"/>
          <w:iCs/>
          <w:color w:val="000000" w:themeColor="text1"/>
          <w:lang w:val="kk-KZ"/>
        </w:rPr>
        <w:t>й</w:t>
      </w:r>
      <w:r w:rsidRPr="00F0736F">
        <w:rPr>
          <w:rFonts w:ascii="Times New Roman" w:hAnsi="Times New Roman" w:cs="Times New Roman"/>
          <w:iCs/>
          <w:color w:val="000000" w:themeColor="text1"/>
        </w:rPr>
        <w:t xml:space="preserve">  Каражанбас, Каламкас, заливов Сарыташ, Кочак, островов Кулалы, Подгорный и Долгий и на западном побережье области. </w:t>
      </w:r>
    </w:p>
    <w:p w14:paraId="450DDACA"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val="kk-KZ" w:eastAsia="en-US"/>
        </w:rPr>
        <w:t>В</w:t>
      </w:r>
      <w:r w:rsidRPr="00F0736F">
        <w:rPr>
          <w:rFonts w:ascii="Times New Roman" w:eastAsia="Calibri" w:hAnsi="Times New Roman" w:cs="Times New Roman"/>
          <w:color w:val="000000" w:themeColor="text1"/>
          <w:lang w:eastAsia="en-US"/>
        </w:rPr>
        <w:t xml:space="preserve"> 2018 году закреплены 2 рыбохозяйственных участка для ведения садкового рыболовства с целью выращивания осетра. Одно из них</w:t>
      </w:r>
      <w:r w:rsidRPr="00F0736F">
        <w:rPr>
          <w:rFonts w:ascii="Times New Roman" w:eastAsia="Calibri" w:hAnsi="Times New Roman" w:cs="Times New Roman"/>
          <w:color w:val="000000" w:themeColor="text1"/>
          <w:lang w:val="kk-KZ" w:eastAsia="en-US"/>
        </w:rPr>
        <w:t>,</w:t>
      </w:r>
      <w:r w:rsidRPr="00F0736F">
        <w:rPr>
          <w:rFonts w:ascii="Times New Roman" w:eastAsia="Calibri" w:hAnsi="Times New Roman" w:cs="Times New Roman"/>
          <w:color w:val="000000" w:themeColor="text1"/>
          <w:lang w:eastAsia="en-US"/>
        </w:rPr>
        <w:t xml:space="preserve"> площадью 3500 га (с длиной 5,3 км, шириной 6,6 км)</w:t>
      </w:r>
      <w:r w:rsidRPr="00F0736F">
        <w:rPr>
          <w:rFonts w:ascii="Times New Roman" w:eastAsia="Calibri" w:hAnsi="Times New Roman" w:cs="Times New Roman"/>
          <w:color w:val="000000" w:themeColor="text1"/>
          <w:lang w:val="kk-KZ" w:eastAsia="en-US"/>
        </w:rPr>
        <w:t>,</w:t>
      </w:r>
      <w:r w:rsidRPr="00F0736F">
        <w:rPr>
          <w:rFonts w:ascii="Times New Roman" w:eastAsia="Calibri" w:hAnsi="Times New Roman" w:cs="Times New Roman"/>
          <w:color w:val="000000" w:themeColor="text1"/>
          <w:lang w:eastAsia="en-US"/>
        </w:rPr>
        <w:t xml:space="preserve"> находится в заливе Кендерли</w:t>
      </w:r>
      <w:r w:rsidRPr="00F0736F">
        <w:rPr>
          <w:rFonts w:ascii="Times New Roman" w:eastAsia="Calibri" w:hAnsi="Times New Roman" w:cs="Times New Roman"/>
          <w:color w:val="000000" w:themeColor="text1"/>
          <w:lang w:val="kk-KZ" w:eastAsia="en-US"/>
        </w:rPr>
        <w:t xml:space="preserve"> и </w:t>
      </w:r>
      <w:r w:rsidRPr="00F0736F">
        <w:rPr>
          <w:rFonts w:ascii="Times New Roman" w:eastAsia="Calibri" w:hAnsi="Times New Roman" w:cs="Times New Roman"/>
          <w:color w:val="000000" w:themeColor="text1"/>
          <w:lang w:eastAsia="en-US"/>
        </w:rPr>
        <w:t>закреплен за ТОО «Caspian Riviera». Второй</w:t>
      </w:r>
      <w:r w:rsidRPr="00F0736F">
        <w:rPr>
          <w:rFonts w:ascii="Times New Roman" w:eastAsia="Calibri" w:hAnsi="Times New Roman" w:cs="Times New Roman"/>
          <w:color w:val="000000" w:themeColor="text1"/>
          <w:lang w:val="kk-KZ" w:eastAsia="en-US"/>
        </w:rPr>
        <w:t>,</w:t>
      </w:r>
      <w:r w:rsidRPr="00F0736F">
        <w:rPr>
          <w:rFonts w:ascii="Times New Roman" w:eastAsia="Calibri" w:hAnsi="Times New Roman" w:cs="Times New Roman"/>
          <w:color w:val="000000" w:themeColor="text1"/>
          <w:lang w:eastAsia="en-US"/>
        </w:rPr>
        <w:t xml:space="preserve"> площадью 324 га (с длиной 1,8 км, шириной 1,8 км)</w:t>
      </w:r>
      <w:r w:rsidRPr="00F0736F">
        <w:rPr>
          <w:rFonts w:ascii="Times New Roman" w:eastAsia="Calibri" w:hAnsi="Times New Roman" w:cs="Times New Roman"/>
          <w:color w:val="000000" w:themeColor="text1"/>
          <w:lang w:val="kk-KZ" w:eastAsia="en-US"/>
        </w:rPr>
        <w:t>,</w:t>
      </w:r>
      <w:r w:rsidRPr="00F0736F">
        <w:rPr>
          <w:rFonts w:ascii="Times New Roman" w:eastAsia="Calibri" w:hAnsi="Times New Roman" w:cs="Times New Roman"/>
          <w:color w:val="000000" w:themeColor="text1"/>
          <w:lang w:eastAsia="en-US"/>
        </w:rPr>
        <w:t xml:space="preserve"> находится в 20 км напротив населенного пункта Акшукур</w:t>
      </w:r>
      <w:r w:rsidRPr="00F0736F">
        <w:rPr>
          <w:rFonts w:ascii="Times New Roman" w:eastAsia="Calibri" w:hAnsi="Times New Roman" w:cs="Times New Roman"/>
          <w:color w:val="000000" w:themeColor="text1"/>
          <w:lang w:val="kk-KZ" w:eastAsia="en-US"/>
        </w:rPr>
        <w:t xml:space="preserve"> и</w:t>
      </w:r>
      <w:r w:rsidRPr="00F0736F">
        <w:rPr>
          <w:rFonts w:ascii="Times New Roman" w:eastAsia="Calibri" w:hAnsi="Times New Roman" w:cs="Times New Roman"/>
          <w:color w:val="000000" w:themeColor="text1"/>
          <w:lang w:eastAsia="en-US"/>
        </w:rPr>
        <w:t xml:space="preserve"> закреплен за ТОО «Caspian Sea Farm». Планируемая рыбопродуктивность данного участка при его использовании в рыбоводных целях составит более 6 т./га.</w:t>
      </w:r>
    </w:p>
    <w:p w14:paraId="3F8F5B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по области выделена квота на вылов рыбы в количестве 1859,1 т..</w:t>
      </w:r>
      <w:r w:rsidRPr="00F0736F">
        <w:rPr>
          <w:rFonts w:ascii="Times New Roman" w:hAnsi="Times New Roman" w:cs="Times New Roman"/>
          <w:color w:val="000000" w:themeColor="text1"/>
          <w:sz w:val="21"/>
          <w:szCs w:val="21"/>
        </w:rPr>
        <w:t xml:space="preserve"> </w:t>
      </w:r>
      <w:r w:rsidRPr="00F0736F">
        <w:rPr>
          <w:rFonts w:ascii="Times New Roman" w:eastAsia="Calibri" w:hAnsi="Times New Roman" w:cs="Times New Roman"/>
          <w:color w:val="000000" w:themeColor="text1"/>
          <w:lang w:eastAsia="en-US"/>
        </w:rPr>
        <w:t xml:space="preserve">В основном местными рыбаками осуществляется лов кефали, </w:t>
      </w:r>
      <w:r w:rsidRPr="00F0736F">
        <w:rPr>
          <w:rFonts w:ascii="Times New Roman" w:eastAsia="Calibri" w:hAnsi="Times New Roman" w:cs="Times New Roman"/>
          <w:color w:val="000000" w:themeColor="text1"/>
          <w:lang w:val="kk-KZ" w:eastAsia="en-US"/>
        </w:rPr>
        <w:t>к</w:t>
      </w:r>
      <w:r w:rsidRPr="00F0736F">
        <w:rPr>
          <w:rFonts w:ascii="Times New Roman" w:eastAsia="Calibri" w:hAnsi="Times New Roman" w:cs="Times New Roman"/>
          <w:color w:val="000000" w:themeColor="text1"/>
          <w:lang w:eastAsia="en-US"/>
        </w:rPr>
        <w:t>аспийского пузанка, сазана, судака, леща и вобл</w:t>
      </w:r>
      <w:r w:rsidRPr="00F0736F">
        <w:rPr>
          <w:rFonts w:ascii="Times New Roman" w:eastAsia="Calibri" w:hAnsi="Times New Roman" w:cs="Times New Roman"/>
          <w:color w:val="000000" w:themeColor="text1"/>
          <w:lang w:val="kk-KZ" w:eastAsia="en-US"/>
        </w:rPr>
        <w:t>ы</w:t>
      </w:r>
      <w:r w:rsidRPr="00F0736F">
        <w:rPr>
          <w:rFonts w:ascii="Times New Roman" w:eastAsia="Calibri" w:hAnsi="Times New Roman" w:cs="Times New Roman"/>
          <w:color w:val="000000" w:themeColor="text1"/>
          <w:lang w:eastAsia="en-US"/>
        </w:rPr>
        <w:t xml:space="preserve">, </w:t>
      </w:r>
      <w:r w:rsidRPr="00F0736F">
        <w:rPr>
          <w:rFonts w:ascii="Times New Roman" w:eastAsia="Calibri" w:hAnsi="Times New Roman" w:cs="Times New Roman"/>
          <w:color w:val="000000" w:themeColor="text1"/>
          <w:lang w:val="kk-KZ" w:eastAsia="en-US"/>
        </w:rPr>
        <w:t>к</w:t>
      </w:r>
      <w:r w:rsidRPr="00F0736F">
        <w:rPr>
          <w:rFonts w:ascii="Times New Roman" w:eastAsia="Calibri" w:hAnsi="Times New Roman" w:cs="Times New Roman"/>
          <w:color w:val="000000" w:themeColor="text1"/>
          <w:lang w:eastAsia="en-US"/>
        </w:rPr>
        <w:t>ильки. Ф</w:t>
      </w:r>
      <w:r w:rsidRPr="00F0736F">
        <w:rPr>
          <w:rFonts w:ascii="Times New Roman" w:hAnsi="Times New Roman" w:cs="Times New Roman"/>
          <w:color w:val="000000" w:themeColor="text1"/>
        </w:rPr>
        <w:t>актически выловлено 1496 т. рыбы (данные Комитета по статистике).</w:t>
      </w:r>
    </w:p>
    <w:p w14:paraId="79AFD7E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имеется 12 </w:t>
      </w:r>
      <w:r w:rsidRPr="00F0736F">
        <w:rPr>
          <w:rFonts w:ascii="Times New Roman" w:hAnsi="Times New Roman" w:cs="Times New Roman"/>
          <w:b/>
          <w:color w:val="000000" w:themeColor="text1"/>
        </w:rPr>
        <w:t>особо охраняемых природных территорий</w:t>
      </w:r>
      <w:r w:rsidRPr="00F0736F">
        <w:rPr>
          <w:rFonts w:ascii="Times New Roman" w:hAnsi="Times New Roman" w:cs="Times New Roman"/>
          <w:color w:val="000000" w:themeColor="text1"/>
        </w:rPr>
        <w:t xml:space="preserve"> площадью 2,8 млн га. (составляет 16% территории области).</w:t>
      </w:r>
    </w:p>
    <w:p w14:paraId="69FB3ED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При проведении авиаучета, проведенного Комитетом лесного и охотничьего хозяйства в 2017 году, на охраняемых местных зонах насчитывалось более 1509 архаров, в том числе на местных особо охраняемых зонах выявлено 1374 архара. В период осенней переписи 2018 года в ООПТ наблюдалось увеличение численности на 3700 сайгаков, 1523 архара, 1000 джейранов и других диких животных по сравнению с прошлым годом.</w:t>
      </w:r>
    </w:p>
    <w:p w14:paraId="66A7A5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соответствии с Законом Республики Казахстан от 9 июля 2004 года № 593 «Об охране, воспроизводстве и использовании животного мира» и приказом Министерства сельского хозяйства Республики Казахстан от 1 февраля 2018 года № 58 «Об утверждении лимитов на изъятие объектов животного мира с 15 февраля 2018 года по 15 февраля 2019 года», в Мангистауской области с 1 августа 2018 года открыты летний и осенний сезоны охоты. </w:t>
      </w:r>
    </w:p>
    <w:p w14:paraId="4875200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В 2018 году выдано 1900 охотникам </w:t>
      </w:r>
      <w:r w:rsidRPr="00F0736F">
        <w:rPr>
          <w:rFonts w:ascii="Times New Roman" w:eastAsia="Times New Roman" w:hAnsi="Times New Roman" w:cs="Times New Roman"/>
          <w:bCs/>
          <w:color w:val="000000" w:themeColor="text1"/>
          <w:kern w:val="0"/>
          <w:lang w:eastAsia="ru-RU" w:bidi="ar-SA"/>
        </w:rPr>
        <w:t xml:space="preserve">39 497 разрешений </w:t>
      </w:r>
      <w:r w:rsidRPr="00F0736F">
        <w:rPr>
          <w:rFonts w:ascii="Times New Roman" w:eastAsia="Times New Roman" w:hAnsi="Times New Roman" w:cs="Times New Roman"/>
          <w:color w:val="000000" w:themeColor="text1"/>
          <w:kern w:val="0"/>
          <w:lang w:eastAsia="ru-RU" w:bidi="ar-SA"/>
        </w:rPr>
        <w:t xml:space="preserve">на отстрел животных </w:t>
      </w:r>
      <w:r w:rsidRPr="00F0736F">
        <w:rPr>
          <w:rFonts w:ascii="Times New Roman" w:eastAsia="Times New Roman" w:hAnsi="Times New Roman" w:cs="Times New Roman"/>
          <w:iCs/>
          <w:color w:val="000000" w:themeColor="text1"/>
          <w:kern w:val="0"/>
          <w:lang w:eastAsia="ru-RU" w:bidi="ar-SA"/>
        </w:rPr>
        <w:t>үйрек (утка) - 21538, шалшықшы (кулик) - 1171, кептер (голубь) - 1000, қасқалдақ (лысуха) - 2883, қаз (гусь) - 781, қабан (кабан) - 45, қарсақ (карсак) - 160, түлкі (лиса) - 200, қоян (заяц) - 10000, кекілік (кеклик) - 1719)</w:t>
      </w:r>
      <w:r w:rsidRPr="00F0736F">
        <w:rPr>
          <w:rFonts w:ascii="Times New Roman" w:eastAsia="Times New Roman" w:hAnsi="Times New Roman" w:cs="Times New Roman"/>
          <w:color w:val="000000" w:themeColor="text1"/>
          <w:kern w:val="0"/>
          <w:lang w:eastAsia="ru-RU" w:bidi="ar-SA"/>
        </w:rPr>
        <w:t>.</w:t>
      </w:r>
    </w:p>
    <w:p w14:paraId="505B4B2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Для сравнения в 2017 году выдано </w:t>
      </w:r>
      <w:r w:rsidRPr="00F0736F">
        <w:rPr>
          <w:rFonts w:ascii="Times New Roman" w:eastAsia="Times New Roman" w:hAnsi="Times New Roman" w:cs="Times New Roman"/>
          <w:bCs/>
          <w:color w:val="000000" w:themeColor="text1"/>
          <w:kern w:val="0"/>
          <w:lang w:eastAsia="ru-RU" w:bidi="ar-SA"/>
        </w:rPr>
        <w:t xml:space="preserve">1650 охотникам 31835 разрешений </w:t>
      </w:r>
      <w:r w:rsidRPr="00F0736F">
        <w:rPr>
          <w:rFonts w:ascii="Times New Roman" w:eastAsia="Times New Roman" w:hAnsi="Times New Roman" w:cs="Times New Roman"/>
          <w:color w:val="000000" w:themeColor="text1"/>
          <w:kern w:val="0"/>
          <w:lang w:eastAsia="ru-RU" w:bidi="ar-SA"/>
        </w:rPr>
        <w:t>на отстрел животных.</w:t>
      </w:r>
    </w:p>
    <w:p w14:paraId="595E9BA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зарегистрировано 10 фактов незаконной охоты, в том числе на охотничьих угодьях выявлено 4 правонарушения, полностью взыскано 48 100 тенге штрафов, 72148 тенге ущерба.</w:t>
      </w:r>
    </w:p>
    <w:p w14:paraId="1D869EB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постановлением Правительства Республики Казахстан разрешается отлов дрофы отдельным лицам, прибывающим из Объединенных Арабских Эмиратов. Плата за вылов одной головы дрофы – 260 МРП (625 300 тенге). В соответствии с законом установлены штрафы за причинение вреда животному миру. Штраф за незаконный лов дрофы или сокола, составляет 700 МРП (1 683 500 тенге.).</w:t>
      </w:r>
    </w:p>
    <w:p w14:paraId="50831F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соответствии с соглашением между Комитетом лесного хозяйства и животного мира Министерства сельского хозяйства Республики Казахстан и Агентством экологии Абу-Даби 23 мая 2018 года в заповедной зоне «Кендерли-Каясан» был произведен вылет 500 штук дроф-красоток. Всего в заповедной зоне «Кендерли-Каясан» в 2013 году было запущено 150 /сто пятьдесят/ штук, в 2014 году - 200 штук, в 2015 году - 55 штук, в 2017 и 2018 году - 500 штук дрофы-красотки.</w:t>
      </w:r>
    </w:p>
    <w:p w14:paraId="516EA9B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планируется разработать природно-научное обоснование создания ООПТ в архипелаге Кулалинских островов Мангышлакского залива Каспийского моря. Основные задачи: Всесторонний анализ состояния экологических объектов и систем исследуемой территории в государственном природно-резервном фонде, риски, угрозы ликвидации, меры по их охране, восстановлению и применению.</w:t>
      </w:r>
    </w:p>
    <w:p w14:paraId="1D70A60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 xml:space="preserve">В Мангышлакском заливе не исследованы природные системы и биологические ресурсы на островах Каспийского моря. </w:t>
      </w:r>
      <w:r w:rsidRPr="00F0736F">
        <w:rPr>
          <w:rFonts w:ascii="Times New Roman" w:eastAsia="Times New Roman" w:hAnsi="Times New Roman" w:cs="Times New Roman"/>
          <w:bCs/>
          <w:iCs/>
          <w:color w:val="000000" w:themeColor="text1"/>
          <w:kern w:val="0"/>
          <w:lang w:eastAsia="ru-RU" w:bidi="ar-SA"/>
        </w:rPr>
        <w:t>Ожидаемые результаты:</w:t>
      </w:r>
    </w:p>
    <w:p w14:paraId="059EDD6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kern w:val="0"/>
          <w:lang w:eastAsia="ru-RU" w:bidi="ar-SA"/>
        </w:rPr>
        <w:t>1) Оценка природной среды проектной территории (острова Кулалы, Морской, Подгорный, Новый и Рыбачий, общая площадь 130 км</w:t>
      </w:r>
      <w:r w:rsidRPr="00F0736F">
        <w:rPr>
          <w:rFonts w:ascii="Times New Roman" w:eastAsia="Times New Roman" w:hAnsi="Times New Roman" w:cs="Times New Roman"/>
          <w:color w:val="000000" w:themeColor="text1"/>
          <w:kern w:val="0"/>
          <w:vertAlign w:val="superscript"/>
          <w:lang w:eastAsia="ru-RU" w:bidi="ar-SA"/>
        </w:rPr>
        <w:t>2</w:t>
      </w:r>
      <w:r w:rsidRPr="00F0736F">
        <w:rPr>
          <w:rFonts w:ascii="Times New Roman" w:eastAsia="Times New Roman" w:hAnsi="Times New Roman" w:cs="Times New Roman"/>
          <w:color w:val="000000" w:themeColor="text1"/>
          <w:kern w:val="0"/>
          <w:lang w:eastAsia="ru-RU" w:bidi="ar-SA"/>
        </w:rPr>
        <w:t>);</w:t>
      </w:r>
    </w:p>
    <w:p w14:paraId="3AA141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2)  Анализ и оценка социально-экономической ситуации региона;</w:t>
      </w:r>
    </w:p>
    <w:p w14:paraId="575B31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3)  Обследование территории островов;</w:t>
      </w:r>
    </w:p>
    <w:p w14:paraId="60799AF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4) Учёт режима охраны и использования территории, функциональных зон, биологических ресурсов ООПТ;</w:t>
      </w:r>
    </w:p>
    <w:p w14:paraId="343A71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5)  Создание тематических (ландшафтных и экосистемных) карт.</w:t>
      </w:r>
    </w:p>
    <w:p w14:paraId="411408A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Наличие живописной дикой природы (</w:t>
      </w:r>
      <w:r w:rsidRPr="00F0736F">
        <w:rPr>
          <w:rFonts w:ascii="Times New Roman" w:hAnsi="Times New Roman" w:cs="Times New Roman"/>
          <w:b/>
          <w:color w:val="000000" w:themeColor="text1"/>
        </w:rPr>
        <w:t>экологический туризм</w:t>
      </w:r>
      <w:r w:rsidRPr="00F0736F">
        <w:rPr>
          <w:rFonts w:ascii="Times New Roman" w:hAnsi="Times New Roman" w:cs="Times New Roman"/>
          <w:color w:val="000000" w:themeColor="text1"/>
        </w:rPr>
        <w:t>), пляжный и круизный туризм на Каспийском море</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спортивный туризм, экстремальный туризм. </w:t>
      </w:r>
    </w:p>
    <w:p w14:paraId="389D224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Наиболее развитые туристские дестинации – это города Актау, Жанаозен, Форт-Шевченко, село Шетпе. Наибольшее количество памятников архитектуры, природных объектов находятся на территории Тупкараганского, Мангистауского и Каракиянского районов – это  п</w:t>
      </w:r>
      <w:r w:rsidRPr="00F0736F">
        <w:rPr>
          <w:rFonts w:ascii="Times New Roman" w:hAnsi="Times New Roman" w:cs="Times New Roman"/>
          <w:color w:val="000000" w:themeColor="text1"/>
        </w:rPr>
        <w:t>лато Устюрт, некрополи и подземные мечети Бекет-ата, Шакпак-ата, Султан-епе и др., гора Шеркала, долина Торыш, урочища Саура, Тамшалы, впадина Карагие, залив Кендерли. Функционируют базы отдыха Кендерли, «</w:t>
      </w:r>
      <w:r w:rsidRPr="00F0736F">
        <w:rPr>
          <w:rFonts w:ascii="Times New Roman" w:hAnsi="Times New Roman" w:cs="Times New Roman"/>
          <w:color w:val="000000" w:themeColor="text1"/>
          <w:lang w:val="en-US"/>
        </w:rPr>
        <w:t>Tree</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of</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Life</w:t>
      </w:r>
      <w:r w:rsidRPr="00F0736F">
        <w:rPr>
          <w:rFonts w:ascii="Times New Roman" w:hAnsi="Times New Roman" w:cs="Times New Roman"/>
          <w:color w:val="000000" w:themeColor="text1"/>
        </w:rPr>
        <w:t>», «Стигл», «Сая», «Достар».</w:t>
      </w:r>
    </w:p>
    <w:p w14:paraId="7F3899F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ходе реализации Программы развития территории на 2011 - 2015 годы достигнуты определенные результаты в развитии туристского объекта национального значения – курортной зоны Кендерли, на базе которого </w:t>
      </w:r>
      <w:r w:rsidRPr="00F0736F">
        <w:rPr>
          <w:rFonts w:ascii="Times New Roman" w:hAnsi="Times New Roman" w:cs="Times New Roman"/>
          <w:color w:val="000000" w:themeColor="text1"/>
        </w:rPr>
        <w:t xml:space="preserve">согласно </w:t>
      </w:r>
      <w:r w:rsidRPr="00F0736F">
        <w:rPr>
          <w:rFonts w:ascii="Times New Roman" w:hAnsi="Times New Roman" w:cs="Times New Roman"/>
          <w:color w:val="000000" w:themeColor="text1"/>
          <w:lang w:val="kk-KZ"/>
        </w:rPr>
        <w:t xml:space="preserve">Концепции развития туристской отрасли на территории Мангистауской и Западно-Казахстанской областей начато формирование кластера «Западный Казахстан». </w:t>
      </w:r>
    </w:p>
    <w:p w14:paraId="39777DF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rPr>
        <w:t xml:space="preserve">Создан веб-сайт управления туризма, проведены международный форум по вопросам развития туризма в Прикаспийском регионе, международный форум по вопросам развития гостиничного бизнеса, инфотуры для международных туроператоров и представителей СМИ. Разработана и продолжает совершенствоваться туристская карта области. Началась работа по созданию геопарка Мангистау. </w:t>
      </w:r>
      <w:r w:rsidRPr="00F0736F">
        <w:rPr>
          <w:rFonts w:ascii="Times New Roman" w:eastAsia="Calibri" w:hAnsi="Times New Roman" w:cs="Times New Roman"/>
          <w:color w:val="000000" w:themeColor="text1"/>
          <w:lang w:val="kk-KZ" w:eastAsia="en-US"/>
        </w:rPr>
        <w:t>Разработана и опубликована книга «Легенды Мангистау» на 4-х языках (казахский, русский, английский, китайский).</w:t>
      </w:r>
    </w:p>
    <w:p w14:paraId="38280921" w14:textId="77777777" w:rsidR="00AC1D5B" w:rsidRPr="00F0736F" w:rsidRDefault="00AC1D5B" w:rsidP="00AC1D5B">
      <w:pPr>
        <w:ind w:firstLine="709"/>
        <w:jc w:val="both"/>
        <w:rPr>
          <w:color w:val="000000" w:themeColor="text1"/>
        </w:rPr>
      </w:pPr>
    </w:p>
    <w:p w14:paraId="72F30AC1"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5" w:name="_Toc57818746"/>
      <w:r w:rsidRPr="007272FB">
        <w:rPr>
          <w:rFonts w:ascii="Times New Roman" w:eastAsia="Times New Roman" w:hAnsi="Times New Roman" w:cs="Times New Roman"/>
          <w:color w:val="000000" w:themeColor="text1"/>
          <w:sz w:val="24"/>
          <w:szCs w:val="24"/>
        </w:rPr>
        <w:t>2.12. Павлодарская область</w:t>
      </w:r>
      <w:bookmarkEnd w:id="55"/>
    </w:p>
    <w:p w14:paraId="70F09129" w14:textId="77777777" w:rsidR="00AC1D5B" w:rsidRPr="00F0736F" w:rsidRDefault="00AC1D5B" w:rsidP="00AC1D5B">
      <w:pPr>
        <w:ind w:firstLine="709"/>
        <w:jc w:val="both"/>
        <w:rPr>
          <w:rFonts w:ascii="Times New Roman" w:hAnsi="Times New Roman" w:cs="Times New Roman"/>
          <w:color w:val="000000" w:themeColor="text1"/>
        </w:rPr>
      </w:pPr>
    </w:p>
    <w:p w14:paraId="57FDC64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3DABAF4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Территория – 124,8 тыс. км². Население области постоянно немного снижается: 754,8 тыс. человек (по данным на 1 января 2018 года), на 1 января 2019 года численность населения составила 753,9 тыс. человек, а на начало 2020 года — 752,2 тыс. человек.</w:t>
      </w:r>
    </w:p>
    <w:p w14:paraId="7E6F7CA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Комитета по статистике, область обеспечивает 4,41% валового продукта и 7,8% промышленного выпуска Республики Казахстан. Валовой региональный продукт в 2017 году составил 2369,3 млрд. тенге и по сравнению с 2016 годом увеличился в реальном изменении на 4,0%. ВРП на душу населения в 2017 году составила 3134,3 тыс. тенге. В 2018 году ВРП области составил – 2746,6 млрд. тенге, на душу населения – 3641,1 тыс. человек, в 2019 году, соответственно, 3029,6 и 4023,3.</w:t>
      </w:r>
    </w:p>
    <w:p w14:paraId="160DC7F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Наибольший удельный вес в структуре ВРП Павлодарской области занимает </w:t>
      </w:r>
      <w:r w:rsidRPr="00F0736F">
        <w:rPr>
          <w:rFonts w:ascii="Times New Roman" w:hAnsi="Times New Roman" w:cs="Times New Roman"/>
          <w:b/>
          <w:color w:val="000000" w:themeColor="text1"/>
        </w:rPr>
        <w:t>промышленность.</w:t>
      </w:r>
      <w:r w:rsidRPr="00F0736F">
        <w:rPr>
          <w:rFonts w:ascii="Times New Roman" w:hAnsi="Times New Roman" w:cs="Times New Roman"/>
          <w:color w:val="000000" w:themeColor="text1"/>
        </w:rPr>
        <w:t xml:space="preserve"> По итогам 2017 года ее доля в ВРП составила 40,7%, валовый объем – 1778,4 млрд. тенге, в 2018 году – 1985 млрд. тенге, а в 2019 году — 1991,0 млрд. тенге.</w:t>
      </w:r>
    </w:p>
    <w:p w14:paraId="29BC481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Общий объем обрабатывающей промышленности в 2017 году – 1136,1 млрд. тенге, в 2018 году – 1264,7 млрд. тенге, в 2019 году — 1293,0 млрд. тенге.</w:t>
      </w:r>
    </w:p>
    <w:p w14:paraId="37263E2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промышленности 16 системообразующих предприятий области: (ТОО «Богатырь Комир» (добыча угля), ТОО «МайкубенВест» (добыча угля и лигнита), АО «Евроазиатская энергетическая корпорация» (добыча угля, производство электро-, теплоэнергии), Аксуский завод ферросплавов – филиал АО «ТНК Казхром» (производство ферросплавов), АО «Алюминий Казахстана» (выпуск глинозема, электроэнергии), АО «Казахстанский электролизный завод» (производство алюминия необработанного), АО «Майкаинзолото» (добыча и переработка руд цветных металлов), ТОО «KSP Steel» (производство бесшовных труб и стали), Павлодарский филиал ТОО «Кастинг» (выпуск стали), Павлодарский машиностроительный завод АО «ERGService» (производство кранов и металлоконструкций), ТОО «Павлодарский нефтехимический завод» (производство нефтепродуктов, снабжение паром и водой), АО «Казэнергокабель» (выпуск проводниковой продукции), АО «Павлодарэнерго» (производство электро-, теплоэнергии), АО «Станция Экибастузская ГРЭС-2» (выработка электро-, теплоэнергии), ТОО «Экибастузская ГРЭС-1» (выработка электроэнергии), ТОО «KAZ MINERALS BOZSHAKOL» (добыча медного концентрата, руды медной) обеспечивают порядка 80% всего объема промышленного производства. Доминирование данных предприятий в структуре промышленного производства обуславливает ресурсно-сырьевую направленность экспорта региона</w:t>
      </w:r>
      <w:r w:rsidRPr="00F0736F">
        <w:rPr>
          <w:rFonts w:ascii="Times New Roman" w:hAnsi="Times New Roman" w:cs="Times New Roman"/>
          <w:color w:val="000000" w:themeColor="text1"/>
          <w:vertAlign w:val="superscript"/>
        </w:rPr>
        <w:footnoteReference w:id="158"/>
      </w:r>
      <w:r w:rsidRPr="00F0736F">
        <w:rPr>
          <w:rFonts w:ascii="Times New Roman" w:hAnsi="Times New Roman" w:cs="Times New Roman"/>
          <w:color w:val="000000" w:themeColor="text1"/>
        </w:rPr>
        <w:t xml:space="preserve">. </w:t>
      </w:r>
    </w:p>
    <w:p w14:paraId="512BF11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Электроэнергетика является одной из базовых отраслей экономики региона. Энергетическими предприятиями области вырабатывается порядка 42% электрической энергии республики. Энергетический комплекс области включает 7 тепловых электростанций с общей установленной мощностью 8275 МВт, в том числе: три блочные электростанции республиканского значения в городах Экибастуз (ТОО «Экибастузская ГРЭС-1», АО «Станция Экибастузская ГРЭС-2»), Аксу (АО «ЕЭК») и четыре теплоэлектроцентрали в городах Павлодар (ТЭЦ АО «АК», ТЭЦ-2 и ТЭЦ-3 АО «Павлодарэнерго»), Экибастуз (Экибастузская ТЭЦ АО «Павлодарэнерго»). Теплоснабжение города Аксу осуществляет РОК-2 АЗФ АО «ТНК Казхром».</w:t>
      </w:r>
    </w:p>
    <w:p w14:paraId="1DCC76F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Доля продукции </w:t>
      </w:r>
      <w:r w:rsidRPr="00F0736F">
        <w:rPr>
          <w:rFonts w:ascii="Times New Roman" w:hAnsi="Times New Roman" w:cs="Times New Roman"/>
          <w:b/>
          <w:color w:val="000000" w:themeColor="text1"/>
        </w:rPr>
        <w:t>сельскохозяйственного производства</w:t>
      </w:r>
      <w:r w:rsidRPr="00F0736F">
        <w:rPr>
          <w:rFonts w:ascii="Times New Roman" w:hAnsi="Times New Roman" w:cs="Times New Roman"/>
          <w:color w:val="000000" w:themeColor="text1"/>
        </w:rPr>
        <w:t xml:space="preserve"> в ВРП области составляет около 5,0%. Земельный фонд области составляет 12475,5 тыс. га, в том числе сельскохозяйственных угодий – 11167,5 тыс. га, из них пашни – 1331,3 тыс. га.</w:t>
      </w:r>
    </w:p>
    <w:p w14:paraId="47FCAE6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Основными направлениями производства сельскохозяйственной продукции являются мясо, молоко, яйца, зерно, картофель и овощи. В структуре валовой продукции сельского хозяйства превалирует продукция животноводства, в среднем доля составляет более 50%.</w:t>
      </w:r>
    </w:p>
    <w:p w14:paraId="43BAB87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Комитета по статистике, объем валовой продукции сельского хозяйства в 2017 году составил 204,4 млрд. тенге, а в 2018 году – 228,5 млрд. тенге, а в 2019 году - 236,4 млрд. тенге, с небольшим преимуществом животноводства (54,4%).</w:t>
      </w:r>
    </w:p>
    <w:p w14:paraId="6D43CFB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5D85D1C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целях стабильного производства продукции растениеводства принимаются меры по освоению интенсивных влаго- и ресурсосберегающих и почвозащитных технологий возделывания сельскохозяйственных культур, восстановлению площадей орошаемого земледелия, использованию прогрессивной дождевальной техники. Ежегодно расширяются площади орошаемого земледелия. За последние четыре года восстановлены 19,4 тыс. га, из них 5,4 тыс. га введено в 2017 году. </w:t>
      </w:r>
      <w:r w:rsidRPr="00F0736F">
        <w:rPr>
          <w:rFonts w:ascii="Times New Roman" w:eastAsia="Consolas" w:hAnsi="Times New Roman" w:cs="Times New Roman"/>
          <w:color w:val="000000" w:themeColor="text1"/>
        </w:rPr>
        <w:t>В Павлодарской области расширяются площади с применением капельного полива. Данная технология применяется в 21 хозяйствах области, с 2012 года площади увеличены с 15 га до 561 га. В разрезе районов: Павлодарский – 339,5 га; Успенский – 100 га; с. з. г. Аксу – 44 га; Теренкөл – 66 га; с. з. г. Экибастуз – 11,5 га.</w:t>
      </w:r>
    </w:p>
    <w:p w14:paraId="71CD1DF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Павлодарской области площадь пастбищ на землях сельскохозяйственного назначения составляет 3317,6 тыс. га, в т.ч. обводненных - 1899,6 тыс. га, или 57%. В 2017 -2019 годах ежегодно обустраивалось около 30 шахтных колодцев и скважин. </w:t>
      </w:r>
    </w:p>
    <w:p w14:paraId="6502D3A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387DDE7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Электроснабжение. </w:t>
      </w:r>
      <w:r w:rsidRPr="00F0736F">
        <w:rPr>
          <w:rFonts w:ascii="Times New Roman" w:hAnsi="Times New Roman" w:cs="Times New Roman"/>
          <w:color w:val="000000" w:themeColor="text1"/>
        </w:rPr>
        <w:t>Область относится к числу наиболее энерговооруженных территорий Казахстана. Электростанции области обеспечивают электроэнергией потребности хозяйственного комплекса и населения области, часть электроэнергии идет в другие регионы республики. Собственное региональное потребление составляет порядка 45% от объема производства.</w:t>
      </w:r>
    </w:p>
    <w:p w14:paraId="4FCC7BA8" w14:textId="77777777" w:rsidR="00AC1D5B" w:rsidRPr="00F0736F" w:rsidRDefault="00AC1D5B" w:rsidP="00AC1D5B">
      <w:pPr>
        <w:suppressLineNumbers/>
        <w:ind w:firstLine="709"/>
        <w:jc w:val="both"/>
        <w:rPr>
          <w:rFonts w:ascii="Times New Roman" w:hAnsi="Times New Roman" w:cs="Times New Roman"/>
          <w:i/>
          <w:iCs/>
          <w:color w:val="000000" w:themeColor="text1"/>
        </w:rPr>
      </w:pPr>
      <w:r w:rsidRPr="00F0736F">
        <w:rPr>
          <w:rFonts w:ascii="Times New Roman" w:hAnsi="Times New Roman" w:cs="Times New Roman"/>
          <w:color w:val="000000" w:themeColor="text1"/>
        </w:rPr>
        <w:t>Общая протяженность электрических сетей составляет 17,5 тыс. км, в том числе: ВЛ-220-110 кВ – 2,7 тыс. км, ВЛ-35-10-0,4 кВ – 13,6 тыс. км, кабельных линий – 10-6-0,4 кВ – 1,2 тыс. км. Количество подстанций 4349 шт. в том числе: подстанции 220-110 кВ - 78 шт., подстанции 35-10-0,4 кВ - 128 шт., ТП, КТП-6-10/0,4 кВ - 4143 шт. Средне-физический износ электрических сетей составляет 58,5% по причине среднего срока эксплуатации 30 - 35 лет.</w:t>
      </w:r>
    </w:p>
    <w:p w14:paraId="72B0C29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 xml:space="preserve">Линии электропередачи напряжением 220-1150 кВ находятся на балансе АО «KEGOC», эксплуатацию которых осуществляет Северный филиал межсистемных электрических сетей с центром в городе Экибастузе. Электрические сети 110 кВ и ниже эксплуатируются электросетевыми компаниями АО «Павлодарская распределительная электросетевая компания», ТОО «Горэлектросеть» и ТОО «Экибастузэнерго». Ежегодно энергопредприятиями области исполняются инвестиционные мероприятия по реконструкции, модернизации, капитальному и текущему ремонтам электрических сетей и электрооборудования подстанций. </w:t>
      </w:r>
    </w:p>
    <w:p w14:paraId="0226A7B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Теплоснабжение</w:t>
      </w:r>
      <w:r w:rsidRPr="00F0736F">
        <w:rPr>
          <w:rFonts w:ascii="Times New Roman" w:hAnsi="Times New Roman" w:cs="Times New Roman"/>
          <w:color w:val="000000" w:themeColor="text1"/>
        </w:rPr>
        <w:t xml:space="preserve"> 3-х городов осуществляется двумя предприятиями: ТОО «Павлодарские тепловые сети» и КГП «Теплосервис». Протяженность тепловых сетей области в 2019 году составила – 839,2 км, в т.ч. ветхих — 316,8 км (37,8%), нуждаются в замене — 325,2 км (38,7%). </w:t>
      </w:r>
    </w:p>
    <w:p w14:paraId="1FFC4D6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снижения протяженности изношенных сетей, ежегодно в области реализуются проекты в рамках Государственных программ, кроме этого эксплуатирующими организациями в рамках инвестиционной программы проводятся ремонты на сетях.</w:t>
      </w:r>
    </w:p>
    <w:p w14:paraId="2D31436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в рамках государственных программ «Развитие регионов до 2020 года» и «Нұрлы Жол» проведено строительство и реконструкция 4,8 км сетей теплоснабжения и 4 центральных тепловых пунктов.</w:t>
      </w:r>
    </w:p>
    <w:p w14:paraId="55F49E7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 счет амортизационных отчислений и собственных средств коммунальными предприятиями в 2019 году выполнен капитальный ремонт и реконструкция 24,1 км сетей теплоснабжения.</w:t>
      </w:r>
    </w:p>
    <w:p w14:paraId="2470FED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2020 году в рамках Государственной программы «Развитие регионов до 2020 года»  и за счет средств местного бюджета запланирована реализация 6 проектов. В рамках проектов планируется выполнить строительство, капитальный ремонт и реконструкцию 19,4 км сетей теплоснабжения. За счет амортизационных отчислений и собственных средств коммунальными предприятиями в текущем году планируется выполнить капитальный ремонт и реконструкцию 2,5 км сетей теплоснабжения.</w:t>
      </w:r>
    </w:p>
    <w:p w14:paraId="1DED91B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Газоснабжение.</w:t>
      </w:r>
      <w:r w:rsidRPr="00F0736F">
        <w:rPr>
          <w:rFonts w:ascii="Times New Roman" w:hAnsi="Times New Roman" w:cs="Times New Roman"/>
          <w:color w:val="000000" w:themeColor="text1"/>
        </w:rPr>
        <w:t xml:space="preserve"> В Павлодарской области отсутствуют природный газ и газораспределительные сети. Для бытовых и промышленных нужд используется сжиженный нефтяной газ (далее-СНГ) в баллонах, производством которого занимается ТОО «Павлодарский нефтехимический завод». Газоснабжение населения осуществляется индивидуальными газобаллонными устройствами.</w:t>
      </w:r>
    </w:p>
    <w:p w14:paraId="3DFBECE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Энергосбережение</w:t>
      </w:r>
      <w:r w:rsidRPr="00F0736F">
        <w:rPr>
          <w:rFonts w:ascii="Times New Roman" w:hAnsi="Times New Roman" w:cs="Times New Roman"/>
          <w:color w:val="000000" w:themeColor="text1"/>
        </w:rPr>
        <w:t xml:space="preserve"> и повышение энергоэффективности Реализация мер по энергосбережению является одним из основных инструментов модернизации промышленности, жилищно-коммунального хозяйства и транспортного сектора. На долю промышленных предприятий приходится 90,2% потребления энергетических ресурсов. Основные проблемы реализации политики энергосбережения и повышения энергоэффективности в Павлодарской области это: изношенность оборудования на промышленных предприятиях, изношенность коммунальных сетей, низкий уровень квалификации специалистов в области энергосбережения. В целях дальнейшего развития энергосбережения в Павлодарской области реализуется Комплексный план энергосбережения на 2018-2021 годы, в котором предусмотрены 7 основных направлений, которые предусматривают энергоэффективность промышленных предприятий, инновационную энергетику, ЖКХ, транспорт, бюджетный сектор, освещение и общество в целом.</w:t>
      </w:r>
    </w:p>
    <w:p w14:paraId="04BB2D9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1BD08FA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Водоснабжение и водоотведение.</w:t>
      </w:r>
      <w:r w:rsidRPr="00F0736F">
        <w:rPr>
          <w:rFonts w:ascii="Times New Roman" w:hAnsi="Times New Roman" w:cs="Times New Roman"/>
          <w:color w:val="000000" w:themeColor="text1"/>
        </w:rPr>
        <w:t xml:space="preserve"> Павлодарская область с избытком обеспечена ресурсами пресных подземных вод. Наиболее крупными водными артериями являются река Иртыш и канал «Иртыш-Караганда» им. К.И. Сатпаева, водные ресурсы которых широко используются для питьевого и хозяйственного водоснабжения. В целях хозяйственно-питьевого водоснабжения эксплуатируется 22 участка с утвержденными запасами в количестве 649,85 тыс. куб. м в сутки. Потребителями воды хозяйственно-питьевого назначения являются: постоянное население, промышленные и сельскохозяйственные предприятия, потребляющие воду из сетей хозяйственно-питьевого водопровода. В городах области доступ к централизованному водоснабжению к концу 2018 года составил 92% и водоотведению - 86,5%. </w:t>
      </w:r>
    </w:p>
    <w:p w14:paraId="2B241AC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Протяженность сетей водоснабжения в области в 2018 году составляет 2748,3 км, и сетей водоотведения – 1046,9 км, в 2019 году — 3200,5 и 1047,4 (данные Комитета по статистике), из них требует замены на конец 2018 года, соответственно, 1127,1 км и 764,1 км, в 2019 году - водопроводных сетей — 1148,6 км, сетей водоотведения — 761,3 км. </w:t>
      </w:r>
    </w:p>
    <w:p w14:paraId="232398E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Сети водоснабжения в области находятся в коммунальной собственности и переданы в арендное обслуживание. В городе Павлодаре сети водоотведения переданы в арендное обслуживание ТОО «Павлодар-Водоканал», в городах Экибастуз и Аксу сети обслуживаются государственными коммунальными предприятиями. </w:t>
      </w:r>
    </w:p>
    <w:p w14:paraId="27ADF5F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период с 2011 по 2017 годы введены в эксплуатацию объекты водоснабжения в 25-ти СНП. Численность сельского населения, охваченного централизованным водоснабжением, за указанный период увеличилась с 93,5 тыс. до 134,6 тыс. человек. По итогам 2017 года из 365 сельских населенных пунктов доступ к централизованному водоснабжению имеют 87 СНП или 23,8%. Отсутствует централизованное водоснабжение в 278 СНП, из них в 268 – децентрализованное водоснабжение, в 10 – привозное. </w:t>
      </w:r>
    </w:p>
    <w:p w14:paraId="57C1DDF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2018 году проводились работы по строительству и реконструкции 37 проектов сельского водоснабжения (с численностью населения 59 247 человек) на общую сумму 15,3 млрд. тенге (13,1 млрд. тенге трансфертов из республиканского бюджета и 2,2 млрд. тенге за счет областного бюджета). До конца 2018 года завершены работы по 21 объекту, вследствие чего показатель доступа СНП к централизованному водоснабжению увеличился с 23,8% до 29,7% (обеспечив качественной питьевой водой дополнительно 27,2 тыс. человек).</w:t>
      </w:r>
    </w:p>
    <w:p w14:paraId="436D59B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На начало 2019 года</w:t>
      </w:r>
      <w:r w:rsidRPr="00F0736F">
        <w:rPr>
          <w:rFonts w:ascii="Times New Roman" w:hAnsi="Times New Roman" w:cs="Times New Roman"/>
          <w:color w:val="000000" w:themeColor="text1"/>
        </w:rPr>
        <w:t xml:space="preserve"> из 353 сел:</w:t>
      </w:r>
    </w:p>
    <w:p w14:paraId="5518C86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105 сел или 29,7% имеют доступ к централизованному водоснабжению;</w:t>
      </w:r>
    </w:p>
    <w:p w14:paraId="32CC22D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xml:space="preserve">- 52 СНП </w:t>
      </w:r>
      <w:r w:rsidRPr="00F0736F">
        <w:rPr>
          <w:rFonts w:ascii="Times New Roman" w:hAnsi="Times New Roman" w:cs="Times New Roman"/>
          <w:color w:val="000000" w:themeColor="text1"/>
        </w:rPr>
        <w:t xml:space="preserve">используют воду из </w:t>
      </w:r>
      <w:r w:rsidRPr="00F0736F">
        <w:rPr>
          <w:rFonts w:ascii="Times New Roman" w:hAnsi="Times New Roman" w:cs="Times New Roman"/>
          <w:color w:val="000000" w:themeColor="text1"/>
          <w:lang w:val="kk-KZ"/>
        </w:rPr>
        <w:t>установок по очистке воды комплексных блок-модулей;</w:t>
      </w:r>
    </w:p>
    <w:p w14:paraId="5C6106F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xml:space="preserve">- 188 сел </w:t>
      </w:r>
      <w:r w:rsidRPr="00F0736F">
        <w:rPr>
          <w:rFonts w:ascii="Times New Roman" w:hAnsi="Times New Roman" w:cs="Times New Roman"/>
          <w:color w:val="000000" w:themeColor="text1"/>
        </w:rPr>
        <w:t>используют воду</w:t>
      </w:r>
      <w:r w:rsidRPr="00F0736F">
        <w:rPr>
          <w:rFonts w:ascii="Times New Roman" w:hAnsi="Times New Roman" w:cs="Times New Roman"/>
          <w:color w:val="000000" w:themeColor="text1"/>
          <w:lang w:val="kk-KZ"/>
        </w:rPr>
        <w:t xml:space="preserve"> из местных источников (трубчатые, шахтные колодцы, скважины);</w:t>
      </w:r>
    </w:p>
    <w:p w14:paraId="115422E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- 8 сел пользуются привозной водой.</w:t>
      </w:r>
    </w:p>
    <w:p w14:paraId="63CC634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году проводились работы по строительству и реконструкции 52 проектов сельского водоснабжения на общую сумму 13,0 млрд. тенге (10,4 млрд. тенге трансфертов из республиканского бюджета и 2,6 млрд. тенге за счет областного бюджета). До конца 2019 года завершены работы по 39 объектам, вследствие чего показатель доступа СНП к централизованному водоснабжению увеличился с 29,7% до 40,1% (обеспечив качественной питьевой водой дополнительно 36,0 тыс. человек). </w:t>
      </w:r>
    </w:p>
    <w:p w14:paraId="3309160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2019 года из 352 СНП:</w:t>
      </w:r>
    </w:p>
    <w:p w14:paraId="7E9DBFD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- 141 СНП, или 40,1%, обеспечено централизованным водоснабжением; </w:t>
      </w:r>
    </w:p>
    <w:p w14:paraId="04D64E2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- 45 сел используют очищенную воду из КБМ; </w:t>
      </w:r>
    </w:p>
    <w:p w14:paraId="2C8162D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- 161 село пользуется питьевой водой из трубчатых шахтных колодцев; скважин; </w:t>
      </w:r>
    </w:p>
    <w:p w14:paraId="7AB8E9A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- 5 сел обеспечиваются привозной водой.</w:t>
      </w:r>
    </w:p>
    <w:p w14:paraId="22E8A3E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В целях улучшения состояния сетей и сооружений в 2019 году в рамках программы «Развитие регионов до 2020 года» реализовано 15 проектов. </w:t>
      </w:r>
      <w:r w:rsidRPr="00F0736F">
        <w:rPr>
          <w:rFonts w:ascii="Times New Roman" w:hAnsi="Times New Roman" w:cs="Times New Roman"/>
          <w:color w:val="000000" w:themeColor="text1"/>
        </w:rPr>
        <w:t>Всего в рамках проектов выполнено строительство и реконструкция 33,5 км сетей водоотведения, 34,9 км сетей водоснабжения и 19 повысительных насосных станций. За счет амортизационных отчислений и собственных средств коммунальными предприятиями в 2019 году выполнен капитальный ремонт и реконструкция 13,7 км сетей водоснабжения и 4 км водоотведения.</w:t>
      </w:r>
    </w:p>
    <w:p w14:paraId="51E5A97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2020 году в рамках программы «Развитие регионов до 2020 года» на объектах водоснабжения и водоотведения запланирована реализация 17 проектов. В рамках проектов будет выполнено строительство и реконструкция 22,5 км сетей водоотведения и 27,3 км сетей водоснабжения. За счет амортизационных отчислений и собственных средств коммунальными предприятиями в текущем году планируется выполнить капитальный ремонт и реконструкцию 22,2 км сетей водоснабжения и 9 км сетей водоотведения.</w:t>
      </w:r>
    </w:p>
    <w:p w14:paraId="72A3296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lang w:val="kk-KZ"/>
        </w:rPr>
        <w:t>П</w:t>
      </w:r>
      <w:r w:rsidRPr="00F0736F">
        <w:rPr>
          <w:rFonts w:ascii="Times New Roman" w:hAnsi="Times New Roman" w:cs="Times New Roman"/>
          <w:b/>
          <w:color w:val="000000" w:themeColor="text1"/>
        </w:rPr>
        <w:t>о водоотведению в сельских населенных пунктах</w:t>
      </w:r>
    </w:p>
    <w:p w14:paraId="7879035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Постановлением Правительства Республики Казахстан за №767 от 16 ноября 2018 года, утверждена Государственная программа развития регионов до 2020 года. Согласно Программе, показатель «Доступ к централизованному водоотведению» изменен на «Охват населения очисткой сточных вод».</w:t>
      </w:r>
    </w:p>
    <w:p w14:paraId="55827BE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Согласно методике, показатель охвата населения очисткой сточных вод высчитывается от общего числа населения в сельских населенных пунктах.</w:t>
      </w:r>
    </w:p>
    <w:p w14:paraId="09D8D9B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области очисткой сточных вод охвачены 5 сельских населенных пунктов, что по населению составляет 3,3%, или 7,4 тыс. человек (общее количество населения сел 221,9 тыс. человек): </w:t>
      </w:r>
    </w:p>
    <w:p w14:paraId="5F23FD5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с. Мойылды с.з.г. Павлодар, год постройки 1970 г., протяженность 0,7 км, имеются поля–фильтраций;</w:t>
      </w:r>
    </w:p>
    <w:p w14:paraId="02B9F81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с. Достык с.з.г. Аксу, год постройки 1979 г., протяженность 35 км. КНС – 1 шт., </w:t>
      </w:r>
    </w:p>
    <w:p w14:paraId="336FB19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с. Калкаман с.з.г. Аксу, год постройки 1968 г, протяженность 12 км, КНС – 2 шт.,</w:t>
      </w:r>
    </w:p>
    <w:p w14:paraId="5EFCFE3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п. Майкаин Баянаульского района, имеется пруд-накопитель;</w:t>
      </w:r>
    </w:p>
    <w:p w14:paraId="2AB2823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с. Шарбакты Щербактинского района, год постройки 2014 г, протяженность 8,2 км имеются КНС.</w:t>
      </w:r>
    </w:p>
    <w:p w14:paraId="1D395A5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3C4B422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Cs/>
          <w:color w:val="000000" w:themeColor="text1"/>
        </w:rPr>
        <w:t>За 2017 — 2019 годы</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w:t>
      </w:r>
      <w:r w:rsidRPr="00F0736F">
        <w:rPr>
          <w:rFonts w:ascii="Times New Roman" w:hAnsi="Times New Roman" w:cs="Times New Roman"/>
          <w:b/>
          <w:color w:val="000000" w:themeColor="text1"/>
        </w:rPr>
        <w:t>города Павлодар</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низкий</w:t>
      </w:r>
      <w:r w:rsidRPr="00F0736F">
        <w:rPr>
          <w:rFonts w:ascii="Times New Roman" w:hAnsi="Times New Roman" w:cs="Times New Roman"/>
          <w:color w:val="000000" w:themeColor="text1"/>
        </w:rPr>
        <w:t xml:space="preserve">. ИЗА составляет 2-5 (низкий и повышенный (в 2018 году) уровень), СИ = 2-5 (повышенный и высокий уровень) </w:t>
      </w:r>
      <w:r w:rsidRPr="00F0736F">
        <w:rPr>
          <w:rFonts w:ascii="Times New Roman" w:hAnsi="Times New Roman" w:cs="Times New Roman"/>
          <w:color w:val="000000" w:themeColor="text1"/>
          <w:lang w:val="kk-KZ"/>
        </w:rPr>
        <w:t xml:space="preserve">и </w:t>
      </w:r>
      <w:r w:rsidRPr="00F0736F">
        <w:rPr>
          <w:rFonts w:ascii="Times New Roman" w:hAnsi="Times New Roman" w:cs="Times New Roman"/>
          <w:color w:val="000000" w:themeColor="text1"/>
        </w:rPr>
        <w:t>НП = 1-4</w:t>
      </w:r>
      <w:r w:rsidRPr="00F0736F">
        <w:rPr>
          <w:rFonts w:ascii="Times New Roman" w:hAnsi="Times New Roman" w:cs="Times New Roman"/>
          <w:color w:val="000000" w:themeColor="text1"/>
          <w:lang w:val="kk-KZ"/>
        </w:rPr>
        <w:t xml:space="preserve">% (повышенный уровень).  </w:t>
      </w:r>
    </w:p>
    <w:p w14:paraId="2E3497E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У</w:t>
      </w:r>
      <w:r w:rsidRPr="00F0736F">
        <w:rPr>
          <w:rFonts w:ascii="Times New Roman" w:hAnsi="Times New Roman" w:cs="Times New Roman"/>
          <w:color w:val="000000" w:themeColor="text1"/>
        </w:rPr>
        <w:t xml:space="preserve">ровень загрязнения атмосферного воздуха </w:t>
      </w:r>
      <w:r w:rsidRPr="00F0736F">
        <w:rPr>
          <w:rFonts w:ascii="Times New Roman" w:hAnsi="Times New Roman" w:cs="Times New Roman"/>
          <w:b/>
          <w:color w:val="000000" w:themeColor="text1"/>
        </w:rPr>
        <w:t>города Экибастуз</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низкий.</w:t>
      </w:r>
      <w:r w:rsidRPr="00F0736F">
        <w:rPr>
          <w:rFonts w:ascii="Times New Roman" w:hAnsi="Times New Roman" w:cs="Times New Roman"/>
          <w:color w:val="000000" w:themeColor="text1"/>
        </w:rPr>
        <w:t xml:space="preserve"> ИЗА составляет 3 в 2017 и 2019 годах (низкий уровень) и ИЗА+7 в 2018 году (высокий уровень), СИ = 1,4 - 6</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низкий</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и высокий (2018 год) </w:t>
      </w:r>
      <w:r w:rsidRPr="00F0736F">
        <w:rPr>
          <w:rFonts w:ascii="Times New Roman" w:hAnsi="Times New Roman" w:cs="Times New Roman"/>
          <w:color w:val="000000" w:themeColor="text1"/>
          <w:lang w:val="kk-KZ"/>
        </w:rPr>
        <w:t xml:space="preserve">уровень), значение </w:t>
      </w:r>
      <w:r w:rsidRPr="00F0736F">
        <w:rPr>
          <w:rFonts w:ascii="Times New Roman" w:hAnsi="Times New Roman" w:cs="Times New Roman"/>
          <w:color w:val="000000" w:themeColor="text1"/>
        </w:rPr>
        <w:t>НП = 0-2</w:t>
      </w:r>
      <w:r w:rsidRPr="00F0736F">
        <w:rPr>
          <w:rFonts w:ascii="Times New Roman" w:hAnsi="Times New Roman" w:cs="Times New Roman"/>
          <w:color w:val="000000" w:themeColor="text1"/>
          <w:lang w:val="kk-KZ"/>
        </w:rPr>
        <w:t xml:space="preserve">% (повышенный уровень). </w:t>
      </w:r>
      <w:r w:rsidRPr="00F0736F">
        <w:rPr>
          <w:rFonts w:ascii="Times New Roman" w:hAnsi="Times New Roman" w:cs="Times New Roman"/>
          <w:color w:val="000000" w:themeColor="text1"/>
        </w:rPr>
        <w:t xml:space="preserve"> </w:t>
      </w:r>
    </w:p>
    <w:p w14:paraId="32B416F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города Аксу</w:t>
      </w:r>
      <w:r w:rsidRPr="00F0736F">
        <w:rPr>
          <w:rFonts w:ascii="Times New Roman" w:hAnsi="Times New Roman" w:cs="Times New Roman"/>
          <w:color w:val="000000" w:themeColor="text1"/>
        </w:rPr>
        <w:t xml:space="preserve"> оценивался низкий.</w:t>
      </w:r>
      <w:r w:rsidRPr="00F0736F">
        <w:rPr>
          <w:rFonts w:ascii="Times New Roman" w:hAnsi="Times New Roman" w:cs="Times New Roman"/>
          <w:b/>
          <w:i/>
          <w:color w:val="000000" w:themeColor="text1"/>
        </w:rPr>
        <w:t xml:space="preserve"> </w:t>
      </w:r>
      <w:r w:rsidRPr="00F0736F">
        <w:rPr>
          <w:rFonts w:ascii="Times New Roman" w:hAnsi="Times New Roman" w:cs="Times New Roman"/>
          <w:color w:val="000000" w:themeColor="text1"/>
        </w:rPr>
        <w:t>ИЗА составляет 1-5 (низкий и повышенный (2018 год) уровень). СИ = 1,8-</w:t>
      </w:r>
      <w:r w:rsidRPr="00F0736F">
        <w:rPr>
          <w:rFonts w:ascii="Times New Roman" w:hAnsi="Times New Roman" w:cs="Times New Roman"/>
          <w:color w:val="000000" w:themeColor="text1"/>
          <w:lang w:val="kk-KZ"/>
        </w:rPr>
        <w:t xml:space="preserve">4 </w:t>
      </w:r>
      <w:r w:rsidRPr="00F0736F">
        <w:rPr>
          <w:rFonts w:ascii="Times New Roman" w:hAnsi="Times New Roman" w:cs="Times New Roman"/>
          <w:color w:val="000000" w:themeColor="text1"/>
        </w:rPr>
        <w:t xml:space="preserve">(повышенный уровень), НП = 0% (низкий уровень).  </w:t>
      </w:r>
    </w:p>
    <w:p w14:paraId="41E1D55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 целью информирования жителей текущая информация о состоянии атмосферного воздуха транслируется на LED-экранах в городах области. 6 экранов установлены в г. Павлодар (ул. Естая – пр. Н. Назарбаева, ул. Ак. Сатпаева – Кривенко, ул. Ак. Сатпаева-Торайгырова, пр. Н.Назарбаева – Лермонтова, на железнодорожном вокзале и в аэропорту) и 1 экран в городе Экибастуз (на пересечении улиц М.Жусупа-М.Ауэзова). Данные с постов транслируются с периодичностью каждые 12 минут и длительностью трансляции в 1 минуту. По каждому веществу возможно просматривать уровень концентрации в мг/м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и в отношении к предельно-допустимой концентрации (по шкале цвета: 0-1 ПДК – низкий уровень; 1-5 –повышенный уровень; 5-10 – высокий уровень; более 10 ПДК – очень высокий уровень).</w:t>
      </w:r>
    </w:p>
    <w:p w14:paraId="0FC2AC7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Из общей массы </w:t>
      </w:r>
      <w:r w:rsidRPr="00F0736F">
        <w:rPr>
          <w:rFonts w:ascii="Times New Roman" w:hAnsi="Times New Roman" w:cs="Times New Roman"/>
          <w:b/>
          <w:color w:val="000000" w:themeColor="text1"/>
        </w:rPr>
        <w:t>эмиссий</w:t>
      </w:r>
      <w:r w:rsidRPr="00F0736F">
        <w:rPr>
          <w:rFonts w:ascii="Times New Roman" w:hAnsi="Times New Roman" w:cs="Times New Roman"/>
          <w:color w:val="000000" w:themeColor="text1"/>
        </w:rPr>
        <w:t xml:space="preserve"> загрязняющих веществ в окружающую среду на долю предприятий теплоэнергетики приходится 64%, на черную металлургию 16%, на цветную металлургию 7% и нефтепереработку 4%. </w:t>
      </w:r>
    </w:p>
    <w:p w14:paraId="3A5E679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Объемы валовых выбросов в атмосферу за 12 месяцев 2018 год по данным акимата области, составили 716,2 тыс. т. при лимите в 980,2 тыс. т.  </w:t>
      </w:r>
    </w:p>
    <w:p w14:paraId="52B8949F" w14:textId="77777777" w:rsidR="00AC1D5B" w:rsidRPr="00F0736F" w:rsidRDefault="00AC1D5B" w:rsidP="00AC1D5B">
      <w:pPr>
        <w:ind w:firstLine="709"/>
        <w:jc w:val="both"/>
        <w:rPr>
          <w:rFonts w:ascii="Times New Roman" w:hAnsi="Times New Roman" w:cs="Times New Roman"/>
          <w:color w:val="000000" w:themeColor="text1"/>
        </w:rPr>
      </w:pPr>
    </w:p>
    <w:p w14:paraId="0E2A7B4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2.12.1. Выбросы вредных веществ стационарными источниками.</w:t>
      </w:r>
    </w:p>
    <w:p w14:paraId="0EC7C1F0"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jc w:val="right"/>
        <w:tblLayout w:type="fixed"/>
        <w:tblLook w:val="04A0" w:firstRow="1" w:lastRow="0" w:firstColumn="1" w:lastColumn="0" w:noHBand="0" w:noVBand="1"/>
      </w:tblPr>
      <w:tblGrid>
        <w:gridCol w:w="3135"/>
        <w:gridCol w:w="1281"/>
        <w:gridCol w:w="1039"/>
        <w:gridCol w:w="1043"/>
        <w:gridCol w:w="1195"/>
        <w:gridCol w:w="911"/>
        <w:gridCol w:w="1028"/>
      </w:tblGrid>
      <w:tr w:rsidR="00F0736F" w:rsidRPr="00F0736F" w14:paraId="0BFC8A07" w14:textId="77777777" w:rsidTr="000B2B8A">
        <w:trPr>
          <w:trHeight w:val="300"/>
          <w:jc w:val="right"/>
        </w:trPr>
        <w:tc>
          <w:tcPr>
            <w:tcW w:w="3135" w:type="dxa"/>
            <w:vMerge w:val="restart"/>
            <w:tcBorders>
              <w:top w:val="single" w:sz="4" w:space="0" w:color="000000"/>
              <w:left w:val="single" w:sz="4" w:space="0" w:color="000000"/>
              <w:bottom w:val="single" w:sz="4" w:space="0" w:color="000000"/>
              <w:right w:val="nil"/>
            </w:tcBorders>
            <w:vAlign w:val="center"/>
            <w:hideMark/>
          </w:tcPr>
          <w:p w14:paraId="2067CCB0" w14:textId="77777777" w:rsidR="00AC1D5B" w:rsidRPr="00F0736F" w:rsidRDefault="00AC1D5B" w:rsidP="00AC1D5B">
            <w:pPr>
              <w:ind w:firstLine="454"/>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Наименование областей</w:t>
            </w:r>
          </w:p>
        </w:tc>
        <w:tc>
          <w:tcPr>
            <w:tcW w:w="6497" w:type="dxa"/>
            <w:gridSpan w:val="6"/>
            <w:tcBorders>
              <w:top w:val="single" w:sz="4" w:space="0" w:color="000000"/>
              <w:left w:val="single" w:sz="4" w:space="0" w:color="000000"/>
              <w:bottom w:val="single" w:sz="4" w:space="0" w:color="000000"/>
              <w:right w:val="single" w:sz="4" w:space="0" w:color="000000"/>
            </w:tcBorders>
            <w:vAlign w:val="center"/>
            <w:hideMark/>
          </w:tcPr>
          <w:p w14:paraId="49242DC4"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Выбросы вредных веществ, тыс. т.</w:t>
            </w:r>
          </w:p>
        </w:tc>
      </w:tr>
      <w:tr w:rsidR="00F0736F" w:rsidRPr="00F0736F" w14:paraId="19B819FC" w14:textId="77777777" w:rsidTr="000B2B8A">
        <w:trPr>
          <w:trHeight w:val="300"/>
          <w:jc w:val="right"/>
        </w:trPr>
        <w:tc>
          <w:tcPr>
            <w:tcW w:w="3135" w:type="dxa"/>
            <w:vMerge/>
            <w:tcBorders>
              <w:top w:val="single" w:sz="4" w:space="0" w:color="000000"/>
              <w:left w:val="single" w:sz="4" w:space="0" w:color="000000"/>
              <w:bottom w:val="single" w:sz="4" w:space="0" w:color="000000"/>
              <w:right w:val="nil"/>
            </w:tcBorders>
            <w:vAlign w:val="center"/>
            <w:hideMark/>
          </w:tcPr>
          <w:p w14:paraId="7247EF81"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2320" w:type="dxa"/>
            <w:gridSpan w:val="2"/>
            <w:tcBorders>
              <w:top w:val="single" w:sz="4" w:space="0" w:color="000000"/>
              <w:left w:val="single" w:sz="4" w:space="0" w:color="000000"/>
              <w:bottom w:val="single" w:sz="4" w:space="0" w:color="000000"/>
              <w:right w:val="nil"/>
            </w:tcBorders>
            <w:vAlign w:val="center"/>
            <w:hideMark/>
          </w:tcPr>
          <w:p w14:paraId="4CBC1436"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2017 год</w:t>
            </w:r>
          </w:p>
        </w:tc>
        <w:tc>
          <w:tcPr>
            <w:tcW w:w="2238" w:type="dxa"/>
            <w:gridSpan w:val="2"/>
            <w:tcBorders>
              <w:top w:val="single" w:sz="4" w:space="0" w:color="000000"/>
              <w:left w:val="single" w:sz="4" w:space="0" w:color="000000"/>
              <w:bottom w:val="single" w:sz="4" w:space="0" w:color="000000"/>
              <w:right w:val="nil"/>
            </w:tcBorders>
            <w:vAlign w:val="center"/>
            <w:hideMark/>
          </w:tcPr>
          <w:p w14:paraId="66602844"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2018 год</w:t>
            </w:r>
          </w:p>
        </w:tc>
        <w:tc>
          <w:tcPr>
            <w:tcW w:w="1939" w:type="dxa"/>
            <w:gridSpan w:val="2"/>
            <w:tcBorders>
              <w:top w:val="single" w:sz="4" w:space="0" w:color="000000"/>
              <w:left w:val="single" w:sz="4" w:space="0" w:color="000000"/>
              <w:bottom w:val="single" w:sz="4" w:space="0" w:color="000000"/>
              <w:right w:val="single" w:sz="4" w:space="0" w:color="000000"/>
            </w:tcBorders>
            <w:vAlign w:val="center"/>
            <w:hideMark/>
          </w:tcPr>
          <w:p w14:paraId="11F5B1F1"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 год</w:t>
            </w:r>
          </w:p>
        </w:tc>
      </w:tr>
      <w:tr w:rsidR="00F0736F" w:rsidRPr="00F0736F" w14:paraId="1A0215E5" w14:textId="77777777" w:rsidTr="000B2B8A">
        <w:trPr>
          <w:trHeight w:val="272"/>
          <w:jc w:val="right"/>
        </w:trPr>
        <w:tc>
          <w:tcPr>
            <w:tcW w:w="3135" w:type="dxa"/>
            <w:vMerge/>
            <w:tcBorders>
              <w:top w:val="single" w:sz="4" w:space="0" w:color="000000"/>
              <w:left w:val="single" w:sz="4" w:space="0" w:color="000000"/>
              <w:bottom w:val="single" w:sz="4" w:space="0" w:color="000000"/>
              <w:right w:val="nil"/>
            </w:tcBorders>
            <w:vAlign w:val="center"/>
            <w:hideMark/>
          </w:tcPr>
          <w:p w14:paraId="46C98B33"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1281" w:type="dxa"/>
            <w:tcBorders>
              <w:top w:val="nil"/>
              <w:left w:val="single" w:sz="4" w:space="0" w:color="000000"/>
              <w:bottom w:val="single" w:sz="4" w:space="0" w:color="000000"/>
              <w:right w:val="nil"/>
            </w:tcBorders>
            <w:hideMark/>
          </w:tcPr>
          <w:p w14:paraId="3CEDF546"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лимит</w:t>
            </w:r>
          </w:p>
        </w:tc>
        <w:tc>
          <w:tcPr>
            <w:tcW w:w="1039" w:type="dxa"/>
            <w:tcBorders>
              <w:top w:val="nil"/>
              <w:left w:val="single" w:sz="4" w:space="0" w:color="000000"/>
              <w:bottom w:val="single" w:sz="4" w:space="0" w:color="000000"/>
              <w:right w:val="nil"/>
            </w:tcBorders>
          </w:tcPr>
          <w:p w14:paraId="0FE75ECA"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факт</w:t>
            </w:r>
          </w:p>
        </w:tc>
        <w:tc>
          <w:tcPr>
            <w:tcW w:w="1043" w:type="dxa"/>
            <w:tcBorders>
              <w:top w:val="nil"/>
              <w:left w:val="single" w:sz="4" w:space="0" w:color="000000"/>
              <w:bottom w:val="single" w:sz="4" w:space="0" w:color="000000"/>
              <w:right w:val="nil"/>
            </w:tcBorders>
            <w:hideMark/>
          </w:tcPr>
          <w:p w14:paraId="3A2C357D"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лимит</w:t>
            </w:r>
          </w:p>
        </w:tc>
        <w:tc>
          <w:tcPr>
            <w:tcW w:w="1195" w:type="dxa"/>
            <w:tcBorders>
              <w:top w:val="nil"/>
              <w:left w:val="single" w:sz="4" w:space="0" w:color="000000"/>
              <w:bottom w:val="single" w:sz="4" w:space="0" w:color="000000"/>
              <w:right w:val="nil"/>
            </w:tcBorders>
          </w:tcPr>
          <w:p w14:paraId="4D0CC889"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факт</w:t>
            </w:r>
          </w:p>
        </w:tc>
        <w:tc>
          <w:tcPr>
            <w:tcW w:w="911" w:type="dxa"/>
            <w:tcBorders>
              <w:top w:val="nil"/>
              <w:left w:val="single" w:sz="4" w:space="0" w:color="000000"/>
              <w:bottom w:val="single" w:sz="4" w:space="0" w:color="000000"/>
              <w:right w:val="nil"/>
            </w:tcBorders>
            <w:hideMark/>
          </w:tcPr>
          <w:p w14:paraId="7E761E96"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лимит</w:t>
            </w:r>
          </w:p>
        </w:tc>
        <w:tc>
          <w:tcPr>
            <w:tcW w:w="1028" w:type="dxa"/>
            <w:tcBorders>
              <w:top w:val="nil"/>
              <w:left w:val="single" w:sz="4" w:space="0" w:color="000000"/>
              <w:bottom w:val="single" w:sz="4" w:space="0" w:color="000000"/>
              <w:right w:val="single" w:sz="4" w:space="0" w:color="000000"/>
            </w:tcBorders>
          </w:tcPr>
          <w:p w14:paraId="14805323"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факт</w:t>
            </w:r>
          </w:p>
        </w:tc>
      </w:tr>
      <w:tr w:rsidR="00F0736F" w:rsidRPr="00F0736F" w14:paraId="12FBC558" w14:textId="77777777" w:rsidTr="000B2B8A">
        <w:trPr>
          <w:trHeight w:val="414"/>
          <w:jc w:val="right"/>
        </w:trPr>
        <w:tc>
          <w:tcPr>
            <w:tcW w:w="3135" w:type="dxa"/>
            <w:tcBorders>
              <w:top w:val="nil"/>
              <w:left w:val="single" w:sz="4" w:space="0" w:color="000000"/>
              <w:bottom w:val="single" w:sz="4" w:space="0" w:color="000000"/>
              <w:right w:val="nil"/>
            </w:tcBorders>
            <w:vAlign w:val="center"/>
            <w:hideMark/>
          </w:tcPr>
          <w:p w14:paraId="5D0EC429"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Павлодарская </w:t>
            </w:r>
          </w:p>
        </w:tc>
        <w:tc>
          <w:tcPr>
            <w:tcW w:w="1281" w:type="dxa"/>
            <w:tcBorders>
              <w:top w:val="nil"/>
              <w:left w:val="single" w:sz="4" w:space="0" w:color="000000"/>
              <w:bottom w:val="single" w:sz="4" w:space="0" w:color="000000"/>
              <w:right w:val="nil"/>
            </w:tcBorders>
            <w:vAlign w:val="center"/>
            <w:hideMark/>
          </w:tcPr>
          <w:p w14:paraId="1A884E29"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968,511</w:t>
            </w:r>
          </w:p>
        </w:tc>
        <w:tc>
          <w:tcPr>
            <w:tcW w:w="1039" w:type="dxa"/>
            <w:tcBorders>
              <w:top w:val="single" w:sz="4" w:space="0" w:color="000000"/>
              <w:left w:val="single" w:sz="4" w:space="0" w:color="000000"/>
              <w:bottom w:val="single" w:sz="4" w:space="0" w:color="000000"/>
              <w:right w:val="nil"/>
            </w:tcBorders>
            <w:vAlign w:val="center"/>
            <w:hideMark/>
          </w:tcPr>
          <w:p w14:paraId="7A2B38A2"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618,14</w:t>
            </w:r>
          </w:p>
        </w:tc>
        <w:tc>
          <w:tcPr>
            <w:tcW w:w="1043" w:type="dxa"/>
            <w:tcBorders>
              <w:top w:val="single" w:sz="4" w:space="0" w:color="000000"/>
              <w:left w:val="single" w:sz="4" w:space="0" w:color="000000"/>
              <w:bottom w:val="single" w:sz="4" w:space="0" w:color="000000"/>
              <w:right w:val="nil"/>
            </w:tcBorders>
            <w:vAlign w:val="center"/>
            <w:hideMark/>
          </w:tcPr>
          <w:p w14:paraId="67289277"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980,2</w:t>
            </w:r>
          </w:p>
        </w:tc>
        <w:tc>
          <w:tcPr>
            <w:tcW w:w="1195" w:type="dxa"/>
            <w:tcBorders>
              <w:top w:val="single" w:sz="4" w:space="0" w:color="000000"/>
              <w:left w:val="single" w:sz="4" w:space="0" w:color="000000"/>
              <w:bottom w:val="single" w:sz="4" w:space="0" w:color="000000"/>
              <w:right w:val="nil"/>
            </w:tcBorders>
            <w:vAlign w:val="center"/>
            <w:hideMark/>
          </w:tcPr>
          <w:p w14:paraId="1A87C390"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716,2</w:t>
            </w:r>
          </w:p>
        </w:tc>
        <w:tc>
          <w:tcPr>
            <w:tcW w:w="911" w:type="dxa"/>
            <w:tcBorders>
              <w:top w:val="single" w:sz="4" w:space="0" w:color="000000"/>
              <w:left w:val="single" w:sz="4" w:space="0" w:color="000000"/>
              <w:bottom w:val="single" w:sz="4" w:space="0" w:color="000000"/>
              <w:right w:val="nil"/>
            </w:tcBorders>
            <w:vAlign w:val="center"/>
            <w:hideMark/>
          </w:tcPr>
          <w:p w14:paraId="6566271A" w14:textId="77777777" w:rsidR="00AC1D5B" w:rsidRPr="00F0736F" w:rsidRDefault="00AC1D5B" w:rsidP="00AC1D5B">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986,4</w:t>
            </w:r>
          </w:p>
        </w:tc>
        <w:tc>
          <w:tcPr>
            <w:tcW w:w="1028" w:type="dxa"/>
            <w:tcBorders>
              <w:top w:val="single" w:sz="4" w:space="0" w:color="000000"/>
              <w:left w:val="single" w:sz="4" w:space="0" w:color="000000"/>
              <w:bottom w:val="single" w:sz="4" w:space="0" w:color="000000"/>
              <w:right w:val="single" w:sz="4" w:space="0" w:color="000000"/>
            </w:tcBorders>
            <w:vAlign w:val="center"/>
            <w:hideMark/>
          </w:tcPr>
          <w:p w14:paraId="1AF70EB4" w14:textId="77777777" w:rsidR="00AC1D5B" w:rsidRPr="00F0736F" w:rsidRDefault="00AC1D5B" w:rsidP="00AC1D5B">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721,5</w:t>
            </w:r>
          </w:p>
        </w:tc>
      </w:tr>
    </w:tbl>
    <w:p w14:paraId="5FCE6C0D"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По данным акимата Павлодарской области</w:t>
      </w:r>
    </w:p>
    <w:p w14:paraId="0D141993" w14:textId="77777777" w:rsidR="00AC1D5B" w:rsidRPr="00F0736F" w:rsidRDefault="00AC1D5B" w:rsidP="00AC1D5B">
      <w:pPr>
        <w:ind w:firstLine="709"/>
        <w:jc w:val="both"/>
        <w:rPr>
          <w:rFonts w:ascii="Times New Roman" w:hAnsi="Times New Roman" w:cs="Times New Roman"/>
          <w:color w:val="000000" w:themeColor="text1"/>
        </w:rPr>
      </w:pPr>
    </w:p>
    <w:p w14:paraId="5725D0A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Из них на долю крупных предприятий области по 1-й категории приходится 85 - 86%, на остальные объекты </w:t>
      </w:r>
      <w:r w:rsidRPr="00F0736F">
        <w:rPr>
          <w:rFonts w:ascii="Times New Roman" w:hAnsi="Times New Roman" w:cs="Times New Roman"/>
          <w:color w:val="000000" w:themeColor="text1"/>
          <w:lang w:val="en-US"/>
        </w:rPr>
        <w:t>II</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III</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IV</w:t>
      </w:r>
      <w:r w:rsidRPr="00F0736F">
        <w:rPr>
          <w:rFonts w:ascii="Times New Roman" w:hAnsi="Times New Roman" w:cs="Times New Roman"/>
          <w:color w:val="000000" w:themeColor="text1"/>
        </w:rPr>
        <w:t xml:space="preserve"> категории приходится порядка 14 - 15%.</w:t>
      </w:r>
    </w:p>
    <w:p w14:paraId="60C17B1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eastAsia="ko-KR"/>
        </w:rPr>
        <w:t xml:space="preserve">До 2016 года происходило снижение выбросов, а затем рост по причине </w:t>
      </w:r>
      <w:r w:rsidRPr="00F0736F">
        <w:rPr>
          <w:rFonts w:ascii="Times New Roman" w:hAnsi="Times New Roman" w:cs="Times New Roman"/>
          <w:color w:val="000000" w:themeColor="text1"/>
        </w:rPr>
        <w:t xml:space="preserve">увеличения выработки электроэнергии на теплоэнергетических предприятиях области, к примеру: </w:t>
      </w:r>
    </w:p>
    <w:p w14:paraId="799D047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ТОО «Экибастузская ГРЭС-1 им. Булата Нуржанова» в 2018 году выработало электроэнергии на 29,2% больше, чем в предыдущем году (14.797 млрд. кВт*ч и 19,121 млрд. кВт*ч), соответственно объемы выбросов в атмосферу увеличились на 56,2 тыс. т., или на 37,3% (с 150,5 тыс. т. на 206,7 тыс. т.);</w:t>
      </w:r>
    </w:p>
    <w:p w14:paraId="17C0350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 xml:space="preserve">- в АО «Алюминий Казахстана» увеличение выбросов загрязняющих веществ в атмосферный воздух составило 33,98 тыс. т., или на 60% (с 56,753 тыс. т. до 90,74 тыс. т.) за счет ухудшения качества перерабатываемого сырья (боксита). Кроме того, увеличилось производство глинозема на 28061 т., или 1,9% (с 1 480 991,0 т. до 1 509 051,90 т.). </w:t>
      </w:r>
    </w:p>
    <w:p w14:paraId="43BEF63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Крупными промышленными предприятиями области в 2018 году на выполнение природоохранных мероприятий освоено 9,5 млрд. тенге, при плане 6,3 млрд. тенге, из них наиболее значимые: </w:t>
      </w:r>
    </w:p>
    <w:p w14:paraId="0FF9011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ТОО «Богатырь Комир» затрачено 3,4 млрд. тенге на рекультивацию отработанных участков, путем закладки вскрышных пород на месторождении «Екибастузское» при плане 1,2 млрд. тенге;</w:t>
      </w:r>
    </w:p>
    <w:p w14:paraId="5EAC7A8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Аксуским заводом ферросплавов – филиалом АО «ТНК «Казхром» освоено 2,8 млрд. тенге при плане 2,6 млрд. тенге, из них 2,3 млрд. тенге на переработку 981802 т. шлаков феррохрома, которая заключается в его дроблении и получении металла, продуктов для повторной переработки и возврата в производство и щебня нескольких фракций.</w:t>
      </w:r>
    </w:p>
    <w:p w14:paraId="19E60B81" w14:textId="77777777" w:rsidR="00AC1D5B" w:rsidRPr="00F0736F" w:rsidRDefault="00AC1D5B" w:rsidP="00AC1D5B">
      <w:pPr>
        <w:ind w:firstLine="709"/>
        <w:contextualSpacing/>
        <w:jc w:val="both"/>
        <w:rPr>
          <w:rFonts w:ascii="Times New Roman" w:eastAsia="Times New Roman" w:hAnsi="Times New Roman" w:cs="Times New Roman"/>
          <w:color w:val="000000" w:themeColor="text1"/>
          <w:lang w:eastAsia="ru-RU"/>
        </w:rPr>
      </w:pPr>
      <w:r w:rsidRPr="00F0736F">
        <w:rPr>
          <w:rFonts w:ascii="Times New Roman" w:eastAsia="Calibri" w:hAnsi="Times New Roman" w:cs="Times New Roman"/>
          <w:color w:val="000000" w:themeColor="text1"/>
          <w:lang w:eastAsia="en-US"/>
        </w:rPr>
        <w:t xml:space="preserve">Также работа на предприятиях продолжалась и в 2019 году. </w:t>
      </w:r>
      <w:r w:rsidRPr="00F0736F">
        <w:rPr>
          <w:rFonts w:ascii="Times New Roman" w:eastAsia="Times New Roman" w:hAnsi="Times New Roman" w:cs="Times New Roman"/>
          <w:color w:val="000000" w:themeColor="text1"/>
          <w:lang w:eastAsia="ru-RU"/>
        </w:rPr>
        <w:t xml:space="preserve">К примеру, на Павлодарском алюминиевом заводе начаты работы по поэтапной замене существующих электрофильтров на печах Цеха спекания с планируемым экологическим эффектом снижения выбросов пыли более чем на 13%. На Аксуском заводе ферросплавов начаты работы по реконструкции газоочисток цеха №4 (Проект рассчитан на 5 лет, экологический эффект – снижение выбросов пыли на 180 т/год). </w:t>
      </w:r>
    </w:p>
    <w:p w14:paraId="295401A5"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Крупными промышленными предприятиями, в рамках заключенного с акиматом области меморандума, ведутся работы по установке автоматизированных станций контроля атмосферного воздуха. Внедрение аналогичных систем мониторинга по остальным предприятиям запланировано поэтапно с 2020 года. </w:t>
      </w:r>
    </w:p>
    <w:p w14:paraId="16CFF01C" w14:textId="77777777" w:rsidR="00AC1D5B" w:rsidRPr="00F0736F" w:rsidRDefault="00AC1D5B" w:rsidP="00AC1D5B">
      <w:pPr>
        <w:widowControl w:val="0"/>
        <w:ind w:firstLine="709"/>
        <w:jc w:val="both"/>
        <w:rPr>
          <w:rFonts w:ascii="Times New Roman" w:eastAsia="Tahoma" w:hAnsi="Times New Roman" w:cs="Times New Roman"/>
          <w:color w:val="000000" w:themeColor="text1"/>
        </w:rPr>
      </w:pPr>
      <w:r w:rsidRPr="00F0736F">
        <w:rPr>
          <w:rFonts w:ascii="Times New Roman" w:eastAsia="Tahoma" w:hAnsi="Times New Roman" w:cs="Times New Roman"/>
          <w:color w:val="000000" w:themeColor="text1"/>
        </w:rPr>
        <w:t>Частично загрязнение воздуха компенсируется озеленением. Так, в 2019 году вдоль  автодороги № 1 г.Павлодар посажено около 5000 компенсационных деревьев. В 2020 году осенью планируется компенсационная посадка в количестве 650 шт. деревьев и кустарников.</w:t>
      </w:r>
    </w:p>
    <w:p w14:paraId="423B1B7E"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2020 году на работы по уходу за зеленым фондом выделено 204 млн. тенге, кратность полива зеленых насаждений составляет 10 раз за сезон.</w:t>
      </w:r>
    </w:p>
    <w:p w14:paraId="709A88E3"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ТОО «Павлодарский нефтехимический завод» разработан проект озеленения СЗЗ предприятия на 2020-2024 годы, в рамках которого планируется поэтапная высадка 17 000 саженцев деревьев на площади 64,2 га. Из них на 2020 год запланирована высадка 3400 саженцев.   </w:t>
      </w:r>
    </w:p>
    <w:p w14:paraId="73825DAE"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Аналогичные проекты обустройства СЗЗ разработаны Аксуским заводом ферросплавов (посадка 3000 деревьев с 2020 по 2025 гг., с уходными работами до 2028 г.), АО «Каустик» (ежегодная высадка по 100 ед. деревьев), АО «Майкаинзолото» (ежегодная высадка по 300-400 ед. на площади 14,71 га с 2021-2031 годы), АО «Станция Экибастузская ГРЭС-2» (ежегодно по 2000 ед.), ТОО «Экибастузская ГРЭС-1 им. Б. Нуржанова» (ежегодно по 500 ед.).</w:t>
      </w:r>
    </w:p>
    <w:p w14:paraId="6B50C7B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Наблюдения за загрязнением поверхностных вод на территории Павлодарской области проводились на 4-х водных объектах (реки Ертис и Усолка, озера Джасыбай, Сабындыколь).</w:t>
      </w:r>
    </w:p>
    <w:p w14:paraId="150B43F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Фактические объемы сбросов</w:t>
      </w:r>
      <w:r w:rsidRPr="00F0736F">
        <w:rPr>
          <w:rFonts w:ascii="Times New Roman" w:hAnsi="Times New Roman" w:cs="Times New Roman"/>
          <w:color w:val="000000" w:themeColor="text1"/>
        </w:rPr>
        <w:t xml:space="preserve"> загрязняющих веществ (основные предприятия - ГКП «Водоканал», ГКП «Аксу Су арнасы», ГКП «Экибастуз водоканал») остаются относительно стабильными </w:t>
      </w:r>
    </w:p>
    <w:p w14:paraId="6C3A9438" w14:textId="77777777" w:rsidR="00AC1D5B" w:rsidRPr="00F0736F" w:rsidRDefault="00AC1D5B" w:rsidP="00AC1D5B">
      <w:pPr>
        <w:ind w:firstLine="709"/>
        <w:jc w:val="both"/>
        <w:rPr>
          <w:rFonts w:ascii="Times New Roman" w:hAnsi="Times New Roman" w:cs="Times New Roman"/>
          <w:color w:val="000000" w:themeColor="text1"/>
        </w:rPr>
      </w:pPr>
    </w:p>
    <w:p w14:paraId="1E552B7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2.12.2 - Фактический объем сброса промышленных и хозяйственно-бытовых сточных вод</w:t>
      </w:r>
    </w:p>
    <w:tbl>
      <w:tblPr>
        <w:tblW w:w="9781" w:type="dxa"/>
        <w:tblInd w:w="108" w:type="dxa"/>
        <w:tblLayout w:type="fixed"/>
        <w:tblLook w:val="04A0" w:firstRow="1" w:lastRow="0" w:firstColumn="1" w:lastColumn="0" w:noHBand="0" w:noVBand="1"/>
      </w:tblPr>
      <w:tblGrid>
        <w:gridCol w:w="1652"/>
        <w:gridCol w:w="2790"/>
        <w:gridCol w:w="1937"/>
        <w:gridCol w:w="1701"/>
        <w:gridCol w:w="1701"/>
      </w:tblGrid>
      <w:tr w:rsidR="00F0736F" w:rsidRPr="00F0736F" w14:paraId="2BF72EB4" w14:textId="77777777" w:rsidTr="000B2B8A">
        <w:trPr>
          <w:trHeight w:val="98"/>
        </w:trPr>
        <w:tc>
          <w:tcPr>
            <w:tcW w:w="4442" w:type="dxa"/>
            <w:gridSpan w:val="2"/>
            <w:tcBorders>
              <w:top w:val="single" w:sz="4" w:space="0" w:color="000000"/>
              <w:left w:val="single" w:sz="4" w:space="0" w:color="000000"/>
              <w:bottom w:val="single" w:sz="4" w:space="0" w:color="000000"/>
              <w:right w:val="nil"/>
            </w:tcBorders>
            <w:hideMark/>
          </w:tcPr>
          <w:p w14:paraId="44716FA3"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Информация о фактических объемах сбросов </w:t>
            </w:r>
          </w:p>
        </w:tc>
        <w:tc>
          <w:tcPr>
            <w:tcW w:w="1937" w:type="dxa"/>
            <w:tcBorders>
              <w:top w:val="single" w:sz="4" w:space="0" w:color="000000"/>
              <w:left w:val="single" w:sz="4" w:space="0" w:color="000000"/>
              <w:bottom w:val="single" w:sz="4" w:space="0" w:color="000000"/>
              <w:right w:val="nil"/>
            </w:tcBorders>
            <w:vAlign w:val="center"/>
            <w:hideMark/>
          </w:tcPr>
          <w:p w14:paraId="4ED4A046"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w:t>
            </w:r>
            <w:r w:rsidRPr="00F0736F">
              <w:rPr>
                <w:rFonts w:ascii="Times New Roman" w:hAnsi="Times New Roman" w:cs="Times New Roman"/>
                <w:color w:val="000000" w:themeColor="text1"/>
                <w:sz w:val="20"/>
                <w:szCs w:val="20"/>
                <w:lang w:val="kk-KZ"/>
              </w:rPr>
              <w:t>7</w:t>
            </w:r>
            <w:r w:rsidRPr="00F0736F">
              <w:rPr>
                <w:rFonts w:ascii="Times New Roman" w:hAnsi="Times New Roman" w:cs="Times New Roman"/>
                <w:color w:val="000000" w:themeColor="text1"/>
                <w:sz w:val="20"/>
                <w:szCs w:val="20"/>
              </w:rPr>
              <w:t xml:space="preserve"> г.</w:t>
            </w:r>
          </w:p>
        </w:tc>
        <w:tc>
          <w:tcPr>
            <w:tcW w:w="1701" w:type="dxa"/>
            <w:tcBorders>
              <w:top w:val="single" w:sz="4" w:space="0" w:color="000000"/>
              <w:left w:val="single" w:sz="4" w:space="0" w:color="000000"/>
              <w:bottom w:val="single" w:sz="4" w:space="0" w:color="000000"/>
              <w:right w:val="nil"/>
            </w:tcBorders>
            <w:vAlign w:val="center"/>
            <w:hideMark/>
          </w:tcPr>
          <w:p w14:paraId="4E157206"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7C42CCB"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2019</w:t>
            </w:r>
          </w:p>
        </w:tc>
      </w:tr>
      <w:tr w:rsidR="00F0736F" w:rsidRPr="00F0736F" w14:paraId="4EC328F8" w14:textId="77777777" w:rsidTr="000B2B8A">
        <w:trPr>
          <w:trHeight w:val="100"/>
        </w:trPr>
        <w:tc>
          <w:tcPr>
            <w:tcW w:w="1652" w:type="dxa"/>
            <w:vMerge w:val="restart"/>
            <w:tcBorders>
              <w:top w:val="single" w:sz="4" w:space="0" w:color="000000"/>
              <w:left w:val="single" w:sz="4" w:space="0" w:color="000000"/>
              <w:bottom w:val="single" w:sz="4" w:space="0" w:color="000000"/>
              <w:right w:val="nil"/>
            </w:tcBorders>
            <w:hideMark/>
          </w:tcPr>
          <w:p w14:paraId="44C789C1"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Промышленные сбросы </w:t>
            </w:r>
          </w:p>
        </w:tc>
        <w:tc>
          <w:tcPr>
            <w:tcW w:w="2790" w:type="dxa"/>
            <w:tcBorders>
              <w:top w:val="single" w:sz="4" w:space="0" w:color="000000"/>
              <w:left w:val="single" w:sz="4" w:space="0" w:color="000000"/>
              <w:bottom w:val="single" w:sz="4" w:space="0" w:color="000000"/>
              <w:right w:val="nil"/>
            </w:tcBorders>
            <w:hideMark/>
          </w:tcPr>
          <w:p w14:paraId="35FC8D33"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 xml:space="preserve"> </w:t>
            </w:r>
          </w:p>
        </w:tc>
        <w:tc>
          <w:tcPr>
            <w:tcW w:w="1937" w:type="dxa"/>
            <w:tcBorders>
              <w:top w:val="single" w:sz="4" w:space="0" w:color="000000"/>
              <w:left w:val="single" w:sz="4" w:space="0" w:color="000000"/>
              <w:bottom w:val="single" w:sz="4" w:space="0" w:color="000000"/>
              <w:right w:val="nil"/>
            </w:tcBorders>
            <w:vAlign w:val="center"/>
            <w:hideMark/>
          </w:tcPr>
          <w:p w14:paraId="34C1C06F"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1 956 656,7</w:t>
            </w:r>
          </w:p>
        </w:tc>
        <w:tc>
          <w:tcPr>
            <w:tcW w:w="1701" w:type="dxa"/>
            <w:tcBorders>
              <w:top w:val="single" w:sz="4" w:space="0" w:color="000000"/>
              <w:left w:val="single" w:sz="4" w:space="0" w:color="000000"/>
              <w:bottom w:val="single" w:sz="4" w:space="0" w:color="000000"/>
              <w:right w:val="nil"/>
            </w:tcBorders>
            <w:vAlign w:val="center"/>
            <w:hideMark/>
          </w:tcPr>
          <w:p w14:paraId="0800332D"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1 999 503,3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AB7F874" w14:textId="77777777" w:rsidR="00AC1D5B" w:rsidRPr="00F0736F" w:rsidRDefault="00AC1D5B" w:rsidP="00AC1D5B">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1 846 975</w:t>
            </w:r>
          </w:p>
        </w:tc>
      </w:tr>
      <w:tr w:rsidR="00F0736F" w:rsidRPr="00F0736F" w14:paraId="3E025319" w14:textId="77777777" w:rsidTr="000B2B8A">
        <w:trPr>
          <w:trHeight w:val="100"/>
        </w:trPr>
        <w:tc>
          <w:tcPr>
            <w:tcW w:w="1652" w:type="dxa"/>
            <w:vMerge/>
            <w:tcBorders>
              <w:top w:val="single" w:sz="4" w:space="0" w:color="000000"/>
              <w:left w:val="single" w:sz="4" w:space="0" w:color="000000"/>
              <w:bottom w:val="single" w:sz="4" w:space="0" w:color="000000"/>
              <w:right w:val="nil"/>
            </w:tcBorders>
            <w:vAlign w:val="center"/>
            <w:hideMark/>
          </w:tcPr>
          <w:p w14:paraId="3007A017"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nil"/>
            </w:tcBorders>
            <w:hideMark/>
          </w:tcPr>
          <w:p w14:paraId="2F955EB5"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загрязняющих веществ, тыс. т.</w:t>
            </w:r>
          </w:p>
        </w:tc>
        <w:tc>
          <w:tcPr>
            <w:tcW w:w="1937" w:type="dxa"/>
            <w:tcBorders>
              <w:top w:val="single" w:sz="4" w:space="0" w:color="000000"/>
              <w:left w:val="single" w:sz="4" w:space="0" w:color="000000"/>
              <w:bottom w:val="single" w:sz="4" w:space="0" w:color="000000"/>
              <w:right w:val="nil"/>
            </w:tcBorders>
            <w:vAlign w:val="center"/>
          </w:tcPr>
          <w:p w14:paraId="105F231E"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nil"/>
            </w:tcBorders>
            <w:vAlign w:val="center"/>
          </w:tcPr>
          <w:p w14:paraId="2CD2F5D0"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2D0414"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r>
      <w:tr w:rsidR="00F0736F" w:rsidRPr="00F0736F" w14:paraId="2581DC85" w14:textId="77777777" w:rsidTr="000B2B8A">
        <w:trPr>
          <w:trHeight w:val="224"/>
        </w:trPr>
        <w:tc>
          <w:tcPr>
            <w:tcW w:w="1652" w:type="dxa"/>
            <w:vMerge w:val="restart"/>
            <w:tcBorders>
              <w:top w:val="single" w:sz="4" w:space="0" w:color="000000"/>
              <w:left w:val="single" w:sz="4" w:space="0" w:color="000000"/>
              <w:bottom w:val="single" w:sz="4" w:space="0" w:color="000000"/>
              <w:right w:val="nil"/>
            </w:tcBorders>
            <w:hideMark/>
          </w:tcPr>
          <w:p w14:paraId="7A3ACC22"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Хозяйственно-бытовые сточные воды </w:t>
            </w:r>
          </w:p>
        </w:tc>
        <w:tc>
          <w:tcPr>
            <w:tcW w:w="2790" w:type="dxa"/>
            <w:tcBorders>
              <w:top w:val="single" w:sz="4" w:space="0" w:color="000000"/>
              <w:left w:val="single" w:sz="4" w:space="0" w:color="000000"/>
              <w:bottom w:val="single" w:sz="4" w:space="0" w:color="000000"/>
              <w:right w:val="nil"/>
            </w:tcBorders>
            <w:hideMark/>
          </w:tcPr>
          <w:p w14:paraId="3CB61D54"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 xml:space="preserve">3 </w:t>
            </w:r>
          </w:p>
        </w:tc>
        <w:tc>
          <w:tcPr>
            <w:tcW w:w="1937" w:type="dxa"/>
            <w:tcBorders>
              <w:top w:val="single" w:sz="4" w:space="0" w:color="000000"/>
              <w:left w:val="single" w:sz="4" w:space="0" w:color="000000"/>
              <w:bottom w:val="single" w:sz="4" w:space="0" w:color="000000"/>
              <w:right w:val="nil"/>
            </w:tcBorders>
            <w:vAlign w:val="center"/>
            <w:hideMark/>
          </w:tcPr>
          <w:p w14:paraId="318FE56D"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4285,5</w:t>
            </w:r>
          </w:p>
        </w:tc>
        <w:tc>
          <w:tcPr>
            <w:tcW w:w="1701" w:type="dxa"/>
            <w:tcBorders>
              <w:top w:val="single" w:sz="4" w:space="0" w:color="000000"/>
              <w:left w:val="single" w:sz="4" w:space="0" w:color="000000"/>
              <w:bottom w:val="single" w:sz="4" w:space="0" w:color="000000"/>
              <w:right w:val="nil"/>
            </w:tcBorders>
            <w:vAlign w:val="center"/>
            <w:hideMark/>
          </w:tcPr>
          <w:p w14:paraId="78614C21"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4258,7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7B27D68"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4 067</w:t>
            </w:r>
          </w:p>
        </w:tc>
      </w:tr>
      <w:tr w:rsidR="00F0736F" w:rsidRPr="00F0736F" w14:paraId="52C5643D" w14:textId="77777777" w:rsidTr="000B2B8A">
        <w:trPr>
          <w:trHeight w:val="224"/>
        </w:trPr>
        <w:tc>
          <w:tcPr>
            <w:tcW w:w="1652" w:type="dxa"/>
            <w:vMerge/>
            <w:tcBorders>
              <w:top w:val="single" w:sz="4" w:space="0" w:color="000000"/>
              <w:left w:val="single" w:sz="4" w:space="0" w:color="000000"/>
              <w:bottom w:val="single" w:sz="4" w:space="0" w:color="000000"/>
              <w:right w:val="nil"/>
            </w:tcBorders>
            <w:vAlign w:val="center"/>
            <w:hideMark/>
          </w:tcPr>
          <w:p w14:paraId="01F596B6"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nil"/>
            </w:tcBorders>
            <w:hideMark/>
          </w:tcPr>
          <w:p w14:paraId="45A38707"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загрязняющих веществ, тыс.т.</w:t>
            </w:r>
          </w:p>
        </w:tc>
        <w:tc>
          <w:tcPr>
            <w:tcW w:w="1937" w:type="dxa"/>
            <w:tcBorders>
              <w:top w:val="single" w:sz="4" w:space="0" w:color="000000"/>
              <w:left w:val="single" w:sz="4" w:space="0" w:color="000000"/>
              <w:bottom w:val="single" w:sz="4" w:space="0" w:color="000000"/>
              <w:right w:val="nil"/>
            </w:tcBorders>
            <w:vAlign w:val="center"/>
            <w:hideMark/>
          </w:tcPr>
          <w:p w14:paraId="2D7FF941"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18,486</w:t>
            </w:r>
          </w:p>
        </w:tc>
        <w:tc>
          <w:tcPr>
            <w:tcW w:w="1701" w:type="dxa"/>
            <w:tcBorders>
              <w:top w:val="single" w:sz="4" w:space="0" w:color="000000"/>
              <w:left w:val="single" w:sz="4" w:space="0" w:color="000000"/>
              <w:bottom w:val="single" w:sz="4" w:space="0" w:color="000000"/>
              <w:right w:val="nil"/>
            </w:tcBorders>
            <w:vAlign w:val="center"/>
            <w:hideMark/>
          </w:tcPr>
          <w:p w14:paraId="2189F7B3"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4F053A3"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29,7</w:t>
            </w:r>
          </w:p>
        </w:tc>
      </w:tr>
      <w:tr w:rsidR="00F0736F" w:rsidRPr="00F0736F" w14:paraId="7A54B85D" w14:textId="77777777" w:rsidTr="000B2B8A">
        <w:trPr>
          <w:trHeight w:val="225"/>
        </w:trPr>
        <w:tc>
          <w:tcPr>
            <w:tcW w:w="1652" w:type="dxa"/>
            <w:vMerge w:val="restart"/>
            <w:tcBorders>
              <w:top w:val="single" w:sz="4" w:space="0" w:color="000000"/>
              <w:left w:val="single" w:sz="4" w:space="0" w:color="000000"/>
              <w:bottom w:val="single" w:sz="4" w:space="0" w:color="000000"/>
              <w:right w:val="nil"/>
            </w:tcBorders>
            <w:hideMark/>
          </w:tcPr>
          <w:p w14:paraId="79A351B2"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Аварийные и </w:t>
            </w:r>
          </w:p>
          <w:p w14:paraId="09821C31"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неразрешенные сбросы </w:t>
            </w:r>
          </w:p>
        </w:tc>
        <w:tc>
          <w:tcPr>
            <w:tcW w:w="2790" w:type="dxa"/>
            <w:tcBorders>
              <w:top w:val="single" w:sz="4" w:space="0" w:color="000000"/>
              <w:left w:val="single" w:sz="4" w:space="0" w:color="000000"/>
              <w:bottom w:val="single" w:sz="4" w:space="0" w:color="000000"/>
              <w:right w:val="nil"/>
            </w:tcBorders>
            <w:hideMark/>
          </w:tcPr>
          <w:p w14:paraId="5F804776"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 xml:space="preserve"> </w:t>
            </w:r>
          </w:p>
        </w:tc>
        <w:tc>
          <w:tcPr>
            <w:tcW w:w="1937" w:type="dxa"/>
            <w:tcBorders>
              <w:top w:val="single" w:sz="4" w:space="0" w:color="000000"/>
              <w:left w:val="single" w:sz="4" w:space="0" w:color="000000"/>
              <w:bottom w:val="single" w:sz="4" w:space="0" w:color="000000"/>
              <w:right w:val="nil"/>
            </w:tcBorders>
            <w:vAlign w:val="center"/>
            <w:hideMark/>
          </w:tcPr>
          <w:p w14:paraId="57425488"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701" w:type="dxa"/>
            <w:tcBorders>
              <w:top w:val="single" w:sz="4" w:space="0" w:color="000000"/>
              <w:left w:val="single" w:sz="4" w:space="0" w:color="000000"/>
              <w:bottom w:val="single" w:sz="4" w:space="0" w:color="000000"/>
              <w:right w:val="nil"/>
            </w:tcBorders>
            <w:vAlign w:val="center"/>
            <w:hideMark/>
          </w:tcPr>
          <w:p w14:paraId="26B1B701"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AC673CA"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w:t>
            </w:r>
          </w:p>
        </w:tc>
      </w:tr>
      <w:tr w:rsidR="00F0736F" w:rsidRPr="00F0736F" w14:paraId="706F2405" w14:textId="77777777" w:rsidTr="000B2B8A">
        <w:trPr>
          <w:trHeight w:val="225"/>
        </w:trPr>
        <w:tc>
          <w:tcPr>
            <w:tcW w:w="1652" w:type="dxa"/>
            <w:vMerge/>
            <w:tcBorders>
              <w:top w:val="single" w:sz="4" w:space="0" w:color="000000"/>
              <w:left w:val="single" w:sz="4" w:space="0" w:color="000000"/>
              <w:bottom w:val="single" w:sz="4" w:space="0" w:color="000000"/>
              <w:right w:val="nil"/>
            </w:tcBorders>
            <w:vAlign w:val="center"/>
            <w:hideMark/>
          </w:tcPr>
          <w:p w14:paraId="1F31B987"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nil"/>
            </w:tcBorders>
            <w:hideMark/>
          </w:tcPr>
          <w:p w14:paraId="51A73FB1"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загрязняющих веществ, тыс.т.</w:t>
            </w:r>
          </w:p>
        </w:tc>
        <w:tc>
          <w:tcPr>
            <w:tcW w:w="1937" w:type="dxa"/>
            <w:tcBorders>
              <w:top w:val="single" w:sz="4" w:space="0" w:color="000000"/>
              <w:left w:val="single" w:sz="4" w:space="0" w:color="000000"/>
              <w:bottom w:val="single" w:sz="4" w:space="0" w:color="000000"/>
              <w:right w:val="nil"/>
            </w:tcBorders>
            <w:vAlign w:val="center"/>
          </w:tcPr>
          <w:p w14:paraId="1843465D"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nil"/>
            </w:tcBorders>
            <w:vAlign w:val="center"/>
          </w:tcPr>
          <w:p w14:paraId="67EF2830"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CE5A170"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r>
      <w:tr w:rsidR="00F0736F" w:rsidRPr="00F0736F" w14:paraId="4EDE9461" w14:textId="77777777" w:rsidTr="000B2B8A">
        <w:trPr>
          <w:trHeight w:val="349"/>
        </w:trPr>
        <w:tc>
          <w:tcPr>
            <w:tcW w:w="1652" w:type="dxa"/>
            <w:vMerge w:val="restart"/>
            <w:tcBorders>
              <w:top w:val="single" w:sz="4" w:space="0" w:color="000000"/>
              <w:left w:val="single" w:sz="4" w:space="0" w:color="000000"/>
              <w:bottom w:val="single" w:sz="4" w:space="0" w:color="000000"/>
              <w:right w:val="nil"/>
            </w:tcBorders>
            <w:hideMark/>
          </w:tcPr>
          <w:p w14:paraId="72C5C7F4"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 xml:space="preserve">Всего (все вышеперечисленные сбросы) </w:t>
            </w:r>
          </w:p>
        </w:tc>
        <w:tc>
          <w:tcPr>
            <w:tcW w:w="2790" w:type="dxa"/>
            <w:tcBorders>
              <w:top w:val="single" w:sz="4" w:space="0" w:color="000000"/>
              <w:left w:val="single" w:sz="4" w:space="0" w:color="000000"/>
              <w:bottom w:val="single" w:sz="4" w:space="0" w:color="000000"/>
              <w:right w:val="nil"/>
            </w:tcBorders>
            <w:hideMark/>
          </w:tcPr>
          <w:p w14:paraId="2894CA76"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водоотведения, тыс.м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 xml:space="preserve"> </w:t>
            </w:r>
          </w:p>
        </w:tc>
        <w:tc>
          <w:tcPr>
            <w:tcW w:w="1937" w:type="dxa"/>
            <w:tcBorders>
              <w:top w:val="single" w:sz="4" w:space="0" w:color="000000"/>
              <w:left w:val="single" w:sz="4" w:space="0" w:color="000000"/>
              <w:bottom w:val="single" w:sz="4" w:space="0" w:color="000000"/>
              <w:right w:val="nil"/>
            </w:tcBorders>
            <w:vAlign w:val="center"/>
            <w:hideMark/>
          </w:tcPr>
          <w:p w14:paraId="6F27DD37"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1960942,2</w:t>
            </w:r>
          </w:p>
        </w:tc>
        <w:tc>
          <w:tcPr>
            <w:tcW w:w="1701" w:type="dxa"/>
            <w:tcBorders>
              <w:top w:val="single" w:sz="4" w:space="0" w:color="000000"/>
              <w:left w:val="single" w:sz="4" w:space="0" w:color="000000"/>
              <w:bottom w:val="single" w:sz="4" w:space="0" w:color="000000"/>
              <w:right w:val="nil"/>
            </w:tcBorders>
            <w:vAlign w:val="center"/>
            <w:hideMark/>
          </w:tcPr>
          <w:p w14:paraId="675E8AB4" w14:textId="77777777" w:rsidR="00AC1D5B" w:rsidRPr="00F0736F" w:rsidRDefault="00AC1D5B" w:rsidP="00AC1D5B">
            <w:pPr>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2003762,0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0FC01D2" w14:textId="77777777" w:rsidR="00AC1D5B" w:rsidRPr="00F0736F" w:rsidRDefault="00AC1D5B" w:rsidP="00AC1D5B">
            <w:pPr>
              <w:snapToGrid w:val="0"/>
              <w:jc w:val="center"/>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1 851 042</w:t>
            </w:r>
          </w:p>
        </w:tc>
      </w:tr>
      <w:tr w:rsidR="00F0736F" w:rsidRPr="00F0736F" w14:paraId="7211FB66" w14:textId="77777777" w:rsidTr="000B2B8A">
        <w:trPr>
          <w:trHeight w:val="349"/>
        </w:trPr>
        <w:tc>
          <w:tcPr>
            <w:tcW w:w="1652" w:type="dxa"/>
            <w:vMerge/>
            <w:tcBorders>
              <w:top w:val="single" w:sz="4" w:space="0" w:color="000000"/>
              <w:left w:val="single" w:sz="4" w:space="0" w:color="000000"/>
              <w:bottom w:val="single" w:sz="4" w:space="0" w:color="000000"/>
              <w:right w:val="nil"/>
            </w:tcBorders>
            <w:vAlign w:val="center"/>
            <w:hideMark/>
          </w:tcPr>
          <w:p w14:paraId="4BEF24D4" w14:textId="77777777" w:rsidR="00AC1D5B" w:rsidRPr="00F0736F" w:rsidRDefault="00AC1D5B" w:rsidP="00AC1D5B">
            <w:pPr>
              <w:suppressAutoHyphens w:val="0"/>
              <w:overflowPunct/>
              <w:ind w:firstLine="709"/>
              <w:jc w:val="both"/>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nil"/>
            </w:tcBorders>
            <w:hideMark/>
          </w:tcPr>
          <w:p w14:paraId="3064BFD2" w14:textId="77777777" w:rsidR="00AC1D5B" w:rsidRPr="00F0736F" w:rsidRDefault="00AC1D5B" w:rsidP="00AC1D5B">
            <w:pPr>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Объем загрязняющих веществ, тыс.т.</w:t>
            </w:r>
          </w:p>
        </w:tc>
        <w:tc>
          <w:tcPr>
            <w:tcW w:w="1937" w:type="dxa"/>
            <w:tcBorders>
              <w:top w:val="single" w:sz="4" w:space="0" w:color="000000"/>
              <w:left w:val="single" w:sz="4" w:space="0" w:color="000000"/>
              <w:bottom w:val="single" w:sz="4" w:space="0" w:color="000000"/>
              <w:right w:val="nil"/>
            </w:tcBorders>
            <w:vAlign w:val="center"/>
            <w:hideMark/>
          </w:tcPr>
          <w:p w14:paraId="241F96DC"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18,486</w:t>
            </w:r>
          </w:p>
        </w:tc>
        <w:tc>
          <w:tcPr>
            <w:tcW w:w="1701" w:type="dxa"/>
            <w:tcBorders>
              <w:top w:val="single" w:sz="4" w:space="0" w:color="000000"/>
              <w:left w:val="single" w:sz="4" w:space="0" w:color="000000"/>
              <w:bottom w:val="single" w:sz="4" w:space="0" w:color="000000"/>
              <w:right w:val="nil"/>
            </w:tcBorders>
            <w:vAlign w:val="center"/>
            <w:hideMark/>
          </w:tcPr>
          <w:p w14:paraId="6AEB38E8"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28,23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CF304F4"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r w:rsidRPr="00F0736F">
              <w:rPr>
                <w:rFonts w:ascii="Times New Roman" w:hAnsi="Times New Roman" w:cs="Times New Roman"/>
                <w:color w:val="000000" w:themeColor="text1"/>
                <w:sz w:val="20"/>
                <w:szCs w:val="20"/>
              </w:rPr>
              <w:t>29,7</w:t>
            </w:r>
          </w:p>
        </w:tc>
      </w:tr>
    </w:tbl>
    <w:p w14:paraId="36E67470" w14:textId="77777777" w:rsidR="00AC1D5B" w:rsidRPr="00F0736F" w:rsidRDefault="00AC1D5B" w:rsidP="00AC1D5B">
      <w:pPr>
        <w:ind w:firstLine="709"/>
        <w:jc w:val="both"/>
        <w:rPr>
          <w:rFonts w:ascii="Times New Roman" w:hAnsi="Times New Roman" w:cs="Times New Roman"/>
          <w:color w:val="000000" w:themeColor="text1"/>
          <w:sz w:val="20"/>
          <w:szCs w:val="20"/>
        </w:rPr>
      </w:pPr>
      <w:r w:rsidRPr="00F0736F">
        <w:rPr>
          <w:rFonts w:ascii="Times New Roman" w:hAnsi="Times New Roman" w:cs="Times New Roman"/>
          <w:bCs/>
          <w:i/>
          <w:iCs/>
          <w:color w:val="000000" w:themeColor="text1"/>
          <w:sz w:val="20"/>
          <w:szCs w:val="20"/>
        </w:rPr>
        <w:t>Примечание:</w:t>
      </w:r>
      <w:r w:rsidRPr="00F0736F">
        <w:rPr>
          <w:rFonts w:ascii="Times New Roman" w:hAnsi="Times New Roman" w:cs="Times New Roman"/>
          <w:bCs/>
          <w:color w:val="000000" w:themeColor="text1"/>
          <w:sz w:val="20"/>
          <w:szCs w:val="20"/>
        </w:rPr>
        <w:t xml:space="preserve"> </w:t>
      </w:r>
      <w:r w:rsidRPr="00F0736F">
        <w:rPr>
          <w:rFonts w:ascii="Times New Roman" w:hAnsi="Times New Roman" w:cs="Times New Roman"/>
          <w:color w:val="000000" w:themeColor="text1"/>
          <w:sz w:val="20"/>
          <w:szCs w:val="20"/>
        </w:rPr>
        <w:t>Фактический объем сброса теплообменных условно чистых вод Аксуской электростанции АО «ЕЭК» в реку Иртыш за 201</w:t>
      </w:r>
      <w:r w:rsidRPr="00F0736F">
        <w:rPr>
          <w:rFonts w:ascii="Times New Roman" w:hAnsi="Times New Roman" w:cs="Times New Roman"/>
          <w:color w:val="000000" w:themeColor="text1"/>
          <w:sz w:val="20"/>
          <w:szCs w:val="20"/>
          <w:lang w:val="kk-KZ"/>
        </w:rPr>
        <w:t>7</w:t>
      </w:r>
      <w:r w:rsidRPr="00F0736F">
        <w:rPr>
          <w:rFonts w:ascii="Times New Roman" w:hAnsi="Times New Roman" w:cs="Times New Roman"/>
          <w:color w:val="000000" w:themeColor="text1"/>
          <w:sz w:val="20"/>
          <w:szCs w:val="20"/>
        </w:rPr>
        <w:t xml:space="preserve"> год составил </w:t>
      </w:r>
      <w:r w:rsidRPr="00F0736F">
        <w:rPr>
          <w:rFonts w:ascii="Times New Roman" w:hAnsi="Times New Roman" w:cs="Times New Roman"/>
          <w:color w:val="000000" w:themeColor="text1"/>
          <w:sz w:val="20"/>
          <w:szCs w:val="20"/>
          <w:lang w:val="kk-KZ"/>
        </w:rPr>
        <w:t>1879855,0</w:t>
      </w:r>
      <w:r w:rsidRPr="00F0736F">
        <w:rPr>
          <w:rFonts w:ascii="Times New Roman" w:hAnsi="Times New Roman" w:cs="Times New Roman"/>
          <w:color w:val="000000" w:themeColor="text1"/>
          <w:sz w:val="20"/>
          <w:szCs w:val="20"/>
        </w:rPr>
        <w:t xml:space="preserve"> тыс. 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/год</w:t>
      </w:r>
      <w:r w:rsidRPr="00F0736F">
        <w:rPr>
          <w:rFonts w:ascii="Times New Roman" w:hAnsi="Times New Roman" w:cs="Times New Roman"/>
          <w:color w:val="000000" w:themeColor="text1"/>
          <w:sz w:val="20"/>
          <w:szCs w:val="20"/>
          <w:lang w:val="kk-KZ"/>
        </w:rPr>
        <w:t>, за 2018 год – 1918911,0</w:t>
      </w:r>
      <w:r w:rsidRPr="00F0736F">
        <w:rPr>
          <w:rFonts w:ascii="Times New Roman" w:hAnsi="Times New Roman" w:cs="Times New Roman"/>
          <w:color w:val="000000" w:themeColor="text1"/>
          <w:sz w:val="20"/>
          <w:szCs w:val="20"/>
        </w:rPr>
        <w:t xml:space="preserve"> тыс. 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/год, за 2019 год -  1 764 025,545 тыс. м</w:t>
      </w:r>
      <w:r w:rsidRPr="00F0736F">
        <w:rPr>
          <w:rFonts w:ascii="Times New Roman" w:hAnsi="Times New Roman" w:cs="Times New Roman"/>
          <w:color w:val="000000" w:themeColor="text1"/>
          <w:sz w:val="20"/>
          <w:szCs w:val="20"/>
          <w:vertAlign w:val="superscript"/>
        </w:rPr>
        <w:t>3</w:t>
      </w:r>
      <w:r w:rsidRPr="00F0736F">
        <w:rPr>
          <w:rFonts w:ascii="Times New Roman" w:hAnsi="Times New Roman" w:cs="Times New Roman"/>
          <w:color w:val="000000" w:themeColor="text1"/>
          <w:sz w:val="20"/>
          <w:szCs w:val="20"/>
        </w:rPr>
        <w:t>/год.</w:t>
      </w:r>
    </w:p>
    <w:p w14:paraId="420DB43F" w14:textId="77777777" w:rsidR="00AC1D5B" w:rsidRPr="00F0736F" w:rsidRDefault="00AC1D5B" w:rsidP="00AC1D5B">
      <w:pPr>
        <w:ind w:firstLine="709"/>
        <w:jc w:val="both"/>
        <w:rPr>
          <w:rFonts w:ascii="Times New Roman" w:hAnsi="Times New Roman" w:cs="Times New Roman"/>
          <w:color w:val="000000" w:themeColor="text1"/>
        </w:rPr>
      </w:pPr>
    </w:p>
    <w:p w14:paraId="22C89A4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Водоотведение от крупных промышленных предприятий Павлодарской области осуществляется в накопители сточных вод: ГКП «Аксу су арнасы» в накопитель Узынбулак, ГКП «Горводоканал» г. Экибастуз – в накопитель Атыгай; АО «Павлодарский нефтехимический завод» - в накопитель Сарымсак, ТОО «Богатырь Комир» – в накопитель Акбидаик, АО «Каустик» и АО «Казэнергокабель» - в накопитель Былкылдак.</w:t>
      </w:r>
    </w:p>
    <w:p w14:paraId="04D32A8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Крупные металлургические и энергетические предприятия области осуществляют водоотведение в золоотвалы: АО «Алюминий Казахстана», АО «Казахстанский электролизный завод», Аксуский завод ферросплавов - филиал АО «ТНК «Казхром», АО «Павлодарэнерго» отводят свои промстоки по сети золопроводов в специальные карты, исключая их размещение в водных объектах.</w:t>
      </w:r>
    </w:p>
    <w:p w14:paraId="341422C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реку Иртыш в пределах Павлодарской области сброс сточных вод осуществляется по двум организованным выпускам: </w:t>
      </w:r>
    </w:p>
    <w:p w14:paraId="03866DE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Аксуская электростанция АО «ЕЭК» производит сброс условно чистых теплообменных вод; </w:t>
      </w:r>
    </w:p>
    <w:p w14:paraId="57321ED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ТОО «Павлодар-Водоканал» производит сброс очищенных смешанных сточных вод после городских очистных сооружений областного центра. </w:t>
      </w:r>
    </w:p>
    <w:p w14:paraId="38D4F5B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Сбросы промывных вод, отнесенных к категории «условно-чистые», от двух станций водоподготовки воды питьевого качества на ГКП «Аксу су арнасы» и ТОО «Павлодар-Водник» в с. Теренколь производятся соответственно – в оз. Карамырза и протоку Качирка, которые соединяются с Иртышом только в период весеннего паводка. Объемы указанных промывных вод и содержание в них загрязняющих веществ незначительны и утверждены в проектах нормативов ПДС. </w:t>
      </w:r>
    </w:p>
    <w:p w14:paraId="5CE44E3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Всего на территории Павлодарской области имеется 29 предприятий, имеющих 49 выпусков сточных вод, из них выпуски: </w:t>
      </w:r>
    </w:p>
    <w:p w14:paraId="3D9A80A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в водные объекты (р. Иртыш, оз. Карамырза, протока Качирка) - 4, </w:t>
      </w:r>
    </w:p>
    <w:p w14:paraId="6B46889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во все виды водоемов-накопителей -22, </w:t>
      </w:r>
    </w:p>
    <w:p w14:paraId="0BF307B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поля фильтрации (включая поля-испарители) - 16, </w:t>
      </w:r>
    </w:p>
    <w:p w14:paraId="057B988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рельеф местности (включая биоплато) -7. </w:t>
      </w:r>
    </w:p>
    <w:p w14:paraId="71972A7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соответствии с пунктом 7 статьи 20 Экологического кодекса РК управлением недропользования, окружающей среды и водных ресурсов области в рамках природоохранных мероприятий в 2015 году разработаны </w:t>
      </w:r>
      <w:r w:rsidRPr="00F0736F">
        <w:rPr>
          <w:rFonts w:ascii="Times New Roman" w:hAnsi="Times New Roman" w:cs="Times New Roman"/>
          <w:b/>
          <w:color w:val="000000" w:themeColor="text1"/>
        </w:rPr>
        <w:t>целевые показатели качества окружающей среды</w:t>
      </w:r>
      <w:r w:rsidRPr="00F0736F">
        <w:rPr>
          <w:rFonts w:ascii="Times New Roman" w:hAnsi="Times New Roman" w:cs="Times New Roman"/>
          <w:color w:val="000000" w:themeColor="text1"/>
        </w:rPr>
        <w:t xml:space="preserve"> по Павлодарской области на 2015 – 2024 годы (утверждены решением Павлодарского областного маслихата № 403/46 от 10 декабря 2015 года). </w:t>
      </w:r>
    </w:p>
    <w:p w14:paraId="4F45E722" w14:textId="77777777" w:rsidR="00AC1D5B" w:rsidRPr="00F0736F" w:rsidRDefault="00AC1D5B" w:rsidP="00AC1D5B">
      <w:pPr>
        <w:ind w:firstLine="709"/>
        <w:jc w:val="both"/>
        <w:rPr>
          <w:rFonts w:ascii="Times New Roman" w:hAnsi="Times New Roman" w:cs="Times New Roman"/>
          <w:bCs/>
          <w:color w:val="000000" w:themeColor="text1"/>
          <w:lang w:bidi="ru-RU"/>
        </w:rPr>
      </w:pPr>
      <w:r w:rsidRPr="00F0736F">
        <w:rPr>
          <w:rFonts w:ascii="Times New Roman" w:hAnsi="Times New Roman" w:cs="Times New Roman"/>
          <w:bCs/>
          <w:color w:val="000000" w:themeColor="text1"/>
          <w:lang w:bidi="ru-RU"/>
        </w:rPr>
        <w:t>В целях достижения принятых целевых показателей и решения остро стоящих проблем региона акиматом совместно с заинтересованными органами и общественностью разработан План</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lang w:bidi="ru-RU"/>
        </w:rPr>
        <w:t>действий по улучшению экологической ситуации в Павлодарской области на 2019 - 2023 годы</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lang w:bidi="ru-RU"/>
        </w:rPr>
        <w:t xml:space="preserve">Проект данного Плана рассмотрен и одобрен Экологическим советом по вопросам экологии и охраны окружающей среды области, комиссией по вопросам экологии и охраны окружающей среды областного маслихата, областным общественным советом в ходе заседания с участием Ассоциации экологических организаций Казахстана и региональных НПО. </w:t>
      </w:r>
    </w:p>
    <w:p w14:paraId="47C0E89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kern w:val="0"/>
          <w:lang w:eastAsia="ru-RU" w:bidi="ar-SA"/>
        </w:rPr>
        <w:t xml:space="preserve">На протяжении более 10 лет проводится </w:t>
      </w:r>
      <w:r w:rsidRPr="00F0736F">
        <w:rPr>
          <w:rFonts w:ascii="Times New Roman" w:eastAsia="Times New Roman" w:hAnsi="Times New Roman" w:cs="Times New Roman"/>
          <w:b/>
          <w:color w:val="000000" w:themeColor="text1"/>
          <w:kern w:val="0"/>
          <w:lang w:eastAsia="ru-RU" w:bidi="ar-SA"/>
        </w:rPr>
        <w:t>ртутный мониторинг</w:t>
      </w:r>
      <w:r w:rsidRPr="00F0736F">
        <w:rPr>
          <w:rFonts w:ascii="Times New Roman" w:eastAsia="Times New Roman" w:hAnsi="Times New Roman" w:cs="Times New Roman"/>
          <w:color w:val="000000" w:themeColor="text1"/>
          <w:kern w:val="0"/>
          <w:lang w:eastAsia="ru-RU" w:bidi="ar-SA"/>
        </w:rPr>
        <w:t xml:space="preserve"> Северной промышленной зоны г. Павлодара, который на сегодня является основным инструментом для контроля за уровнем концентрации ртути </w:t>
      </w:r>
      <w:r w:rsidRPr="00F0736F">
        <w:rPr>
          <w:rFonts w:ascii="Times New Roman" w:eastAsia="Times New Roman" w:hAnsi="Times New Roman" w:cs="Times New Roman"/>
          <w:iCs/>
          <w:color w:val="000000" w:themeColor="text1"/>
          <w:kern w:val="0"/>
          <w:lang w:eastAsia="ru-RU" w:bidi="ar-SA"/>
        </w:rPr>
        <w:t xml:space="preserve">(проводится отбор проб воздуха, почвы, надземных и подземных вод, общее количество проб 334). </w:t>
      </w:r>
      <w:r w:rsidRPr="00F0736F">
        <w:rPr>
          <w:rFonts w:ascii="Times New Roman" w:eastAsia="Times New Roman" w:hAnsi="Times New Roman" w:cs="Times New Roman"/>
          <w:color w:val="000000" w:themeColor="text1"/>
          <w:kern w:val="0"/>
          <w:lang w:eastAsia="ru-RU" w:bidi="ar-SA"/>
        </w:rPr>
        <w:t>Для актуализации ранее разработанной Программы ртутного мониторинга управлением осуществлена его корректировка, где предусмотрен дополнительный отбор проб биологических образцов </w:t>
      </w:r>
      <w:r w:rsidRPr="00F0736F">
        <w:rPr>
          <w:rFonts w:ascii="Times New Roman" w:eastAsia="Times New Roman" w:hAnsi="Times New Roman" w:cs="Times New Roman"/>
          <w:iCs/>
          <w:color w:val="000000" w:themeColor="text1"/>
          <w:kern w:val="0"/>
          <w:lang w:eastAsia="ru-RU" w:bidi="ar-SA"/>
        </w:rPr>
        <w:t>(рыб, птиц и волос людей, работающих в районе Северной промышленной зоны)</w:t>
      </w:r>
      <w:r w:rsidRPr="00F0736F">
        <w:rPr>
          <w:rFonts w:ascii="Times New Roman" w:eastAsia="Times New Roman" w:hAnsi="Times New Roman" w:cs="Times New Roman"/>
          <w:color w:val="000000" w:themeColor="text1"/>
          <w:kern w:val="0"/>
          <w:lang w:eastAsia="ru-RU" w:bidi="ar-SA"/>
        </w:rPr>
        <w:t>, а также бурение новой 41 наблюдательной скважины по периметру территории бывшего Химпрома на расстоянии 500 метров.  Это позволит сделать оценку состояния подземных вод за его пределами, т.к. существующие 125 скважин дают оценку состояния вод лишь на очагах загрязнения. </w:t>
      </w:r>
    </w:p>
    <w:p w14:paraId="4EA75ED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Вода в водоеме-накопителе Былкылдак не носит угрожающий характер для здоровья населения, однако она не предусмотрена для хозяйственных нужд.</w:t>
      </w:r>
    </w:p>
    <w:p w14:paraId="05ED44B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7A727460"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 2017 год образовано пром. отходов – 113,8 млн. т., из них использовано и переработано – 31,7% (36,1 млн. т.),</w:t>
      </w:r>
    </w:p>
    <w:p w14:paraId="13E77ACB"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 2018 год образовано пром. отходов – 196,5 млн. т., из них использовано и переработано – 22% (43,4 млн. т.).</w:t>
      </w:r>
    </w:p>
    <w:p w14:paraId="325E7139"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предприятиями области образовано 200 млн. т. промышленных отходов, из них переработано и вторично использовано 45 млн. т., или 23%.</w:t>
      </w:r>
    </w:p>
    <w:p w14:paraId="6C2A6960"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Положительная динамика имеется у Аксуского завода ферросплавов, которым ежегодно перерабатывается порядка 1 млн. т.  металлургического шлака с получением товарного щебня, Павлодарского нефтехимического завода, которым ежегодно в полном объеме перерабатываются нефтешламы. Крупные угледобывающие предприятия (ТОО «Богатырь Комир», ТОО «Майкубен-Вест», ТОО «Гамма») выполняют рекультивационные работы с использованием вскрышных пород.</w:t>
      </w:r>
    </w:p>
    <w:p w14:paraId="321987A1" w14:textId="77777777" w:rsidR="00AC1D5B" w:rsidRPr="00F0736F" w:rsidRDefault="00AC1D5B" w:rsidP="00AC1D5B">
      <w:pPr>
        <w:widowControl w:val="0"/>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Однако практически не ведется переработка отходов предприятиями топливно-энергетического комплекса, где ежегодно образуется порядка 10 млн. т. золошлаков (ГРЭС-1, ГРЭС-2, АО «ЕЭК», АО «Павлодарэнерго»), шламов металлургических производств (при производстве глинозема на АО «Алюминий Казахстана» ежегодно образуется 2,6 млн. т. шлама бокситового).</w:t>
      </w:r>
    </w:p>
    <w:p w14:paraId="1874F9CB" w14:textId="77777777" w:rsidR="00AC1D5B" w:rsidRPr="00F0736F" w:rsidRDefault="00AC1D5B" w:rsidP="00AC1D5B">
      <w:pPr>
        <w:tabs>
          <w:tab w:val="left" w:pos="993"/>
        </w:tabs>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Вместе с тем, при определении объемов работ по среднему ремонту автодорог Павлодарской области применяются Рекомендации по использованию технологии холодного ресайклинга при строительстве дорожных одежд с использованием активных техногенных отходов и побочных продуктов промышленности РК. В частности, технической документацией по среднему ремонту участков автодорог областного значения в технологии холодного ресайклинга используется бокситовый шлам и золошлаки. Так, в течение 2019 года на строительство и ремонт автомобильных дорог на территории области ТОО «Экибастузская ГРЭС-1 им. Б. Нуржанова» передано сторонним организациям более 165 тыс. т. золошлаков, АО «Алюминий Казахстана» – 21 тыс. т. бокситового шлама. </w:t>
      </w:r>
    </w:p>
    <w:p w14:paraId="5A9F8D1A" w14:textId="77777777" w:rsidR="00AC1D5B" w:rsidRPr="00F0736F" w:rsidRDefault="00AC1D5B" w:rsidP="00AC1D5B">
      <w:pPr>
        <w:widowControl w:val="0"/>
        <w:ind w:firstLine="709"/>
        <w:jc w:val="both"/>
        <w:rPr>
          <w:rFonts w:ascii="Times New Roman" w:eastAsia="Calibri" w:hAnsi="Times New Roman" w:cs="Times New Roman"/>
          <w:bCs/>
          <w:color w:val="000000" w:themeColor="text1"/>
          <w:lang w:eastAsia="en-US"/>
        </w:rPr>
      </w:pPr>
      <w:r w:rsidRPr="00F0736F">
        <w:rPr>
          <w:rFonts w:ascii="Times New Roman" w:hAnsi="Times New Roman" w:cs="Times New Roman"/>
          <w:color w:val="000000" w:themeColor="text1"/>
        </w:rPr>
        <w:t xml:space="preserve">В настоящее время под руководством Министерства экологии, геологии и природных ресурсов РК создана специальная постоянно действующая комиссия по вопросам утилизации и переработки золошлаковых отходов (ЗШО) с участием представителей госорганов, строительных и автодорожных компаний, энергопредприятий, </w:t>
      </w:r>
      <w:r w:rsidRPr="00F0736F">
        <w:rPr>
          <w:rFonts w:ascii="Times New Roman" w:eastAsia="Calibri" w:hAnsi="Times New Roman" w:cs="Times New Roman"/>
          <w:bCs/>
          <w:color w:val="000000" w:themeColor="text1"/>
          <w:lang w:eastAsia="en-US"/>
        </w:rPr>
        <w:t>общественных организаций для выработки рекомендаций по общей политике использования ЗШО. В рамках работы комиссии будет разработан комплекс мер по развитию сферы использования ЗШО, которые будут предусматривать правовые и регуляторные механизмы добычи, оборота, реализации и использования ЗШО, включая микросферу.</w:t>
      </w:r>
    </w:p>
    <w:p w14:paraId="35F50CA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b/>
          <w:color w:val="000000" w:themeColor="text1"/>
          <w:lang w:eastAsia="en-US"/>
        </w:rPr>
        <w:t xml:space="preserve">Общая информация по ТБО. </w:t>
      </w:r>
      <w:r w:rsidRPr="00F0736F">
        <w:rPr>
          <w:rFonts w:ascii="Times New Roman" w:hAnsi="Times New Roman" w:cs="Times New Roman"/>
          <w:color w:val="000000" w:themeColor="text1"/>
        </w:rPr>
        <w:t>Согласно данным, предоставленным акиматом Павлодарской области, в 2018 году образовано 117,3 тыс. т. ТБО, из них переработано 0,12%. В 2017 году объем образованных ТБО составило 426,6 тыс. т., из них переработано 0,23%. В 2019 году уровень переработки отходов достиг 15%. В 2018 году численность населения составляла 760,5 тыс. чел., из них 85% было охвачено услугами по сбору и вывозу ТБО. Из 336 объектов размещения ТБО всего лишь 5 соответствуют экологическим и санитарным требованиям и нормам, что составляет 1,5%.</w:t>
      </w:r>
    </w:p>
    <w:p w14:paraId="14F3B70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трех городах установлены контейнеры для сбора ртутьсодержащих ламп - 200 штук (Павлодар – 160, Экибастуз – 30, Аксу - 10); сбора пластиковых отходов - 790 штук (Павлодар – 400, Экибастуз – 350, Аксу - 40); сбора электронных отходов - 20 штук (Павлодар). Отсортированные отходы направляются на переработку в г. Алматы, ТОО «ПромТехноРесурсKZ».</w:t>
      </w:r>
    </w:p>
    <w:p w14:paraId="64C0E57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области имеется 10 предприятий (</w:t>
      </w:r>
      <w:bookmarkStart w:id="56" w:name="_Hlk57387269"/>
      <w:r w:rsidRPr="00F0736F">
        <w:rPr>
          <w:rFonts w:ascii="Times New Roman" w:hAnsi="Times New Roman" w:cs="Times New Roman"/>
          <w:color w:val="000000" w:themeColor="text1"/>
        </w:rPr>
        <w:t>ТОО «Спецмашин»</w:t>
      </w:r>
      <w:bookmarkEnd w:id="56"/>
      <w:r w:rsidRPr="00F0736F">
        <w:rPr>
          <w:rFonts w:ascii="Times New Roman" w:hAnsi="Times New Roman" w:cs="Times New Roman"/>
          <w:color w:val="000000" w:themeColor="text1"/>
        </w:rPr>
        <w:t>, «Завод Гофротара», «ЭлектроТрансРеелто», «InterRubberRecycling», «Тандем-ПВ», «СпецПромСервис», «Казахстантрактор, «ЭкоГолд», ИП «Попов», ИП «Шарипова Катира») осуществляющих утилизацию и переработку ТБО.</w:t>
      </w:r>
    </w:p>
    <w:p w14:paraId="572F542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г. Экибастуз ТОО «Экибастузкоммунсервис» введен в эксплуатацию сортировочный комплекс мощностью 40 тыс. т./год.</w:t>
      </w:r>
    </w:p>
    <w:p w14:paraId="4DBD35A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г. Аксу «Аксу полигон» предприятие осуществляет сортировку (бумаг, макулатуры и пластиковых) отходов, где планируется строительство линий электропередач к полигону ТБО (сумма реализации 25,0 млн. тенге). </w:t>
      </w:r>
    </w:p>
    <w:p w14:paraId="6EC0832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г. Павлодар ТОО «Спецмашин» приобретено помещение площадью 3,5 тыс. м</w:t>
      </w:r>
      <w:r w:rsidRPr="00F0736F">
        <w:rPr>
          <w:rFonts w:ascii="Times New Roman" w:hAnsi="Times New Roman" w:cs="Times New Roman"/>
          <w:color w:val="000000" w:themeColor="text1"/>
          <w:vertAlign w:val="superscript"/>
        </w:rPr>
        <w:t>2</w:t>
      </w:r>
      <w:r w:rsidRPr="00F0736F">
        <w:rPr>
          <w:rFonts w:ascii="Times New Roman" w:hAnsi="Times New Roman" w:cs="Times New Roman"/>
          <w:color w:val="000000" w:themeColor="text1"/>
        </w:rPr>
        <w:t>, для сортировочного центра мощностью до 100 тыс. т./год.</w:t>
      </w:r>
    </w:p>
    <w:p w14:paraId="6A73C16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b/>
          <w:bCs/>
          <w:i/>
          <w:color w:val="000000" w:themeColor="text1"/>
          <w:kern w:val="0"/>
          <w:lang w:eastAsia="ru-RU" w:bidi="ar-SA"/>
        </w:rPr>
        <w:t xml:space="preserve">Состояние биологических ресурсов и развитие лесного, рыбного и охотничьего хозяйств, </w:t>
      </w:r>
      <w:r w:rsidRPr="00F0736F">
        <w:rPr>
          <w:rFonts w:ascii="Times New Roman" w:eastAsia="Calibri" w:hAnsi="Times New Roman" w:cs="Times New Roman"/>
          <w:b/>
          <w:bCs/>
          <w:i/>
          <w:color w:val="000000" w:themeColor="text1"/>
          <w:kern w:val="0"/>
          <w:lang w:eastAsia="ru-RU" w:bidi="ru-RU"/>
        </w:rPr>
        <w:t xml:space="preserve">ООПТ </w:t>
      </w:r>
      <w:r w:rsidRPr="00F0736F">
        <w:rPr>
          <w:rFonts w:ascii="Times New Roman" w:eastAsia="Calibri" w:hAnsi="Times New Roman" w:cs="Times New Roman"/>
          <w:b/>
          <w:bCs/>
          <w:i/>
          <w:color w:val="000000" w:themeColor="text1"/>
          <w:kern w:val="0"/>
          <w:lang w:eastAsia="ru-RU" w:bidi="ar-SA"/>
        </w:rPr>
        <w:t>и экологического туризма</w:t>
      </w:r>
    </w:p>
    <w:p w14:paraId="75CECD8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Общая площадь </w:t>
      </w:r>
      <w:r w:rsidRPr="00F0736F">
        <w:rPr>
          <w:rFonts w:ascii="Times New Roman" w:hAnsi="Times New Roman" w:cs="Times New Roman"/>
          <w:b/>
          <w:color w:val="000000" w:themeColor="text1"/>
        </w:rPr>
        <w:t>лесного фонда</w:t>
      </w:r>
      <w:r w:rsidRPr="00F0736F">
        <w:rPr>
          <w:rFonts w:ascii="Times New Roman" w:hAnsi="Times New Roman" w:cs="Times New Roman"/>
          <w:color w:val="000000" w:themeColor="text1"/>
        </w:rPr>
        <w:t xml:space="preserve"> области – 478,7 тыс. га, в том числе покрытая лесом – 26</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тыс. га.</w:t>
      </w:r>
    </w:p>
    <w:p w14:paraId="19B08B3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bCs/>
          <w:color w:val="000000" w:themeColor="text1"/>
          <w:kern w:val="0"/>
          <w:lang w:eastAsia="ru-RU" w:bidi="ar-SA"/>
        </w:rPr>
        <w:t>1</w:t>
      </w:r>
      <w:r w:rsidRPr="00F0736F">
        <w:rPr>
          <w:rFonts w:ascii="Times New Roman" w:eastAsia="Times New Roman" w:hAnsi="Times New Roman" w:cs="Times New Roman"/>
          <w:bCs/>
          <w:color w:val="000000" w:themeColor="text1"/>
          <w:kern w:val="0"/>
          <w:lang w:val="kk-KZ" w:eastAsia="ru-RU" w:bidi="ar-SA"/>
        </w:rPr>
        <w:t>2,0</w:t>
      </w:r>
      <w:r w:rsidRPr="00F0736F">
        <w:rPr>
          <w:rFonts w:ascii="Times New Roman" w:eastAsia="Times New Roman" w:hAnsi="Times New Roman" w:cs="Times New Roman"/>
          <w:bCs/>
          <w:color w:val="000000" w:themeColor="text1"/>
          <w:kern w:val="0"/>
          <w:lang w:eastAsia="ru-RU" w:bidi="ar-SA"/>
        </w:rPr>
        <w:t xml:space="preserve"> млн. саженцев</w:t>
      </w:r>
      <w:r w:rsidRPr="00F0736F">
        <w:rPr>
          <w:rFonts w:ascii="Times New Roman" w:eastAsia="Times New Roman" w:hAnsi="Times New Roman" w:cs="Times New Roman"/>
          <w:color w:val="000000" w:themeColor="text1"/>
          <w:kern w:val="0"/>
          <w:lang w:eastAsia="ru-RU" w:bidi="ar-SA"/>
        </w:rPr>
        <w:t> высажены на территории ГЛФ республиканских государственных учреждений </w:t>
      </w:r>
      <w:r w:rsidRPr="00F0736F">
        <w:rPr>
          <w:rFonts w:ascii="Times New Roman" w:eastAsia="Times New Roman" w:hAnsi="Times New Roman" w:cs="Times New Roman"/>
          <w:iCs/>
          <w:color w:val="000000" w:themeColor="text1"/>
          <w:kern w:val="0"/>
          <w:lang w:eastAsia="ru-RU" w:bidi="ar-SA"/>
        </w:rPr>
        <w:t xml:space="preserve">(БГНПП – </w:t>
      </w:r>
      <w:r w:rsidRPr="00F0736F">
        <w:rPr>
          <w:rFonts w:ascii="Times New Roman" w:eastAsia="Times New Roman" w:hAnsi="Times New Roman" w:cs="Times New Roman"/>
          <w:iCs/>
          <w:color w:val="000000" w:themeColor="text1"/>
          <w:kern w:val="0"/>
          <w:lang w:val="kk-KZ" w:eastAsia="ru-RU" w:bidi="ar-SA"/>
        </w:rPr>
        <w:t>268,0</w:t>
      </w:r>
      <w:r w:rsidRPr="00F0736F">
        <w:rPr>
          <w:rFonts w:ascii="Times New Roman" w:eastAsia="Times New Roman" w:hAnsi="Times New Roman" w:cs="Times New Roman"/>
          <w:iCs/>
          <w:color w:val="000000" w:themeColor="text1"/>
          <w:kern w:val="0"/>
          <w:lang w:eastAsia="ru-RU" w:bidi="ar-SA"/>
        </w:rPr>
        <w:t xml:space="preserve"> тыс. штук на площади</w:t>
      </w:r>
      <w:r w:rsidRPr="00F0736F">
        <w:rPr>
          <w:rFonts w:ascii="Times New Roman" w:eastAsia="Times New Roman" w:hAnsi="Times New Roman" w:cs="Times New Roman"/>
          <w:iCs/>
          <w:color w:val="000000" w:themeColor="text1"/>
          <w:kern w:val="0"/>
          <w:lang w:val="kk-KZ" w:eastAsia="ru-RU" w:bidi="ar-SA"/>
        </w:rPr>
        <w:t xml:space="preserve"> 60,3</w:t>
      </w:r>
      <w:r w:rsidRPr="00F0736F">
        <w:rPr>
          <w:rFonts w:ascii="Times New Roman" w:eastAsia="Times New Roman" w:hAnsi="Times New Roman" w:cs="Times New Roman"/>
          <w:iCs/>
          <w:color w:val="000000" w:themeColor="text1"/>
          <w:kern w:val="0"/>
          <w:lang w:eastAsia="ru-RU" w:bidi="ar-SA"/>
        </w:rPr>
        <w:t xml:space="preserve"> га, «Ертіс Орманы» - </w:t>
      </w:r>
      <w:r w:rsidRPr="00F0736F">
        <w:rPr>
          <w:rFonts w:ascii="Times New Roman" w:eastAsia="Times New Roman" w:hAnsi="Times New Roman" w:cs="Times New Roman"/>
          <w:iCs/>
          <w:color w:val="000000" w:themeColor="text1"/>
          <w:kern w:val="0"/>
          <w:lang w:val="kk-KZ" w:eastAsia="ru-RU" w:bidi="ar-SA"/>
        </w:rPr>
        <w:t>11,6</w:t>
      </w:r>
      <w:r w:rsidRPr="00F0736F">
        <w:rPr>
          <w:rFonts w:ascii="Times New Roman" w:eastAsia="Times New Roman" w:hAnsi="Times New Roman" w:cs="Times New Roman"/>
          <w:iCs/>
          <w:color w:val="000000" w:themeColor="text1"/>
          <w:kern w:val="0"/>
          <w:lang w:eastAsia="ru-RU" w:bidi="ar-SA"/>
        </w:rPr>
        <w:t xml:space="preserve"> млн. штук на площади </w:t>
      </w:r>
      <w:r w:rsidRPr="00F0736F">
        <w:rPr>
          <w:rFonts w:ascii="Times New Roman" w:eastAsia="Times New Roman" w:hAnsi="Times New Roman" w:cs="Times New Roman"/>
          <w:iCs/>
          <w:color w:val="000000" w:themeColor="text1"/>
          <w:kern w:val="0"/>
          <w:lang w:val="kk-KZ" w:eastAsia="ru-RU" w:bidi="ar-SA"/>
        </w:rPr>
        <w:t>2,6</w:t>
      </w:r>
      <w:r w:rsidRPr="00F0736F">
        <w:rPr>
          <w:rFonts w:ascii="Times New Roman" w:eastAsia="Times New Roman" w:hAnsi="Times New Roman" w:cs="Times New Roman"/>
          <w:iCs/>
          <w:color w:val="000000" w:themeColor="text1"/>
          <w:kern w:val="0"/>
          <w:lang w:eastAsia="ru-RU" w:bidi="ar-SA"/>
        </w:rPr>
        <w:t xml:space="preserve"> тыс. га)</w:t>
      </w:r>
      <w:r w:rsidRPr="00F0736F">
        <w:rPr>
          <w:rFonts w:ascii="Times New Roman" w:eastAsia="Times New Roman" w:hAnsi="Times New Roman" w:cs="Times New Roman"/>
          <w:color w:val="000000" w:themeColor="text1"/>
          <w:kern w:val="0"/>
          <w:lang w:eastAsia="ru-RU" w:bidi="ar-SA"/>
        </w:rPr>
        <w:t xml:space="preserve">. </w:t>
      </w:r>
    </w:p>
    <w:p w14:paraId="24D99386"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b/>
          <w:bCs/>
          <w:i/>
          <w:iCs/>
          <w:color w:val="000000" w:themeColor="text1"/>
          <w:kern w:val="0"/>
          <w:lang w:eastAsia="ru-RU" w:bidi="ar-SA"/>
        </w:rPr>
        <w:t>На территории ГЛФ</w:t>
      </w:r>
      <w:r w:rsidRPr="00F0736F">
        <w:rPr>
          <w:rFonts w:ascii="Times New Roman" w:eastAsia="Times New Roman" w:hAnsi="Times New Roman" w:cs="Times New Roman"/>
          <w:color w:val="000000" w:themeColor="text1"/>
          <w:kern w:val="0"/>
          <w:lang w:eastAsia="ru-RU" w:bidi="ar-SA"/>
        </w:rPr>
        <w:t xml:space="preserve"> учреждений</w:t>
      </w:r>
      <w:r w:rsidRPr="00F0736F">
        <w:rPr>
          <w:rFonts w:ascii="Times New Roman" w:eastAsia="Times New Roman" w:hAnsi="Times New Roman" w:cs="Times New Roman"/>
          <w:color w:val="000000" w:themeColor="text1"/>
          <w:kern w:val="0"/>
          <w:lang w:val="kk-KZ" w:eastAsia="ru-RU" w:bidi="ar-SA"/>
        </w:rPr>
        <w:t xml:space="preserve"> по охране лесов и животного мира</w:t>
      </w:r>
      <w:r w:rsidRPr="00F0736F">
        <w:rPr>
          <w:rFonts w:ascii="Times New Roman" w:eastAsia="Times New Roman" w:hAnsi="Times New Roman" w:cs="Times New Roman"/>
          <w:color w:val="000000" w:themeColor="text1"/>
          <w:kern w:val="0"/>
          <w:lang w:eastAsia="ru-RU" w:bidi="ar-SA"/>
        </w:rPr>
        <w:t xml:space="preserve"> произведена весеняя посадка лесных культур на площади 30,4 га</w:t>
      </w:r>
      <w:r w:rsidRPr="00F0736F">
        <w:rPr>
          <w:rFonts w:ascii="Times New Roman" w:eastAsia="Times New Roman" w:hAnsi="Times New Roman" w:cs="Times New Roman"/>
          <w:color w:val="000000" w:themeColor="text1"/>
          <w:kern w:val="0"/>
          <w:lang w:val="kk-KZ" w:eastAsia="ru-RU" w:bidi="ar-SA"/>
        </w:rPr>
        <w:t xml:space="preserve"> (135,1 тыс. штук)</w:t>
      </w:r>
      <w:r w:rsidRPr="00F0736F">
        <w:rPr>
          <w:rFonts w:ascii="Times New Roman" w:eastAsia="Times New Roman" w:hAnsi="Times New Roman" w:cs="Times New Roman"/>
          <w:color w:val="000000" w:themeColor="text1"/>
          <w:kern w:val="0"/>
          <w:lang w:eastAsia="ru-RU" w:bidi="ar-SA"/>
        </w:rPr>
        <w:t xml:space="preserve">: </w:t>
      </w:r>
    </w:p>
    <w:p w14:paraId="49FD4DA7"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i/>
          <w:iCs/>
          <w:color w:val="000000" w:themeColor="text1"/>
          <w:kern w:val="0"/>
          <w:lang w:eastAsia="ru-RU" w:bidi="ar-SA"/>
        </w:rPr>
      </w:pPr>
      <w:r w:rsidRPr="00F0736F">
        <w:rPr>
          <w:rFonts w:ascii="Times New Roman" w:eastAsia="Times New Roman" w:hAnsi="Times New Roman" w:cs="Times New Roman"/>
          <w:i/>
          <w:iCs/>
          <w:color w:val="000000" w:themeColor="text1"/>
          <w:kern w:val="0"/>
          <w:lang w:eastAsia="ru-RU" w:bidi="ar-SA"/>
        </w:rPr>
        <w:t>-</w:t>
      </w:r>
      <w:r w:rsidRPr="00F0736F">
        <w:rPr>
          <w:rFonts w:ascii="Times New Roman" w:eastAsia="Times New Roman" w:hAnsi="Times New Roman" w:cs="Times New Roman"/>
          <w:color w:val="000000" w:themeColor="text1"/>
          <w:kern w:val="0"/>
          <w:lang w:eastAsia="ru-RU" w:bidi="ar-SA"/>
        </w:rPr>
        <w:t xml:space="preserve"> </w:t>
      </w:r>
      <w:r w:rsidRPr="00F0736F">
        <w:rPr>
          <w:rFonts w:ascii="Times New Roman" w:eastAsia="Times New Roman" w:hAnsi="Times New Roman" w:cs="Times New Roman"/>
          <w:i/>
          <w:iCs/>
          <w:color w:val="000000" w:themeColor="text1"/>
          <w:kern w:val="0"/>
          <w:lang w:eastAsia="ru-RU" w:bidi="ar-SA"/>
        </w:rPr>
        <w:t xml:space="preserve">Павлодарское ГУ – 10,4 га, Чернорецкое лесничество, квартал № 34 (вдоль дороги г.Павлодар-р.Тереңкөл); </w:t>
      </w:r>
    </w:p>
    <w:p w14:paraId="1598CE92"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i/>
          <w:iCs/>
          <w:color w:val="000000" w:themeColor="text1"/>
          <w:kern w:val="0"/>
          <w:lang w:eastAsia="ru-RU" w:bidi="ar-SA"/>
        </w:rPr>
      </w:pPr>
      <w:r w:rsidRPr="00F0736F">
        <w:rPr>
          <w:rFonts w:ascii="Times New Roman" w:eastAsia="Times New Roman" w:hAnsi="Times New Roman" w:cs="Times New Roman"/>
          <w:i/>
          <w:iCs/>
          <w:color w:val="000000" w:themeColor="text1"/>
          <w:kern w:val="0"/>
          <w:lang w:eastAsia="ru-RU" w:bidi="ar-SA"/>
        </w:rPr>
        <w:t xml:space="preserve">- Максимо-Горьковское ГУ – 10 га, Качирское лесничество, квартал № 27 (вдоль автотрассы Омск-Павлодар); </w:t>
      </w:r>
    </w:p>
    <w:p w14:paraId="223974C8"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i/>
          <w:iCs/>
          <w:color w:val="000000" w:themeColor="text1"/>
          <w:kern w:val="0"/>
          <w:lang w:eastAsia="ru-RU" w:bidi="ar-SA"/>
        </w:rPr>
      </w:pPr>
      <w:r w:rsidRPr="00F0736F">
        <w:rPr>
          <w:rFonts w:ascii="Times New Roman" w:eastAsia="Times New Roman" w:hAnsi="Times New Roman" w:cs="Times New Roman"/>
          <w:i/>
          <w:iCs/>
          <w:color w:val="000000" w:themeColor="text1"/>
          <w:kern w:val="0"/>
          <w:lang w:eastAsia="ru-RU" w:bidi="ar-SA"/>
        </w:rPr>
        <w:t xml:space="preserve">- Урлютюбское ГУ – 10 га, Тастинское лесничество, квартала № 111,114 (лесная дача Тасты). </w:t>
      </w:r>
    </w:p>
    <w:p w14:paraId="1141E9E9"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b/>
          <w:bCs/>
          <w:i/>
          <w:iCs/>
          <w:color w:val="000000" w:themeColor="text1"/>
          <w:kern w:val="0"/>
          <w:lang w:eastAsia="ru-RU" w:bidi="ar-SA"/>
        </w:rPr>
      </w:pPr>
      <w:r w:rsidRPr="00F0736F">
        <w:rPr>
          <w:rFonts w:ascii="Times New Roman" w:eastAsia="Times New Roman" w:hAnsi="Times New Roman" w:cs="Times New Roman"/>
          <w:b/>
          <w:bCs/>
          <w:i/>
          <w:iCs/>
          <w:color w:val="000000" w:themeColor="text1"/>
          <w:kern w:val="0"/>
          <w:lang w:eastAsia="ru-RU" w:bidi="ar-SA"/>
        </w:rPr>
        <w:t>На территории населенных пунктов</w:t>
      </w:r>
    </w:p>
    <w:p w14:paraId="28B74D89"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Весной 2019 года в рамках природоохранных мероприятий Управлением проведена работа по организации посадки саженцев тополя пирамидального на территории города Павлодар </w:t>
      </w:r>
      <w:r w:rsidRPr="00F0736F">
        <w:rPr>
          <w:rFonts w:ascii="Times New Roman" w:eastAsia="Times New Roman" w:hAnsi="Times New Roman" w:cs="Times New Roman"/>
          <w:i/>
          <w:iCs/>
          <w:color w:val="000000" w:themeColor="text1"/>
          <w:kern w:val="0"/>
          <w:lang w:eastAsia="ru-RU" w:bidi="ar-SA"/>
        </w:rPr>
        <w:t>(вдоль дороги со стороны дачного массива «Сосновый бор», начиная от трассы на ПНХЗ до Омской автотрассы)</w:t>
      </w:r>
      <w:r w:rsidRPr="00F0736F">
        <w:rPr>
          <w:rFonts w:ascii="Times New Roman" w:eastAsia="Times New Roman" w:hAnsi="Times New Roman" w:cs="Times New Roman"/>
          <w:color w:val="000000" w:themeColor="text1"/>
          <w:kern w:val="0"/>
          <w:lang w:eastAsia="ru-RU" w:bidi="ar-SA"/>
        </w:rPr>
        <w:t xml:space="preserve"> в количестве 1597 штук. Заключен договор с ТОО «Дендро»,</w:t>
      </w:r>
      <w:r w:rsidRPr="00F0736F">
        <w:rPr>
          <w:rFonts w:ascii="Times New Roman" w:eastAsia="Times New Roman" w:hAnsi="Times New Roman" w:cs="Times New Roman"/>
          <w:i/>
          <w:iCs/>
          <w:color w:val="000000" w:themeColor="text1"/>
          <w:kern w:val="0"/>
          <w:lang w:eastAsia="ru-RU" w:bidi="ar-SA"/>
        </w:rPr>
        <w:t xml:space="preserve"> </w:t>
      </w:r>
      <w:r w:rsidRPr="00F0736F">
        <w:rPr>
          <w:rFonts w:ascii="Times New Roman" w:eastAsia="Times New Roman" w:hAnsi="Times New Roman" w:cs="Times New Roman"/>
          <w:color w:val="000000" w:themeColor="text1"/>
          <w:kern w:val="0"/>
          <w:lang w:eastAsia="ru-RU" w:bidi="ar-SA"/>
        </w:rPr>
        <w:t>предусматривающий посадку и уход за саженцами.</w:t>
      </w:r>
    </w:p>
    <w:p w14:paraId="1B265BF6"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Осенью текущего года по инициативе Министерства экологии, геологии и природных ресурсов Республики Казахстан по всей республике прошла масштабная акция «Экологический час». </w:t>
      </w:r>
    </w:p>
    <w:p w14:paraId="29A2A204"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В нашем регионе данная акция стартовала 3 октября текущего года. Всего в рамках акции на территории Павлодарской области было высажено 11,0 тыс. штук зеленых насаждений, участие приняли более 12,0 тыс. человек.  </w:t>
      </w:r>
    </w:p>
    <w:p w14:paraId="5F2E4F63"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Посадка проходила по общеобразовательным учреждениям области с целью привлечения подрастающего поколения к вопросам бережного отношения и сохранения природных ресурсов. Учащимися было высажено на пришкольных участках более 6000,0 саженцев хвойной и лиственной породы. Также была осуществлена посадка на территории с.Кенжеколь </w:t>
      </w:r>
      <w:r w:rsidRPr="00F0736F">
        <w:rPr>
          <w:rFonts w:ascii="Times New Roman" w:eastAsia="Times New Roman" w:hAnsi="Times New Roman" w:cs="Times New Roman"/>
          <w:i/>
          <w:iCs/>
          <w:color w:val="000000" w:themeColor="text1"/>
          <w:kern w:val="0"/>
          <w:lang w:eastAsia="ru-RU" w:bidi="ar-SA"/>
        </w:rPr>
        <w:t xml:space="preserve">(трасса г.Павлодар-г.Семей). </w:t>
      </w:r>
      <w:r w:rsidRPr="00F0736F">
        <w:rPr>
          <w:rFonts w:ascii="Times New Roman" w:eastAsia="Times New Roman" w:hAnsi="Times New Roman" w:cs="Times New Roman"/>
          <w:color w:val="000000" w:themeColor="text1"/>
          <w:kern w:val="0"/>
          <w:lang w:eastAsia="ru-RU" w:bidi="ar-SA"/>
        </w:rPr>
        <w:t>В акции принял участие аким области, а также специалисты управления недропользования, Павлодарского учреждения по охране лесов и животного мира, учащиеся местной школы и школы № 25 г.Павлодар. Было посажено порядка 5,0 тыс. саженцев сосны 2-летнего возраста. Посадочный материал предоставлен РГУ «Государственный лесной природный резерват «Ертіс орманы», частными питомниками города.</w:t>
      </w:r>
    </w:p>
    <w:p w14:paraId="0EA8844D"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12 октября текущего года акция была продолжена, произведена посадка 70,0 тыс. саженцев сосны (2-летки), в том числе:</w:t>
      </w:r>
    </w:p>
    <w:p w14:paraId="71E830B2"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- 35,0 тыс. штук вдоль</w:t>
      </w:r>
      <w:r w:rsidRPr="00F0736F">
        <w:rPr>
          <w:rFonts w:ascii="Times New Roman" w:eastAsia="Times New Roman" w:hAnsi="Times New Roman" w:cs="Times New Roman"/>
          <w:i/>
          <w:iCs/>
          <w:color w:val="000000" w:themeColor="text1"/>
          <w:kern w:val="0"/>
          <w:lang w:eastAsia="ru-RU" w:bidi="ar-SA"/>
        </w:rPr>
        <w:t xml:space="preserve"> </w:t>
      </w:r>
      <w:r w:rsidRPr="00F0736F">
        <w:rPr>
          <w:rFonts w:ascii="Times New Roman" w:eastAsia="Times New Roman" w:hAnsi="Times New Roman" w:cs="Times New Roman"/>
          <w:color w:val="000000" w:themeColor="text1"/>
          <w:kern w:val="0"/>
          <w:lang w:eastAsia="ru-RU" w:bidi="ar-SA"/>
        </w:rPr>
        <w:t xml:space="preserve">20-й автодороги </w:t>
      </w:r>
      <w:r w:rsidRPr="00F0736F">
        <w:rPr>
          <w:rFonts w:ascii="Times New Roman" w:eastAsia="Times New Roman" w:hAnsi="Times New Roman" w:cs="Times New Roman"/>
          <w:i/>
          <w:iCs/>
          <w:color w:val="000000" w:themeColor="text1"/>
          <w:kern w:val="0"/>
          <w:lang w:eastAsia="ru-RU" w:bidi="ar-SA"/>
        </w:rPr>
        <w:t>(трасса Павлодар-Омск, район ТОО «Нефтехим ЛТД»)</w:t>
      </w:r>
      <w:r w:rsidRPr="00F0736F">
        <w:rPr>
          <w:rFonts w:ascii="Times New Roman" w:eastAsia="Times New Roman" w:hAnsi="Times New Roman" w:cs="Times New Roman"/>
          <w:color w:val="000000" w:themeColor="text1"/>
          <w:kern w:val="0"/>
          <w:lang w:eastAsia="ru-RU" w:bidi="ar-SA"/>
        </w:rPr>
        <w:t>;</w:t>
      </w:r>
    </w:p>
    <w:p w14:paraId="73A11BBD"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- 35,0 тыс. штук на участке между АО «Алюминий Казахстана» и АО «Казахстанский электролизный завод».</w:t>
      </w:r>
    </w:p>
    <w:p w14:paraId="06B22444" w14:textId="77777777" w:rsidR="00AC1D5B" w:rsidRPr="00F0736F" w:rsidRDefault="00AC1D5B" w:rsidP="00AC1D5B">
      <w:pPr>
        <w:pBdr>
          <w:bottom w:val="single" w:sz="6" w:space="0" w:color="FFFFFF"/>
        </w:pBdr>
        <w:suppressAutoHyphens w:val="0"/>
        <w:overflowPunct/>
        <w:autoSpaceDE w:val="0"/>
        <w:autoSpaceDN w:val="0"/>
        <w:adjustRightInd w:val="0"/>
        <w:ind w:firstLine="709"/>
        <w:jc w:val="both"/>
        <w:rPr>
          <w:rFonts w:ascii="Times New Roman" w:eastAsia="Times New Roman" w:hAnsi="Times New Roman" w:cs="Times New Roman"/>
          <w:i/>
          <w:iCs/>
          <w:color w:val="000000" w:themeColor="text1"/>
          <w:kern w:val="0"/>
          <w:lang w:eastAsia="ru-RU" w:bidi="ar-SA"/>
        </w:rPr>
      </w:pPr>
      <w:r w:rsidRPr="00F0736F">
        <w:rPr>
          <w:rFonts w:ascii="Times New Roman" w:eastAsia="Times New Roman" w:hAnsi="Times New Roman" w:cs="Times New Roman"/>
          <w:color w:val="000000" w:themeColor="text1"/>
          <w:kern w:val="0"/>
          <w:lang w:eastAsia="ru-RU" w:bidi="ar-SA"/>
        </w:rPr>
        <w:t xml:space="preserve">В акции приняли участие аким области, аким города, аппарат акимата области и города, управление недропользования и подведомственные государственные учреждения по охране лесов и животного мира, работники заводов, молодежные отряды «Жас Отан». Посадочный материал предоставлен управлением недропользования </w:t>
      </w:r>
      <w:r w:rsidRPr="00F0736F">
        <w:rPr>
          <w:rFonts w:ascii="Times New Roman" w:eastAsia="Times New Roman" w:hAnsi="Times New Roman" w:cs="Times New Roman"/>
          <w:i/>
          <w:iCs/>
          <w:color w:val="000000" w:themeColor="text1"/>
          <w:kern w:val="0"/>
          <w:lang w:eastAsia="ru-RU" w:bidi="ar-SA"/>
        </w:rPr>
        <w:t>(в рамках природоохранных программ заключен договор с ИП «Ландшафт Камень»).</w:t>
      </w:r>
    </w:p>
    <w:p w14:paraId="7B25E8E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kern w:val="0"/>
          <w:lang w:eastAsia="ru-RU" w:bidi="ar-SA"/>
        </w:rPr>
        <w:t>Всего за 2019 год Управлением организована посадка зеленых насаждений вне территории ГЛФ в объеме 82 597 штук.</w:t>
      </w:r>
    </w:p>
    <w:p w14:paraId="786468C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Экотуризм.</w:t>
      </w:r>
      <w:r w:rsidRPr="00F0736F">
        <w:rPr>
          <w:rFonts w:ascii="Times New Roman" w:hAnsi="Times New Roman" w:cs="Times New Roman"/>
          <w:color w:val="000000" w:themeColor="text1"/>
        </w:rPr>
        <w:t xml:space="preserve"> На территории Павлодарской области находятся: Баянаульский государственный национальный природный парк; здравница Казахстана – санаторий «Мойылды»; туристская зона отдыха на оз. Маралды в Щербактинском районе; зона отдыха «Тузкала» в районе Аққулы, многочисленные природные, исторические, археологические, культурные памятники. </w:t>
      </w:r>
    </w:p>
    <w:p w14:paraId="3F13FD7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2017 года количество объектов, занимающихся размещением посетителей, составляет 97 единиц, в которых насчитывается 2810 номеров, при этом единовременная вместимость составляет 6987 койко-мест. Ими обслужено 147 485 человек и оказано услуг на сумму 1 852 259,7 тыс. тенге. </w:t>
      </w:r>
    </w:p>
    <w:p w14:paraId="7CEEDAF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2017 году общее число обслуженных посетителей по внутреннему и въездному туризму в местах размещения составило 147 485 человек, что на 33,5% больше по сравнению с 2015 годом (110 456 чел.). Количество предоставленных койко-суток увеличилось 112,8%, или на 37 770 койко-суток. Развитие туризма в регионе до 2020 года будет осуществляться в рамках Концепции развития туризма, Мастер-плана создания и развития туристского кластера Павлодарской области до 2020 года. Приоритетами развития туризма в регионе будут: кластерная модель развития, развитие инфраструктуры, повышение эффективности маркетинговых мер, повышение производительности труда в секторе, создание новых рабочих мест.</w:t>
      </w:r>
    </w:p>
    <w:p w14:paraId="725282A0" w14:textId="77777777" w:rsidR="00AC1D5B" w:rsidRPr="00F0736F" w:rsidRDefault="00AC1D5B" w:rsidP="00AC1D5B">
      <w:pPr>
        <w:ind w:firstLine="709"/>
        <w:jc w:val="both"/>
        <w:rPr>
          <w:rFonts w:ascii="Times New Roman" w:hAnsi="Times New Roman" w:cs="Times New Roman"/>
          <w:color w:val="000000" w:themeColor="text1"/>
        </w:rPr>
      </w:pPr>
    </w:p>
    <w:p w14:paraId="626A391F"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7" w:name="_Toc57818747"/>
      <w:r w:rsidRPr="007272FB">
        <w:rPr>
          <w:rFonts w:ascii="Times New Roman" w:eastAsia="Times New Roman" w:hAnsi="Times New Roman" w:cs="Times New Roman"/>
          <w:color w:val="000000" w:themeColor="text1"/>
          <w:sz w:val="24"/>
          <w:szCs w:val="24"/>
        </w:rPr>
        <w:t>2.13. Северо-Казахстанская область</w:t>
      </w:r>
      <w:bookmarkEnd w:id="57"/>
    </w:p>
    <w:p w14:paraId="201E43FD" w14:textId="77777777" w:rsidR="00AC1D5B" w:rsidRPr="00F0736F" w:rsidRDefault="00AC1D5B" w:rsidP="00AC1D5B">
      <w:pPr>
        <w:ind w:firstLine="709"/>
        <w:jc w:val="both"/>
        <w:rPr>
          <w:rFonts w:ascii="Times New Roman" w:hAnsi="Times New Roman" w:cs="Times New Roman"/>
          <w:color w:val="000000" w:themeColor="text1"/>
        </w:rPr>
      </w:pPr>
    </w:p>
    <w:p w14:paraId="4422FFB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0DB8581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Область занимает 98 тыс. км</w:t>
      </w:r>
      <w:r w:rsidRPr="00F0736F">
        <w:rPr>
          <w:rFonts w:ascii="Times New Roman" w:hAnsi="Times New Roman" w:cs="Times New Roman"/>
          <w:color w:val="000000" w:themeColor="text1"/>
          <w:vertAlign w:val="superscript"/>
        </w:rPr>
        <w:t>2</w:t>
      </w:r>
      <w:r w:rsidRPr="00F0736F">
        <w:rPr>
          <w:rFonts w:ascii="Times New Roman" w:hAnsi="Times New Roman" w:cs="Times New Roman"/>
          <w:color w:val="000000" w:themeColor="text1"/>
        </w:rPr>
        <w:t xml:space="preserve"> на севере республики. Население области постоянно снижается: на 1 января 2018 г. - 558,6 тыс. че</w:t>
      </w:r>
      <w:r w:rsidRPr="00F0736F">
        <w:rPr>
          <w:rFonts w:ascii="Times New Roman" w:hAnsi="Times New Roman" w:cs="Times New Roman"/>
          <w:color w:val="000000" w:themeColor="text1"/>
          <w:lang w:val="kk-KZ"/>
        </w:rPr>
        <w:t>лов</w:t>
      </w:r>
      <w:r w:rsidRPr="00F0736F">
        <w:rPr>
          <w:rFonts w:ascii="Times New Roman" w:hAnsi="Times New Roman" w:cs="Times New Roman"/>
          <w:color w:val="000000" w:themeColor="text1"/>
        </w:rPr>
        <w:t>ек, на начало 2019 года - 554,5 тыс. челов</w:t>
      </w:r>
      <w:r w:rsidRPr="00F0736F">
        <w:rPr>
          <w:rFonts w:ascii="Times New Roman" w:hAnsi="Times New Roman" w:cs="Times New Roman"/>
          <w:color w:val="000000" w:themeColor="text1"/>
          <w:lang w:val="kk-KZ"/>
        </w:rPr>
        <w:t>ек,</w:t>
      </w:r>
      <w:r w:rsidRPr="00F0736F">
        <w:rPr>
          <w:rFonts w:ascii="Times New Roman" w:hAnsi="Times New Roman" w:cs="Times New Roman"/>
          <w:color w:val="000000" w:themeColor="text1"/>
        </w:rPr>
        <w:t xml:space="preserve"> а  на начало 2020 года — 548,8 тыс. человек. Основные направления развития - сельское хозяйство, горнодобывающая и перерабатывающая промышленность. Северо-Казахстанская область является аграрно-индустриальным регионом с большим потенциалом развития сельского хозяйства, поэтому наиболее значимой отраслью является именно отрасль сельского хозяйства</w:t>
      </w:r>
      <w:r w:rsidRPr="00F0736F">
        <w:rPr>
          <w:rFonts w:ascii="Times New Roman" w:hAnsi="Times New Roman" w:cs="Times New Roman"/>
          <w:color w:val="000000" w:themeColor="text1"/>
          <w:vertAlign w:val="superscript"/>
        </w:rPr>
        <w:footnoteReference w:id="159"/>
      </w:r>
      <w:r w:rsidRPr="00F0736F">
        <w:rPr>
          <w:rFonts w:ascii="Times New Roman" w:hAnsi="Times New Roman" w:cs="Times New Roman"/>
          <w:color w:val="000000" w:themeColor="text1"/>
        </w:rPr>
        <w:t xml:space="preserve">. </w:t>
      </w:r>
    </w:p>
    <w:p w14:paraId="7418FB1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о</w:t>
      </w:r>
      <w:r w:rsidRPr="00F0736F">
        <w:rPr>
          <w:rFonts w:ascii="Times New Roman" w:eastAsia="Batang" w:hAnsi="Times New Roman" w:cs="Times New Roman"/>
          <w:color w:val="000000" w:themeColor="text1"/>
          <w:lang w:eastAsia="ko-KR"/>
        </w:rPr>
        <w:t xml:space="preserve">бъем ВРП области в 2017 году в сравнении с 2015 годом увеличился в номинальном выражении на 33,1% и составил 1114,0 млрд. тенге. </w:t>
      </w:r>
      <w:r w:rsidRPr="00F0736F">
        <w:rPr>
          <w:rFonts w:ascii="Times New Roman" w:hAnsi="Times New Roman" w:cs="Times New Roman"/>
          <w:color w:val="000000" w:themeColor="text1"/>
          <w:sz w:val="22"/>
          <w:szCs w:val="22"/>
        </w:rPr>
        <w:t xml:space="preserve">ВРП на душу населения - 1985,9 тыс. тенге, </w:t>
      </w:r>
      <w:r w:rsidRPr="00F0736F">
        <w:rPr>
          <w:rFonts w:ascii="Times New Roman" w:hAnsi="Times New Roman" w:cs="Times New Roman"/>
          <w:color w:val="000000" w:themeColor="text1"/>
        </w:rPr>
        <w:t>что больше уровня 2015 года в номинальном выражении на 35,4%. В 2018 году ВРП области – 1212 млрд. тенге, а на душу населения – 2177,7 тыс. тенге, в 2019 году, соответственно, 1382,3 и 2505,9.</w:t>
      </w:r>
    </w:p>
    <w:p w14:paraId="7D65A82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Объем </w:t>
      </w:r>
      <w:r w:rsidRPr="00F0736F">
        <w:rPr>
          <w:rFonts w:ascii="Times New Roman" w:hAnsi="Times New Roman" w:cs="Times New Roman"/>
          <w:b/>
          <w:color w:val="000000" w:themeColor="text1"/>
        </w:rPr>
        <w:t>промышленного производства</w:t>
      </w:r>
      <w:r w:rsidRPr="00F0736F">
        <w:rPr>
          <w:rFonts w:ascii="Times New Roman" w:hAnsi="Times New Roman" w:cs="Times New Roman"/>
          <w:color w:val="000000" w:themeColor="text1"/>
        </w:rPr>
        <w:t xml:space="preserve"> составил 240,5 млрд. тенге в 2017 году, 243,0 млрд. тенге в 2018 году и 263,6 млрд. тенге в 2019 году. В структуре промышленного производства наибольшую долю занимает </w:t>
      </w:r>
      <w:r w:rsidRPr="00F0736F">
        <w:rPr>
          <w:rFonts w:ascii="Times New Roman" w:hAnsi="Times New Roman" w:cs="Times New Roman"/>
          <w:b/>
          <w:color w:val="000000" w:themeColor="text1"/>
        </w:rPr>
        <w:t>обрабатывающая промышленность</w:t>
      </w:r>
      <w:r w:rsidRPr="00F0736F">
        <w:rPr>
          <w:rFonts w:ascii="Times New Roman" w:hAnsi="Times New Roman" w:cs="Times New Roman"/>
          <w:color w:val="000000" w:themeColor="text1"/>
        </w:rPr>
        <w:t xml:space="preserve"> с объемами 171,9 млрд. тенге в 2017 году, 171,2 млрд. тенге в 2018 году и 195,5 млрд. тенге в 2019 году. </w:t>
      </w:r>
    </w:p>
    <w:p w14:paraId="3FF0B15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Основное промышленное производство сконцентрировано в г. Петропавловск, районах им. Г. Мусрепова, Тайыншинском и Кызылжарском. Наименее развита промышленность в Акжарском, Мамлютском и Жамбылском районах. </w:t>
      </w:r>
    </w:p>
    <w:p w14:paraId="0FCF3F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число предприятий и производств обрабатывающей промышленности составило 539 единиц.</w:t>
      </w:r>
    </w:p>
    <w:p w14:paraId="1CC2F70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Сельскохозяйственный комплекс</w:t>
      </w:r>
      <w:r w:rsidRPr="00F0736F">
        <w:rPr>
          <w:rFonts w:ascii="Times New Roman" w:hAnsi="Times New Roman" w:cs="Times New Roman"/>
          <w:color w:val="000000" w:themeColor="text1"/>
        </w:rPr>
        <w:t xml:space="preserve"> как отрасль занимает 25,3% в структуре валового</w:t>
      </w:r>
      <w:r w:rsidRPr="00F0736F">
        <w:rPr>
          <w:rFonts w:ascii="Times New Roman" w:eastAsia="Batang" w:hAnsi="Times New Roman" w:cs="Times New Roman"/>
          <w:color w:val="000000" w:themeColor="text1"/>
          <w:lang w:eastAsia="ko-KR"/>
        </w:rPr>
        <w:t xml:space="preserve"> регионального продукта в э</w:t>
      </w:r>
      <w:r w:rsidRPr="00F0736F">
        <w:rPr>
          <w:rFonts w:ascii="Times New Roman" w:hAnsi="Times New Roman" w:cs="Times New Roman"/>
          <w:color w:val="000000" w:themeColor="text1"/>
        </w:rPr>
        <w:t xml:space="preserve">кономике региона и 11% - в экономике АПК страны. </w:t>
      </w:r>
    </w:p>
    <w:p w14:paraId="7E8A80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По данным Комитета по статистике, в 2017 году объем валовой продукции </w:t>
      </w:r>
      <w:r w:rsidRPr="00F0736F">
        <w:rPr>
          <w:rFonts w:ascii="Times New Roman" w:hAnsi="Times New Roman" w:cs="Times New Roman"/>
          <w:bCs/>
          <w:color w:val="000000" w:themeColor="text1"/>
          <w:lang w:val="kk-KZ"/>
        </w:rPr>
        <w:t xml:space="preserve">сельского хозяйства составил 498,4 млрд. тенге, в 2018 году - 514,7 млрд. </w:t>
      </w:r>
      <w:r w:rsidRPr="00F0736F">
        <w:rPr>
          <w:rFonts w:ascii="Times New Roman" w:hAnsi="Times New Roman" w:cs="Times New Roman"/>
          <w:bCs/>
          <w:color w:val="000000" w:themeColor="text1"/>
        </w:rPr>
        <w:t>т</w:t>
      </w:r>
      <w:r w:rsidRPr="00F0736F">
        <w:rPr>
          <w:rFonts w:ascii="Times New Roman" w:hAnsi="Times New Roman" w:cs="Times New Roman"/>
          <w:bCs/>
          <w:color w:val="000000" w:themeColor="text1"/>
          <w:lang w:val="kk-KZ"/>
        </w:rPr>
        <w:t xml:space="preserve">енге, </w:t>
      </w:r>
      <w:r w:rsidRPr="00F0736F">
        <w:rPr>
          <w:rFonts w:ascii="Times New Roman" w:hAnsi="Times New Roman" w:cs="Times New Roman"/>
          <w:bCs/>
          <w:color w:val="000000" w:themeColor="text1"/>
        </w:rPr>
        <w:t>а в 2019 год</w:t>
      </w:r>
      <w:r w:rsidRPr="00F0736F">
        <w:rPr>
          <w:rFonts w:ascii="Times New Roman" w:hAnsi="Times New Roman" w:cs="Times New Roman"/>
          <w:color w:val="000000" w:themeColor="text1"/>
        </w:rPr>
        <w:t>у - 610,7 млрд. тенге, с преимуществом растениеводства (73,7%).</w:t>
      </w:r>
    </w:p>
    <w:p w14:paraId="225DB1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валовой сбор зерновых составил 5417,4 млн. т. в первоначально оприходованном весе, что меньше сбора 2015 года на 130,0 тыс. т. (2015 год – 5547,0 тыс. т.). Увеличена урожайность зерновых на 0,2 ц/га по отношению к 2015 году (2015 год – 17,3 ц/га) и составила в 2017 году 17,5 ц/га. Наибольшая урожайность по зерновым культурам в 2017 году получена в следующих районах: р-н М. Жумабаева – 21,7 ц/га, Аккайынском районе – 21,2 ц/га, Жамбылском и Кызылжарском районах по 19,9 ц/га. Показатели 2018 и 2019 годов приведены в таблице 2.13.1.</w:t>
      </w:r>
    </w:p>
    <w:p w14:paraId="7F78271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Регион является одним из основных зерносеющих регионов в республике, обеспечивая до 30% производства зерна, до 26% маслосемян, до 10% молока, до 12% яйца.</w:t>
      </w:r>
      <w:r w:rsidRPr="00F0736F">
        <w:rPr>
          <w:rFonts w:ascii="Times New Roman" w:hAnsi="Times New Roman" w:cs="Times New Roman"/>
          <w:color w:val="000000" w:themeColor="text1"/>
        </w:rPr>
        <w:tab/>
      </w:r>
    </w:p>
    <w:p w14:paraId="3F80036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растениеводстве в рамках диверсификации посевных площадей </w:t>
      </w:r>
      <w:r w:rsidRPr="00F0736F">
        <w:rPr>
          <w:rFonts w:ascii="Times New Roman" w:hAnsi="Times New Roman" w:cs="Times New Roman"/>
          <w:color w:val="000000" w:themeColor="text1"/>
          <w:lang w:val="kk-KZ"/>
        </w:rPr>
        <w:t xml:space="preserve">в 2018 </w:t>
      </w:r>
      <w:r w:rsidRPr="00F0736F">
        <w:rPr>
          <w:rFonts w:ascii="Times New Roman" w:hAnsi="Times New Roman" w:cs="Times New Roman"/>
          <w:color w:val="000000" w:themeColor="text1"/>
        </w:rPr>
        <w:t>и 2019 годах</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увеличены площади масличных культур</w:t>
      </w:r>
      <w:r w:rsidRPr="00F0736F">
        <w:rPr>
          <w:rFonts w:ascii="Times New Roman" w:hAnsi="Times New Roman" w:cs="Times New Roman"/>
          <w:color w:val="000000" w:themeColor="text1"/>
          <w:lang w:val="kk-KZ"/>
        </w:rPr>
        <w:t xml:space="preserve"> на 261 тыс. га или на 37% и доведены до 976 тыс. га (в 2017 г. – 715 тыс. га), площади картофеля на 9,6 тыс. га или на 35%, до 37,4 тыс. га (в 2017 г. – 27,8 тыс. га), овощей на 1,6 тыс. га или на 32%, 6,6 тыс. га (в 2017 г. – 5,0 тыс. га). </w:t>
      </w:r>
    </w:p>
    <w:p w14:paraId="2D1072CC" w14:textId="77777777" w:rsidR="00AC1D5B" w:rsidRPr="00F0736F" w:rsidRDefault="00AC1D5B" w:rsidP="00AC1D5B">
      <w:pPr>
        <w:ind w:firstLine="709"/>
        <w:jc w:val="both"/>
        <w:rPr>
          <w:rFonts w:asciiTheme="minorHAnsi" w:hAnsiTheme="minorHAnsi"/>
          <w:color w:val="000000" w:themeColor="text1"/>
        </w:rPr>
      </w:pPr>
    </w:p>
    <w:p w14:paraId="6B10BBC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2.13.1. Валовой сбор сельскохозяйственных культур, тыс. 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015"/>
        <w:gridCol w:w="3481"/>
      </w:tblGrid>
      <w:tr w:rsidR="00F0736F" w:rsidRPr="00F0736F" w14:paraId="340B6D11" w14:textId="77777777" w:rsidTr="000B2B8A">
        <w:trPr>
          <w:trHeight w:val="316"/>
        </w:trPr>
        <w:tc>
          <w:tcPr>
            <w:tcW w:w="3285" w:type="dxa"/>
            <w:shd w:val="clear" w:color="auto" w:fill="auto"/>
          </w:tcPr>
          <w:p w14:paraId="7C016A15"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b/>
                <w:color w:val="000000" w:themeColor="text1"/>
                <w:sz w:val="22"/>
                <w:szCs w:val="22"/>
              </w:rPr>
              <w:t>Показатели</w:t>
            </w:r>
          </w:p>
        </w:tc>
        <w:tc>
          <w:tcPr>
            <w:tcW w:w="3015" w:type="dxa"/>
            <w:shd w:val="clear" w:color="auto" w:fill="auto"/>
          </w:tcPr>
          <w:p w14:paraId="5D4F93E6"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b/>
                <w:color w:val="000000" w:themeColor="text1"/>
                <w:sz w:val="22"/>
                <w:szCs w:val="22"/>
              </w:rPr>
              <w:t>2018 год</w:t>
            </w:r>
          </w:p>
        </w:tc>
        <w:tc>
          <w:tcPr>
            <w:tcW w:w="3481" w:type="dxa"/>
            <w:shd w:val="clear" w:color="auto" w:fill="auto"/>
          </w:tcPr>
          <w:p w14:paraId="50E9CA87"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b/>
                <w:color w:val="000000" w:themeColor="text1"/>
                <w:sz w:val="22"/>
                <w:szCs w:val="22"/>
              </w:rPr>
              <w:t>201</w:t>
            </w:r>
            <w:r w:rsidRPr="00F0736F">
              <w:rPr>
                <w:rFonts w:ascii="Times New Roman" w:hAnsi="Times New Roman" w:cs="Times New Roman"/>
                <w:b/>
                <w:color w:val="000000" w:themeColor="text1"/>
                <w:sz w:val="22"/>
                <w:szCs w:val="22"/>
                <w:lang w:val="kk-KZ"/>
              </w:rPr>
              <w:t>9</w:t>
            </w:r>
            <w:r w:rsidRPr="00F0736F">
              <w:rPr>
                <w:rFonts w:ascii="Times New Roman" w:hAnsi="Times New Roman" w:cs="Times New Roman"/>
                <w:b/>
                <w:color w:val="000000" w:themeColor="text1"/>
                <w:sz w:val="22"/>
                <w:szCs w:val="22"/>
              </w:rPr>
              <w:t xml:space="preserve"> год</w:t>
            </w:r>
          </w:p>
        </w:tc>
      </w:tr>
      <w:tr w:rsidR="00F0736F" w:rsidRPr="00F0736F" w14:paraId="537715DE" w14:textId="77777777" w:rsidTr="000B2B8A">
        <w:trPr>
          <w:trHeight w:val="396"/>
        </w:trPr>
        <w:tc>
          <w:tcPr>
            <w:tcW w:w="3285" w:type="dxa"/>
            <w:shd w:val="clear" w:color="auto" w:fill="auto"/>
          </w:tcPr>
          <w:p w14:paraId="3563FEB7" w14:textId="77777777" w:rsidR="00AC1D5B" w:rsidRPr="00F0736F" w:rsidRDefault="00AC1D5B" w:rsidP="00AC1D5B">
            <w:pPr>
              <w:jc w:val="both"/>
              <w:rPr>
                <w:color w:val="000000" w:themeColor="text1"/>
                <w:sz w:val="22"/>
                <w:szCs w:val="22"/>
              </w:rPr>
            </w:pPr>
            <w:r w:rsidRPr="00F0736F">
              <w:rPr>
                <w:rFonts w:ascii="Times New Roman" w:hAnsi="Times New Roman" w:cs="Times New Roman"/>
                <w:color w:val="000000" w:themeColor="text1"/>
                <w:sz w:val="22"/>
                <w:szCs w:val="22"/>
              </w:rPr>
              <w:t>Зерновые и зернобобовые всего (в весе после доработки)</w:t>
            </w:r>
          </w:p>
        </w:tc>
        <w:tc>
          <w:tcPr>
            <w:tcW w:w="3015" w:type="dxa"/>
            <w:shd w:val="clear" w:color="auto" w:fill="auto"/>
          </w:tcPr>
          <w:p w14:paraId="582F8EA4"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4322,7</w:t>
            </w:r>
          </w:p>
        </w:tc>
        <w:tc>
          <w:tcPr>
            <w:tcW w:w="3481" w:type="dxa"/>
            <w:shd w:val="clear" w:color="auto" w:fill="auto"/>
          </w:tcPr>
          <w:p w14:paraId="33801374"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4129,1</w:t>
            </w:r>
          </w:p>
        </w:tc>
      </w:tr>
      <w:tr w:rsidR="00F0736F" w:rsidRPr="00F0736F" w14:paraId="1097A11F" w14:textId="77777777" w:rsidTr="000B2B8A">
        <w:trPr>
          <w:trHeight w:val="316"/>
        </w:trPr>
        <w:tc>
          <w:tcPr>
            <w:tcW w:w="3285" w:type="dxa"/>
            <w:shd w:val="clear" w:color="auto" w:fill="auto"/>
          </w:tcPr>
          <w:p w14:paraId="1A8EBF7D"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из них: пшеница</w:t>
            </w:r>
          </w:p>
        </w:tc>
        <w:tc>
          <w:tcPr>
            <w:tcW w:w="3015" w:type="dxa"/>
            <w:shd w:val="clear" w:color="auto" w:fill="auto"/>
          </w:tcPr>
          <w:p w14:paraId="7154F014" w14:textId="77777777" w:rsidR="00AC1D5B" w:rsidRPr="00F0736F" w:rsidRDefault="00AC1D5B" w:rsidP="00AC1D5B">
            <w:pPr>
              <w:ind w:firstLine="709"/>
              <w:jc w:val="both"/>
              <w:rPr>
                <w:strike/>
                <w:color w:val="000000" w:themeColor="text1"/>
                <w:sz w:val="22"/>
                <w:szCs w:val="22"/>
                <w:lang w:val="en-US"/>
              </w:rPr>
            </w:pPr>
            <w:r w:rsidRPr="00F0736F">
              <w:rPr>
                <w:rFonts w:ascii="Times New Roman" w:hAnsi="Times New Roman" w:cs="Times New Roman"/>
                <w:color w:val="000000" w:themeColor="text1"/>
                <w:sz w:val="22"/>
                <w:szCs w:val="22"/>
                <w:lang w:val="en-US"/>
              </w:rPr>
              <w:t>2982,2</w:t>
            </w:r>
          </w:p>
        </w:tc>
        <w:tc>
          <w:tcPr>
            <w:tcW w:w="3481" w:type="dxa"/>
            <w:shd w:val="clear" w:color="auto" w:fill="auto"/>
          </w:tcPr>
          <w:p w14:paraId="628B2F04"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2874,3</w:t>
            </w:r>
          </w:p>
        </w:tc>
      </w:tr>
      <w:tr w:rsidR="00F0736F" w:rsidRPr="00F0736F" w14:paraId="5EDE4D07" w14:textId="77777777" w:rsidTr="000B2B8A">
        <w:trPr>
          <w:trHeight w:val="316"/>
        </w:trPr>
        <w:tc>
          <w:tcPr>
            <w:tcW w:w="3285" w:type="dxa"/>
            <w:shd w:val="clear" w:color="auto" w:fill="auto"/>
          </w:tcPr>
          <w:p w14:paraId="240CCE9F"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Масличные – всего</w:t>
            </w:r>
          </w:p>
        </w:tc>
        <w:tc>
          <w:tcPr>
            <w:tcW w:w="3015" w:type="dxa"/>
            <w:shd w:val="clear" w:color="auto" w:fill="auto"/>
          </w:tcPr>
          <w:p w14:paraId="1A5F719F"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908</w:t>
            </w:r>
          </w:p>
        </w:tc>
        <w:tc>
          <w:tcPr>
            <w:tcW w:w="3481" w:type="dxa"/>
            <w:shd w:val="clear" w:color="auto" w:fill="auto"/>
          </w:tcPr>
          <w:p w14:paraId="5A969BA7"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894,5</w:t>
            </w:r>
          </w:p>
        </w:tc>
      </w:tr>
      <w:tr w:rsidR="00F0736F" w:rsidRPr="00F0736F" w14:paraId="0DA1DD38" w14:textId="77777777" w:rsidTr="000B2B8A">
        <w:trPr>
          <w:trHeight w:val="316"/>
        </w:trPr>
        <w:tc>
          <w:tcPr>
            <w:tcW w:w="3285" w:type="dxa"/>
            <w:shd w:val="clear" w:color="auto" w:fill="auto"/>
          </w:tcPr>
          <w:p w14:paraId="113DECF2"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Картофель</w:t>
            </w:r>
          </w:p>
        </w:tc>
        <w:tc>
          <w:tcPr>
            <w:tcW w:w="3015" w:type="dxa"/>
            <w:shd w:val="clear" w:color="auto" w:fill="auto"/>
          </w:tcPr>
          <w:p w14:paraId="0FB7CCDE"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590</w:t>
            </w:r>
          </w:p>
        </w:tc>
        <w:tc>
          <w:tcPr>
            <w:tcW w:w="3481" w:type="dxa"/>
            <w:shd w:val="clear" w:color="auto" w:fill="auto"/>
          </w:tcPr>
          <w:p w14:paraId="193B2908"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605,5</w:t>
            </w:r>
          </w:p>
        </w:tc>
      </w:tr>
      <w:tr w:rsidR="00F0736F" w:rsidRPr="00F0736F" w14:paraId="51080187" w14:textId="77777777" w:rsidTr="000B2B8A">
        <w:trPr>
          <w:trHeight w:val="316"/>
        </w:trPr>
        <w:tc>
          <w:tcPr>
            <w:tcW w:w="3285" w:type="dxa"/>
            <w:shd w:val="clear" w:color="auto" w:fill="auto"/>
          </w:tcPr>
          <w:p w14:paraId="15B0617F"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Овощи</w:t>
            </w:r>
          </w:p>
        </w:tc>
        <w:tc>
          <w:tcPr>
            <w:tcW w:w="3015" w:type="dxa"/>
            <w:shd w:val="clear" w:color="auto" w:fill="auto"/>
          </w:tcPr>
          <w:p w14:paraId="2A9908CC"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207,5</w:t>
            </w:r>
          </w:p>
        </w:tc>
        <w:tc>
          <w:tcPr>
            <w:tcW w:w="3481" w:type="dxa"/>
            <w:shd w:val="clear" w:color="auto" w:fill="auto"/>
          </w:tcPr>
          <w:p w14:paraId="4BF354C6"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203,6</w:t>
            </w:r>
          </w:p>
        </w:tc>
      </w:tr>
      <w:tr w:rsidR="00F0736F" w:rsidRPr="00F0736F" w14:paraId="25142994" w14:textId="77777777" w:rsidTr="000B2B8A">
        <w:trPr>
          <w:trHeight w:val="252"/>
        </w:trPr>
        <w:tc>
          <w:tcPr>
            <w:tcW w:w="9781" w:type="dxa"/>
            <w:gridSpan w:val="3"/>
            <w:shd w:val="clear" w:color="auto" w:fill="auto"/>
          </w:tcPr>
          <w:p w14:paraId="3B2F6A77"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Урожайность,  ц/га</w:t>
            </w:r>
          </w:p>
        </w:tc>
      </w:tr>
      <w:tr w:rsidR="00F0736F" w:rsidRPr="00F0736F" w14:paraId="49FA7B7E" w14:textId="77777777" w:rsidTr="000B2B8A">
        <w:trPr>
          <w:trHeight w:val="316"/>
        </w:trPr>
        <w:tc>
          <w:tcPr>
            <w:tcW w:w="3285" w:type="dxa"/>
            <w:shd w:val="clear" w:color="auto" w:fill="auto"/>
          </w:tcPr>
          <w:p w14:paraId="118BDE26"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зерновые – всего (в весе после доработки)</w:t>
            </w:r>
          </w:p>
        </w:tc>
        <w:tc>
          <w:tcPr>
            <w:tcW w:w="3015" w:type="dxa"/>
            <w:shd w:val="clear" w:color="auto" w:fill="auto"/>
          </w:tcPr>
          <w:p w14:paraId="3DD600F1"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15,5</w:t>
            </w:r>
          </w:p>
        </w:tc>
        <w:tc>
          <w:tcPr>
            <w:tcW w:w="3481" w:type="dxa"/>
            <w:shd w:val="clear" w:color="auto" w:fill="auto"/>
          </w:tcPr>
          <w:p w14:paraId="55EEECAD"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14,4</w:t>
            </w:r>
          </w:p>
        </w:tc>
      </w:tr>
      <w:tr w:rsidR="00F0736F" w:rsidRPr="00F0736F" w14:paraId="021D0CF7" w14:textId="77777777" w:rsidTr="000B2B8A">
        <w:trPr>
          <w:trHeight w:val="316"/>
        </w:trPr>
        <w:tc>
          <w:tcPr>
            <w:tcW w:w="3285" w:type="dxa"/>
            <w:shd w:val="clear" w:color="auto" w:fill="auto"/>
          </w:tcPr>
          <w:p w14:paraId="29607807"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в том числе: пшеница</w:t>
            </w:r>
          </w:p>
        </w:tc>
        <w:tc>
          <w:tcPr>
            <w:tcW w:w="3015" w:type="dxa"/>
            <w:shd w:val="clear" w:color="auto" w:fill="auto"/>
          </w:tcPr>
          <w:p w14:paraId="74E9638E" w14:textId="77777777" w:rsidR="00AC1D5B" w:rsidRPr="00F0736F" w:rsidRDefault="00AC1D5B" w:rsidP="00AC1D5B">
            <w:pPr>
              <w:ind w:firstLine="709"/>
              <w:jc w:val="both"/>
              <w:rPr>
                <w:strike/>
                <w:color w:val="000000" w:themeColor="text1"/>
                <w:sz w:val="22"/>
                <w:szCs w:val="22"/>
                <w:lang w:val="en-US"/>
              </w:rPr>
            </w:pPr>
            <w:r w:rsidRPr="00F0736F">
              <w:rPr>
                <w:rFonts w:ascii="Times New Roman" w:hAnsi="Times New Roman" w:cs="Times New Roman"/>
                <w:color w:val="000000" w:themeColor="text1"/>
                <w:sz w:val="22"/>
                <w:szCs w:val="22"/>
                <w:lang w:val="en-US"/>
              </w:rPr>
              <w:t>15,4</w:t>
            </w:r>
          </w:p>
        </w:tc>
        <w:tc>
          <w:tcPr>
            <w:tcW w:w="3481" w:type="dxa"/>
            <w:shd w:val="clear" w:color="auto" w:fill="auto"/>
          </w:tcPr>
          <w:p w14:paraId="389D3593"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14,2</w:t>
            </w:r>
          </w:p>
        </w:tc>
      </w:tr>
      <w:tr w:rsidR="00F0736F" w:rsidRPr="00F0736F" w14:paraId="72A7C0E4" w14:textId="77777777" w:rsidTr="000B2B8A">
        <w:trPr>
          <w:trHeight w:val="316"/>
        </w:trPr>
        <w:tc>
          <w:tcPr>
            <w:tcW w:w="3285" w:type="dxa"/>
            <w:shd w:val="clear" w:color="auto" w:fill="auto"/>
          </w:tcPr>
          <w:p w14:paraId="2F871AED"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масличные</w:t>
            </w:r>
          </w:p>
        </w:tc>
        <w:tc>
          <w:tcPr>
            <w:tcW w:w="3015" w:type="dxa"/>
            <w:shd w:val="clear" w:color="auto" w:fill="auto"/>
          </w:tcPr>
          <w:p w14:paraId="6D20BC9B"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9,6</w:t>
            </w:r>
          </w:p>
        </w:tc>
        <w:tc>
          <w:tcPr>
            <w:tcW w:w="3481" w:type="dxa"/>
            <w:shd w:val="clear" w:color="auto" w:fill="auto"/>
          </w:tcPr>
          <w:p w14:paraId="1BF0743B" w14:textId="77777777" w:rsidR="00AC1D5B" w:rsidRPr="00F0736F" w:rsidRDefault="00AC1D5B" w:rsidP="00AC1D5B">
            <w:pPr>
              <w:ind w:firstLine="709"/>
              <w:jc w:val="both"/>
              <w:rPr>
                <w:color w:val="000000" w:themeColor="text1"/>
                <w:sz w:val="22"/>
                <w:szCs w:val="22"/>
                <w:lang w:val="en-US"/>
              </w:rPr>
            </w:pPr>
            <w:r w:rsidRPr="00F0736F">
              <w:rPr>
                <w:rFonts w:ascii="Times New Roman" w:hAnsi="Times New Roman" w:cs="Times New Roman"/>
                <w:color w:val="000000" w:themeColor="text1"/>
                <w:sz w:val="22"/>
                <w:szCs w:val="22"/>
                <w:lang w:val="en-US"/>
              </w:rPr>
              <w:t>9,9</w:t>
            </w:r>
          </w:p>
        </w:tc>
      </w:tr>
      <w:tr w:rsidR="00F0736F" w:rsidRPr="00F0736F" w14:paraId="6F909642" w14:textId="77777777" w:rsidTr="000B2B8A">
        <w:trPr>
          <w:trHeight w:val="316"/>
        </w:trPr>
        <w:tc>
          <w:tcPr>
            <w:tcW w:w="3285" w:type="dxa"/>
            <w:shd w:val="clear" w:color="auto" w:fill="auto"/>
          </w:tcPr>
          <w:p w14:paraId="289FD348"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Картофель</w:t>
            </w:r>
          </w:p>
        </w:tc>
        <w:tc>
          <w:tcPr>
            <w:tcW w:w="3015" w:type="dxa"/>
            <w:shd w:val="clear" w:color="auto" w:fill="auto"/>
          </w:tcPr>
          <w:p w14:paraId="16792CBA"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167,6</w:t>
            </w:r>
          </w:p>
        </w:tc>
        <w:tc>
          <w:tcPr>
            <w:tcW w:w="3481" w:type="dxa"/>
            <w:shd w:val="clear" w:color="auto" w:fill="auto"/>
          </w:tcPr>
          <w:p w14:paraId="41B59E8E"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179,8</w:t>
            </w:r>
          </w:p>
        </w:tc>
      </w:tr>
      <w:tr w:rsidR="00AC1D5B" w:rsidRPr="00F0736F" w14:paraId="58564CBF" w14:textId="77777777" w:rsidTr="000B2B8A">
        <w:trPr>
          <w:trHeight w:val="316"/>
        </w:trPr>
        <w:tc>
          <w:tcPr>
            <w:tcW w:w="3285" w:type="dxa"/>
            <w:shd w:val="clear" w:color="auto" w:fill="auto"/>
          </w:tcPr>
          <w:p w14:paraId="18E158AA"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Овощи</w:t>
            </w:r>
          </w:p>
        </w:tc>
        <w:tc>
          <w:tcPr>
            <w:tcW w:w="3015" w:type="dxa"/>
            <w:shd w:val="clear" w:color="auto" w:fill="auto"/>
          </w:tcPr>
          <w:p w14:paraId="181340CF"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333,2</w:t>
            </w:r>
          </w:p>
        </w:tc>
        <w:tc>
          <w:tcPr>
            <w:tcW w:w="3481" w:type="dxa"/>
            <w:shd w:val="clear" w:color="auto" w:fill="auto"/>
          </w:tcPr>
          <w:p w14:paraId="35AA10E1" w14:textId="77777777" w:rsidR="00AC1D5B" w:rsidRPr="00F0736F" w:rsidRDefault="00AC1D5B" w:rsidP="00AC1D5B">
            <w:pPr>
              <w:ind w:firstLine="709"/>
              <w:jc w:val="both"/>
              <w:rPr>
                <w:color w:val="000000" w:themeColor="text1"/>
                <w:sz w:val="22"/>
                <w:szCs w:val="22"/>
              </w:rPr>
            </w:pPr>
            <w:r w:rsidRPr="00F0736F">
              <w:rPr>
                <w:rFonts w:ascii="Times New Roman" w:hAnsi="Times New Roman" w:cs="Times New Roman"/>
                <w:color w:val="000000" w:themeColor="text1"/>
                <w:sz w:val="22"/>
                <w:szCs w:val="22"/>
              </w:rPr>
              <w:t>330,8</w:t>
            </w:r>
          </w:p>
        </w:tc>
      </w:tr>
    </w:tbl>
    <w:p w14:paraId="01CB2065" w14:textId="77777777" w:rsidR="00AC1D5B" w:rsidRPr="00F0736F" w:rsidRDefault="00AC1D5B" w:rsidP="00AC1D5B">
      <w:pPr>
        <w:ind w:firstLine="709"/>
        <w:jc w:val="both"/>
        <w:rPr>
          <w:color w:val="000000" w:themeColor="text1"/>
        </w:rPr>
      </w:pPr>
    </w:p>
    <w:p w14:paraId="68A6707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5435AB2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Всего в области 4973,7 тыс. га пашни, в том числе орошаемой — 11,4 тыс. га, из них находится в сельхозобороте — 4926,9 тыс. га  и 11,3 тыс. га. </w:t>
      </w:r>
      <w:r w:rsidRPr="00F0736F">
        <w:rPr>
          <w:rFonts w:ascii="Times New Roman" w:hAnsi="Times New Roman" w:cs="Times New Roman"/>
          <w:color w:val="000000" w:themeColor="text1"/>
          <w:lang w:val="kk-KZ"/>
        </w:rPr>
        <w:t>В 2019</w:t>
      </w:r>
      <w:r w:rsidRPr="00F0736F">
        <w:rPr>
          <w:rFonts w:ascii="Times New Roman" w:hAnsi="Times New Roman" w:cs="Times New Roman"/>
          <w:color w:val="000000" w:themeColor="text1"/>
        </w:rPr>
        <w:t xml:space="preserve"> году</w:t>
      </w:r>
      <w:r w:rsidRPr="00F0736F">
        <w:rPr>
          <w:rFonts w:ascii="Times New Roman" w:hAnsi="Times New Roman" w:cs="Times New Roman"/>
          <w:color w:val="000000" w:themeColor="text1"/>
          <w:lang w:val="kk-KZ"/>
        </w:rPr>
        <w:t xml:space="preserve"> внесено в почву порядка 120 тыс. т. минеральных удобрений, что больше уровня 2018 года на 10 тыс. т. Гербицидная обработка проведена на площади 3,4 млн. га. </w:t>
      </w:r>
    </w:p>
    <w:p w14:paraId="29F2BA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произошли серьёзные сдвиги в вопросах технического перевооружения агропромышленного комплекса. За 2019 год технический парк пополнился 1896 единицами новой высокопроизводительной техники на 37,2 млрд. тенге, в том числе в лизинг — 474 единиц на 16,5 млрд. тенге.</w:t>
      </w:r>
    </w:p>
    <w:p w14:paraId="5FFACB5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Площадь пастбищ на землях сельскохозяйственного назначения составляет 1770 тыс. га, обводненных 691,3 тыс. га, или 39%. </w:t>
      </w:r>
    </w:p>
    <w:p w14:paraId="335721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введено в эксплуатацию 3 молочных комплекса на 1600 коров (КТ «Мамбетов», КХ Шаймерденов» и ТОО «Заградовское»), которыми при выходе на проектную мощность будет дополнительно производиться 8 тыс. т. молока. </w:t>
      </w:r>
    </w:p>
    <w:p w14:paraId="30A1402D"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3527BCFD"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Энергетический комплекс</w:t>
      </w:r>
      <w:r w:rsidRPr="00F0736F">
        <w:rPr>
          <w:rFonts w:ascii="Times New Roman" w:hAnsi="Times New Roman" w:cs="Times New Roman"/>
          <w:color w:val="000000" w:themeColor="text1"/>
        </w:rPr>
        <w:t xml:space="preserve"> Северо-Казахстанской области представлен компаниями группы «СЕВКАЗЭНЕРГО», ТОО «Кокшетау Энерго».</w:t>
      </w:r>
    </w:p>
    <w:p w14:paraId="508A0A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АО «СЕВКАЗЭНЕРГО» (ТЭЦ-2) является основным источником тепловой энергии г. Петропавловск и электрической энергии восьми районов Северо-Казахстанской области и г. Петропавловск. </w:t>
      </w:r>
    </w:p>
    <w:p w14:paraId="5AB09440"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Установленная электрическая мощность станции по состоянию на 1 января 2019 года составляет 541 МВт, тепловая мощность 713 Гкал/ч. Станция работает на экибастузских углях. Годовая потребность в угле составляет 3,1 млн. т., в мазуте 3 тыс. т.</w:t>
      </w:r>
    </w:p>
    <w:p w14:paraId="43343AEF"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В 2019 году АО «СЕВКАЗЭНЕРГО» на ремонт, реконструкцию и модернизацию оборудования ТЭЦ-2 направлено 5,4 млрд. тенге. Продолжена реконструкция схемы выдачи тепловой мощности (приобретение, монтаж и изоляция техтрубопроводов, оборудования насосной станции, оборудования ЦТРП), модернизация топливоподачи, приобретен автотрансформатор № 6. Проведение данных мероприятий позволит сэкономить 1,2 млн. кВт*ч электрической энергии и увеличить надежность и параметры энергоснабжения.</w:t>
      </w:r>
    </w:p>
    <w:p w14:paraId="45C5BAF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Выработка электрической энергии Петропавловской ТЭЦ-2 за 2018 год составила 3211 млн. кВт*ч, тепловой – 1893 тыс. Гкал. </w:t>
      </w:r>
    </w:p>
    <w:p w14:paraId="4DA17A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АО «Северо-Казахстанская РЭК» осуществляет транспортировку и распределение электроэнергии для г. Петропавловск и восьми северных районов области (Аккайынский, Есильский, Жамбылский, Кызылжарский, Мамлютский, М. Жумабаева, Тимирязевский, Шал акына).</w:t>
      </w:r>
    </w:p>
    <w:p w14:paraId="46E1ACD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Протяженность линий передач электроэнергии АО «Северо-Казахстанская РЭК» по области составляет 13299 км, количество подстанций - 2411 шт. Потери электрической энергии в сетях АО «Северо-Казахстанская РЭК» за 2018 год составили 8,39% против 9,05% уровня 2016 года. Сверхнормативные потери отсутствуют. Износ электрических сетей в 2018 году снижен на 5% и составил 64,8% (в 2016 году 69,8%). </w:t>
      </w:r>
    </w:p>
    <w:p w14:paraId="5AB1864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в рамках инвестиционной программы в АО «Северо-Казахстанская РЭК» проведен капитальный ремонт и реконструкция 1,2 тыс. сетей электроснабжения и 138 подстанций, что положительно скажется как на надежности электроснабжения, так и на увеличении пропускной способности и подключении новых потребителей электроэнергии.</w:t>
      </w:r>
    </w:p>
    <w:p w14:paraId="677861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на ремонт и реконструкцию сетей электроснабжения направлено 1,68 млрд. тенге. Выполнен капитальный ремонт 1033 км сетей, 111 подстанций. При этом выполнена реконструкция ЛЭП 0,4-10 кВ, подстанции № 3 в г. Петропавловске, продолжено внедрение АСКУЭ. Проводится строительство ВЛ-110 кВ «Новомихайловка-Литейная». Данная ЛЭП соединит подстанции «Сибирь», «Новомихайловка» и «Литейная», что увеличит надежность потребителей АО «СКРЭК» и тяговых подстанций ЮУЖД, а также позволит снизить недоотпуск электроэнергии потребителям. </w:t>
      </w:r>
    </w:p>
    <w:p w14:paraId="1054738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ТОО «Кокшетау Энерго» осуществляет передачу и распределение электрической энергии в пяти южных районах Северо-Казахстанской области (Айыртауский, Акжарский, им. Г. Мусрепова, Тайыншинский, Уалихановский). На балансе предприятия находится 10,47 тыс. км воздушных и кабельных линий электропередач, 1749 подстанций и трансформаторных пунктов. Потери электрической энергии в сетях ТОО «Кокшетау Энерго» за 2018 год составили 17,79%, что на 0,5% меньше уровня 2016 года (18,29%). Сверхнормативные потери отсутствуют. Износ электрических сетей в 2018 году снижен на 4,1 процентных пункта и составил 52,3% (2016 год – 56,4%). В 2019 году на ремонт и реконструкцию направлено 559,5 млн. тенге. Выполнен капитальный ремонт 730 км сетей, 97 подстанций. </w:t>
      </w:r>
    </w:p>
    <w:p w14:paraId="12E1514C" w14:textId="77777777" w:rsidR="00AC1D5B" w:rsidRPr="00F0736F" w:rsidRDefault="00AC1D5B" w:rsidP="00AC1D5B">
      <w:pPr>
        <w:ind w:firstLine="709"/>
        <w:jc w:val="both"/>
        <w:rPr>
          <w:color w:val="000000" w:themeColor="text1"/>
        </w:rPr>
      </w:pPr>
      <w:r w:rsidRPr="00F0736F">
        <w:rPr>
          <w:rFonts w:ascii="Times New Roman" w:eastAsia="Batang" w:hAnsi="Times New Roman" w:cs="Times New Roman"/>
          <w:color w:val="000000" w:themeColor="text1"/>
          <w:lang w:eastAsia="ko-KR"/>
        </w:rPr>
        <w:t xml:space="preserve">Из </w:t>
      </w:r>
      <w:r w:rsidRPr="00F0736F">
        <w:rPr>
          <w:rFonts w:ascii="Times New Roman" w:eastAsia="Batang" w:hAnsi="Times New Roman" w:cs="Times New Roman"/>
          <w:b/>
          <w:color w:val="000000" w:themeColor="text1"/>
          <w:lang w:eastAsia="ko-KR"/>
        </w:rPr>
        <w:t>альтернативных источников</w:t>
      </w:r>
      <w:r w:rsidRPr="00F0736F">
        <w:rPr>
          <w:rFonts w:ascii="Times New Roman" w:eastAsia="Batang" w:hAnsi="Times New Roman" w:cs="Times New Roman"/>
          <w:color w:val="000000" w:themeColor="text1"/>
          <w:lang w:eastAsia="ko-KR"/>
        </w:rPr>
        <w:t xml:space="preserve"> в Северо-Казахстанской области имеется Сергеевская ГЭС мощностью 2,26 МВт. АО «Казахтелеком» для резервного электроснабжения производственных объектов в двух районах области - Акжарском и Уалихановском - установлены три ветросолнечныхэнергокомплекса суммарной мощностью 9,4 кВт. В 2012 году командитным товариществом «Зенченко и К» в с. Новоникольское за счет собственных средств установлены две ветровые электростанции общей мощностью 1,5 МВт (2×750 кВт), а также в 1 квартале 2015 года запущены две ветроэнергетические установки германской фирмы «NEG MICON» мощностью по 1 МВт. В 2017 году крестьянскими хозяйствами «Миллениум» и «Магзум» в Айыртауском районе, ИП «Байшагировым» и ФХ «Алдонгаров» в Акжарском районе внедрены солнечные батареи для собственных нужд.</w:t>
      </w:r>
    </w:p>
    <w:p w14:paraId="68F8941E" w14:textId="77777777" w:rsidR="00AC1D5B" w:rsidRPr="00F0736F" w:rsidRDefault="00AC1D5B" w:rsidP="00AC1D5B">
      <w:pPr>
        <w:ind w:firstLine="709"/>
        <w:jc w:val="both"/>
        <w:rPr>
          <w:color w:val="000000" w:themeColor="text1"/>
        </w:rPr>
      </w:pPr>
      <w:r w:rsidRPr="00F0736F">
        <w:rPr>
          <w:rFonts w:ascii="Times New Roman" w:eastAsia="Batang" w:hAnsi="Times New Roman" w:cs="Times New Roman"/>
          <w:color w:val="000000" w:themeColor="text1"/>
          <w:lang w:eastAsia="ko-KR"/>
        </w:rPr>
        <w:t xml:space="preserve">В 2018 году в области введены 26 новых объектов по использованию возобновляемых источников энергии, в том числе 22 котла, работающих на соломе </w:t>
      </w:r>
      <w:r w:rsidRPr="00F0736F">
        <w:rPr>
          <w:rFonts w:ascii="Times New Roman" w:eastAsia="Batang" w:hAnsi="Times New Roman" w:cs="Times New Roman"/>
          <w:color w:val="000000" w:themeColor="text1"/>
          <w:lang w:val="kk-KZ" w:eastAsia="ko-KR"/>
        </w:rPr>
        <w:t xml:space="preserve">и </w:t>
      </w:r>
      <w:r w:rsidRPr="00F0736F">
        <w:rPr>
          <w:rFonts w:ascii="Times New Roman" w:eastAsia="Batang" w:hAnsi="Times New Roman" w:cs="Times New Roman"/>
          <w:color w:val="000000" w:themeColor="text1"/>
          <w:lang w:eastAsia="ko-KR"/>
        </w:rPr>
        <w:t xml:space="preserve">4 станции зарядки мобильных устройств в г. Петропавловске, работающих от солнечных панелей. </w:t>
      </w:r>
    </w:p>
    <w:p w14:paraId="235735FE" w14:textId="77777777" w:rsidR="00AC1D5B" w:rsidRPr="00F0736F" w:rsidRDefault="00AC1D5B" w:rsidP="00AC1D5B">
      <w:pPr>
        <w:ind w:firstLine="709"/>
        <w:jc w:val="both"/>
        <w:rPr>
          <w:color w:val="000000" w:themeColor="text1"/>
        </w:rPr>
      </w:pPr>
      <w:r w:rsidRPr="00F0736F">
        <w:rPr>
          <w:rFonts w:ascii="Times New Roman" w:eastAsia="Batang" w:hAnsi="Times New Roman" w:cs="Times New Roman"/>
          <w:color w:val="000000" w:themeColor="text1"/>
          <w:lang w:eastAsia="ko-KR"/>
        </w:rPr>
        <w:t xml:space="preserve">Всего за 2018 год выработка электроэнергии возобновляемыми источниками энергии составила 20,7 млн. </w:t>
      </w:r>
      <w:r w:rsidRPr="00F0736F">
        <w:rPr>
          <w:rFonts w:ascii="Times New Roman" w:hAnsi="Times New Roman" w:cs="Times New Roman"/>
          <w:color w:val="000000" w:themeColor="text1"/>
        </w:rPr>
        <w:t>кВт*ч</w:t>
      </w:r>
      <w:r w:rsidRPr="00F0736F">
        <w:rPr>
          <w:rFonts w:ascii="Times New Roman" w:eastAsia="Batang" w:hAnsi="Times New Roman" w:cs="Times New Roman"/>
          <w:color w:val="000000" w:themeColor="text1"/>
          <w:lang w:eastAsia="ko-KR"/>
        </w:rPr>
        <w:t xml:space="preserve">, что на 1% больше, чем в 2017 году (20,5 млн. </w:t>
      </w:r>
      <w:r w:rsidRPr="00F0736F">
        <w:rPr>
          <w:rFonts w:ascii="Times New Roman" w:hAnsi="Times New Roman" w:cs="Times New Roman"/>
          <w:color w:val="000000" w:themeColor="text1"/>
        </w:rPr>
        <w:t>кВт*ч</w:t>
      </w:r>
      <w:r w:rsidRPr="00F0736F">
        <w:rPr>
          <w:rFonts w:ascii="Times New Roman" w:eastAsia="Batang" w:hAnsi="Times New Roman" w:cs="Times New Roman"/>
          <w:color w:val="000000" w:themeColor="text1"/>
          <w:lang w:eastAsia="ko-KR"/>
        </w:rPr>
        <w:t xml:space="preserve">). Доля выработки электроэнергии объектами ВИЭ в общем объеме выработки электроэнергии составила 0,65%. </w:t>
      </w:r>
    </w:p>
    <w:p w14:paraId="63BF04B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в рамках внедренной системы аукционных торгов по возобновляемым источникам энергии победителями в Северо-Казахстанской области определены проекты ТОО «EnergoTrust» и ТОО «Иван Зенченко» по строительству ветроэлектростанций общей мощностью 52 МВт. </w:t>
      </w:r>
    </w:p>
    <w:p w14:paraId="32260B6C"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8 октября 2019 года ТОО «Иван Зенченко» введены в эксплуатацию 2 ветрогенератора общей мощностью 2 МВт. Всего на конец 2019 года в области имеется 151 объект по использованию возобновляемой энергии общей мощностью 58 МВт (Сергеевская ГЭС — 2,26 МВт, 4 ветрогенератора КТ «Зенченко и К» общей мощностью 3,5 МВт, 2 ветрогенератора ТОО «Иван Зенченко» — 2 МВт, 105 биокотлов — 50 МВт).</w:t>
      </w:r>
    </w:p>
    <w:p w14:paraId="7891079F"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Теплоснабжение.</w:t>
      </w:r>
      <w:r w:rsidRPr="00F0736F">
        <w:rPr>
          <w:rFonts w:ascii="Times New Roman" w:hAnsi="Times New Roman" w:cs="Times New Roman"/>
          <w:color w:val="000000" w:themeColor="text1"/>
        </w:rPr>
        <w:t xml:space="preserve">  По данным Комитета по статистике, в 2019 году общая протяженность тепловых сетей в области составила 374,2 км, из них ветхие -  194,5 км (52%), нуждаются в замене — 130,4 км (34,9%), заменено — 9,6 км.</w:t>
      </w:r>
    </w:p>
    <w:p w14:paraId="6EDE535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 видом деятельности ТОО «Петропавловские Тепловые Сети» является транспортировка и распределение </w:t>
      </w:r>
      <w:r w:rsidRPr="00F0736F">
        <w:rPr>
          <w:rFonts w:ascii="Times New Roman" w:hAnsi="Times New Roman" w:cs="Times New Roman"/>
          <w:b/>
          <w:color w:val="000000" w:themeColor="text1"/>
        </w:rPr>
        <w:t>тепловой энергии</w:t>
      </w:r>
      <w:r w:rsidRPr="00F0736F">
        <w:rPr>
          <w:rFonts w:ascii="Times New Roman" w:hAnsi="Times New Roman" w:cs="Times New Roman"/>
          <w:color w:val="000000" w:themeColor="text1"/>
        </w:rPr>
        <w:t xml:space="preserve"> потребителям г. Петропавловска. Износ тепловых сетей в г. Петропавловске в 2018 году составил – 69,9%.</w:t>
      </w:r>
    </w:p>
    <w:p w14:paraId="62306F72" w14:textId="77777777" w:rsidR="00AC1D5B" w:rsidRPr="00F0736F" w:rsidRDefault="00AC1D5B" w:rsidP="00AC1D5B">
      <w:pPr>
        <w:ind w:firstLine="709"/>
        <w:jc w:val="both"/>
        <w:rPr>
          <w:color w:val="000000" w:themeColor="text1"/>
        </w:rPr>
      </w:pPr>
      <w:r w:rsidRPr="00F0736F">
        <w:rPr>
          <w:rFonts w:ascii="Times New Roman" w:eastAsia="Batang" w:hAnsi="Times New Roman" w:cs="Times New Roman"/>
          <w:b/>
          <w:iCs/>
          <w:color w:val="000000" w:themeColor="text1"/>
          <w:lang w:eastAsia="ko-KR"/>
        </w:rPr>
        <w:t xml:space="preserve">Газоснабжение. </w:t>
      </w:r>
      <w:r w:rsidRPr="00F0736F">
        <w:rPr>
          <w:rFonts w:ascii="Times New Roman" w:eastAsia="Batang" w:hAnsi="Times New Roman" w:cs="Times New Roman"/>
          <w:iCs/>
          <w:color w:val="000000" w:themeColor="text1"/>
          <w:lang w:eastAsia="ko-KR"/>
        </w:rPr>
        <w:t xml:space="preserve">В Северо-Казахстанской области для производственных и бытовых нужд используется только сжиженный углеводородный газ. Основными поставщиками сжиженного газа в Северо-Казахстанскую область являются аккредитованные организации ТОО «Рока», ТОО «Горгаз-сервис», ТОО «Райгаз», ТОО «Алыс газ», ТОО «Альнур газ», ТОО «Облгаз», ТОО «Данияр-Бидай». </w:t>
      </w:r>
      <w:r w:rsidRPr="00F0736F">
        <w:rPr>
          <w:rFonts w:ascii="Times New Roman" w:hAnsi="Times New Roman" w:cs="Times New Roman"/>
          <w:color w:val="000000" w:themeColor="text1"/>
        </w:rPr>
        <w:t>Основные поставки газа осуществляются с ТОО «CNPC-Актобемунайгаз», ТОО «Павлодарский нефтехимический завод». Снабжение сжиженным газом населения и предприятий в районах области осуществляется через газовые баллоны, автогазозаправочные станции и групповые резервуарные установки. Снабжением сжиженным газом в г. Петропавловске многоэтажных домов через групповые резервуарные установки осуществляет ТОО «Горгаз-сервис». На обслуживании предприятия ТОО «Горгаз-сервис» находятся 327 ГРУ, 460 км газопроводов. Предприятие обеспечивает газом  725 многоэтажных домов г. Петропавловска. Количество абонентов составляет 55 тысяч.</w:t>
      </w:r>
    </w:p>
    <w:p w14:paraId="77305A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целях снижения вредного воздействия на окружающую среду, а также диверсификации поставок топлива в область, реализуется проект по строительству Комплекса регазификации сжиженного природного газа в г. Петропавловск. Комплекс мощностью 4 млн кубических метров газа в год путем доставки из г. Екатеринбург и посредством перевода в газообразное состояние через регазификационные установки обеспечит бесперебойную подачу газа по вновь построенному газопроводу на ТОО «Молпродукт», ранее работавшем на дизельном топливе. Проект общей стоимостью 300 млн. тенге реализует компания ТОО «Global Gas Group». </w:t>
      </w:r>
    </w:p>
    <w:p w14:paraId="15195EDF" w14:textId="77777777" w:rsidR="00AC1D5B" w:rsidRPr="00F0736F" w:rsidRDefault="00AC1D5B" w:rsidP="00AC1D5B">
      <w:pPr>
        <w:ind w:firstLine="709"/>
        <w:jc w:val="both"/>
        <w:rPr>
          <w:color w:val="000000" w:themeColor="text1"/>
        </w:rPr>
      </w:pPr>
      <w:r w:rsidRPr="00F0736F">
        <w:rPr>
          <w:rFonts w:ascii="Times New Roman" w:hAnsi="Times New Roman" w:cs="Times New Roman"/>
          <w:b/>
          <w:iCs/>
          <w:color w:val="000000" w:themeColor="text1"/>
          <w:lang w:val="kk-KZ"/>
        </w:rPr>
        <w:t>Снижение энергоемкости ВРП</w:t>
      </w:r>
      <w:r w:rsidRPr="00F0736F">
        <w:rPr>
          <w:rFonts w:ascii="Times New Roman" w:hAnsi="Times New Roman" w:cs="Times New Roman"/>
          <w:i/>
          <w:color w:val="000000" w:themeColor="text1"/>
        </w:rPr>
        <w:t xml:space="preserve">. </w:t>
      </w:r>
      <w:r w:rsidRPr="00F0736F">
        <w:rPr>
          <w:rFonts w:ascii="Times New Roman" w:eastAsia="Calibri" w:hAnsi="Times New Roman" w:cs="Times New Roman"/>
          <w:bCs/>
          <w:color w:val="000000" w:themeColor="text1"/>
        </w:rPr>
        <w:t>В 201</w:t>
      </w:r>
      <w:r w:rsidRPr="00F0736F">
        <w:rPr>
          <w:rFonts w:ascii="Times New Roman" w:eastAsia="Calibri" w:hAnsi="Times New Roman" w:cs="Times New Roman"/>
          <w:bCs/>
          <w:color w:val="000000" w:themeColor="text1"/>
          <w:lang w:val="kk-KZ"/>
        </w:rPr>
        <w:t>7</w:t>
      </w:r>
      <w:r w:rsidRPr="00F0736F">
        <w:rPr>
          <w:rFonts w:ascii="Times New Roman" w:eastAsia="Calibri" w:hAnsi="Times New Roman" w:cs="Times New Roman"/>
          <w:bCs/>
          <w:color w:val="000000" w:themeColor="text1"/>
        </w:rPr>
        <w:t xml:space="preserve"> году энергоемкость ВРП области составила 0,</w:t>
      </w:r>
      <w:r w:rsidRPr="00F0736F">
        <w:rPr>
          <w:rFonts w:ascii="Times New Roman" w:eastAsia="Calibri" w:hAnsi="Times New Roman" w:cs="Times New Roman"/>
          <w:bCs/>
          <w:color w:val="000000" w:themeColor="text1"/>
          <w:lang w:val="kk-KZ"/>
        </w:rPr>
        <w:t xml:space="preserve">3 </w:t>
      </w:r>
      <w:r w:rsidRPr="00F0736F">
        <w:rPr>
          <w:rFonts w:ascii="Times New Roman" w:eastAsia="Calibri" w:hAnsi="Times New Roman" w:cs="Times New Roman"/>
          <w:bCs/>
          <w:color w:val="000000" w:themeColor="text1"/>
        </w:rPr>
        <w:t xml:space="preserve">тнэ на тыс. долларов США в ценах 2000 года и снизилась на </w:t>
      </w:r>
      <w:r w:rsidRPr="00F0736F">
        <w:rPr>
          <w:rFonts w:ascii="Times New Roman" w:eastAsia="Calibri" w:hAnsi="Times New Roman" w:cs="Times New Roman"/>
          <w:bCs/>
          <w:color w:val="000000" w:themeColor="text1"/>
          <w:lang w:val="kk-KZ"/>
        </w:rPr>
        <w:t>28,6</w:t>
      </w:r>
      <w:r w:rsidRPr="00F0736F">
        <w:rPr>
          <w:rFonts w:ascii="Times New Roman" w:eastAsia="Calibri" w:hAnsi="Times New Roman" w:cs="Times New Roman"/>
          <w:bCs/>
          <w:color w:val="000000" w:themeColor="text1"/>
        </w:rPr>
        <w:t>% по сравнению с 201</w:t>
      </w:r>
      <w:r w:rsidRPr="00F0736F">
        <w:rPr>
          <w:rFonts w:ascii="Times New Roman" w:eastAsia="Calibri" w:hAnsi="Times New Roman" w:cs="Times New Roman"/>
          <w:bCs/>
          <w:color w:val="000000" w:themeColor="text1"/>
          <w:lang w:val="kk-KZ"/>
        </w:rPr>
        <w:t>5</w:t>
      </w:r>
      <w:r w:rsidRPr="00F0736F">
        <w:rPr>
          <w:rFonts w:ascii="Times New Roman" w:eastAsia="Calibri" w:hAnsi="Times New Roman" w:cs="Times New Roman"/>
          <w:bCs/>
          <w:color w:val="000000" w:themeColor="text1"/>
        </w:rPr>
        <w:t xml:space="preserve"> годом.</w:t>
      </w:r>
    </w:p>
    <w:p w14:paraId="09593B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Акиматом области разработан и решением маслихата от 19 апреля 2016 года №2/3 утвержден Комплексный план энергосбережения Северо-Казахстанской области на 2016-2020 годы. В 2018 году в рамках данного </w:t>
      </w:r>
      <w:r w:rsidRPr="00F0736F">
        <w:rPr>
          <w:rFonts w:ascii="Times New Roman" w:eastAsia="Batang" w:hAnsi="Times New Roman" w:cs="Times New Roman"/>
          <w:color w:val="000000" w:themeColor="text1"/>
        </w:rPr>
        <w:t xml:space="preserve">Комплексного плана </w:t>
      </w:r>
      <w:r w:rsidRPr="00F0736F">
        <w:rPr>
          <w:rFonts w:ascii="Times New Roman" w:hAnsi="Times New Roman" w:cs="Times New Roman"/>
          <w:color w:val="000000" w:themeColor="text1"/>
        </w:rPr>
        <w:t xml:space="preserve">предприятиями и организациями области выполнены мероприятия на сумму 11,2 млрд. тенге, полученный эффект составил 210 тыс. т. </w:t>
      </w:r>
      <w:bookmarkStart w:id="58" w:name="_Hlk57388112"/>
      <w:r w:rsidRPr="00F0736F">
        <w:rPr>
          <w:rFonts w:ascii="Times New Roman" w:hAnsi="Times New Roman" w:cs="Times New Roman"/>
          <w:color w:val="000000" w:themeColor="text1"/>
        </w:rPr>
        <w:t>условного топлива</w:t>
      </w:r>
      <w:bookmarkEnd w:id="58"/>
      <w:r w:rsidRPr="00F0736F">
        <w:rPr>
          <w:rFonts w:ascii="Times New Roman" w:hAnsi="Times New Roman" w:cs="Times New Roman"/>
          <w:color w:val="000000" w:themeColor="text1"/>
        </w:rPr>
        <w:t>.</w:t>
      </w:r>
    </w:p>
    <w:p w14:paraId="3F40D11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Предприятиями в секторе энергетики выполнены такие крупные мероприятия как замена автотрансформатора, реконструкция схемы выдачи тепловой мощности на ТЭЦ-2, реконструкция магистральных и разводящих тепловых сетей с применением предизолированного трубопровода, восстановление изоляции трубопроводов тепловых сетей, модернизация и реконструкция основного и вспомогательного оборудования сетей электроснабжения, в т.ч. реконструкция ВЛ-0,4 кВ с заменой голого провода на провод марки СИП. Сумма затрат на данные мероприятия составила 8,76 млрд. тенге, получена экономия </w:t>
      </w:r>
      <w:r w:rsidRPr="00F0736F">
        <w:rPr>
          <w:rFonts w:ascii="Times New Roman" w:hAnsi="Times New Roman" w:cs="Times New Roman"/>
          <w:color w:val="000000" w:themeColor="text1"/>
          <w:lang w:val="kk-KZ"/>
        </w:rPr>
        <w:t>202</w:t>
      </w:r>
      <w:r w:rsidRPr="00F0736F">
        <w:rPr>
          <w:rFonts w:ascii="Times New Roman" w:hAnsi="Times New Roman" w:cs="Times New Roman"/>
          <w:color w:val="000000" w:themeColor="text1"/>
        </w:rPr>
        <w:t xml:space="preserve"> тыс. т. условного топлива.</w:t>
      </w:r>
    </w:p>
    <w:p w14:paraId="34A3519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Промышленными и транспортными предприятиями на внедрение энергосберегающих мероприятий направлено 1,46 млрд. тенге. На предприятиях произведена замена старого оборудования на менее энергоемкое, выполнена замена ламп накаливания на энергосберегающие, проведены мероприятия по утеплению помещений. Экономический эффект от выполнения данных мероприятий составил 5116 т. условного топлива.</w:t>
      </w:r>
    </w:p>
    <w:p w14:paraId="787D60E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За счет Всемирного банка в 2018 году проведены энергосберегающие мероприятия                        на 4 бюджетных объектах, за счет грантов ПРООН проведена модернизация 2 жилых домов.</w:t>
      </w:r>
    </w:p>
    <w:p w14:paraId="7CFB31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за 2017 - 2018 годы заменено на светодиодные 3,7 тыс. светильников (в </w:t>
      </w:r>
      <w:r w:rsidRPr="00F0736F">
        <w:rPr>
          <w:rFonts w:ascii="Times New Roman" w:hAnsi="Times New Roman" w:cs="Times New Roman"/>
          <w:color w:val="000000" w:themeColor="text1"/>
        </w:rPr>
        <w:br/>
        <w:t>г. Петропавловск – 3,3 тыс. штук), которые дают экономию до 50%.</w:t>
      </w:r>
    </w:p>
    <w:p w14:paraId="4BB9C067"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301715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Водные ресурсы области складываются из ресурсов реки Есиль с притоками Акканбурлук и Иманбурлук, рек Селеты, Чаглинка, Камысакты, Ащису, Карасу и других водотоков, имеется 2395 водоемов, 491 водоем включен в перечень рыбохозяйственных, из них 332 находятся в аренде. Поверхностный сток р. Есиль используется для водоснабжения г. Петропавловска, сельских населенных пунктов Северо-Казахстанской области, полива дачных массивов и др. В пределах области русло реки зарегулировано Петропавловским и Сергеевским водохранилищами. Суммарная полная емкость двух водохранилищ по проекту составляет 712,2 млн. м</w:t>
      </w:r>
      <w:r w:rsidRPr="00F0736F">
        <w:rPr>
          <w:rFonts w:ascii="Times New Roman" w:hAnsi="Times New Roman" w:cs="Times New Roman"/>
          <w:color w:val="000000" w:themeColor="text1"/>
          <w:position w:val="2"/>
          <w:vertAlign w:val="superscript"/>
        </w:rPr>
        <w:t>3</w:t>
      </w:r>
      <w:r w:rsidRPr="00F0736F">
        <w:rPr>
          <w:rFonts w:ascii="Times New Roman" w:hAnsi="Times New Roman" w:cs="Times New Roman"/>
          <w:color w:val="000000" w:themeColor="text1"/>
        </w:rPr>
        <w:t>, из них Сергеевского — 693 млн. м</w:t>
      </w:r>
      <w:r w:rsidRPr="00F0736F">
        <w:rPr>
          <w:rFonts w:ascii="Times New Roman" w:hAnsi="Times New Roman" w:cs="Times New Roman"/>
          <w:color w:val="000000" w:themeColor="text1"/>
          <w:position w:val="2"/>
          <w:vertAlign w:val="superscript"/>
        </w:rPr>
        <w:t>3</w:t>
      </w:r>
      <w:r w:rsidRPr="00F0736F">
        <w:rPr>
          <w:rFonts w:ascii="Times New Roman" w:hAnsi="Times New Roman" w:cs="Times New Roman"/>
          <w:color w:val="000000" w:themeColor="text1"/>
        </w:rPr>
        <w:t>, Петропавловского — 19,2 млн. м</w:t>
      </w:r>
      <w:r w:rsidRPr="00F0736F">
        <w:rPr>
          <w:rFonts w:ascii="Times New Roman" w:hAnsi="Times New Roman" w:cs="Times New Roman"/>
          <w:color w:val="000000" w:themeColor="text1"/>
          <w:position w:val="2"/>
          <w:vertAlign w:val="superscript"/>
        </w:rPr>
        <w:t>3</w:t>
      </w:r>
      <w:r w:rsidRPr="00F0736F">
        <w:rPr>
          <w:rFonts w:ascii="Times New Roman" w:hAnsi="Times New Roman" w:cs="Times New Roman"/>
          <w:color w:val="000000" w:themeColor="text1"/>
        </w:rPr>
        <w:t xml:space="preserve">. На территории области насчитывается около 2148 озер, являющихся неотъемлемой частью ландшафта региона. Суммарная площадь водного зеркала озер достигает 275 тыс. га. Наиболее крупными озерами являются: оз. Силеты-Тениз (площадь — 68000 га), оз. Теке (22200 га), оз. Шаглы-Тениз (20572 га), оз. Улкен Карой (19700 га), оз. Имантау (5423 га), оз. Жаксы Жангизтау (4128 га), оз. Большой Тарангул (3475 га). </w:t>
      </w:r>
    </w:p>
    <w:p w14:paraId="0096E5F6"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 xml:space="preserve">Водоснабжение. </w:t>
      </w:r>
      <w:r w:rsidRPr="00F0736F">
        <w:rPr>
          <w:rFonts w:ascii="Times New Roman" w:eastAsia="Times New Roman" w:hAnsi="Times New Roman" w:cs="Times New Roman"/>
          <w:color w:val="000000" w:themeColor="text1"/>
        </w:rPr>
        <w:t>В Северо-Казахстанской области имеется два крупных водоснабжающих предприятия— филиал «Есиль су» РГП «Казводхоз» и ТОО «Кызылжар су». Дополнительно в каждом районе области имеются эксплуатирующие предприятия, которые оказывают услуги водоснабжения и водоотведения.</w:t>
      </w:r>
    </w:p>
    <w:p w14:paraId="3800BA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начале 2019 года централизованным водоснабжением обеспечены 394 СНП (60,7%) с численностью сельского населения 253,5 тыс. человек (81,6%), не обеспечены централизованным водоснабжением 255 СНП (39,3%) с численностью населения 57,3 тыс. человек (18,4%). В целом обеспеченность населения области централизованным водоснабжением составляет 89,8% (сельского – 81,6%). Имеющиеся в области 5 городов полностью обеспечены централизованным водоснабжением.</w:t>
      </w:r>
    </w:p>
    <w:p w14:paraId="0EF41A56"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В рамках Программы «Развитие регионов до 2020 года» в 2019 году выделено на строительство и реконструкцию объектов водоснабжения и водоотведения - 2691,6 млн. тенге (РБ - 2637,5 млн. тенге, МБ - 54,1 млн. тенге). Освоено 100%. </w:t>
      </w:r>
    </w:p>
    <w:p w14:paraId="45A3121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Через Комитет по водным ресурсам Министерства экологии, геологии и природных ресурсов продолжена реализация 3 проектов по реконструкции групповых водопроводов (Соколовский ГВ (2 очередь), Пресновский ГВ (1,2 очередь). Дополнительно за счет средств областного бюджета восстановлены сети водоснабжения в 41 селе области. Таким образом, в результате проделанной работы в 2019 году подана вода и улучшено водоснабжение в 48 сёлах с численностью населения 29 тыс. человек. </w:t>
      </w:r>
    </w:p>
    <w:p w14:paraId="1BF99C5A"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По состоянию на 1 января 2020 года из 635 сёл области централизованным водоснабжением обеспечено 396 сёл (или 62,4%) с численностью сельского населения 253,9 тыс. человек (или 81,7%), не обеспечено 239 СНП (37,6%) с численностью населения 56,9 тыс. человек (18,3%). </w:t>
      </w:r>
    </w:p>
    <w:p w14:paraId="51EFF1A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целом обеспеченность населения области централизованным водоснабжением составляет 89,9%. Общая протяженность 4 групповых водопроводов составляет 3092 км, из них Булаевский — 2092 км, Ишимский — 553 км, Пресновский — 214 км, Соколовский — 233 км.</w:t>
      </w:r>
    </w:p>
    <w:p w14:paraId="7D17508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В 2020 году на водоснабжение будет направлено 7,9 млрд. тенге. В общей сложности планируется подать воду и улучшить водоснабжение в 59 населенных пунктах с численностью населения 51 тыс. человек. В целом, ожидается, что доступ сёл к централизованному водоснабжению на конец 2020 года составит 62,8%, сельского населения — 82,1%.  </w:t>
      </w:r>
    </w:p>
    <w:p w14:paraId="02799E0C" w14:textId="77777777" w:rsidR="00AC1D5B" w:rsidRPr="00F0736F" w:rsidRDefault="00AC1D5B" w:rsidP="00AC1D5B">
      <w:pPr>
        <w:suppressLineNumbers/>
        <w:ind w:firstLine="709"/>
        <w:jc w:val="both"/>
        <w:rPr>
          <w:i/>
          <w:iCs/>
          <w:color w:val="000000" w:themeColor="text1"/>
        </w:rPr>
      </w:pPr>
      <w:r w:rsidRPr="00F0736F">
        <w:rPr>
          <w:rFonts w:ascii="Times New Roman" w:eastAsia="Times New Roman" w:hAnsi="Times New Roman" w:cs="Times New Roman"/>
          <w:b/>
          <w:bCs/>
          <w:color w:val="000000" w:themeColor="text1"/>
        </w:rPr>
        <w:t>Водоотведение</w:t>
      </w:r>
      <w:r w:rsidRPr="00F0736F">
        <w:rPr>
          <w:rFonts w:ascii="Times New Roman" w:eastAsia="Times New Roman" w:hAnsi="Times New Roman" w:cs="Times New Roman"/>
          <w:color w:val="000000" w:themeColor="text1"/>
        </w:rPr>
        <w:t xml:space="preserve"> осуществляется в городах Петропавловск, Сергеевка, Булаево и в 5 сельских населенных пунктах (Саумалколь, Явленка, Покровка, Бесколь и Новоишимское). </w:t>
      </w:r>
      <w:r w:rsidRPr="00F0736F">
        <w:rPr>
          <w:rFonts w:ascii="Times New Roman" w:hAnsi="Times New Roman" w:cs="Times New Roman"/>
          <w:color w:val="000000" w:themeColor="text1"/>
        </w:rPr>
        <w:t>Система водоотведения города Петропавловска включает комплекс, состоящий из коллекторов, канализационных очистных сооружений и накопителей сточных вод, позволяющих регулировать накопление.</w:t>
      </w:r>
    </w:p>
    <w:p w14:paraId="0EB0D2A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Ежегодно за счет строительства новых объектов водоснабжения увеличивается количество сел, обеспеченных централизованным водоснабжением. Строительство объектов водоснабжения осуществляется в рамках государственной программы </w:t>
      </w:r>
      <w:r w:rsidRPr="00F0736F">
        <w:rPr>
          <w:rFonts w:ascii="Times New Roman" w:eastAsia="Times New Roman" w:hAnsi="Times New Roman" w:cs="Times New Roman"/>
          <w:color w:val="000000" w:themeColor="text1"/>
          <w:lang w:val="kk-KZ"/>
        </w:rPr>
        <w:t>«Развитие регионов до 2020 года».</w:t>
      </w:r>
    </w:p>
    <w:p w14:paraId="308E358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в рамках программы «Развитие регионов до 2020 года» на водоснабжение направлено 6,9 млрд. тенге. По итогам 2017 года подана вода в 3 села, доступ сел к централизованному водоснабжению составил 57,5%.</w:t>
      </w:r>
    </w:p>
    <w:p w14:paraId="5AA832E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на строительство и реконструкцию объектов водоснабжения и водоотведения из всех источников направлено 5,4 млрд. тенге. В результате проведенных мероприятий в 2018 году подана вода и улучшено водоснабжение в 38 сёлах с численностью населения 25 тыс. человек, доступ к централизованному водоснабжению сел достиг 59,6% (доступ населения – 81,4%).</w:t>
      </w:r>
    </w:p>
    <w:p w14:paraId="01B52D2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Проведена реконструкция и строительство локальных объектов водоснабжения, разводящих сетей и групповых водопроводов, осуществлено восстановление ранее действующих сетей водоснабжения в районах области.</w:t>
      </w:r>
    </w:p>
    <w:p w14:paraId="1E92AA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строительство и реконструкцию объектов водоснабжения и водоотведения в 2019 году направлено 9,1 млрд. тенге. Реализация данных проектов позволит подать воду и улучшить водоснабжение в 32 селах с численностью населения 26,5 тыс. человек и 32 тыс. жителей областного центра.</w:t>
      </w:r>
    </w:p>
    <w:p w14:paraId="7B9F2A52"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24278FE4"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За 2017 - 2019 годы</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w:t>
      </w:r>
      <w:r w:rsidRPr="00F0736F">
        <w:rPr>
          <w:rFonts w:ascii="Times New Roman" w:hAnsi="Times New Roman" w:cs="Times New Roman"/>
          <w:b/>
          <w:color w:val="000000" w:themeColor="text1"/>
        </w:rPr>
        <w:t>города Петропавловск</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 xml:space="preserve">низкий </w:t>
      </w:r>
      <w:r w:rsidRPr="00F0736F">
        <w:rPr>
          <w:rFonts w:ascii="Times New Roman" w:hAnsi="Times New Roman" w:cs="Times New Roman"/>
          <w:color w:val="000000" w:themeColor="text1"/>
        </w:rPr>
        <w:t xml:space="preserve">в 2017 и 2019 годах </w:t>
      </w:r>
      <w:r w:rsidRPr="00F0736F">
        <w:rPr>
          <w:rFonts w:ascii="Times New Roman" w:hAnsi="Times New Roman" w:cs="Times New Roman"/>
          <w:b/>
          <w:color w:val="000000" w:themeColor="text1"/>
        </w:rPr>
        <w:t>(</w:t>
      </w:r>
      <w:r w:rsidRPr="00F0736F">
        <w:rPr>
          <w:rFonts w:ascii="Times New Roman" w:hAnsi="Times New Roman" w:cs="Times New Roman"/>
          <w:color w:val="000000" w:themeColor="text1"/>
        </w:rPr>
        <w:t xml:space="preserve">ИЗА составляет 3-4) и как высокий в 2018 году (ИЗА = 7). СИ = </w:t>
      </w:r>
      <w:r w:rsidRPr="00F0736F">
        <w:rPr>
          <w:rFonts w:ascii="Times New Roman" w:hAnsi="Times New Roman" w:cs="Times New Roman"/>
          <w:color w:val="000000" w:themeColor="text1"/>
          <w:lang w:val="kk-KZ"/>
        </w:rPr>
        <w:t>28</w:t>
      </w:r>
      <w:r w:rsidRPr="00F0736F">
        <w:rPr>
          <w:rFonts w:ascii="Times New Roman" w:hAnsi="Times New Roman" w:cs="Times New Roman"/>
          <w:color w:val="000000" w:themeColor="text1"/>
        </w:rPr>
        <w:t xml:space="preserve"> в 2017 году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&gt;10 очень высокий уровень</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и 6 (высокий уровень) в 2018 - 2019 годах. НП = 1-4% (повышенный уровень).   </w:t>
      </w:r>
    </w:p>
    <w:p w14:paraId="1CC7DA4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в поселках </w:t>
      </w:r>
      <w:r w:rsidRPr="00F0736F">
        <w:rPr>
          <w:rFonts w:ascii="Times New Roman" w:hAnsi="Times New Roman" w:cs="Times New Roman"/>
          <w:b/>
          <w:color w:val="000000" w:themeColor="text1"/>
        </w:rPr>
        <w:t>Тайынша, Саумалколь и Булаево</w:t>
      </w:r>
      <w:r w:rsidRPr="00F0736F">
        <w:rPr>
          <w:rFonts w:ascii="Times New Roman" w:hAnsi="Times New Roman" w:cs="Times New Roman"/>
          <w:color w:val="000000" w:themeColor="text1"/>
        </w:rPr>
        <w:t xml:space="preserve"> по данным экспедиционных наблюдений отмечались м</w:t>
      </w:r>
      <w:r w:rsidRPr="00F0736F">
        <w:rPr>
          <w:rFonts w:ascii="Times New Roman" w:hAnsi="Times New Roman" w:cs="Times New Roman"/>
          <w:color w:val="000000" w:themeColor="text1"/>
          <w:lang w:val="kk-KZ"/>
        </w:rPr>
        <w:t xml:space="preserve">аксимальные концентрации диоксида серы соответственно: 1,08 ПДК, 1,3 ПДК, 1,6 ПДК, </w:t>
      </w:r>
      <w:r w:rsidRPr="00F0736F">
        <w:rPr>
          <w:rFonts w:ascii="Times New Roman" w:hAnsi="Times New Roman" w:cs="Times New Roman"/>
          <w:color w:val="000000" w:themeColor="text1"/>
        </w:rPr>
        <w:t xml:space="preserve">в 2018 году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в </w:t>
      </w:r>
      <w:r w:rsidRPr="00F0736F">
        <w:rPr>
          <w:rFonts w:ascii="Times New Roman" w:hAnsi="Times New Roman" w:cs="Times New Roman"/>
          <w:b/>
          <w:color w:val="000000" w:themeColor="text1"/>
        </w:rPr>
        <w:t>селе Бескол</w:t>
      </w:r>
      <w:r w:rsidRPr="00F0736F">
        <w:rPr>
          <w:rFonts w:ascii="Times New Roman" w:hAnsi="Times New Roman" w:cs="Times New Roman"/>
          <w:color w:val="000000" w:themeColor="text1"/>
        </w:rPr>
        <w:t xml:space="preserve"> по диоксиду серы составили 2,44 ПДК.</w:t>
      </w:r>
    </w:p>
    <w:p w14:paraId="3A0E5F7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2019 году концентрации всех загрязняющих веществ по данным наблюдений в поселках </w:t>
      </w:r>
      <w:r w:rsidRPr="00F0736F">
        <w:rPr>
          <w:rFonts w:ascii="Times New Roman" w:hAnsi="Times New Roman" w:cs="Times New Roman"/>
          <w:b/>
          <w:bCs/>
          <w:color w:val="000000" w:themeColor="text1"/>
        </w:rPr>
        <w:t xml:space="preserve">Тайынша, Саумалколь, Булаева, Бескол </w:t>
      </w:r>
      <w:r w:rsidRPr="00F0736F">
        <w:rPr>
          <w:rFonts w:ascii="Times New Roman" w:hAnsi="Times New Roman" w:cs="Times New Roman"/>
          <w:color w:val="000000" w:themeColor="text1"/>
        </w:rPr>
        <w:t xml:space="preserve">находились в пределах допустимой нормы. </w:t>
      </w:r>
    </w:p>
    <w:p w14:paraId="54721BF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В 2018 году </w:t>
      </w:r>
      <w:r w:rsidRPr="00F0736F">
        <w:rPr>
          <w:rFonts w:ascii="Times New Roman" w:hAnsi="Times New Roman" w:cs="Times New Roman"/>
          <w:bCs/>
          <w:color w:val="000000" w:themeColor="text1"/>
          <w:szCs w:val="28"/>
          <w:lang w:val="kk-KZ"/>
        </w:rPr>
        <w:t>выбросы загрязняющих веществ</w:t>
      </w:r>
      <w:r w:rsidRPr="00F0736F">
        <w:rPr>
          <w:rFonts w:ascii="Times New Roman" w:hAnsi="Times New Roman" w:cs="Times New Roman"/>
          <w:color w:val="000000" w:themeColor="text1"/>
          <w:szCs w:val="28"/>
          <w:lang w:val="kk-KZ"/>
        </w:rPr>
        <w:t xml:space="preserve"> в атмосферный воздух от стационарных источников составили 75113 т (данные Комитета по статистике). Крупнейшим загрязнителем в области является АО «Севказэнерго», выбросы в атмосферу загрязняющих веществ, отходящих от стационарных источников, составили 37381 т. это 48% от общего объема выбросов области.</w:t>
      </w:r>
    </w:p>
    <w:p w14:paraId="38A8DA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проведенной совместной работы Управления природных ресурсов и регулирования природопользования акимата СКО и Департамента охраны окружающей среды удалось снизить лимиты со 140 тыс. т. выбросов в атмосферный воздух в 2016 году (установленный целевой индикатор на 2017 год – 141 тыс. т.), до 116 тыс. т. в 2017 году, объем снижения составил 24 тыс. т..</w:t>
      </w:r>
    </w:p>
    <w:p w14:paraId="40D185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области разработан план мероприятий и ведется работа по снижению разрешенного объема эмиссий по объектам I, II, III и IV категорий, утвержденным государственными органами в области охраны окружающей среды. Так, установленный целевой индикатор на 2018 год по выбросам в атмосферный воздух составлял 129 тыс. т., лимит, установленный разрешениями на эмиссии по выбросам, 116,7 тыс. т. </w:t>
      </w:r>
    </w:p>
    <w:p w14:paraId="41015EF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Установленный целевой индикатор на 2019 год по выбросам в атмосферный воздух составляет 126 тыс. т. Фактический объем выбросов составил 74,7 тыс. т.</w:t>
      </w:r>
    </w:p>
    <w:p w14:paraId="6CA5EB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природопользователями в рамках выполнения обязательств по условиям разрешений на эмиссии в окружающую среду выполняются мероприятия по разделу «Охрана воздушного бассейна». Проводятся мероприятия по предотвращению и снижению выбросов загрязняющих веществ от стационарных и передвижных источников, ввод в эксплуатацию, ремонт и реконструкция пылегазоочистных установок, предназначенных для улавливания, обезвреживания вредных веществ от технологического оборудования и аспирационных систем.</w:t>
      </w:r>
    </w:p>
    <w:p w14:paraId="3444799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Также в области ведется работа по </w:t>
      </w:r>
      <w:r w:rsidRPr="00F0736F">
        <w:rPr>
          <w:rFonts w:ascii="Times New Roman" w:hAnsi="Times New Roman" w:cs="Times New Roman"/>
          <w:b/>
          <w:color w:val="000000" w:themeColor="text1"/>
          <w:szCs w:val="28"/>
          <w:lang w:val="kk-KZ"/>
        </w:rPr>
        <w:t>переводу транспорта на газовое топливо</w:t>
      </w:r>
      <w:r w:rsidRPr="00F0736F">
        <w:rPr>
          <w:rFonts w:ascii="Times New Roman" w:hAnsi="Times New Roman" w:cs="Times New Roman"/>
          <w:color w:val="000000" w:themeColor="text1"/>
          <w:szCs w:val="28"/>
          <w:lang w:val="kk-KZ"/>
        </w:rPr>
        <w:t xml:space="preserve">, что также снижает выбросы в атмосферу. По состоянию на 1 января 2019 года количество автотранспорта, использующего газомоторное топливо, составляет 10 507 единиц. По сравнению с 2017 годом рост составляет 34,4% (в 2017 году – 7816 единиц). </w:t>
      </w:r>
      <w:r w:rsidRPr="00F0736F">
        <w:rPr>
          <w:rFonts w:ascii="Times New Roman" w:hAnsi="Times New Roman" w:cs="Times New Roman"/>
          <w:color w:val="000000" w:themeColor="text1"/>
        </w:rPr>
        <w:t>В регионе функционируют 114 газозаправочных станций.</w:t>
      </w:r>
    </w:p>
    <w:p w14:paraId="41F8EE3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Cs/>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Северо–Казахстанской области проводились на реке Есиль и вдхр. Сергеевское.</w:t>
      </w:r>
    </w:p>
    <w:p w14:paraId="05D7B0D1"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szCs w:val="28"/>
        </w:rPr>
        <w:t>Лимиты по сбросам</w:t>
      </w:r>
      <w:r w:rsidRPr="00F0736F">
        <w:rPr>
          <w:rFonts w:ascii="Times New Roman" w:hAnsi="Times New Roman" w:cs="Times New Roman"/>
          <w:color w:val="000000" w:themeColor="text1"/>
          <w:szCs w:val="28"/>
        </w:rPr>
        <w:t xml:space="preserve"> загрязняющих веществ в водные объекты снижены с 114 тыс. т. в 2016 году (установленный целевой индикатор на 2017 год – 114 тыс. т.), до 96 тыс. т. в 2017 году, объем снижения составил 18 тыс. т..</w:t>
      </w:r>
      <w:r w:rsidRPr="00F0736F">
        <w:rPr>
          <w:rFonts w:ascii="Times New Roman" w:hAnsi="Times New Roman" w:cs="Times New Roman"/>
          <w:color w:val="000000" w:themeColor="text1"/>
          <w:szCs w:val="28"/>
          <w:lang w:val="kk-KZ"/>
        </w:rPr>
        <w:t xml:space="preserve"> Мероприятиями являются обеспечение снижения разрешенного объема эмиссий на 8-10% ежегодно.</w:t>
      </w:r>
    </w:p>
    <w:p w14:paraId="3EA6E69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23E81BB3"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bidi="ar-SA"/>
        </w:rPr>
        <w:t xml:space="preserve">В 2018 году в Северо-Казахстанской области доля переработки </w:t>
      </w:r>
      <w:r w:rsidRPr="00F0736F">
        <w:rPr>
          <w:rFonts w:ascii="Times New Roman" w:eastAsia="Times New Roman" w:hAnsi="Times New Roman" w:cs="Times New Roman"/>
          <w:b/>
          <w:color w:val="000000" w:themeColor="text1"/>
          <w:lang w:eastAsia="ru-RU" w:bidi="ar-SA"/>
        </w:rPr>
        <w:t>твердых бытовых отходов</w:t>
      </w:r>
      <w:r w:rsidRPr="00F0736F">
        <w:rPr>
          <w:rFonts w:ascii="Times New Roman" w:eastAsia="Times New Roman" w:hAnsi="Times New Roman" w:cs="Times New Roman"/>
          <w:color w:val="000000" w:themeColor="text1"/>
          <w:lang w:eastAsia="ru-RU" w:bidi="ar-SA"/>
        </w:rPr>
        <w:t xml:space="preserve"> составила 7,6%, в 2017 году – 2,6%. </w:t>
      </w:r>
      <w:r w:rsidRPr="00F0736F">
        <w:rPr>
          <w:rFonts w:ascii="Times New Roman" w:hAnsi="Times New Roman" w:cs="Times New Roman"/>
          <w:color w:val="000000" w:themeColor="text1"/>
        </w:rPr>
        <w:t>57% населения охвачено услугами по сбору и вывозу ТБО.</w:t>
      </w:r>
    </w:p>
    <w:p w14:paraId="1A7B5F6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Из 468 объектов размещения ТБО в 2018 году всего лишь 14 соответствовали экологическим и санитарным требованиям и нормам, что составляет 2,99%.</w:t>
      </w:r>
    </w:p>
    <w:p w14:paraId="0A07767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Разработан и утвержден постановлением акимата области от 4.09.2018 года №256 Комплекс мер по современной утилизации и переработке твердых бытовых отходов с широким вовлечением субъектов малого и среднего бизнеса на 2018 - 2022 годы по СКО. </w:t>
      </w:r>
    </w:p>
    <w:p w14:paraId="5B5885B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 Петропавловск развивается инфраструктура по раздельному сбору:</w:t>
      </w:r>
    </w:p>
    <w:p w14:paraId="6E0F09E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для сбора пластика, макулатуры, стекла, жестяных банок установлены 500 контейнеров на контейнерных площадках города, в частных предприятиях и гос. учреждениях – 100; </w:t>
      </w:r>
    </w:p>
    <w:p w14:paraId="51FB10B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для сбора макулатуры в 8-ми школах установлены контейнеры–накопители, в других в учреждениях установлено порядка 800 экобоксов;</w:t>
      </w:r>
    </w:p>
    <w:p w14:paraId="27BD592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для сбора отработанных электронного и электрического оборудования установлены 54 контейнера (40 из них на контейнерных площадках и 14 близ торговых центров);</w:t>
      </w:r>
    </w:p>
    <w:p w14:paraId="261226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для сбора отработанных люминесцентных ламп установлено 30 спец. контейнеров.</w:t>
      </w:r>
    </w:p>
    <w:p w14:paraId="214C93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в городе организовано и функционируют 3 стационарных пункта приема вторсырья.</w:t>
      </w:r>
    </w:p>
    <w:p w14:paraId="11CC301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Айыртауском районе с. Саумалколь частным предпринимателем ИП Гладких организован пункт приема вторсырья, в Кызылжарском районе с. Бесколь установлено 16 контейнеров на контейнерных площадках и 20 контейнеров в с. Талшик Акжарского района.</w:t>
      </w:r>
    </w:p>
    <w:p w14:paraId="615CF2C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«Радуга» осуществляет переработку вторичных полимеров с выпуском востребованных товаров народного потребления.</w:t>
      </w:r>
    </w:p>
    <w:p w14:paraId="45DAF77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«Петропак» перерабатываются вторичные полимеры с ежегодным объемом 200 - 250 т., с выпуском конечного продукта (пакетов с логотипом).</w:t>
      </w:r>
    </w:p>
    <w:p w14:paraId="7C54600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декабре 2018 года в г. Петропавловске ТОО «Радуга» увеличило мощности по переработке вторичных полимеров. Современный завод является единственным в Казахстане, который имеет полный цикл переработки пластика, начиная от сборки, сортировки, переработки и изготовления готовой продукции. Также начал работу цех по производству влажных салфеток. Вторичное сырье для переработки собирается со всех регионов Казахстана и соседних областей России. Объем производства изделий бытового назначения из пластмасс составляет до – 2000 т. в год, полиэтиленовой пленки – 3340,8 т. в год, стреч-пленки – 111,28 т. в год, полиэтиленовой трубы – 1023,12 т. в год, пакетов – 1722,96 т. в год, влажных салфеток – 55 кг в час. </w:t>
      </w:r>
    </w:p>
    <w:p w14:paraId="4BF4D78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районных центрах Айыртауского, Акжарского, Кызылжарского, Мамлютского района организованы пункты приема вторсырья.</w:t>
      </w:r>
    </w:p>
    <w:p w14:paraId="0AFDB1A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val="kk-KZ" w:eastAsia="ru-RU" w:bidi="ar-SA"/>
        </w:rPr>
        <w:t>В 2017 году проведено 6 акций и мероприятий,</w:t>
      </w:r>
      <w:r w:rsidRPr="00F0736F">
        <w:rPr>
          <w:rFonts w:ascii="Times New Roman" w:eastAsia="Times New Roman" w:hAnsi="Times New Roman" w:cs="Times New Roman"/>
          <w:color w:val="000000" w:themeColor="text1"/>
          <w:lang w:eastAsia="ru-RU" w:bidi="ar-SA"/>
        </w:rPr>
        <w:t xml:space="preserve"> направленных на привлечение внимания населения к проблемам в сфере обращения с отходами, внедрения раздельного сбора отходов, в </w:t>
      </w:r>
      <w:r w:rsidRPr="00F0736F">
        <w:rPr>
          <w:rFonts w:ascii="Times New Roman" w:eastAsia="Times New Roman" w:hAnsi="Times New Roman" w:cs="Times New Roman"/>
          <w:color w:val="000000" w:themeColor="text1"/>
          <w:lang w:val="kk-KZ" w:eastAsia="ru-RU" w:bidi="ar-SA"/>
        </w:rPr>
        <w:t>2018 году проведено 12 мероприятий.</w:t>
      </w:r>
    </w:p>
    <w:p w14:paraId="419562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Прорабатывается вопрос строительства мусоросортировочного комплекса мощностью 70 тысяч т. в год, в рамках государственно-частного партнерства. Дорабатывается инвестиционное предложение, после проведения экономической экспертизы будет проведен двухэтапный конкурс по определению частного партнера. Поставка мусоросортировочной линии для комплекса запланирована ТОО «Оператор РОП».</w:t>
      </w:r>
    </w:p>
    <w:p w14:paraId="1AFB69F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Сельскохозяйственные предприятия, у которых образовалась тара из-под пестицидов, передают данные отходы в специализированным предприятиям по утилизации отходов (утилизация отхода оплачивается поставщиком пестицидов). Поставщиками отходов контролируется сдача отходов сельскохозяйственными предприятиями в специализированные организации с подписанием актов-приемов передачи отходов.</w:t>
      </w:r>
    </w:p>
    <w:p w14:paraId="3A1C5A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бюджетной программы «Обезвреживание пестицидов» в 2018 году было утилизировано 6041 шт. тары из-под пестицидов на сумму 2447,9 тыс. тенге; а в 2019 году выделено </w:t>
      </w:r>
      <w:r w:rsidRPr="00F0736F">
        <w:rPr>
          <w:rFonts w:ascii="Times New Roman" w:hAnsi="Times New Roman" w:cs="Times New Roman"/>
          <w:color w:val="000000" w:themeColor="text1"/>
          <w:lang w:val="kk-KZ"/>
        </w:rPr>
        <w:t>п</w:t>
      </w:r>
      <w:r w:rsidRPr="00F0736F">
        <w:rPr>
          <w:rFonts w:ascii="Times New Roman" w:hAnsi="Times New Roman" w:cs="Times New Roman"/>
          <w:color w:val="000000" w:themeColor="text1"/>
        </w:rPr>
        <w:t>о данной программе 4452 тыс. тенге для утилизации 8414 шт. тары.</w:t>
      </w:r>
    </w:p>
    <w:p w14:paraId="6CBD6F4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Целью программы является предотвращение вредного воздействия на здоровье человека и окружающую среду за счет утилизации тар из-под пестицидов.</w:t>
      </w:r>
    </w:p>
    <w:p w14:paraId="3A63EB30"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bCs/>
          <w:i/>
          <w:color w:val="000000" w:themeColor="text1"/>
          <w:lang w:val="kk-KZ" w:eastAsia="ko-KR"/>
        </w:rPr>
        <w:t xml:space="preserve">Состояние биологических ресурсов и развитие лесного, рыбного и охотничьего хозяйств, </w:t>
      </w:r>
      <w:r w:rsidRPr="00F0736F">
        <w:rPr>
          <w:rFonts w:ascii="Times New Roman" w:eastAsia="Batang" w:hAnsi="Times New Roman" w:cs="Times New Roman"/>
          <w:b/>
          <w:bCs/>
          <w:i/>
          <w:color w:val="000000" w:themeColor="text1"/>
          <w:lang w:val="kk-KZ" w:bidi="ru-RU"/>
        </w:rPr>
        <w:t xml:space="preserve">ООПТ </w:t>
      </w:r>
      <w:r w:rsidRPr="00F0736F">
        <w:rPr>
          <w:rFonts w:ascii="Times New Roman" w:eastAsia="Calibri" w:hAnsi="Times New Roman" w:cs="Times New Roman"/>
          <w:b/>
          <w:bCs/>
          <w:i/>
          <w:color w:val="000000" w:themeColor="text1"/>
          <w:lang w:val="kk-KZ" w:eastAsia="ko-KR"/>
        </w:rPr>
        <w:t>и экологического туризма</w:t>
      </w:r>
    </w:p>
    <w:p w14:paraId="264260F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 xml:space="preserve">По состоянию на 01 января 2019 года государственный </w:t>
      </w:r>
      <w:r w:rsidRPr="00F0736F">
        <w:rPr>
          <w:rFonts w:ascii="Times New Roman" w:eastAsia="Times New Roman" w:hAnsi="Times New Roman" w:cs="Times New Roman"/>
          <w:b/>
          <w:color w:val="000000" w:themeColor="text1"/>
        </w:rPr>
        <w:t>лесной фонд</w:t>
      </w:r>
      <w:r w:rsidRPr="00F0736F">
        <w:rPr>
          <w:rFonts w:ascii="Times New Roman" w:eastAsia="Times New Roman" w:hAnsi="Times New Roman" w:cs="Times New Roman"/>
          <w:color w:val="000000" w:themeColor="text1"/>
        </w:rPr>
        <w:t xml:space="preserve">, находящийся в ведении акимата Северо-Казахстанской области, составляет 549 577 га, из них покрытые лесом земли – 435 829 га, или 79%. Лесистость территории области составляет 5,5%. </w:t>
      </w:r>
    </w:p>
    <w:p w14:paraId="5B8F878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Основной лесообразующей породой является береза (87%), осина (7%), из общего объема около 11% занято искусственными насаждениями из сосны, березы, лиственницы, ильмовых пород, клена, ясеня. Общий запас древесины основных лесообразующих пород составляет 38 млн. 943 тыс. кубометров. </w:t>
      </w:r>
    </w:p>
    <w:p w14:paraId="2C4E1F2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достижения необходимо выполнение основного целевого индикатора, а именно – площади, покрытые лесными насаждениями и находящиеся в ведении акимата к 2020 году, должны быть сохранены и увеличены.</w:t>
      </w:r>
    </w:p>
    <w:p w14:paraId="4C0EED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лесными хозяйствами проводятся мероприятия по воспроизводству леса на территории государственного лесного фонда области.</w:t>
      </w:r>
    </w:p>
    <w:p w14:paraId="73C751E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проведена посадка в лесах на площади 721 га при плане 580 га, кроме этого, проведены меры содействия естественному возобновлению леса на площади 680 гектар. Всего воспроизводство леса проведено на площади в 1401 га, при плановом показателе в 1065 га (131%).</w:t>
      </w:r>
    </w:p>
    <w:p w14:paraId="409E14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Плановое задание по воспроизводству леса на 2019 год составляет 1185 га, из них посадка леса - 700 га (372 га – в весенний период, 328 га – в осенний период), проведение мер содействия естественному возобновлению леса – 485 га (в осенний период).</w:t>
      </w:r>
    </w:p>
    <w:p w14:paraId="0B7F062E" w14:textId="77777777" w:rsidR="00AC1D5B" w:rsidRPr="00F0736F" w:rsidRDefault="00AC1D5B" w:rsidP="00AC1D5B">
      <w:pPr>
        <w:ind w:firstLine="709"/>
        <w:jc w:val="both"/>
        <w:rPr>
          <w:color w:val="000000" w:themeColor="text1"/>
        </w:rPr>
      </w:pPr>
      <w:r w:rsidRPr="00F0736F">
        <w:rPr>
          <w:rFonts w:ascii="Times New Roman" w:eastAsia="Consolas" w:hAnsi="Times New Roman" w:cs="Times New Roman"/>
          <w:color w:val="000000" w:themeColor="text1"/>
        </w:rPr>
        <w:t>В 2019 году по области лесными хозяйствами и лесопользователями долгосрочного лесопользования на площади 700 га высажено 2800 тыс. сеянцев. В целях защиты лесных массивов проведены предупредительные противопожарные мероприятия в следующих объемах: устройство минерализованных полос выполнено на 1345 км; уход за минерализованными полосами - выполнено на 26560 км.</w:t>
      </w:r>
    </w:p>
    <w:p w14:paraId="231CCB82"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В лесах области в целях сохранения и повышения устойчивости насаждений, увеличения их продуктивности, уменьшения инфекционного фона болезней проводятся санитарно-оздоровительные мероприятия. На начало 2018 года по области действовали очаги распространения вредителей леса на общей площади 228 га. В июне 2019 года в КГУ «Лесное хозяйство Бурлукское» обнаружены новые очаги вредителей леса – осиновая хохлатка на общей площади 62,2 га. В течение 2018 года на всей площади государственными лесовладельцами проведены наземные истребительные меры борьбы. В результате принятых мер наблюдается ежегодное и значительное снижение площади распространения вредителей леса.</w:t>
      </w:r>
    </w:p>
    <w:p w14:paraId="22B807E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почти на всей территории СКО в результате выпадения обильных осадков в период 2014 - 2018 годов произошло поднятие грунтовых вод. В результате образовались вымочки на площади более 14 тыс. га.</w:t>
      </w:r>
    </w:p>
    <w:p w14:paraId="0914F6C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Лесными учреждениями проводятся необходимые мероприятия по уменьшению вымочек, и прежде всего это проведение санитарных вырубок погибших насаждений. В 2018 году вырублено 2481 га вымокших лесов, древесина в объёме 240 тыс. кубометров пошла на обеспечение населения топливной древесиной.</w:t>
      </w:r>
    </w:p>
    <w:p w14:paraId="044CD8F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Лесные ресурсы предоставляются лесопользователям в долгосрочное или краткосрочное пользование в зависимости от вида лесопользования. </w:t>
      </w:r>
      <w:r w:rsidRPr="00F0736F">
        <w:rPr>
          <w:rFonts w:ascii="Times New Roman" w:eastAsia="Times New Roman" w:hAnsi="Times New Roman" w:cs="Times New Roman"/>
          <w:color w:val="000000" w:themeColor="text1"/>
          <w:spacing w:val="2"/>
          <w:szCs w:val="28"/>
        </w:rPr>
        <w:t xml:space="preserve">Ежегодно в области осваивается около 450-500 тыс. кубометров, из которых около 40% осваиваются лесопользователями долгосрочного лесопользования. </w:t>
      </w:r>
      <w:r w:rsidRPr="00F0736F">
        <w:rPr>
          <w:rFonts w:ascii="Times New Roman" w:hAnsi="Times New Roman" w:cs="Times New Roman"/>
          <w:color w:val="000000" w:themeColor="text1"/>
        </w:rPr>
        <w:t>За период лесопользования с 2004 по 2018 годы лесопользователями внесена в бюджет плата за лесные пользования в сумме более 950 млн. тенге, приобретено 60 тракторов, 74 автомобиля, 3 пожарные автомашины, 3 погрузчика-манипулятора. Создана материально-техническая база по переработке древесины – организовано 28 цехов деревопереработки, установлено 35 пилорам, 3 линии по производству технологической щепы, 114 деревообрабатывающих станков и 5 дробильных установок. Трудоустроено на постоянной основе более 500 человек.</w:t>
      </w:r>
    </w:p>
    <w:p w14:paraId="132B27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Ежегодно лесопользователями перерабатывается 100 тысяч кубометров местной древесины и ежегодно объемы глубокой переработки увеличиваются. Ассортимент выпускаемой продукции составляет около 40 наименований, и работа над расширением ассортимента ведется постоянно, в зависимости от спроса населения.</w:t>
      </w:r>
    </w:p>
    <w:p w14:paraId="79873DCC"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i/>
          <w:color w:val="000000" w:themeColor="text1"/>
          <w:szCs w:val="28"/>
        </w:rPr>
        <w:t>Развитие рыбного, охотничьего хозяйства.</w:t>
      </w:r>
      <w:r w:rsidRPr="00F0736F">
        <w:rPr>
          <w:rFonts w:ascii="Times New Roman" w:eastAsia="Times New Roman" w:hAnsi="Times New Roman" w:cs="Times New Roman"/>
          <w:b/>
          <w:color w:val="000000" w:themeColor="text1"/>
          <w:szCs w:val="28"/>
        </w:rPr>
        <w:t xml:space="preserve"> </w:t>
      </w:r>
    </w:p>
    <w:p w14:paraId="545AADE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szCs w:val="28"/>
        </w:rPr>
        <w:t>Общее количество водоемов в области – 2393, из них включены в перечень рыбохозяйственных 491. Переданы в пользование животным миром 332 водоема.</w:t>
      </w:r>
    </w:p>
    <w:p w14:paraId="35CE34E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квота вылова рыбных ресурсов в рыбохозяйственных водоемах Северо-Казахстанской области с 15 февраля 2019 года по 15 февраля 2020 года составляет 1070,06 т. В водоемах обитают следующие виды рыб: карась, лещ, карп, сиговые, щука, окунь, линь, плотва, судак, налим.</w:t>
      </w:r>
    </w:p>
    <w:p w14:paraId="42CFA4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Территория области поделена на 47 охотничьих угодий, 37 из них переданы в пользование животным миром.</w:t>
      </w:r>
    </w:p>
    <w:p w14:paraId="32DD4FD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Квота изъятия объектов животного мира с 1 июля 2019 года по 1 июля 2020 года по СКО: сибирская косуля – 1017, кабан – 167, марал – 7, лисица – 2496, корсак – 144, бобр – 4, сурок – 379, ондатра – 459, зайцы – 7984, барсук – 290, енотовидная собака – 15, гуси – 5457, утки – 35356, лысуха – 6567, кулик – 318, тетерев – 672, куропатка – 678, перепел – 567, голуби – 150.</w:t>
      </w:r>
    </w:p>
    <w:p w14:paraId="6F4DD3F5"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val="kk-KZ" w:eastAsia="ko-KR" w:bidi="ar-SA"/>
        </w:rPr>
        <w:t>В 2019 году область посетили 4 иностранных охотника из Германии и РФ. Для них организована трофейная охота на самца сибирской косули и на водоплавающую дичь.</w:t>
      </w:r>
    </w:p>
    <w:p w14:paraId="17C955D1"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b/>
          <w:color w:val="000000" w:themeColor="text1"/>
          <w:szCs w:val="28"/>
          <w:lang w:eastAsia="ru-RU" w:bidi="ar-SA"/>
        </w:rPr>
        <w:t>Особо охраняемые природные территории.</w:t>
      </w:r>
      <w:r w:rsidRPr="00F0736F">
        <w:rPr>
          <w:rFonts w:ascii="Times New Roman" w:eastAsia="Times New Roman" w:hAnsi="Times New Roman" w:cs="Times New Roman"/>
          <w:b/>
          <w:i/>
          <w:color w:val="000000" w:themeColor="text1"/>
          <w:szCs w:val="28"/>
          <w:lang w:eastAsia="ru-RU" w:bidi="ar-SA"/>
        </w:rPr>
        <w:t xml:space="preserve"> </w:t>
      </w:r>
      <w:r w:rsidRPr="00F0736F">
        <w:rPr>
          <w:rFonts w:ascii="Times New Roman" w:eastAsia="Consolas" w:hAnsi="Times New Roman" w:cs="Times New Roman"/>
          <w:color w:val="000000" w:themeColor="text1"/>
          <w:szCs w:val="28"/>
          <w:lang w:eastAsia="ru-RU" w:bidi="ar-SA"/>
        </w:rPr>
        <w:t xml:space="preserve">Общая площадь ООПТ по Северо-Казахстанской области составляет 601772 га, в том числе: </w:t>
      </w:r>
    </w:p>
    <w:p w14:paraId="21EDF77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- 12 памятников природы республиканского значения площадью 181 га: «Жанажолский бор» - 9 га, «Серебряный бор» - 83 га, «Сосновый бор» - 26 га, Сопка «Орлиная гора и родниковый ключ» - 3 га, Остров озера Имантау, «Остров Казачий» - 34,4 га, сопка «Обозрение» - 3,9 га, Скальное отложение «Котелок» - 3,3 га, реликтовый массив - 2,0 га, Острая сопка - 3,0 га, сопка «Два брата» - 10 га, «Водопад с пещерой» - 0,5 га, «Расколотая сопка» - 2,0 га.</w:t>
      </w:r>
    </w:p>
    <w:p w14:paraId="413C31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- 6 природных заказников - площадью 467 140 га. </w:t>
      </w:r>
    </w:p>
    <w:p w14:paraId="3D47CDD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- 4 заказника республиканского значения - площадью 429 950 га.</w:t>
      </w:r>
    </w:p>
    <w:p w14:paraId="06AFA1D9" w14:textId="77777777" w:rsidR="00AC1D5B" w:rsidRPr="00F0736F" w:rsidRDefault="00AC1D5B" w:rsidP="00AC1D5B">
      <w:pPr>
        <w:ind w:firstLine="709"/>
        <w:jc w:val="both"/>
        <w:rPr>
          <w:color w:val="000000" w:themeColor="text1"/>
        </w:rPr>
      </w:pPr>
      <w:r w:rsidRPr="00F0736F">
        <w:rPr>
          <w:rFonts w:ascii="Times New Roman" w:eastAsia="Consolas" w:hAnsi="Times New Roman" w:cs="Times New Roman"/>
          <w:color w:val="000000" w:themeColor="text1"/>
          <w:szCs w:val="28"/>
          <w:lang w:eastAsia="ru-RU" w:bidi="ar-SA"/>
        </w:rPr>
        <w:t xml:space="preserve">- 2 заказника местного значения площадь 37190 га (Аксуатский (зоологический) – 10 508 га, Акжанский (зоологический) </w:t>
      </w:r>
      <w:r w:rsidRPr="00F0736F">
        <w:rPr>
          <w:rFonts w:ascii="Times New Roman" w:eastAsia="Times New Roman" w:hAnsi="Times New Roman" w:cs="Times New Roman"/>
          <w:color w:val="000000" w:themeColor="text1"/>
          <w:szCs w:val="28"/>
          <w:lang w:eastAsia="ru-RU" w:bidi="ar-SA"/>
        </w:rPr>
        <w:t xml:space="preserve">– </w:t>
      </w:r>
      <w:r w:rsidRPr="00F0736F">
        <w:rPr>
          <w:rFonts w:ascii="Times New Roman" w:eastAsia="Consolas" w:hAnsi="Times New Roman" w:cs="Times New Roman"/>
          <w:color w:val="000000" w:themeColor="text1"/>
          <w:szCs w:val="28"/>
          <w:lang w:eastAsia="ru-RU" w:bidi="ar-SA"/>
        </w:rPr>
        <w:t>26 682 га, в том числе 1 ботанический заказник республиканского значения площадью 3450 га.</w:t>
      </w:r>
    </w:p>
    <w:p w14:paraId="1AE0A9EC" w14:textId="77777777" w:rsidR="00AC1D5B" w:rsidRPr="00F0736F" w:rsidRDefault="00AC1D5B" w:rsidP="00AC1D5B">
      <w:pPr>
        <w:ind w:firstLine="709"/>
        <w:jc w:val="both"/>
        <w:rPr>
          <w:color w:val="000000" w:themeColor="text1"/>
        </w:rPr>
      </w:pPr>
      <w:r w:rsidRPr="00F0736F">
        <w:rPr>
          <w:rFonts w:ascii="Times New Roman" w:eastAsia="Consolas" w:hAnsi="Times New Roman" w:cs="Times New Roman"/>
          <w:color w:val="000000" w:themeColor="text1"/>
          <w:szCs w:val="28"/>
          <w:lang w:val="kk-KZ" w:eastAsia="en-US" w:bidi="ar-SA"/>
        </w:rPr>
        <w:t>Пр</w:t>
      </w:r>
      <w:r w:rsidRPr="00F0736F">
        <w:rPr>
          <w:rFonts w:ascii="Times New Roman" w:eastAsia="Consolas" w:hAnsi="Times New Roman" w:cs="Times New Roman"/>
          <w:color w:val="000000" w:themeColor="text1"/>
          <w:szCs w:val="28"/>
          <w:lang w:eastAsia="en-US" w:bidi="ar-SA"/>
        </w:rPr>
        <w:t xml:space="preserve">еобладающая порода в лесах на территории </w:t>
      </w:r>
      <w:r w:rsidRPr="00F0736F">
        <w:rPr>
          <w:rFonts w:ascii="Times New Roman" w:eastAsia="Consolas" w:hAnsi="Times New Roman" w:cs="Times New Roman"/>
          <w:color w:val="000000" w:themeColor="text1"/>
          <w:szCs w:val="28"/>
          <w:lang w:val="kk-KZ" w:eastAsia="en-US" w:bidi="ar-SA"/>
        </w:rPr>
        <w:t xml:space="preserve">государственных памятников природы, в т.ч. Орлиногорского ботанического заказника </w:t>
      </w:r>
      <w:r w:rsidRPr="00F0736F">
        <w:rPr>
          <w:rFonts w:ascii="Times New Roman" w:eastAsia="Consolas" w:hAnsi="Times New Roman" w:cs="Times New Roman"/>
          <w:color w:val="000000" w:themeColor="text1"/>
          <w:szCs w:val="28"/>
          <w:lang w:eastAsia="en-US" w:bidi="ar-SA"/>
        </w:rPr>
        <w:t xml:space="preserve"> являются реликтовые сосновые насаждения, тогда как на территории </w:t>
      </w:r>
      <w:r w:rsidRPr="00F0736F">
        <w:rPr>
          <w:rFonts w:ascii="Times New Roman" w:eastAsia="Consolas" w:hAnsi="Times New Roman" w:cs="Times New Roman"/>
          <w:color w:val="000000" w:themeColor="text1"/>
          <w:szCs w:val="28"/>
          <w:lang w:val="kk-KZ" w:eastAsia="en-US" w:bidi="ar-SA"/>
        </w:rPr>
        <w:t>государственных природных заказников</w:t>
      </w:r>
      <w:r w:rsidRPr="00F0736F">
        <w:rPr>
          <w:rFonts w:ascii="Times New Roman" w:eastAsia="Consolas" w:hAnsi="Times New Roman" w:cs="Times New Roman"/>
          <w:color w:val="000000" w:themeColor="text1"/>
          <w:szCs w:val="28"/>
          <w:lang w:eastAsia="en-US" w:bidi="ar-SA"/>
        </w:rPr>
        <w:t xml:space="preserve"> (зоологических) - береза. Хозяйственная деятельность ограничена. Разрешены лесозащитные и противопожарные мероприятия. Использование памятников природы рекомендуется в рекреационных целях.</w:t>
      </w:r>
    </w:p>
    <w:p w14:paraId="37E37D0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Особо охраняемые природные территории, находящиеся в ведении акимата Северо-Казахстанской области на 01 января 2019 года:</w:t>
      </w:r>
    </w:p>
    <w:p w14:paraId="2D405B8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- 6 природных заказников республиканского и местного значения (Согоровский, Смирновский, Мамлютский, Акжанский, Аксуатский, Орлиногорский);</w:t>
      </w:r>
    </w:p>
    <w:p w14:paraId="1903DF5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- 4 государственных памятника природы (Сосновый бор, Серебряный бор, Жанажол, Орлиная гора и родниковый ключ).</w:t>
      </w:r>
    </w:p>
    <w:p w14:paraId="449B3D1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Главной целью ведения лесного хозяйства является сохранение и рациональное использование лесных ресурсов и развитие системы особо охраняемых природных территорий. </w:t>
      </w:r>
    </w:p>
    <w:p w14:paraId="1284195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Проводятся мероприятия по повышению эффективности охранно-защитных мероприятий в лесах, а также работ по воспроизводству лесов, росту их продуктивности и развитию лесоразведения.</w:t>
      </w:r>
    </w:p>
    <w:p w14:paraId="70CDD57B"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Постановлением Правительства Республики Казахстан от 31 мая 2019 года №360 утверждена Государственная программа развития туристской отрасли Республики Казахстан на 2019-2025 годы, в рамках которой определены ТОП-10 проектов республиканского значения, куда вошла Имантауско-Шалкарская курортная зона Северо-Казахстанской области, как одна из приоритетных туристских территорий республиканского значения. </w:t>
      </w:r>
    </w:p>
    <w:p w14:paraId="2383C194"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В Имантауско-Шалкарской курортной зоне в 2019 году начата реализация 5 инвестиционных проектов на 1,4 млрд. тенге. Введены в эксплуатацию 3 новые базы отдыха: на оз. Шалкар — «Изумрудное» (80 млн. тг.); на оз. Имантау — «Дом у озера» (150 млн. тг.), «Адель» (180 млн. тг.) с круглогодичным режимом работы, единовременной вместимостью 130 койко-мест. Начата реконструкция санатория «Шалкар Су». </w:t>
      </w:r>
    </w:p>
    <w:p w14:paraId="10A601D7" w14:textId="77777777" w:rsidR="00AC1D5B" w:rsidRPr="00F0736F" w:rsidRDefault="00AC1D5B" w:rsidP="00AC1D5B">
      <w:pPr>
        <w:suppressLineNumbers/>
        <w:ind w:firstLine="709"/>
        <w:jc w:val="both"/>
        <w:rPr>
          <w:i/>
          <w:iCs/>
          <w:color w:val="000000" w:themeColor="text1"/>
        </w:rPr>
      </w:pPr>
      <w:r w:rsidRPr="00F0736F">
        <w:rPr>
          <w:rFonts w:ascii="Times New Roman" w:hAnsi="Times New Roman" w:cs="Times New Roman"/>
          <w:color w:val="000000" w:themeColor="text1"/>
        </w:rPr>
        <w:t xml:space="preserve">Информация о туристском потенциале, объектах с геолокацией, турмаршрутами собрана в единый туристский портал </w:t>
      </w:r>
      <w:hyperlink r:id="rId58" w:anchor="_blank" w:history="1">
        <w:r w:rsidRPr="00F0736F">
          <w:rPr>
            <w:rFonts w:ascii="Times New Roman" w:hAnsi="Times New Roman" w:cs="Times New Roman"/>
            <w:color w:val="000000" w:themeColor="text1"/>
            <w:u w:val="single"/>
          </w:rPr>
          <w:t>visit.sko</w:t>
        </w:r>
      </w:hyperlink>
      <w:r w:rsidRPr="00F0736F">
        <w:rPr>
          <w:rFonts w:ascii="Times New Roman" w:hAnsi="Times New Roman" w:cs="Times New Roman"/>
          <w:color w:val="000000" w:themeColor="text1"/>
        </w:rPr>
        <w:t>.</w:t>
      </w:r>
    </w:p>
    <w:p w14:paraId="4BA15BFD" w14:textId="77777777" w:rsidR="00AC1D5B" w:rsidRPr="00F0736F" w:rsidRDefault="00AC1D5B" w:rsidP="00AC1D5B">
      <w:pPr>
        <w:ind w:firstLine="709"/>
        <w:jc w:val="both"/>
        <w:rPr>
          <w:rFonts w:ascii="Times New Roman" w:hAnsi="Times New Roman" w:cs="Times New Roman"/>
          <w:color w:val="000000" w:themeColor="text1"/>
        </w:rPr>
      </w:pPr>
    </w:p>
    <w:p w14:paraId="0852CC4F" w14:textId="77777777" w:rsidR="00AC1D5B" w:rsidRPr="00F0736F" w:rsidRDefault="00AC1D5B" w:rsidP="00AC1D5B">
      <w:pPr>
        <w:ind w:firstLine="709"/>
        <w:jc w:val="both"/>
        <w:rPr>
          <w:rFonts w:ascii="Times New Roman" w:hAnsi="Times New Roman" w:cs="Times New Roman"/>
          <w:color w:val="000000" w:themeColor="text1"/>
        </w:rPr>
      </w:pPr>
    </w:p>
    <w:p w14:paraId="6B74AC8B"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59" w:name="_Toc57818748"/>
      <w:r w:rsidRPr="007272FB">
        <w:rPr>
          <w:rFonts w:ascii="Times New Roman" w:eastAsia="Times New Roman" w:hAnsi="Times New Roman" w:cs="Times New Roman"/>
          <w:color w:val="000000" w:themeColor="text1"/>
          <w:sz w:val="24"/>
          <w:szCs w:val="24"/>
        </w:rPr>
        <w:t>2.14. Туркестанская (Южно-Казахстанская) область</w:t>
      </w:r>
      <w:bookmarkEnd w:id="59"/>
    </w:p>
    <w:p w14:paraId="760C3306" w14:textId="77777777" w:rsidR="00AC1D5B" w:rsidRPr="00F0736F" w:rsidRDefault="00AC1D5B" w:rsidP="00AC1D5B">
      <w:pPr>
        <w:ind w:firstLine="709"/>
        <w:jc w:val="both"/>
        <w:rPr>
          <w:rFonts w:ascii="Times New Roman" w:hAnsi="Times New Roman" w:cs="Times New Roman"/>
          <w:color w:val="000000" w:themeColor="text1"/>
        </w:rPr>
      </w:pPr>
    </w:p>
    <w:p w14:paraId="4D0E67FD"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области. Доля промышленности и сельского хозяйства в ВРП. Диверсификация экономики. </w:t>
      </w:r>
    </w:p>
    <w:p w14:paraId="3CB823A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 xml:space="preserve">19 июня 2018 года Указом Президента Республики Казахстан №702 </w:t>
      </w:r>
      <w:r w:rsidRPr="00F0736F">
        <w:rPr>
          <w:rFonts w:ascii="Times New Roman" w:eastAsia="Times New Roman" w:hAnsi="Times New Roman" w:cs="Times New Roman"/>
          <w:color w:val="000000" w:themeColor="text1"/>
        </w:rPr>
        <w:t xml:space="preserve">Южно-Казахстанская область была переименована в Туркестанскую, а её административным центром стал город </w:t>
      </w:r>
      <w:hyperlink r:id="rId59" w:anchor="_blank" w:history="1">
        <w:r w:rsidRPr="00F0736F">
          <w:rPr>
            <w:rFonts w:ascii="Times New Roman" w:eastAsia="Times New Roman" w:hAnsi="Times New Roman" w:cs="Times New Roman"/>
            <w:color w:val="000000" w:themeColor="text1"/>
          </w:rPr>
          <w:t>Туркестан</w:t>
        </w:r>
      </w:hyperlink>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eastAsia="ru-RU"/>
        </w:rPr>
        <w:t xml:space="preserve">Территория Туркестанской области составляет 116,1 тыс. кв. км. </w:t>
      </w:r>
      <w:r w:rsidRPr="00F0736F">
        <w:rPr>
          <w:rFonts w:ascii="Times New Roman" w:eastAsia="Calibri" w:hAnsi="Times New Roman" w:cs="Times New Roman"/>
          <w:color w:val="000000" w:themeColor="text1"/>
          <w:lang w:eastAsia="ru-RU"/>
        </w:rPr>
        <w:t xml:space="preserve">Население области составляет </w:t>
      </w:r>
      <w:r w:rsidRPr="00F0736F">
        <w:rPr>
          <w:rFonts w:ascii="Times New Roman" w:eastAsia="Calibri" w:hAnsi="Times New Roman" w:cs="Times New Roman"/>
          <w:color w:val="000000" w:themeColor="text1"/>
          <w:lang w:val="kk-KZ" w:eastAsia="ru-RU"/>
        </w:rPr>
        <w:t>1963,4</w:t>
      </w:r>
      <w:r w:rsidRPr="00F0736F">
        <w:rPr>
          <w:rFonts w:ascii="Times New Roman" w:eastAsia="Calibri" w:hAnsi="Times New Roman" w:cs="Times New Roman"/>
          <w:color w:val="000000" w:themeColor="text1"/>
          <w:lang w:eastAsia="ru-RU"/>
        </w:rPr>
        <w:t xml:space="preserve"> тыс. человек, плотность населения в среднем на 1 кв. км территории составляет 16,8 человек. В 2019 году численность населения составила 2016 тыс. человек.</w:t>
      </w:r>
    </w:p>
    <w:p w14:paraId="7F3CE0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валовой региональный продукт Южно-Казахстанской области имел следующие показатели: в 2015 г. объем составил 2508,4 млрд. тенге, а в 2017 г. вырос до 3187,7 млрд. тенге.</w:t>
      </w:r>
    </w:p>
    <w:p w14:paraId="5D7FC9C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Низкий ВРП на душу населения в Южно-Казахстанской области был обусловлен высокой численностью населения региона. За 2013 - 2015 гг. он вырос на 13%, составив в 2017 г. 1097,7 тыс. тенге.</w:t>
      </w:r>
      <w:r w:rsidRPr="00F0736F">
        <w:rPr>
          <w:rFonts w:ascii="Times New Roman" w:hAnsi="Times New Roman" w:cs="Times New Roman"/>
          <w:color w:val="000000" w:themeColor="text1"/>
          <w:szCs w:val="28"/>
          <w:vertAlign w:val="superscript"/>
        </w:rPr>
        <w:footnoteReference w:id="160"/>
      </w:r>
      <w:r w:rsidRPr="00F0736F">
        <w:rPr>
          <w:rFonts w:ascii="Times New Roman" w:hAnsi="Times New Roman" w:cs="Times New Roman"/>
          <w:color w:val="000000" w:themeColor="text1"/>
          <w:szCs w:val="28"/>
        </w:rPr>
        <w:t>.</w:t>
      </w:r>
    </w:p>
    <w:p w14:paraId="0A6DC76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Туркестанской области в 2018 году объем ВРП составил 1660 млрд. тенге, основная доля в промышленности - 20,4%, сельское хозяйство - 15,0%, прочие услуги — 27%. В 2019 году — 2016,1 млрд. тенге, на душу населения — 1008,1 тыс. тенге.</w:t>
      </w:r>
    </w:p>
    <w:p w14:paraId="308816B5"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Промышленность</w:t>
      </w:r>
      <w:r w:rsidRPr="00F0736F">
        <w:rPr>
          <w:rFonts w:ascii="Times New Roman" w:hAnsi="Times New Roman" w:cs="Times New Roman"/>
          <w:color w:val="000000" w:themeColor="text1"/>
        </w:rPr>
        <w:t xml:space="preserve"> играет важную роль в экономике региона. По Южно-Казахстанской области в 2017 году в данной отрасли было занято 5,1% от всего занятого населения области, а доля отрасли в структуре ВРП составляла 24,4% с объемом, по данным Комитета по статистике, 832,1 млрд. тенге</w:t>
      </w:r>
      <w:r w:rsidRPr="00F0736F">
        <w:rPr>
          <w:rFonts w:ascii="Times New Roman" w:hAnsi="Times New Roman" w:cs="Times New Roman"/>
          <w:i/>
          <w:color w:val="000000" w:themeColor="text1"/>
        </w:rPr>
        <w:t>.</w:t>
      </w:r>
    </w:p>
    <w:p w14:paraId="6FDBF87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2015 году производительность труда в обрабатывающей промышленности на 1 человека составила 54,4 тыс. долл. США на одного занятого, за 2017 г. – 44,2 тыс. долл. США на одного занятого и индексом роста к 2015 г. – 106,7% (данные по ЮКО). </w:t>
      </w:r>
      <w:r w:rsidRPr="00F0736F">
        <w:rPr>
          <w:rFonts w:ascii="Times New Roman" w:hAnsi="Times New Roman" w:cs="Times New Roman"/>
          <w:color w:val="000000" w:themeColor="text1"/>
          <w:szCs w:val="28"/>
        </w:rPr>
        <w:t>В рамках Карты поддержки предпринимательства по Южно-Казахстанской области в 2015 - 2017 годах реализованы 60 инвестиционных проектов на сумму 81,8 млрд. тенге (2,5 тыс. рабочих мест). П</w:t>
      </w:r>
      <w:r w:rsidRPr="00F0736F">
        <w:rPr>
          <w:rFonts w:ascii="Times New Roman" w:hAnsi="Times New Roman" w:cs="Times New Roman"/>
          <w:color w:val="000000" w:themeColor="text1"/>
        </w:rPr>
        <w:t>роизводительность труда в обрабатывающей промышленности</w:t>
      </w:r>
      <w:r w:rsidRPr="00F0736F">
        <w:rPr>
          <w:rFonts w:ascii="Times New Roman" w:hAnsi="Times New Roman" w:cs="Times New Roman"/>
          <w:color w:val="000000" w:themeColor="text1"/>
          <w:szCs w:val="28"/>
        </w:rPr>
        <w:t xml:space="preserve"> Туркестанской области по итогам 2019 года составила 26,9 </w:t>
      </w:r>
      <w:r w:rsidRPr="00F0736F">
        <w:rPr>
          <w:rFonts w:ascii="Times New Roman" w:hAnsi="Times New Roman" w:cs="Times New Roman"/>
          <w:color w:val="000000" w:themeColor="text1"/>
        </w:rPr>
        <w:t>тыс. долл. США/чел.</w:t>
      </w:r>
    </w:p>
    <w:p w14:paraId="64D8D2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За 2018 год промышленными предприятиями Туркестанской области было произведено продукции на 438,6 млрд</w:t>
      </w:r>
      <w:r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rPr>
        <w:t>т</w:t>
      </w:r>
      <w:r w:rsidRPr="00F0736F">
        <w:rPr>
          <w:rFonts w:ascii="Times New Roman" w:hAnsi="Times New Roman" w:cs="Times New Roman"/>
          <w:color w:val="000000" w:themeColor="text1"/>
          <w:szCs w:val="28"/>
          <w:lang w:val="kk-KZ"/>
        </w:rPr>
        <w:t>енге,</w:t>
      </w:r>
      <w:r w:rsidRPr="00F0736F">
        <w:rPr>
          <w:rFonts w:ascii="Times New Roman" w:hAnsi="Times New Roman" w:cs="Times New Roman"/>
          <w:color w:val="000000" w:themeColor="text1"/>
          <w:szCs w:val="28"/>
        </w:rPr>
        <w:t xml:space="preserve"> а в 2019 году – 505,0 млрд. тенге, </w:t>
      </w:r>
      <w:r w:rsidRPr="00F0736F">
        <w:rPr>
          <w:rFonts w:ascii="Times New Roman" w:hAnsi="Times New Roman" w:cs="Times New Roman"/>
          <w:color w:val="000000" w:themeColor="text1"/>
          <w:szCs w:val="28"/>
          <w:lang w:val="kk-KZ"/>
        </w:rPr>
        <w:t xml:space="preserve">в том числе продукции </w:t>
      </w:r>
      <w:r w:rsidRPr="00F0736F">
        <w:rPr>
          <w:rFonts w:ascii="Times New Roman" w:hAnsi="Times New Roman" w:cs="Times New Roman"/>
          <w:b/>
          <w:color w:val="000000" w:themeColor="text1"/>
          <w:szCs w:val="28"/>
          <w:lang w:val="kk-KZ"/>
        </w:rPr>
        <w:t>обрабатывающей промышленности</w:t>
      </w:r>
      <w:r w:rsidRPr="00F0736F">
        <w:rPr>
          <w:rFonts w:ascii="Times New Roman" w:hAnsi="Times New Roman" w:cs="Times New Roman"/>
          <w:color w:val="000000" w:themeColor="text1"/>
          <w:szCs w:val="28"/>
          <w:lang w:val="kk-KZ"/>
        </w:rPr>
        <w:t xml:space="preserve"> на 213,8 млрд. тенге (2017 год </w:t>
      </w:r>
      <w:r w:rsidRPr="00F0736F">
        <w:rPr>
          <w:rFonts w:ascii="Times New Roman" w:hAnsi="Times New Roman" w:cs="Times New Roman"/>
          <w:color w:val="000000" w:themeColor="text1"/>
          <w:szCs w:val="28"/>
        </w:rPr>
        <w:t>по</w:t>
      </w:r>
      <w:r w:rsidRPr="00F0736F">
        <w:rPr>
          <w:rFonts w:ascii="Times New Roman" w:hAnsi="Times New Roman" w:cs="Times New Roman"/>
          <w:color w:val="000000" w:themeColor="text1"/>
          <w:szCs w:val="28"/>
          <w:lang w:val="kk-KZ"/>
        </w:rPr>
        <w:t xml:space="preserve"> ЮКО – 575,8 млрд. </w:t>
      </w:r>
      <w:r w:rsidRPr="00F0736F">
        <w:rPr>
          <w:rFonts w:ascii="Times New Roman" w:hAnsi="Times New Roman" w:cs="Times New Roman"/>
          <w:color w:val="000000" w:themeColor="text1"/>
          <w:szCs w:val="28"/>
        </w:rPr>
        <w:t>т</w:t>
      </w:r>
      <w:r w:rsidRPr="00F0736F">
        <w:rPr>
          <w:rFonts w:ascii="Times New Roman" w:hAnsi="Times New Roman" w:cs="Times New Roman"/>
          <w:color w:val="000000" w:themeColor="text1"/>
          <w:szCs w:val="28"/>
          <w:lang w:val="kk-KZ"/>
        </w:rPr>
        <w:t xml:space="preserve">енге), </w:t>
      </w:r>
      <w:r w:rsidRPr="00F0736F">
        <w:rPr>
          <w:rFonts w:ascii="Times New Roman" w:hAnsi="Times New Roman" w:cs="Times New Roman"/>
          <w:color w:val="000000" w:themeColor="text1"/>
          <w:szCs w:val="28"/>
        </w:rPr>
        <w:t>за 2019 год — 244,6 млрд. тенге</w:t>
      </w:r>
      <w:r w:rsidRPr="00F0736F">
        <w:rPr>
          <w:rFonts w:ascii="Times New Roman" w:hAnsi="Times New Roman" w:cs="Times New Roman"/>
          <w:color w:val="000000" w:themeColor="text1"/>
          <w:szCs w:val="28"/>
          <w:lang w:val="kk-KZ"/>
        </w:rPr>
        <w:t>.</w:t>
      </w:r>
    </w:p>
    <w:p w14:paraId="6D0A22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Развитие горнодобывающей промышленности связано с экспорто-ориентированной добычей полезных ископаемых, прежде всего, урана. Кроме того, строительство международного транспортного коридора «Западная Европа-Западный Китай» и международная автомобильная дорога М-39 «Алматы-Ташкент-Термез» повлияло на развитие горнодобывающей промышленности, что вызвало спрос на добычу нерудных полезных ископаемых.</w:t>
      </w:r>
    </w:p>
    <w:p w14:paraId="38C953BF"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Добыча металлических руд осуществляется в Созакском и Отырарском районах. А в остальных районах и городах (кроме Мактааральского, Жетысайского и Шардаринского района) добываются общераспространенные полезные ископаемые.</w:t>
      </w:r>
    </w:p>
    <w:p w14:paraId="1E9E8627"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Основу о</w:t>
      </w:r>
      <w:r w:rsidRPr="00F0736F">
        <w:rPr>
          <w:rFonts w:ascii="Times New Roman" w:hAnsi="Times New Roman" w:cs="Times New Roman"/>
          <w:color w:val="000000" w:themeColor="text1"/>
        </w:rPr>
        <w:t xml:space="preserve">брабатывающей промышленности региона составляют производство продуктов питания, металлургическая промышленность, производство прочей неметаллической минеральной продукции и машиностроение. </w:t>
      </w:r>
    </w:p>
    <w:p w14:paraId="428D4FB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Доля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в валовом региональном продукте по итогам 2017 года области составляла 9,5%, за 2018 год по Туркестанской области составила 19,5%.</w:t>
      </w:r>
    </w:p>
    <w:p w14:paraId="42393A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 xml:space="preserve">Производительность труда на 1 работника в 2016 году составила </w:t>
      </w:r>
      <w:r w:rsidRPr="00F0736F">
        <w:rPr>
          <w:rFonts w:ascii="Times New Roman" w:hAnsi="Times New Roman" w:cs="Times New Roman"/>
          <w:bCs/>
          <w:color w:val="000000" w:themeColor="text1"/>
          <w:szCs w:val="28"/>
        </w:rPr>
        <w:t>1430 тыс. тенге</w:t>
      </w:r>
      <w:r w:rsidRPr="00F0736F">
        <w:rPr>
          <w:rFonts w:ascii="Times New Roman" w:hAnsi="Times New Roman" w:cs="Times New Roman"/>
          <w:color w:val="000000" w:themeColor="text1"/>
          <w:szCs w:val="28"/>
        </w:rPr>
        <w:t xml:space="preserve">, или рост </w:t>
      </w:r>
      <w:r w:rsidRPr="00F0736F">
        <w:rPr>
          <w:rFonts w:ascii="Times New Roman" w:hAnsi="Times New Roman" w:cs="Times New Roman"/>
          <w:bCs/>
          <w:color w:val="000000" w:themeColor="text1"/>
          <w:szCs w:val="28"/>
        </w:rPr>
        <w:t xml:space="preserve">42,5%. </w:t>
      </w:r>
      <w:r w:rsidRPr="00F0736F">
        <w:rPr>
          <w:rFonts w:ascii="Times New Roman" w:hAnsi="Times New Roman" w:cs="Times New Roman"/>
          <w:color w:val="000000" w:themeColor="text1"/>
          <w:szCs w:val="28"/>
          <w:lang w:val="kk-KZ"/>
        </w:rPr>
        <w:t>В 2017</w:t>
      </w:r>
      <w:r w:rsidRPr="00F0736F">
        <w:rPr>
          <w:rFonts w:ascii="Times New Roman" w:hAnsi="Times New Roman" w:cs="Times New Roman"/>
          <w:color w:val="000000" w:themeColor="text1"/>
          <w:szCs w:val="28"/>
        </w:rPr>
        <w:t xml:space="preserve"> году количество работников лесного, сельского и рыбного хозяйств составило </w:t>
      </w:r>
      <w:r w:rsidRPr="00F0736F">
        <w:rPr>
          <w:rFonts w:ascii="Times New Roman" w:hAnsi="Times New Roman" w:cs="Times New Roman"/>
          <w:color w:val="000000" w:themeColor="text1"/>
          <w:szCs w:val="28"/>
          <w:lang w:val="kk-KZ"/>
        </w:rPr>
        <w:t xml:space="preserve">180,3 </w:t>
      </w:r>
      <w:r w:rsidRPr="00F0736F">
        <w:rPr>
          <w:rFonts w:ascii="Times New Roman" w:hAnsi="Times New Roman" w:cs="Times New Roman"/>
          <w:color w:val="000000" w:themeColor="text1"/>
          <w:szCs w:val="28"/>
        </w:rPr>
        <w:t xml:space="preserve">тыс. человек, производительность труда в расчете на одного работника составила 1552 тыс. тенге, увеличившись на </w:t>
      </w:r>
      <w:r w:rsidRPr="00F0736F">
        <w:rPr>
          <w:rFonts w:ascii="Times New Roman" w:hAnsi="Times New Roman" w:cs="Times New Roman"/>
          <w:color w:val="000000" w:themeColor="text1"/>
          <w:szCs w:val="28"/>
          <w:lang w:val="kk-KZ"/>
        </w:rPr>
        <w:t>8,5</w:t>
      </w:r>
      <w:r w:rsidRPr="00F0736F">
        <w:rPr>
          <w:rFonts w:ascii="Times New Roman" w:hAnsi="Times New Roman" w:cs="Times New Roman"/>
          <w:color w:val="000000" w:themeColor="text1"/>
          <w:szCs w:val="28"/>
        </w:rPr>
        <w:t>%</w:t>
      </w:r>
      <w:r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rPr>
        <w:t xml:space="preserve">За 2018 год по Туркестанской области количество работников лесного, сельского и рыбного хозяйств составило </w:t>
      </w:r>
      <w:r w:rsidRPr="00F0736F">
        <w:rPr>
          <w:rFonts w:ascii="Times New Roman" w:hAnsi="Times New Roman" w:cs="Times New Roman"/>
          <w:color w:val="000000" w:themeColor="text1"/>
          <w:szCs w:val="28"/>
          <w:lang w:val="kk-KZ"/>
        </w:rPr>
        <w:t>172</w:t>
      </w:r>
      <w:r w:rsidRPr="00F0736F">
        <w:rPr>
          <w:rFonts w:ascii="Times New Roman" w:hAnsi="Times New Roman" w:cs="Times New Roman"/>
          <w:color w:val="000000" w:themeColor="text1"/>
          <w:szCs w:val="28"/>
        </w:rPr>
        <w:t xml:space="preserve"> тыс. человек, производительность труда в расчете на одного работника составила </w:t>
      </w:r>
      <w:r w:rsidRPr="00F0736F">
        <w:rPr>
          <w:rFonts w:ascii="Times New Roman" w:hAnsi="Times New Roman" w:cs="Times New Roman"/>
          <w:color w:val="000000" w:themeColor="text1"/>
          <w:szCs w:val="28"/>
          <w:lang w:val="kk-KZ"/>
        </w:rPr>
        <w:t xml:space="preserve">1726 </w:t>
      </w:r>
      <w:r w:rsidRPr="00F0736F">
        <w:rPr>
          <w:rFonts w:ascii="Times New Roman" w:hAnsi="Times New Roman" w:cs="Times New Roman"/>
          <w:color w:val="000000" w:themeColor="text1"/>
          <w:szCs w:val="28"/>
        </w:rPr>
        <w:t xml:space="preserve">тыс. тенге, увеличившись на </w:t>
      </w:r>
      <w:r w:rsidRPr="00F0736F">
        <w:rPr>
          <w:rFonts w:ascii="Times New Roman" w:hAnsi="Times New Roman" w:cs="Times New Roman"/>
          <w:color w:val="000000" w:themeColor="text1"/>
          <w:szCs w:val="28"/>
          <w:lang w:val="kk-KZ"/>
        </w:rPr>
        <w:t>11,2</w:t>
      </w:r>
      <w:r w:rsidRPr="00F0736F">
        <w:rPr>
          <w:rFonts w:ascii="Times New Roman" w:hAnsi="Times New Roman" w:cs="Times New Roman"/>
          <w:color w:val="000000" w:themeColor="text1"/>
          <w:szCs w:val="28"/>
        </w:rPr>
        <w:t>%</w:t>
      </w:r>
      <w:r w:rsidRPr="00F0736F">
        <w:rPr>
          <w:rFonts w:ascii="Times New Roman" w:hAnsi="Times New Roman" w:cs="Times New Roman"/>
          <w:color w:val="000000" w:themeColor="text1"/>
          <w:szCs w:val="28"/>
          <w:lang w:val="kk-KZ"/>
        </w:rPr>
        <w:t xml:space="preserve"> (2019 год – 2077,8 тыс. тенге).</w:t>
      </w:r>
    </w:p>
    <w:p w14:paraId="2884A62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в 2017 году объем сельскохозяйственной продукции составил 505,3 млрд. тенге, по сравнению с предшествующим годом увеличился на 102%, в 2018 году – 548,7 млрд. тенге, а в 2019 году составил 614,0 млрд. тенге, с преимуществом растениеводства (55,7%).</w:t>
      </w:r>
    </w:p>
    <w:p w14:paraId="03E7AFA5"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Переход сельского хозяйства в высокопроизводительные методы. Снижение затрат воды и повышение урожайности. Развитие органического сельского хозяйства.</w:t>
      </w:r>
    </w:p>
    <w:p w14:paraId="6A49EF42"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rPr>
        <w:t xml:space="preserve">Земельный фонд области </w:t>
      </w:r>
      <w:r w:rsidRPr="00F0736F">
        <w:rPr>
          <w:rFonts w:ascii="Times New Roman" w:hAnsi="Times New Roman" w:cs="Times New Roman"/>
          <w:bCs/>
          <w:iCs/>
          <w:color w:val="000000" w:themeColor="text1"/>
          <w:lang w:val="kk-KZ"/>
        </w:rPr>
        <w:t xml:space="preserve">по состоянию на 01.01.2018 года </w:t>
      </w:r>
      <w:r w:rsidRPr="00F0736F">
        <w:rPr>
          <w:rFonts w:ascii="Times New Roman" w:hAnsi="Times New Roman" w:cs="Times New Roman"/>
          <w:bCs/>
          <w:iCs/>
          <w:color w:val="000000" w:themeColor="text1"/>
        </w:rPr>
        <w:t xml:space="preserve">составлял </w:t>
      </w:r>
      <w:r w:rsidRPr="00F0736F">
        <w:rPr>
          <w:rFonts w:ascii="Times New Roman" w:hAnsi="Times New Roman" w:cs="Times New Roman"/>
          <w:bCs/>
          <w:iCs/>
          <w:color w:val="000000" w:themeColor="text1"/>
          <w:lang w:val="kk-KZ"/>
        </w:rPr>
        <w:t xml:space="preserve">11725,8 </w:t>
      </w:r>
      <w:r w:rsidRPr="00F0736F">
        <w:rPr>
          <w:rFonts w:ascii="Times New Roman" w:hAnsi="Times New Roman" w:cs="Times New Roman"/>
          <w:bCs/>
          <w:iCs/>
          <w:color w:val="000000" w:themeColor="text1"/>
        </w:rPr>
        <w:t xml:space="preserve">тыс. га. Площадь сельскохозяйственных угодий составляла </w:t>
      </w:r>
      <w:r w:rsidRPr="00F0736F">
        <w:rPr>
          <w:rFonts w:ascii="Times New Roman" w:hAnsi="Times New Roman" w:cs="Times New Roman"/>
          <w:bCs/>
          <w:iCs/>
          <w:color w:val="000000" w:themeColor="text1"/>
          <w:lang w:val="kk-KZ"/>
        </w:rPr>
        <w:t xml:space="preserve">10123,0 </w:t>
      </w:r>
      <w:r w:rsidRPr="00F0736F">
        <w:rPr>
          <w:rFonts w:ascii="Times New Roman" w:hAnsi="Times New Roman" w:cs="Times New Roman"/>
          <w:bCs/>
          <w:iCs/>
          <w:color w:val="000000" w:themeColor="text1"/>
        </w:rPr>
        <w:t xml:space="preserve">тыс. га. </w:t>
      </w:r>
    </w:p>
    <w:p w14:paraId="316C9829"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rPr>
        <w:t xml:space="preserve">В 2018 году земельный фонд Туркестанской области составил 11609,5 тыс. га. В общей структуре земельного фонда области земли сельскохозяйственного назначения составляют </w:t>
      </w:r>
      <w:r w:rsidRPr="00F0736F">
        <w:rPr>
          <w:rFonts w:ascii="Times New Roman" w:hAnsi="Times New Roman" w:cs="Times New Roman"/>
          <w:bCs/>
          <w:iCs/>
          <w:color w:val="000000" w:themeColor="text1"/>
          <w:lang w:val="kk-KZ"/>
        </w:rPr>
        <w:t xml:space="preserve">4068,4 </w:t>
      </w:r>
      <w:r w:rsidRPr="00F0736F">
        <w:rPr>
          <w:rFonts w:ascii="Times New Roman" w:hAnsi="Times New Roman" w:cs="Times New Roman"/>
          <w:bCs/>
          <w:iCs/>
          <w:color w:val="000000" w:themeColor="text1"/>
        </w:rPr>
        <w:t>тыс. га, земли населенных пунктов – 777,4</w:t>
      </w:r>
      <w:r w:rsidRPr="00F0736F">
        <w:rPr>
          <w:rFonts w:ascii="Times New Roman" w:hAnsi="Times New Roman" w:cs="Times New Roman"/>
          <w:bCs/>
          <w:iCs/>
          <w:color w:val="000000" w:themeColor="text1"/>
          <w:lang w:val="kk-KZ"/>
        </w:rPr>
        <w:t xml:space="preserve"> </w:t>
      </w:r>
      <w:r w:rsidRPr="00F0736F">
        <w:rPr>
          <w:rFonts w:ascii="Times New Roman" w:hAnsi="Times New Roman" w:cs="Times New Roman"/>
          <w:bCs/>
          <w:iCs/>
          <w:color w:val="000000" w:themeColor="text1"/>
        </w:rPr>
        <w:t>тыс. га, земли промышленности, транспорта и связи, обороны и иного несельскохозяйственного назначения – 98,1</w:t>
      </w:r>
      <w:r w:rsidRPr="00F0736F">
        <w:rPr>
          <w:rFonts w:ascii="Times New Roman" w:hAnsi="Times New Roman" w:cs="Times New Roman"/>
          <w:bCs/>
          <w:iCs/>
          <w:color w:val="000000" w:themeColor="text1"/>
          <w:lang w:val="kk-KZ"/>
        </w:rPr>
        <w:t xml:space="preserve"> </w:t>
      </w:r>
      <w:r w:rsidRPr="00F0736F">
        <w:rPr>
          <w:rFonts w:ascii="Times New Roman" w:hAnsi="Times New Roman" w:cs="Times New Roman"/>
          <w:bCs/>
          <w:iCs/>
          <w:color w:val="000000" w:themeColor="text1"/>
        </w:rPr>
        <w:t xml:space="preserve">тыс. га, земли особо охраняемых природных территорий – </w:t>
      </w:r>
      <w:r w:rsidRPr="00F0736F">
        <w:rPr>
          <w:rFonts w:ascii="Times New Roman" w:hAnsi="Times New Roman" w:cs="Times New Roman"/>
          <w:bCs/>
          <w:iCs/>
          <w:color w:val="000000" w:themeColor="text1"/>
          <w:lang w:val="kk-KZ"/>
        </w:rPr>
        <w:t xml:space="preserve">430,9 </w:t>
      </w:r>
      <w:r w:rsidRPr="00F0736F">
        <w:rPr>
          <w:rFonts w:ascii="Times New Roman" w:hAnsi="Times New Roman" w:cs="Times New Roman"/>
          <w:bCs/>
          <w:iCs/>
          <w:color w:val="000000" w:themeColor="text1"/>
        </w:rPr>
        <w:t xml:space="preserve">тыс. га, земли лесного фонда – </w:t>
      </w:r>
      <w:r w:rsidRPr="00F0736F">
        <w:rPr>
          <w:rFonts w:ascii="Times New Roman" w:hAnsi="Times New Roman" w:cs="Times New Roman"/>
          <w:bCs/>
          <w:iCs/>
          <w:color w:val="000000" w:themeColor="text1"/>
          <w:lang w:val="kk-KZ"/>
        </w:rPr>
        <w:t xml:space="preserve">3010,3 </w:t>
      </w:r>
      <w:r w:rsidRPr="00F0736F">
        <w:rPr>
          <w:rFonts w:ascii="Times New Roman" w:hAnsi="Times New Roman" w:cs="Times New Roman"/>
          <w:bCs/>
          <w:iCs/>
          <w:color w:val="000000" w:themeColor="text1"/>
        </w:rPr>
        <w:t xml:space="preserve">тыс. га, земли водного фонда – </w:t>
      </w:r>
      <w:r w:rsidRPr="00F0736F">
        <w:rPr>
          <w:rFonts w:ascii="Times New Roman" w:hAnsi="Times New Roman" w:cs="Times New Roman"/>
          <w:bCs/>
          <w:iCs/>
          <w:color w:val="000000" w:themeColor="text1"/>
          <w:lang w:val="kk-KZ"/>
        </w:rPr>
        <w:t xml:space="preserve">133,2 </w:t>
      </w:r>
      <w:r w:rsidRPr="00F0736F">
        <w:rPr>
          <w:rFonts w:ascii="Times New Roman" w:hAnsi="Times New Roman" w:cs="Times New Roman"/>
          <w:bCs/>
          <w:iCs/>
          <w:color w:val="000000" w:themeColor="text1"/>
        </w:rPr>
        <w:t xml:space="preserve">тыс. га., земли запаса – </w:t>
      </w:r>
      <w:r w:rsidRPr="00F0736F">
        <w:rPr>
          <w:rFonts w:ascii="Times New Roman" w:hAnsi="Times New Roman" w:cs="Times New Roman"/>
          <w:bCs/>
          <w:iCs/>
          <w:color w:val="000000" w:themeColor="text1"/>
          <w:lang w:val="kk-KZ"/>
        </w:rPr>
        <w:t xml:space="preserve">3091,0 </w:t>
      </w:r>
      <w:r w:rsidRPr="00F0736F">
        <w:rPr>
          <w:rFonts w:ascii="Times New Roman" w:hAnsi="Times New Roman" w:cs="Times New Roman"/>
          <w:bCs/>
          <w:iCs/>
          <w:color w:val="000000" w:themeColor="text1"/>
        </w:rPr>
        <w:t>тыс. га.</w:t>
      </w:r>
    </w:p>
    <w:p w14:paraId="2E1626E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акиматами районов, городов на землях сельскохозяйственного назначения были проведены работы по инвентаризации, в результате: выявлены неиспользуемые земельные участки 281 землепользователя с общей площадью </w:t>
      </w:r>
      <w:r w:rsidRPr="00F0736F">
        <w:rPr>
          <w:rFonts w:ascii="Times New Roman" w:hAnsi="Times New Roman" w:cs="Times New Roman"/>
          <w:color w:val="000000" w:themeColor="text1"/>
          <w:lang w:val="kk-KZ"/>
        </w:rPr>
        <w:t>68,3</w:t>
      </w:r>
      <w:r w:rsidRPr="00F0736F">
        <w:rPr>
          <w:rFonts w:ascii="Times New Roman" w:hAnsi="Times New Roman" w:cs="Times New Roman"/>
          <w:color w:val="000000" w:themeColor="text1"/>
        </w:rPr>
        <w:t xml:space="preserve"> тыс. га (в том числе пашня - </w:t>
      </w:r>
      <w:r w:rsidRPr="00F0736F">
        <w:rPr>
          <w:rFonts w:ascii="Times New Roman" w:hAnsi="Times New Roman" w:cs="Times New Roman"/>
          <w:color w:val="000000" w:themeColor="text1"/>
          <w:lang w:val="kk-KZ"/>
        </w:rPr>
        <w:t>18,4</w:t>
      </w:r>
      <w:r w:rsidRPr="00F0736F">
        <w:rPr>
          <w:rFonts w:ascii="Times New Roman" w:hAnsi="Times New Roman" w:cs="Times New Roman"/>
          <w:color w:val="000000" w:themeColor="text1"/>
        </w:rPr>
        <w:t xml:space="preserve"> тыс. га, пастбища – 4</w:t>
      </w:r>
      <w:r w:rsidRPr="00F0736F">
        <w:rPr>
          <w:rFonts w:ascii="Times New Roman" w:hAnsi="Times New Roman" w:cs="Times New Roman"/>
          <w:color w:val="000000" w:themeColor="text1"/>
          <w:lang w:val="kk-KZ"/>
        </w:rPr>
        <w:t>9,9</w:t>
      </w:r>
      <w:r w:rsidRPr="00F0736F">
        <w:rPr>
          <w:rFonts w:ascii="Times New Roman" w:hAnsi="Times New Roman" w:cs="Times New Roman"/>
          <w:color w:val="000000" w:themeColor="text1"/>
        </w:rPr>
        <w:t xml:space="preserve"> тыс. га).</w:t>
      </w:r>
    </w:p>
    <w:p w14:paraId="22E017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Из них н</w:t>
      </w:r>
      <w:r w:rsidRPr="00F0736F">
        <w:rPr>
          <w:rFonts w:ascii="Times New Roman" w:hAnsi="Times New Roman" w:cs="Times New Roman"/>
          <w:color w:val="000000" w:themeColor="text1"/>
        </w:rPr>
        <w:t>а данное время по неиспользуемым земельным участкам приняты следующие меры:</w:t>
      </w:r>
    </w:p>
    <w:p w14:paraId="09E90B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земли землепользователей на площади </w:t>
      </w:r>
      <w:r w:rsidRPr="00F0736F">
        <w:rPr>
          <w:rFonts w:ascii="Times New Roman" w:hAnsi="Times New Roman" w:cs="Times New Roman"/>
          <w:color w:val="000000" w:themeColor="text1"/>
          <w:lang w:val="kk-KZ"/>
        </w:rPr>
        <w:t>15,4</w:t>
      </w:r>
      <w:r w:rsidRPr="00F0736F">
        <w:rPr>
          <w:rFonts w:ascii="Times New Roman" w:hAnsi="Times New Roman" w:cs="Times New Roman"/>
          <w:color w:val="000000" w:themeColor="text1"/>
        </w:rPr>
        <w:t xml:space="preserve"> тыс. га </w:t>
      </w:r>
      <w:r w:rsidRPr="00F0736F">
        <w:rPr>
          <w:rFonts w:ascii="Times New Roman" w:hAnsi="Times New Roman" w:cs="Times New Roman"/>
          <w:color w:val="000000" w:themeColor="text1"/>
          <w:lang w:eastAsia="kk-KZ"/>
        </w:rPr>
        <w:t xml:space="preserve">(из них пашня </w:t>
      </w:r>
      <w:r w:rsidRPr="00F0736F">
        <w:rPr>
          <w:rFonts w:ascii="Times New Roman" w:hAnsi="Times New Roman" w:cs="Times New Roman"/>
          <w:color w:val="000000" w:themeColor="text1"/>
          <w:lang w:val="kk-KZ" w:eastAsia="kk-KZ"/>
        </w:rPr>
        <w:t xml:space="preserve">1,0 </w:t>
      </w:r>
      <w:r w:rsidRPr="00F0736F">
        <w:rPr>
          <w:rFonts w:ascii="Times New Roman" w:hAnsi="Times New Roman" w:cs="Times New Roman"/>
          <w:color w:val="000000" w:themeColor="text1"/>
          <w:lang w:eastAsia="kk-KZ"/>
        </w:rPr>
        <w:t xml:space="preserve">тыс. га, пастбища </w:t>
      </w:r>
      <w:r w:rsidRPr="00F0736F">
        <w:rPr>
          <w:rFonts w:ascii="Times New Roman" w:hAnsi="Times New Roman" w:cs="Times New Roman"/>
          <w:color w:val="000000" w:themeColor="text1"/>
          <w:lang w:val="kk-KZ" w:eastAsia="kk-KZ"/>
        </w:rPr>
        <w:t>14,4</w:t>
      </w:r>
      <w:r w:rsidRPr="00F0736F">
        <w:rPr>
          <w:rFonts w:ascii="Times New Roman" w:hAnsi="Times New Roman" w:cs="Times New Roman"/>
          <w:color w:val="000000" w:themeColor="text1"/>
          <w:lang w:eastAsia="kk-KZ"/>
        </w:rPr>
        <w:t xml:space="preserve"> тыс. га) </w:t>
      </w:r>
      <w:r w:rsidRPr="00F0736F">
        <w:rPr>
          <w:rFonts w:ascii="Times New Roman" w:hAnsi="Times New Roman" w:cs="Times New Roman"/>
          <w:color w:val="000000" w:themeColor="text1"/>
        </w:rPr>
        <w:t>возвращены в государственную собственность;</w:t>
      </w:r>
    </w:p>
    <w:p w14:paraId="4C6D127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после принятия мер реагирования</w:t>
      </w:r>
      <w:r w:rsidRPr="00F0736F">
        <w:rPr>
          <w:rFonts w:ascii="Times New Roman" w:hAnsi="Times New Roman" w:cs="Times New Roman"/>
          <w:color w:val="000000" w:themeColor="text1"/>
        </w:rPr>
        <w:t xml:space="preserve"> на площади </w:t>
      </w:r>
      <w:r w:rsidRPr="00F0736F">
        <w:rPr>
          <w:rFonts w:ascii="Times New Roman" w:hAnsi="Times New Roman" w:cs="Times New Roman"/>
          <w:color w:val="000000" w:themeColor="text1"/>
          <w:lang w:val="kk-KZ"/>
        </w:rPr>
        <w:t>1,5</w:t>
      </w:r>
      <w:r w:rsidRPr="00F0736F">
        <w:rPr>
          <w:rFonts w:ascii="Times New Roman" w:hAnsi="Times New Roman" w:cs="Times New Roman"/>
          <w:color w:val="000000" w:themeColor="text1"/>
        </w:rPr>
        <w:t xml:space="preserve"> тыс. га </w:t>
      </w:r>
      <w:r w:rsidRPr="00F0736F">
        <w:rPr>
          <w:rFonts w:ascii="Times New Roman" w:hAnsi="Times New Roman" w:cs="Times New Roman"/>
          <w:color w:val="000000" w:themeColor="text1"/>
          <w:lang w:eastAsia="kk-KZ"/>
        </w:rPr>
        <w:t xml:space="preserve">(из них пашня </w:t>
      </w:r>
      <w:r w:rsidRPr="00F0736F">
        <w:rPr>
          <w:rFonts w:ascii="Times New Roman" w:hAnsi="Times New Roman" w:cs="Times New Roman"/>
          <w:color w:val="000000" w:themeColor="text1"/>
          <w:lang w:val="kk-KZ" w:eastAsia="kk-KZ"/>
        </w:rPr>
        <w:t xml:space="preserve">0,4 </w:t>
      </w:r>
      <w:r w:rsidRPr="00F0736F">
        <w:rPr>
          <w:rFonts w:ascii="Times New Roman" w:hAnsi="Times New Roman" w:cs="Times New Roman"/>
          <w:color w:val="000000" w:themeColor="text1"/>
          <w:lang w:eastAsia="kk-KZ"/>
        </w:rPr>
        <w:t xml:space="preserve">тыс. га, пастбища </w:t>
      </w:r>
      <w:r w:rsidRPr="00F0736F">
        <w:rPr>
          <w:rFonts w:ascii="Times New Roman" w:hAnsi="Times New Roman" w:cs="Times New Roman"/>
          <w:color w:val="000000" w:themeColor="text1"/>
          <w:lang w:val="kk-KZ" w:eastAsia="kk-KZ"/>
        </w:rPr>
        <w:t>1,1</w:t>
      </w:r>
      <w:r w:rsidRPr="00F0736F">
        <w:rPr>
          <w:rFonts w:ascii="Times New Roman" w:hAnsi="Times New Roman" w:cs="Times New Roman"/>
          <w:color w:val="000000" w:themeColor="text1"/>
          <w:lang w:eastAsia="kk-KZ"/>
        </w:rPr>
        <w:t xml:space="preserve"> тыс. га</w:t>
      </w:r>
      <w:r w:rsidRPr="00F0736F">
        <w:rPr>
          <w:rFonts w:ascii="Times New Roman" w:hAnsi="Times New Roman" w:cs="Times New Roman"/>
          <w:color w:val="000000" w:themeColor="text1"/>
          <w:lang w:val="kk-KZ" w:eastAsia="kk-KZ"/>
        </w:rPr>
        <w:t xml:space="preserve">) </w:t>
      </w:r>
      <w:r w:rsidRPr="00F0736F">
        <w:rPr>
          <w:rFonts w:ascii="Times New Roman" w:hAnsi="Times New Roman" w:cs="Times New Roman"/>
          <w:color w:val="000000" w:themeColor="text1"/>
          <w:lang w:val="kk-KZ"/>
        </w:rPr>
        <w:t xml:space="preserve">землепользователи </w:t>
      </w:r>
      <w:r w:rsidRPr="00F0736F">
        <w:rPr>
          <w:rFonts w:ascii="Times New Roman" w:hAnsi="Times New Roman" w:cs="Times New Roman"/>
          <w:color w:val="000000" w:themeColor="text1"/>
        </w:rPr>
        <w:t>приступили к использованию своих земель;</w:t>
      </w:r>
    </w:p>
    <w:p w14:paraId="0F6B1F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земли на площади </w:t>
      </w:r>
      <w:r w:rsidRPr="00F0736F">
        <w:rPr>
          <w:rFonts w:ascii="Times New Roman" w:hAnsi="Times New Roman" w:cs="Times New Roman"/>
          <w:color w:val="000000" w:themeColor="text1"/>
          <w:lang w:val="kk-KZ"/>
        </w:rPr>
        <w:t>0,3</w:t>
      </w:r>
      <w:r w:rsidRPr="00F0736F">
        <w:rPr>
          <w:rFonts w:ascii="Times New Roman" w:hAnsi="Times New Roman" w:cs="Times New Roman"/>
          <w:color w:val="000000" w:themeColor="text1"/>
        </w:rPr>
        <w:t xml:space="preserve"> тыс. га зарегистрированы как бесхозяйное имущество;</w:t>
      </w:r>
    </w:p>
    <w:p w14:paraId="1B9D8BC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 материалы земель на площади 3,4 тыс. га </w:t>
      </w:r>
      <w:r w:rsidRPr="00F0736F">
        <w:rPr>
          <w:rFonts w:ascii="Times New Roman" w:hAnsi="Times New Roman" w:cs="Times New Roman"/>
          <w:color w:val="000000" w:themeColor="text1"/>
          <w:lang w:eastAsia="kk-KZ"/>
        </w:rPr>
        <w:t xml:space="preserve">(из них пашня </w:t>
      </w:r>
      <w:r w:rsidRPr="00F0736F">
        <w:rPr>
          <w:rFonts w:ascii="Times New Roman" w:hAnsi="Times New Roman" w:cs="Times New Roman"/>
          <w:color w:val="000000" w:themeColor="text1"/>
          <w:lang w:val="kk-KZ" w:eastAsia="kk-KZ"/>
        </w:rPr>
        <w:t xml:space="preserve">1,4 </w:t>
      </w:r>
      <w:r w:rsidRPr="00F0736F">
        <w:rPr>
          <w:rFonts w:ascii="Times New Roman" w:hAnsi="Times New Roman" w:cs="Times New Roman"/>
          <w:color w:val="000000" w:themeColor="text1"/>
          <w:lang w:eastAsia="kk-KZ"/>
        </w:rPr>
        <w:t xml:space="preserve">тыс. га, пастбища </w:t>
      </w:r>
      <w:r w:rsidRPr="00F0736F">
        <w:rPr>
          <w:rFonts w:ascii="Times New Roman" w:hAnsi="Times New Roman" w:cs="Times New Roman"/>
          <w:color w:val="000000" w:themeColor="text1"/>
          <w:lang w:val="kk-KZ" w:eastAsia="kk-KZ"/>
        </w:rPr>
        <w:t xml:space="preserve">2,0 </w:t>
      </w:r>
      <w:r w:rsidRPr="00F0736F">
        <w:rPr>
          <w:rFonts w:ascii="Times New Roman" w:hAnsi="Times New Roman" w:cs="Times New Roman"/>
          <w:color w:val="000000" w:themeColor="text1"/>
          <w:lang w:eastAsia="kk-KZ"/>
        </w:rPr>
        <w:t xml:space="preserve">тыс. га), </w:t>
      </w:r>
      <w:r w:rsidRPr="00F0736F">
        <w:rPr>
          <w:rFonts w:ascii="Times New Roman" w:hAnsi="Times New Roman" w:cs="Times New Roman"/>
          <w:color w:val="000000" w:themeColor="text1"/>
          <w:lang w:val="kk-KZ"/>
        </w:rPr>
        <w:t>подлежащие возврату в государственную собственность, находятся в работе уполномоченных органов по земельным отношениям районов, городов.</w:t>
      </w:r>
    </w:p>
    <w:p w14:paraId="0608C00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остальным, оставшимся в разрезе районов и городов </w:t>
      </w:r>
      <w:r w:rsidRPr="00F0736F">
        <w:rPr>
          <w:rFonts w:ascii="Times New Roman" w:hAnsi="Times New Roman" w:cs="Times New Roman"/>
          <w:color w:val="000000" w:themeColor="text1"/>
          <w:lang w:val="kk-KZ"/>
        </w:rPr>
        <w:t>47,7</w:t>
      </w:r>
      <w:r w:rsidRPr="00F0736F">
        <w:rPr>
          <w:rFonts w:ascii="Times New Roman" w:hAnsi="Times New Roman" w:cs="Times New Roman"/>
          <w:color w:val="000000" w:themeColor="text1"/>
        </w:rPr>
        <w:t xml:space="preserve"> тыс. га </w:t>
      </w:r>
      <w:r w:rsidRPr="00F0736F">
        <w:rPr>
          <w:rFonts w:ascii="Times New Roman" w:hAnsi="Times New Roman" w:cs="Times New Roman"/>
          <w:color w:val="000000" w:themeColor="text1"/>
          <w:lang w:eastAsia="kk-KZ"/>
        </w:rPr>
        <w:t xml:space="preserve">(из них пашня </w:t>
      </w:r>
      <w:r w:rsidRPr="00F0736F">
        <w:rPr>
          <w:rFonts w:ascii="Times New Roman" w:hAnsi="Times New Roman" w:cs="Times New Roman"/>
          <w:color w:val="000000" w:themeColor="text1"/>
          <w:lang w:val="kk-KZ" w:eastAsia="kk-KZ"/>
        </w:rPr>
        <w:t xml:space="preserve">15,4 </w:t>
      </w:r>
      <w:r w:rsidRPr="00F0736F">
        <w:rPr>
          <w:rFonts w:ascii="Times New Roman" w:hAnsi="Times New Roman" w:cs="Times New Roman"/>
          <w:color w:val="000000" w:themeColor="text1"/>
          <w:lang w:eastAsia="kk-KZ"/>
        </w:rPr>
        <w:t xml:space="preserve">тыс. га, пастбища </w:t>
      </w:r>
      <w:r w:rsidRPr="00F0736F">
        <w:rPr>
          <w:rFonts w:ascii="Times New Roman" w:hAnsi="Times New Roman" w:cs="Times New Roman"/>
          <w:color w:val="000000" w:themeColor="text1"/>
          <w:lang w:val="kk-KZ" w:eastAsia="kk-KZ"/>
        </w:rPr>
        <w:t xml:space="preserve">32,3 </w:t>
      </w:r>
      <w:r w:rsidRPr="00F0736F">
        <w:rPr>
          <w:rFonts w:ascii="Times New Roman" w:hAnsi="Times New Roman" w:cs="Times New Roman"/>
          <w:color w:val="000000" w:themeColor="text1"/>
          <w:lang w:eastAsia="kk-KZ"/>
        </w:rPr>
        <w:t xml:space="preserve">тыс. га), </w:t>
      </w:r>
      <w:r w:rsidRPr="00F0736F">
        <w:rPr>
          <w:rFonts w:ascii="Times New Roman" w:hAnsi="Times New Roman" w:cs="Times New Roman"/>
          <w:color w:val="000000" w:themeColor="text1"/>
        </w:rPr>
        <w:t>земельным участкам</w:t>
      </w:r>
      <w:r w:rsidRPr="00F0736F">
        <w:rPr>
          <w:rFonts w:ascii="Times New Roman" w:hAnsi="Times New Roman" w:cs="Times New Roman"/>
          <w:color w:val="000000" w:themeColor="text1"/>
          <w:lang w:val="kk-KZ"/>
        </w:rPr>
        <w:t xml:space="preserve"> областным управлением земельной инспекции</w:t>
      </w:r>
      <w:r w:rsidRPr="00F0736F">
        <w:rPr>
          <w:rFonts w:ascii="Times New Roman" w:hAnsi="Times New Roman" w:cs="Times New Roman"/>
          <w:color w:val="000000" w:themeColor="text1"/>
        </w:rPr>
        <w:t xml:space="preserve"> проводятся мероприятия по возврату земель в государственную собственность в соответствии с </w:t>
      </w:r>
      <w:r w:rsidRPr="00F0736F">
        <w:rPr>
          <w:rFonts w:ascii="Times New Roman" w:hAnsi="Times New Roman" w:cs="Times New Roman"/>
          <w:color w:val="000000" w:themeColor="text1"/>
          <w:lang w:val="kk-KZ"/>
        </w:rPr>
        <w:t>з</w:t>
      </w:r>
      <w:r w:rsidRPr="00F0736F">
        <w:rPr>
          <w:rFonts w:ascii="Times New Roman" w:hAnsi="Times New Roman" w:cs="Times New Roman"/>
          <w:color w:val="000000" w:themeColor="text1"/>
        </w:rPr>
        <w:t>аконодательством.</w:t>
      </w:r>
    </w:p>
    <w:p w14:paraId="18BB28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2014 - 2016 гг. для обводнения пастбищ хозяйствами построено и восстановлено 343 единицы шахтных колодцев и скважин. В 2017 году построено 263 колодца (скважин), или 235% к плану.</w:t>
      </w:r>
    </w:p>
    <w:p w14:paraId="5EFC6951" w14:textId="77777777" w:rsidR="00AC1D5B" w:rsidRPr="00F0736F" w:rsidRDefault="00AC1D5B" w:rsidP="00AC1D5B">
      <w:pPr>
        <w:ind w:firstLine="709"/>
        <w:jc w:val="both"/>
        <w:rPr>
          <w:color w:val="000000" w:themeColor="text1"/>
        </w:rPr>
      </w:pPr>
      <w:r w:rsidRPr="00F0736F">
        <w:rPr>
          <w:rFonts w:ascii="Times New Roman" w:hAnsi="Times New Roman" w:cs="Times New Roman"/>
          <w:bCs/>
          <w:iCs/>
          <w:color w:val="000000" w:themeColor="text1"/>
        </w:rPr>
        <w:t>В растениеводстве</w:t>
      </w:r>
      <w:r w:rsidRPr="00F0736F">
        <w:rPr>
          <w:rFonts w:ascii="Times New Roman" w:hAnsi="Times New Roman" w:cs="Times New Roman"/>
          <w:color w:val="000000" w:themeColor="text1"/>
        </w:rPr>
        <w:t xml:space="preserve"> продолжается работа по осуществлению структурной и технологической диверсификации, расширению посевных площадей приоритетных сельскохозяйственных культур. С целью развития животноводства предпочтение отдается увеличению площадей кормовых культур. Так, в период с 2012 г. по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 по ЮКО посевная площадь сельхозкультур увеличилась на </w:t>
      </w:r>
      <w:r w:rsidRPr="00F0736F">
        <w:rPr>
          <w:rFonts w:ascii="Times New Roman" w:hAnsi="Times New Roman" w:cs="Times New Roman"/>
          <w:color w:val="000000" w:themeColor="text1"/>
          <w:lang w:val="kk-KZ"/>
        </w:rPr>
        <w:t>84,1</w:t>
      </w:r>
      <w:r w:rsidRPr="00F0736F">
        <w:rPr>
          <w:rFonts w:ascii="Times New Roman" w:hAnsi="Times New Roman" w:cs="Times New Roman"/>
          <w:color w:val="000000" w:themeColor="text1"/>
        </w:rPr>
        <w:t xml:space="preserve"> тыс. га, тем самым составила </w:t>
      </w:r>
      <w:r w:rsidRPr="00F0736F">
        <w:rPr>
          <w:rFonts w:ascii="Times New Roman" w:hAnsi="Times New Roman" w:cs="Times New Roman"/>
          <w:color w:val="000000" w:themeColor="text1"/>
          <w:lang w:val="kk-KZ"/>
        </w:rPr>
        <w:t>826,3</w:t>
      </w:r>
      <w:r w:rsidRPr="00F0736F">
        <w:rPr>
          <w:rFonts w:ascii="Times New Roman" w:hAnsi="Times New Roman" w:cs="Times New Roman"/>
          <w:color w:val="000000" w:themeColor="text1"/>
        </w:rPr>
        <w:t xml:space="preserve"> тыс. га (доля региона в общем объеме посевной площади страны составляет 3,7%), это по сравнению с 2013 г. больше на </w:t>
      </w:r>
      <w:r w:rsidRPr="00F0736F">
        <w:rPr>
          <w:rFonts w:ascii="Times New Roman" w:hAnsi="Times New Roman" w:cs="Times New Roman"/>
          <w:color w:val="000000" w:themeColor="text1"/>
          <w:lang w:val="kk-KZ"/>
        </w:rPr>
        <w:t>52</w:t>
      </w:r>
      <w:r w:rsidRPr="00F0736F">
        <w:rPr>
          <w:rFonts w:ascii="Times New Roman" w:hAnsi="Times New Roman" w:cs="Times New Roman"/>
          <w:color w:val="000000" w:themeColor="text1"/>
        </w:rPr>
        <w:t xml:space="preserve"> тыс. га.</w:t>
      </w:r>
    </w:p>
    <w:p w14:paraId="1461262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По Туркестанской области </w:t>
      </w:r>
      <w:r w:rsidRPr="00F0736F">
        <w:rPr>
          <w:rFonts w:ascii="Times New Roman" w:hAnsi="Times New Roman" w:cs="Times New Roman"/>
          <w:color w:val="000000" w:themeColor="text1"/>
          <w:szCs w:val="28"/>
        </w:rPr>
        <w:t xml:space="preserve">капельное орошение внедрено на общей площади </w:t>
      </w:r>
      <w:r w:rsidRPr="00F0736F">
        <w:rPr>
          <w:rFonts w:ascii="Times New Roman" w:hAnsi="Times New Roman" w:cs="Times New Roman"/>
          <w:color w:val="000000" w:themeColor="text1"/>
          <w:szCs w:val="28"/>
          <w:lang w:val="kk-KZ"/>
        </w:rPr>
        <w:t>64,4</w:t>
      </w:r>
      <w:r w:rsidRPr="00F0736F">
        <w:rPr>
          <w:rFonts w:ascii="Times New Roman" w:hAnsi="Times New Roman" w:cs="Times New Roman"/>
          <w:color w:val="000000" w:themeColor="text1"/>
          <w:szCs w:val="28"/>
        </w:rPr>
        <w:t xml:space="preserve"> тыс. га (доля области в республике – </w:t>
      </w:r>
      <w:r w:rsidRPr="00F0736F">
        <w:rPr>
          <w:rFonts w:ascii="Times New Roman" w:hAnsi="Times New Roman" w:cs="Times New Roman"/>
          <w:color w:val="000000" w:themeColor="text1"/>
          <w:szCs w:val="28"/>
          <w:lang w:val="kk-KZ"/>
        </w:rPr>
        <w:t>72</w:t>
      </w:r>
      <w:r w:rsidRPr="00F0736F">
        <w:rPr>
          <w:rFonts w:ascii="Times New Roman" w:hAnsi="Times New Roman" w:cs="Times New Roman"/>
          <w:color w:val="000000" w:themeColor="text1"/>
          <w:szCs w:val="28"/>
        </w:rPr>
        <w:t xml:space="preserve">%). Теплицы построены на общей площади </w:t>
      </w:r>
      <w:r w:rsidRPr="00F0736F">
        <w:rPr>
          <w:rFonts w:ascii="Times New Roman" w:hAnsi="Times New Roman" w:cs="Times New Roman"/>
          <w:color w:val="000000" w:themeColor="text1"/>
          <w:szCs w:val="28"/>
          <w:lang w:val="kk-KZ"/>
        </w:rPr>
        <w:t>1286</w:t>
      </w:r>
      <w:r w:rsidRPr="00F0736F">
        <w:rPr>
          <w:rFonts w:ascii="Times New Roman" w:hAnsi="Times New Roman" w:cs="Times New Roman"/>
          <w:color w:val="000000" w:themeColor="text1"/>
          <w:szCs w:val="28"/>
        </w:rPr>
        <w:t xml:space="preserve"> га (доля области в республике – </w:t>
      </w:r>
      <w:r w:rsidRPr="00F0736F">
        <w:rPr>
          <w:rFonts w:ascii="Times New Roman" w:hAnsi="Times New Roman" w:cs="Times New Roman"/>
          <w:color w:val="000000" w:themeColor="text1"/>
          <w:szCs w:val="28"/>
          <w:lang w:val="kk-KZ"/>
        </w:rPr>
        <w:t>80</w:t>
      </w:r>
      <w:r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rPr>
        <w:t>Для наращивания объемов производства сельскохозяйственной продукции в последние годы активно проводится работа по внедрению современных влаго- и ресурсосберегающих технологий в растениеводстве и переходу на прогрессивные инновационные методы. Глубокое рыхление 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внедрено на площади </w:t>
      </w:r>
      <w:r w:rsidRPr="00F0736F">
        <w:rPr>
          <w:rFonts w:ascii="Times New Roman" w:hAnsi="Times New Roman" w:cs="Times New Roman"/>
          <w:color w:val="000000" w:themeColor="text1"/>
          <w:lang w:val="kk-KZ"/>
        </w:rPr>
        <w:t>100,9</w:t>
      </w:r>
      <w:r w:rsidRPr="00F0736F">
        <w:rPr>
          <w:rFonts w:ascii="Times New Roman" w:hAnsi="Times New Roman" w:cs="Times New Roman"/>
          <w:color w:val="000000" w:themeColor="text1"/>
        </w:rPr>
        <w:t xml:space="preserve"> тыс. га, </w:t>
      </w:r>
      <w:r w:rsidRPr="00F0736F">
        <w:rPr>
          <w:rFonts w:ascii="Times New Roman" w:eastAsia="SimSun" w:hAnsi="Times New Roman" w:cs="Times New Roman"/>
          <w:color w:val="000000" w:themeColor="text1"/>
        </w:rPr>
        <w:t>это</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на 2,0 тыс. га больше,</w:t>
      </w:r>
      <w:r w:rsidRPr="00F0736F">
        <w:rPr>
          <w:rFonts w:ascii="Times New Roman" w:hAnsi="Times New Roman" w:cs="Times New Roman"/>
          <w:color w:val="000000" w:themeColor="text1"/>
        </w:rPr>
        <w:t xml:space="preserve"> чем в 2014 году и в </w:t>
      </w:r>
      <w:r w:rsidRPr="00F0736F">
        <w:rPr>
          <w:rFonts w:ascii="Times New Roman" w:hAnsi="Times New Roman" w:cs="Times New Roman"/>
          <w:color w:val="000000" w:themeColor="text1"/>
          <w:lang w:val="kk-KZ"/>
        </w:rPr>
        <w:t>52</w:t>
      </w:r>
      <w:r w:rsidRPr="00F0736F">
        <w:rPr>
          <w:rFonts w:ascii="Times New Roman" w:hAnsi="Times New Roman" w:cs="Times New Roman"/>
          <w:color w:val="000000" w:themeColor="text1"/>
        </w:rPr>
        <w:t xml:space="preserve"> раз больше чем в 2012 году (2012 г. – 2 тыс. га). </w:t>
      </w:r>
    </w:p>
    <w:p w14:paraId="6E01D5A6"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szCs w:val="28"/>
          <w:lang w:val="kk-KZ"/>
        </w:rPr>
        <w:t>В 2017 году было создано</w:t>
      </w:r>
      <w:r w:rsidRPr="00F0736F">
        <w:rPr>
          <w:rFonts w:ascii="Times New Roman" w:hAnsi="Times New Roman" w:cs="Times New Roman"/>
          <w:color w:val="000000" w:themeColor="text1"/>
          <w:szCs w:val="28"/>
          <w:lang w:val="kk-KZ"/>
        </w:rPr>
        <w:t xml:space="preserve"> 3022 единицы малых откормочных площадок, всего 12,2 тыс. единиц, 793 единицы семейных молочных ферм, всего 2,7 тыс. единиц, 18 единиц семейных птицеферм, всего 38 единиц. Также было создано и работали 655 сельскохозяйственных кооперативов. Согласно госпрограмме предусматривалось создание 75 кооперативов, фактически создано 158 единиц, или показатель перевыполнен на 2,1 раза.      </w:t>
      </w:r>
    </w:p>
    <w:p w14:paraId="576E2A94"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3864518C" w14:textId="77777777" w:rsidR="00AC1D5B" w:rsidRPr="00F0736F" w:rsidRDefault="00AC1D5B" w:rsidP="00AC1D5B">
      <w:pPr>
        <w:ind w:firstLine="709"/>
        <w:jc w:val="both"/>
        <w:rPr>
          <w:color w:val="000000" w:themeColor="text1"/>
        </w:rPr>
      </w:pPr>
      <w:r w:rsidRPr="00F0736F">
        <w:rPr>
          <w:rFonts w:ascii="Times New Roman" w:eastAsia="TimesNewRoman" w:hAnsi="Times New Roman" w:cs="Times New Roman"/>
          <w:b/>
          <w:color w:val="000000" w:themeColor="text1"/>
        </w:rPr>
        <w:t>Электроснабжение.</w:t>
      </w:r>
      <w:r w:rsidRPr="00F0736F">
        <w:rPr>
          <w:rFonts w:ascii="Times New Roman" w:eastAsia="TimesNewRoman" w:hAnsi="Times New Roman" w:cs="Times New Roman"/>
          <w:color w:val="000000" w:themeColor="text1"/>
        </w:rPr>
        <w:t xml:space="preserve"> </w:t>
      </w:r>
      <w:r w:rsidRPr="00F0736F">
        <w:rPr>
          <w:rFonts w:ascii="Times New Roman" w:hAnsi="Times New Roman" w:cs="Times New Roman"/>
          <w:color w:val="000000" w:themeColor="text1"/>
        </w:rPr>
        <w:t>Производство электроэнергии в 2017 году в ЮКО составило 613,3 млн. кВт*ч, а в 2018 году по Туркестанской области – 393,7 млн. кВт*ч. Производство электроэнергии осуществляется следующими электростанциями: АО «Шардаринская ГЭС», АО «3-Энергоорталык», ГКП «Кентау Сервис», ТОО «Келесгидрострой», ТОО «Аксуэнерго», ТОО «Салем консалтинг». Суммарная мощность указанных станций составляет 268,74 МВт.</w:t>
      </w:r>
    </w:p>
    <w:p w14:paraId="7B99434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Туркестанская область является дефицитным регионом по электроэнергии. Среднесуточное потребление электроэнергии по области в зимний период составляет 250 - 300 МВт, в летний период 200 - 250 МВт. Дефицит покрывается транспортировкой электроэнергии из северных регионов и Жамбылской ГРЭС. Основными потребителеми являются жители, которые составляют 70% от всей потребленной энергией. </w:t>
      </w:r>
    </w:p>
    <w:p w14:paraId="41B69EF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Распределением электроэнергии по области занимается региональная электросетевая компания ТОО «Онтустик Жарык Транзит». Общая протяженность воздушных линий по области составляет 23 245,5 км, количество промежуточных станций и трансформаторов 5743 единиц. На балансе ТОО «Онтустик Жарык Транзит» по общим расчетам находятся 90,8% электрических линий и оборудований (21 120,5 км электрических линий и 4909 единиц). Износ электрических линий и оборудования на 2018 год составлял 56%. По области из 844 населенных пунктов 828 обеспечены централизованными сетями электроснабжения, а 16 населенных пунктов являются отгонами животноводства и электрифицированы от автономных электростанций (бензин, дизель, ветровые электростанции). </w:t>
      </w:r>
    </w:p>
    <w:p w14:paraId="15FDF9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ko-KR"/>
        </w:rPr>
        <w:t>В области ТОО «Онтустик Жарык Транзит» за счет собственных средств проводят работы по</w:t>
      </w:r>
      <w:r w:rsidRPr="00F0736F">
        <w:rPr>
          <w:rFonts w:ascii="Times New Roman" w:hAnsi="Times New Roman" w:cs="Times New Roman"/>
          <w:color w:val="000000" w:themeColor="text1"/>
        </w:rPr>
        <w:t xml:space="preserve"> внедрению системы АСКУЭ, в этом направлении на 01.01.2018 г. установлено 19648 счетчиков электроэнергии (физ. лица – 18 777 счетчиков, юр. лица - 531 счетчик, технический учет - 340 счетчиков).</w:t>
      </w:r>
    </w:p>
    <w:p w14:paraId="4B4DD03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bidi="sa-IN"/>
        </w:rPr>
        <w:t xml:space="preserve">В 2017 году на 4,9 млрд. тенге модернизированы 704,5 км электрических линий, проведены работы по реконструкции 128 оборудований. С результатом износ электрических линий снизился с </w:t>
      </w:r>
      <w:r w:rsidRPr="00F0736F">
        <w:rPr>
          <w:rFonts w:ascii="Times New Roman" w:hAnsi="Times New Roman" w:cs="Times New Roman"/>
          <w:bCs/>
          <w:iCs/>
          <w:color w:val="000000" w:themeColor="text1"/>
          <w:lang w:bidi="sa-IN"/>
        </w:rPr>
        <w:t>55</w:t>
      </w:r>
      <w:r w:rsidRPr="00F0736F">
        <w:rPr>
          <w:rFonts w:ascii="Times New Roman" w:hAnsi="Times New Roman" w:cs="Times New Roman"/>
          <w:color w:val="000000" w:themeColor="text1"/>
          <w:lang w:bidi="sa-IN"/>
        </w:rPr>
        <w:t xml:space="preserve">% до 53%. </w:t>
      </w:r>
      <w:r w:rsidRPr="00F0736F">
        <w:rPr>
          <w:rFonts w:ascii="Times New Roman" w:hAnsi="Times New Roman" w:cs="Times New Roman"/>
          <w:color w:val="000000" w:themeColor="text1"/>
        </w:rPr>
        <w:t>Для строительства 59 объектов электроснабжения из бюджета было выделено 13,9 млрд. тенге. В результате число населенных пунктов, обеспеченных некачественным электроснабжением, снизилось со 198 до 113. 85 населенных пунктов, или 87 100 жителей, были обеспечены качественной электроэнергией. Этот показатель по сравнению с 2016-м годом в 11 раз выше (2016 г. - 9 населенных пунктов).</w:t>
      </w:r>
    </w:p>
    <w:p w14:paraId="033A0B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проведены строительные работы подстанций Бозарык 220/110/10 кВ и </w:t>
      </w:r>
      <w:r w:rsidRPr="00F0736F">
        <w:rPr>
          <w:rFonts w:ascii="Times New Roman" w:hAnsi="Times New Roman" w:cs="Times New Roman"/>
          <w:bCs/>
          <w:color w:val="000000" w:themeColor="text1"/>
        </w:rPr>
        <w:t>«Астана-1,2»</w:t>
      </w:r>
      <w:r w:rsidRPr="00F0736F">
        <w:rPr>
          <w:rFonts w:ascii="Times New Roman" w:hAnsi="Times New Roman" w:cs="Times New Roman"/>
          <w:color w:val="000000" w:themeColor="text1"/>
        </w:rPr>
        <w:t xml:space="preserve"> 110 кВ. В 2018 году они сданы в эксплуатацию. В результате 430 тысяч человек и социальные объекты и объекты среднего, малого бизнеса будут обеспечены качественным электроснабжением. Также в 2017 </w:t>
      </w:r>
      <w:r w:rsidRPr="00F0736F">
        <w:rPr>
          <w:rFonts w:ascii="Times New Roman" w:hAnsi="Times New Roman" w:cs="Times New Roman"/>
          <w:bCs/>
          <w:color w:val="000000" w:themeColor="text1"/>
        </w:rPr>
        <w:t xml:space="preserve">году в Сарыагашском районе начались строительные работы подстанции «Қызыләскер» 220/100/10 кВ </w:t>
      </w:r>
      <w:r w:rsidRPr="00F0736F">
        <w:rPr>
          <w:rFonts w:ascii="Times New Roman" w:hAnsi="Times New Roman" w:cs="Times New Roman"/>
          <w:bCs/>
          <w:iCs/>
          <w:color w:val="000000" w:themeColor="text1"/>
        </w:rPr>
        <w:t>(общая сметная стоимость</w:t>
      </w:r>
      <w:r w:rsidRPr="00F0736F">
        <w:rPr>
          <w:rFonts w:ascii="Times New Roman" w:hAnsi="Times New Roman" w:cs="Times New Roman"/>
          <w:iCs/>
          <w:color w:val="000000" w:themeColor="text1"/>
        </w:rPr>
        <w:t xml:space="preserve"> – 7 млрд. 761 млн. тенге</w:t>
      </w:r>
      <w:r w:rsidRPr="00F0736F">
        <w:rPr>
          <w:rFonts w:ascii="Times New Roman" w:hAnsi="Times New Roman" w:cs="Times New Roman"/>
          <w:bCs/>
          <w:iCs/>
          <w:color w:val="000000" w:themeColor="text1"/>
        </w:rPr>
        <w:t>)</w:t>
      </w:r>
      <w:r w:rsidRPr="00F0736F">
        <w:rPr>
          <w:rFonts w:ascii="Times New Roman" w:hAnsi="Times New Roman" w:cs="Times New Roman"/>
          <w:bCs/>
          <w:color w:val="000000" w:themeColor="text1"/>
        </w:rPr>
        <w:t xml:space="preserve">. В результате у потребителей Махтаральского района </w:t>
      </w:r>
      <w:r w:rsidRPr="00F0736F">
        <w:rPr>
          <w:rFonts w:ascii="Times New Roman" w:hAnsi="Times New Roman" w:cs="Times New Roman"/>
          <w:bCs/>
          <w:iCs/>
          <w:color w:val="000000" w:themeColor="text1"/>
        </w:rPr>
        <w:t>(305 тыс. чел.)</w:t>
      </w:r>
      <w:r w:rsidRPr="00F0736F">
        <w:rPr>
          <w:rFonts w:ascii="Times New Roman" w:hAnsi="Times New Roman" w:cs="Times New Roman"/>
          <w:bCs/>
          <w:color w:val="000000" w:themeColor="text1"/>
        </w:rPr>
        <w:t xml:space="preserve">, Шардаринского района </w:t>
      </w:r>
      <w:r w:rsidRPr="00F0736F">
        <w:rPr>
          <w:rFonts w:ascii="Times New Roman" w:hAnsi="Times New Roman" w:cs="Times New Roman"/>
          <w:bCs/>
          <w:iCs/>
          <w:color w:val="000000" w:themeColor="text1"/>
        </w:rPr>
        <w:t>(80 тыс. чел.)</w:t>
      </w:r>
      <w:r w:rsidRPr="00F0736F">
        <w:rPr>
          <w:rFonts w:ascii="Times New Roman" w:hAnsi="Times New Roman" w:cs="Times New Roman"/>
          <w:bCs/>
          <w:color w:val="000000" w:themeColor="text1"/>
        </w:rPr>
        <w:t xml:space="preserve"> и Сарыагашского района </w:t>
      </w:r>
      <w:r w:rsidRPr="00F0736F">
        <w:rPr>
          <w:rFonts w:ascii="Times New Roman" w:hAnsi="Times New Roman" w:cs="Times New Roman"/>
          <w:bCs/>
          <w:iCs/>
          <w:color w:val="000000" w:themeColor="text1"/>
        </w:rPr>
        <w:t>(320 тыс. чел.)</w:t>
      </w:r>
      <w:r w:rsidRPr="00F0736F">
        <w:rPr>
          <w:rFonts w:ascii="Times New Roman" w:hAnsi="Times New Roman" w:cs="Times New Roman"/>
          <w:bCs/>
          <w:color w:val="000000" w:themeColor="text1"/>
        </w:rPr>
        <w:t xml:space="preserve"> будет ликвидирован дефицит на электроэнергию, экономика данных районов будет обеспечена качественной и стабильной электроэнергией.</w:t>
      </w:r>
    </w:p>
    <w:p w14:paraId="64D708F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на строительство 22 объектов электроснабжения было предусмотрено 3,9 млрд тенге (из них: РБ - 2,3 млрд. тенге, ОБ - 1,6 млрд. тенге)</w:t>
      </w:r>
      <w:r w:rsidRPr="00F0736F">
        <w:rPr>
          <w:rFonts w:ascii="Times New Roman" w:hAnsi="Times New Roman" w:cs="Times New Roman"/>
          <w:color w:val="000000" w:themeColor="text1"/>
          <w:lang w:val="kk-KZ"/>
        </w:rPr>
        <w:t>.</w:t>
      </w:r>
    </w:p>
    <w:p w14:paraId="287F7D58" w14:textId="77777777" w:rsidR="00AC1D5B" w:rsidRPr="00F0736F" w:rsidRDefault="00AC1D5B" w:rsidP="00AC1D5B">
      <w:pPr>
        <w:ind w:firstLine="709"/>
        <w:jc w:val="both"/>
        <w:rPr>
          <w:color w:val="000000" w:themeColor="text1"/>
        </w:rPr>
      </w:pPr>
      <w:r w:rsidRPr="00F0736F">
        <w:rPr>
          <w:rFonts w:ascii="Times New Roman" w:eastAsia="Batang" w:hAnsi="Times New Roman" w:cs="Times New Roman"/>
          <w:color w:val="000000" w:themeColor="text1"/>
          <w:lang w:val="kk-KZ" w:eastAsia="ko-KR"/>
        </w:rPr>
        <w:t xml:space="preserve">В целях полного решения обеспечения потребителей бесперебойной, качественной электроэнергией </w:t>
      </w:r>
      <w:r w:rsidRPr="00F0736F">
        <w:rPr>
          <w:rFonts w:ascii="Times New Roman" w:hAnsi="Times New Roman" w:cs="Times New Roman"/>
          <w:color w:val="000000" w:themeColor="text1"/>
          <w:lang w:val="kk-KZ"/>
        </w:rPr>
        <w:t>Мақтаральского, Жетысайского, Келесского, Сарыагашского и Шардаринского районов в 2018 году начата строительство подстанции 220/110/10 кВ «Кызыласкер» в Сарыагашском районе. Срок окончания строительства 2020 г. Общая сметная стоимость составляет 7,76 млрд. тенге. А также планируется строительство 2-х подстанций 220 кВ (в г.</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Туркестан и в Ордабасинском районе) и 3-х подстанций 110 кВ (г. Туркестан и Жетысайский район).</w:t>
      </w:r>
    </w:p>
    <w:p w14:paraId="3DF857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Из </w:t>
      </w:r>
      <w:r w:rsidRPr="00F0736F">
        <w:rPr>
          <w:rFonts w:ascii="Times New Roman" w:hAnsi="Times New Roman" w:cs="Times New Roman"/>
          <w:b/>
          <w:color w:val="000000" w:themeColor="text1"/>
        </w:rPr>
        <w:t>возобновляемых источников энергии</w:t>
      </w:r>
      <w:r w:rsidRPr="00F0736F">
        <w:rPr>
          <w:rFonts w:ascii="Times New Roman" w:hAnsi="Times New Roman" w:cs="Times New Roman"/>
          <w:color w:val="000000" w:themeColor="text1"/>
        </w:rPr>
        <w:t xml:space="preserve"> в</w:t>
      </w:r>
      <w:r w:rsidRPr="00F0736F">
        <w:rPr>
          <w:rFonts w:ascii="Times New Roman" w:hAnsi="Times New Roman" w:cs="Times New Roman"/>
          <w:b/>
          <w:bCs/>
          <w:color w:val="000000" w:themeColor="text1"/>
          <w:lang w:val="kk-KZ"/>
        </w:rPr>
        <w:t xml:space="preserve"> </w:t>
      </w:r>
      <w:r w:rsidRPr="00F0736F">
        <w:rPr>
          <w:rFonts w:ascii="Times New Roman" w:hAnsi="Times New Roman" w:cs="Times New Roman"/>
          <w:bCs/>
          <w:color w:val="000000" w:themeColor="text1"/>
          <w:lang w:val="kk-KZ"/>
        </w:rPr>
        <w:t>области</w:t>
      </w:r>
      <w:r w:rsidRPr="00F0736F">
        <w:rPr>
          <w:rFonts w:ascii="Times New Roman" w:hAnsi="Times New Roman" w:cs="Times New Roman"/>
          <w:color w:val="000000" w:themeColor="text1"/>
          <w:lang w:val="kk-KZ"/>
        </w:rPr>
        <w:t xml:space="preserve"> функционирует 4 малые гидроэлектростанции общей мощностью 6,8 МВт, 4 солнечные электростанции общей мощностью 3,2 МВт. Подписаны меморандумы о взаимопонимании и сотрудничестве с инвесторами из Китая и Турции на строительство солнечных электростанций (150, 200 и 250 Мвт).</w:t>
      </w:r>
    </w:p>
    <w:p w14:paraId="7B3D30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Начато строительство солнечной электростанции мощностью 20 МВт в Сарыагашском районе ТОО «EсoProTeсh-Astana». Также началось строительство солнечной электростанции мощностью 4,8 МВт ТОО «Компания KaDi» в Мактаральском районе. </w:t>
      </w:r>
      <w:r w:rsidRPr="00F0736F">
        <w:rPr>
          <w:rFonts w:ascii="Times New Roman" w:hAnsi="Times New Roman" w:cs="Times New Roman"/>
          <w:color w:val="000000" w:themeColor="text1"/>
        </w:rPr>
        <w:t>С 2019 года планируется строительство малой гидроэлектростанции мощностью 2,5 МВт в Сарыагашском районе. Также планируется строительство 4-х солнечных электростанций мощностью 5, 10, 35 и 14 МВт соответственно в районах Мактарал, Толеби</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Отырар и г. Арысь.  </w:t>
      </w:r>
    </w:p>
    <w:p w14:paraId="756F206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Солнечная электростанция «СЭС «Жетысай» мощностью 4,8 МВт, строительство которой начато в 2019 году, введена в строй в Жетысайском районе в апреле 2020 года.</w:t>
      </w:r>
      <w:r w:rsidRPr="00F0736F">
        <w:rPr>
          <w:rFonts w:ascii="Times New Roman" w:hAnsi="Times New Roman" w:cs="Times New Roman"/>
          <w:color w:val="000000" w:themeColor="text1"/>
        </w:rPr>
        <w:br/>
        <w:t xml:space="preserve">При строительстве электростанции использованы бифункциональные двухсторонние панели с применением одноосевой трекерной системы утро-вечер с фиксированным углом. Использование трекерной системы позволит увеличить выработку электростанции до 30%. Строительство осуществлено на территории бывшего мусорного полигона площадью 10,7 га. </w:t>
      </w:r>
    </w:p>
    <w:p w14:paraId="433B878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Область обладает большим ветроэнергетическим потенциалом. По данным международной организации ПРООН, на территории Байдибекского, Тюлькубасского  и Казыгуртского районов имеется возможность строительства ветровых электрических станции мощностью 250 МВт. </w:t>
      </w:r>
    </w:p>
    <w:p w14:paraId="5DCA499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Байдибекском районе в населенном пункте Жузимдик компания ТОО «Ветропарк-Жузимдик» разрабатывает технико-экономическое обоснование для строительства ветровой электрической станции с мощностью 40 МВт, установлена 100-метровая мачта. Реализация проекта планируется на 2019 - 2022 годы. </w:t>
      </w:r>
    </w:p>
    <w:p w14:paraId="3475E4A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запущена первая в Центральной Азии «Биогазовая установка» по переработке канализационных отходов мощностью 0,5 МВт. Ведется строительство 3-х малых гидроэлектростанций мощностью 7,5 МВт в Толебийском, Сарыагашском районах. </w:t>
      </w:r>
    </w:p>
    <w:p w14:paraId="29D17006"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rPr>
        <w:t xml:space="preserve">Теплоснабжение. </w:t>
      </w:r>
      <w:r w:rsidRPr="00F0736F">
        <w:rPr>
          <w:rFonts w:ascii="Times New Roman" w:hAnsi="Times New Roman" w:cs="Times New Roman"/>
          <w:color w:val="000000" w:themeColor="text1"/>
          <w:szCs w:val="28"/>
        </w:rPr>
        <w:t>В Южно-Казахстанской области теплоснабжение осуществлялось от 7 централизованных теплоисточников: ТЭЦ-3 и котельной 160 Гкал в г. Шымкент, ТЭЦ-5 в г. Кентау, центральных котельных в городах Туркестан, Арысь, Ленгер, Сарыагаш. Общая протяженность тепловых сетей составляет 610,1 км, в том числе: Шымкент - 421,7 км, Кентау - 155 км, Туркестан - 17,5 км, Арысь - 9,9 км, Ленгер - 2,8 км, Сарыагаш 3,2 км. Обеспечиваются централизованным теплом 2392 многоэтажных жилых дома.</w:t>
      </w:r>
    </w:p>
    <w:p w14:paraId="62C367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было выработано 1450,3 тыс. Гкал тепловой энергии по ЮКО и в 2018 году – 324,2 тыс. Гкал по Туркестанской области, в 2019 году — 318,2 тыс. Гкал. Потери тепловой энергии составили в 2017 году - 288,4 тыс. Гкал, в 2019 году — 36,3 тыс. Гкал.</w:t>
      </w:r>
    </w:p>
    <w:p w14:paraId="7D5730E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настоящее время теплоснабжение Туркестанской области осуществляется от </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централизованных теплоисточников: ТЭЦ №5 в городе Кентау, центральных котельных в городах Туркестан, Арыс</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г</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Ленгер Толебийского района</w:t>
      </w:r>
      <w:r w:rsidRPr="00F0736F">
        <w:rPr>
          <w:rFonts w:ascii="Times New Roman" w:hAnsi="Times New Roman" w:cs="Times New Roman"/>
          <w:color w:val="000000" w:themeColor="text1"/>
          <w:lang w:val="kk-KZ"/>
        </w:rPr>
        <w:t>, г. Сарыагаш Сарыагашского района.</w:t>
      </w:r>
      <w:r w:rsidRPr="00F0736F">
        <w:rPr>
          <w:rFonts w:ascii="Times New Roman" w:hAnsi="Times New Roman" w:cs="Times New Roman"/>
          <w:color w:val="000000" w:themeColor="text1"/>
        </w:rPr>
        <w:t xml:space="preserve"> Общая протяженность тепловых сетей по </w:t>
      </w:r>
      <w:r w:rsidRPr="00F0736F">
        <w:rPr>
          <w:rFonts w:ascii="Times New Roman" w:hAnsi="Times New Roman" w:cs="Times New Roman"/>
          <w:color w:val="000000" w:themeColor="text1"/>
          <w:lang w:val="kk-KZ"/>
        </w:rPr>
        <w:t>Туркес</w:t>
      </w:r>
      <w:r w:rsidRPr="00F0736F">
        <w:rPr>
          <w:rFonts w:ascii="Times New Roman" w:hAnsi="Times New Roman" w:cs="Times New Roman"/>
          <w:color w:val="000000" w:themeColor="text1"/>
        </w:rPr>
        <w:t xml:space="preserve">танской области </w:t>
      </w:r>
      <w:r w:rsidRPr="00F0736F">
        <w:rPr>
          <w:rFonts w:ascii="Times New Roman" w:hAnsi="Times New Roman" w:cs="Times New Roman"/>
          <w:color w:val="000000" w:themeColor="text1"/>
          <w:lang w:val="kk-KZ"/>
        </w:rPr>
        <w:t>188,4</w:t>
      </w:r>
      <w:r w:rsidRPr="00F0736F">
        <w:rPr>
          <w:rFonts w:ascii="Times New Roman" w:hAnsi="Times New Roman" w:cs="Times New Roman"/>
          <w:color w:val="000000" w:themeColor="text1"/>
        </w:rPr>
        <w:t xml:space="preserve"> км, в том числе: Кентау -155 км, Туркестан – </w:t>
      </w:r>
      <w:r w:rsidRPr="00F0736F">
        <w:rPr>
          <w:rFonts w:ascii="Times New Roman" w:hAnsi="Times New Roman" w:cs="Times New Roman"/>
          <w:color w:val="000000" w:themeColor="text1"/>
          <w:lang w:val="kk-KZ"/>
        </w:rPr>
        <w:t>17,5</w:t>
      </w:r>
      <w:r w:rsidRPr="00F0736F">
        <w:rPr>
          <w:rFonts w:ascii="Times New Roman" w:hAnsi="Times New Roman" w:cs="Times New Roman"/>
          <w:color w:val="000000" w:themeColor="text1"/>
        </w:rPr>
        <w:t xml:space="preserve"> км, Арыс - 7,9 км</w:t>
      </w:r>
      <w:r w:rsidRPr="00F0736F">
        <w:rPr>
          <w:rFonts w:ascii="Times New Roman" w:hAnsi="Times New Roman" w:cs="Times New Roman"/>
          <w:color w:val="000000" w:themeColor="text1"/>
          <w:lang w:val="kk-KZ"/>
        </w:rPr>
        <w:t>, Ленгер – 4,8 км, Сарыагаш – 3,2 км.</w:t>
      </w:r>
      <w:r w:rsidRPr="00F0736F">
        <w:rPr>
          <w:rFonts w:ascii="Times New Roman" w:hAnsi="Times New Roman" w:cs="Times New Roman"/>
          <w:color w:val="000000" w:themeColor="text1"/>
        </w:rPr>
        <w:t xml:space="preserve"> Обеспечиваются теплом </w:t>
      </w:r>
      <w:r w:rsidRPr="00F0736F">
        <w:rPr>
          <w:rFonts w:ascii="Times New Roman" w:hAnsi="Times New Roman" w:cs="Times New Roman"/>
          <w:color w:val="000000" w:themeColor="text1"/>
          <w:lang w:val="kk-KZ"/>
        </w:rPr>
        <w:t xml:space="preserve">544 </w:t>
      </w:r>
      <w:r w:rsidRPr="00F0736F">
        <w:rPr>
          <w:rFonts w:ascii="Times New Roman" w:hAnsi="Times New Roman" w:cs="Times New Roman"/>
          <w:color w:val="000000" w:themeColor="text1"/>
        </w:rPr>
        <w:t xml:space="preserve">многоэтажных жилых дома. </w:t>
      </w:r>
      <w:r w:rsidRPr="00F0736F">
        <w:rPr>
          <w:rFonts w:ascii="Times New Roman" w:hAnsi="Times New Roman" w:cs="Times New Roman"/>
          <w:color w:val="000000" w:themeColor="text1"/>
          <w:szCs w:val="28"/>
          <w:lang w:val="kk-KZ"/>
        </w:rPr>
        <w:t>В области также насчитывается 1032 малых источника теплоснабжения, из них мощностью до 3 Гкал/ч - 885 ед., от 3 до 10 Гкал/ч. – 147 ед.</w:t>
      </w:r>
    </w:p>
    <w:p w14:paraId="14FAF8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Общая протяженность тепловых сетей в 2019 году составила 187,5 км, из них ветхие — 42,0 км (22,4%), нуждается в замене — 19,9 км (10,6%).</w:t>
      </w:r>
    </w:p>
    <w:p w14:paraId="7B280BB7"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rPr>
        <w:t>Газоснабжение.</w:t>
      </w:r>
      <w:r w:rsidRPr="00F0736F">
        <w:rPr>
          <w:rFonts w:ascii="Times New Roman" w:hAnsi="Times New Roman" w:cs="Times New Roman"/>
          <w:color w:val="000000" w:themeColor="text1"/>
          <w:szCs w:val="28"/>
        </w:rPr>
        <w:t xml:space="preserve"> </w:t>
      </w:r>
      <w:r w:rsidRPr="00F0736F">
        <w:rPr>
          <w:rFonts w:ascii="Times New Roman" w:eastAsia="Times New Roman" w:hAnsi="Times New Roman" w:cs="Times New Roman"/>
          <w:color w:val="000000" w:themeColor="text1"/>
          <w:szCs w:val="28"/>
        </w:rPr>
        <w:t>На 01.01.2018 года по области из 844 населенных пунктов (н.п.) 344 н.п. (40,8%) или 1 819 681 (64,0%) жителей обеспечены природным газом. Разработан комплексный план мероприятий по газификации населенных пунктов области в период 2017 - 2020 гг.</w:t>
      </w:r>
    </w:p>
    <w:p w14:paraId="4A56689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Согласно плану, к 2021 году запланировано дополнительно газифицировать 383 н.п. (960195 жителей). В итоге на 01.01.2021 года обеспеченность природным газом достигнет 683 н.п. (80,9%) или 2715501 жителей (95,6%).</w:t>
      </w:r>
    </w:p>
    <w:p w14:paraId="6FF80FB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этих целей в 2018 году с областного бюджета было выделено 16,1 млрд. тенге для газификации 66 н.п. области. </w:t>
      </w:r>
    </w:p>
    <w:p w14:paraId="1A7F168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Кроме этого, запланировано строительство 15 автоматически газораспределительных станции (АГРС) для стратегического решение по обеспечению природным газом всех секторов экономики области до 2050 года. </w:t>
      </w:r>
    </w:p>
    <w:p w14:paraId="188F09A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 реализацией комплексного плана мероприятий по газоснабжению области будут полностью обеспечены природным газом все жители районов и городов и более 900 тысячи жителей в 8 районах области, где никогда не было голубого топлива. </w:t>
      </w:r>
    </w:p>
    <w:p w14:paraId="4271839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Туркестанская</w:t>
      </w:r>
      <w:r w:rsidRPr="00F0736F">
        <w:rPr>
          <w:rFonts w:ascii="Times New Roman" w:hAnsi="Times New Roman" w:cs="Times New Roman"/>
          <w:color w:val="000000" w:themeColor="text1"/>
          <w:szCs w:val="28"/>
        </w:rPr>
        <w:t xml:space="preserve"> область природным газом обеспечивается от магистрального газопровода </w:t>
      </w:r>
      <w:r w:rsidRPr="00F0736F">
        <w:rPr>
          <w:rFonts w:ascii="Times New Roman" w:hAnsi="Times New Roman" w:cs="Times New Roman"/>
          <w:color w:val="000000" w:themeColor="text1"/>
          <w:szCs w:val="28"/>
          <w:lang w:val="kk-KZ"/>
        </w:rPr>
        <w:t xml:space="preserve">«Газли-Шымкент» </w:t>
      </w:r>
      <w:r w:rsidRPr="00F0736F">
        <w:rPr>
          <w:rFonts w:ascii="Times New Roman" w:hAnsi="Times New Roman" w:cs="Times New Roman"/>
          <w:color w:val="000000" w:themeColor="text1"/>
          <w:szCs w:val="28"/>
        </w:rPr>
        <w:t>Республики Узбекистан</w:t>
      </w:r>
      <w:r w:rsidRPr="00F0736F">
        <w:rPr>
          <w:rFonts w:ascii="Times New Roman" w:hAnsi="Times New Roman" w:cs="Times New Roman"/>
          <w:color w:val="000000" w:themeColor="text1"/>
          <w:szCs w:val="28"/>
          <w:lang w:val="kk-KZ"/>
        </w:rPr>
        <w:t xml:space="preserve"> и отечественного «Бейнеу-Бозай-Шымкент». Годовая потребность области в природном газе составляет 1,0 млрд. м</w:t>
      </w:r>
      <w:r w:rsidRPr="00F0736F">
        <w:rPr>
          <w:rFonts w:ascii="Times New Roman" w:hAnsi="Times New Roman" w:cs="Times New Roman"/>
          <w:color w:val="000000" w:themeColor="text1"/>
          <w:szCs w:val="28"/>
          <w:vertAlign w:val="superscript"/>
          <w:lang w:val="kk-KZ"/>
        </w:rPr>
        <w:t>3</w:t>
      </w:r>
      <w:r w:rsidRPr="00F0736F">
        <w:rPr>
          <w:rFonts w:ascii="Times New Roman" w:hAnsi="Times New Roman" w:cs="Times New Roman"/>
          <w:color w:val="000000" w:themeColor="text1"/>
          <w:szCs w:val="28"/>
          <w:lang w:val="kk-KZ"/>
        </w:rPr>
        <w:t>.</w:t>
      </w:r>
    </w:p>
    <w:p w14:paraId="17D1F56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rPr>
        <w:t>Энергосбережение.</w:t>
      </w:r>
      <w:r w:rsidRPr="00F0736F">
        <w:rPr>
          <w:rFonts w:ascii="Times New Roman" w:hAnsi="Times New Roman" w:cs="Times New Roman"/>
          <w:color w:val="000000" w:themeColor="text1"/>
          <w:szCs w:val="28"/>
        </w:rPr>
        <w:t xml:space="preserve"> </w:t>
      </w:r>
      <w:r w:rsidRPr="00F0736F">
        <w:rPr>
          <w:rFonts w:ascii="Times New Roman" w:hAnsi="Times New Roman" w:cs="Times New Roman"/>
          <w:color w:val="000000" w:themeColor="text1"/>
        </w:rPr>
        <w:t>На энергетических организациях</w:t>
      </w:r>
      <w:r w:rsidRPr="00F0736F">
        <w:rPr>
          <w:rFonts w:ascii="Times New Roman" w:hAnsi="Times New Roman" w:cs="Times New Roman"/>
          <w:color w:val="000000" w:themeColor="text1"/>
          <w:lang w:val="kk-KZ"/>
        </w:rPr>
        <w:t xml:space="preserve"> АО «Шардара СЭС», ТОО «Оңтүстік Жарық Транзит» проводятся работы по модернизации установленных </w:t>
      </w:r>
      <w:r w:rsidRPr="00F0736F">
        <w:rPr>
          <w:rFonts w:ascii="Times New Roman" w:hAnsi="Times New Roman" w:cs="Times New Roman"/>
          <w:color w:val="000000" w:themeColor="text1"/>
        </w:rPr>
        <w:t>основных технических оборудований, за счет собственных инвестиций</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 </w:t>
      </w:r>
    </w:p>
    <w:p w14:paraId="6CBF1C3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Проведенные мероприятия по энергосбережению в бюджетных организациях:</w:t>
      </w:r>
    </w:p>
    <w:p w14:paraId="7AAA80F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во всех бюджетных учреждениях лампы накаливания меняются на энергоэффективные (85,7%);</w:t>
      </w:r>
    </w:p>
    <w:p w14:paraId="7A22378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на 46 002,9 квадратных метрах установлены пластиковые окна, модернизированы 48 тепловых котлов; </w:t>
      </w:r>
    </w:p>
    <w:p w14:paraId="0DB83D7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из общей более </w:t>
      </w:r>
      <w:r w:rsidRPr="00F0736F">
        <w:rPr>
          <w:rFonts w:ascii="Times New Roman" w:hAnsi="Times New Roman" w:cs="Times New Roman"/>
          <w:color w:val="000000" w:themeColor="text1"/>
          <w:lang w:val="kk-KZ"/>
        </w:rPr>
        <w:t xml:space="preserve">39 982 ламп </w:t>
      </w:r>
      <w:r w:rsidRPr="00F0736F">
        <w:rPr>
          <w:rFonts w:ascii="Times New Roman" w:hAnsi="Times New Roman" w:cs="Times New Roman"/>
          <w:color w:val="000000" w:themeColor="text1"/>
        </w:rPr>
        <w:t xml:space="preserve">уличного освещения более </w:t>
      </w:r>
      <w:r w:rsidRPr="00F0736F">
        <w:rPr>
          <w:rFonts w:ascii="Times New Roman" w:hAnsi="Times New Roman" w:cs="Times New Roman"/>
          <w:color w:val="000000" w:themeColor="text1"/>
          <w:lang w:val="kk-KZ"/>
        </w:rPr>
        <w:t>21 449</w:t>
      </w:r>
      <w:r w:rsidRPr="00F0736F">
        <w:rPr>
          <w:rFonts w:ascii="Times New Roman" w:hAnsi="Times New Roman" w:cs="Times New Roman"/>
          <w:color w:val="000000" w:themeColor="text1"/>
        </w:rPr>
        <w:t xml:space="preserve"> ламп заменены на энергосберегающие (</w:t>
      </w:r>
      <w:r w:rsidRPr="00F0736F">
        <w:rPr>
          <w:rFonts w:ascii="Times New Roman" w:hAnsi="Times New Roman" w:cs="Times New Roman"/>
          <w:color w:val="000000" w:themeColor="text1"/>
          <w:lang w:val="kk-KZ"/>
        </w:rPr>
        <w:t>54</w:t>
      </w:r>
      <w:r w:rsidRPr="00F0736F">
        <w:rPr>
          <w:rFonts w:ascii="Times New Roman" w:hAnsi="Times New Roman" w:cs="Times New Roman"/>
          <w:color w:val="000000" w:themeColor="text1"/>
        </w:rPr>
        <w:t>%);</w:t>
      </w:r>
    </w:p>
    <w:p w14:paraId="701B8DF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утилизируются ртутьсодержащие лампы и</w:t>
      </w:r>
      <w:r w:rsidRPr="00F0736F">
        <w:rPr>
          <w:rFonts w:ascii="Times New Roman" w:hAnsi="Times New Roman" w:cs="Times New Roman"/>
          <w:color w:val="000000" w:themeColor="text1"/>
          <w:lang w:val="kk-KZ"/>
        </w:rPr>
        <w:t xml:space="preserve"> взамен </w:t>
      </w:r>
      <w:r w:rsidRPr="00F0736F">
        <w:rPr>
          <w:rFonts w:ascii="Times New Roman" w:hAnsi="Times New Roman" w:cs="Times New Roman"/>
          <w:color w:val="000000" w:themeColor="text1"/>
        </w:rPr>
        <w:t>устан</w:t>
      </w:r>
      <w:r w:rsidRPr="00F0736F">
        <w:rPr>
          <w:rFonts w:ascii="Times New Roman" w:hAnsi="Times New Roman" w:cs="Times New Roman"/>
          <w:color w:val="000000" w:themeColor="text1"/>
          <w:lang w:val="kk-KZ"/>
        </w:rPr>
        <w:t>авливаются</w:t>
      </w:r>
      <w:r w:rsidRPr="00F0736F">
        <w:rPr>
          <w:rFonts w:ascii="Times New Roman" w:hAnsi="Times New Roman" w:cs="Times New Roman"/>
          <w:color w:val="000000" w:themeColor="text1"/>
        </w:rPr>
        <w:t xml:space="preserve"> светодиодны</w:t>
      </w:r>
      <w:r w:rsidRPr="00F0736F">
        <w:rPr>
          <w:rFonts w:ascii="Times New Roman" w:hAnsi="Times New Roman" w:cs="Times New Roman"/>
          <w:color w:val="000000" w:themeColor="text1"/>
          <w:lang w:val="kk-KZ"/>
        </w:rPr>
        <w:t>е</w:t>
      </w:r>
      <w:r w:rsidRPr="00F0736F">
        <w:rPr>
          <w:rFonts w:ascii="Times New Roman" w:hAnsi="Times New Roman" w:cs="Times New Roman"/>
          <w:color w:val="000000" w:themeColor="text1"/>
        </w:rPr>
        <w:t xml:space="preserve"> энергосберегающи</w:t>
      </w:r>
      <w:r w:rsidRPr="00F0736F">
        <w:rPr>
          <w:rFonts w:ascii="Times New Roman" w:hAnsi="Times New Roman" w:cs="Times New Roman"/>
          <w:color w:val="000000" w:themeColor="text1"/>
          <w:lang w:val="kk-KZ"/>
        </w:rPr>
        <w:t>е</w:t>
      </w:r>
      <w:r w:rsidRPr="00F0736F">
        <w:rPr>
          <w:rFonts w:ascii="Times New Roman" w:hAnsi="Times New Roman" w:cs="Times New Roman"/>
          <w:color w:val="000000" w:themeColor="text1"/>
        </w:rPr>
        <w:t xml:space="preserve"> ламп</w:t>
      </w:r>
      <w:r w:rsidRPr="00F0736F">
        <w:rPr>
          <w:rFonts w:ascii="Times New Roman" w:hAnsi="Times New Roman" w:cs="Times New Roman"/>
          <w:color w:val="000000" w:themeColor="text1"/>
          <w:lang w:val="kk-KZ"/>
        </w:rPr>
        <w:t>ы;</w:t>
      </w:r>
    </w:p>
    <w:p w14:paraId="6C23423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в </w:t>
      </w:r>
      <w:r w:rsidRPr="00F0736F">
        <w:rPr>
          <w:rFonts w:ascii="Times New Roman" w:hAnsi="Times New Roman" w:cs="Times New Roman"/>
          <w:color w:val="000000" w:themeColor="text1"/>
        </w:rPr>
        <w:t xml:space="preserve">Туркестанской области 544 многоэтажных дома обеспечены централизованным теплоснабжением, из них в </w:t>
      </w:r>
      <w:r w:rsidRPr="00F0736F">
        <w:rPr>
          <w:rFonts w:ascii="Times New Roman" w:hAnsi="Times New Roman" w:cs="Times New Roman"/>
          <w:color w:val="000000" w:themeColor="text1"/>
          <w:lang w:val="kk-KZ"/>
        </w:rPr>
        <w:t>300</w:t>
      </w:r>
      <w:r w:rsidRPr="00F0736F">
        <w:rPr>
          <w:rFonts w:ascii="Times New Roman" w:hAnsi="Times New Roman" w:cs="Times New Roman"/>
          <w:color w:val="000000" w:themeColor="text1"/>
        </w:rPr>
        <w:t xml:space="preserve"> многоэтажных домах установлены тепловые счетчики, а в остальные </w:t>
      </w:r>
      <w:r w:rsidRPr="00F0736F">
        <w:rPr>
          <w:rFonts w:ascii="Times New Roman" w:hAnsi="Times New Roman" w:cs="Times New Roman"/>
          <w:color w:val="000000" w:themeColor="text1"/>
          <w:lang w:val="kk-KZ"/>
        </w:rPr>
        <w:t>244</w:t>
      </w:r>
      <w:r w:rsidRPr="00F0736F">
        <w:rPr>
          <w:rFonts w:ascii="Times New Roman" w:hAnsi="Times New Roman" w:cs="Times New Roman"/>
          <w:color w:val="000000" w:themeColor="text1"/>
        </w:rPr>
        <w:t xml:space="preserve"> домов не соответствуют нормативным требованиям;</w:t>
      </w:r>
    </w:p>
    <w:p w14:paraId="1FAFCBB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согласно механизма модернизации жилищного фонда программы </w:t>
      </w:r>
      <w:r w:rsidRPr="00F0736F">
        <w:rPr>
          <w:rFonts w:ascii="Times New Roman" w:hAnsi="Times New Roman" w:cs="Times New Roman"/>
          <w:color w:val="000000" w:themeColor="text1"/>
          <w:lang w:val="kk-KZ"/>
        </w:rPr>
        <w:t xml:space="preserve">«Развития регионов до 2020 года» </w:t>
      </w:r>
      <w:r w:rsidRPr="00F0736F">
        <w:rPr>
          <w:rFonts w:ascii="Times New Roman" w:hAnsi="Times New Roman" w:cs="Times New Roman"/>
          <w:color w:val="000000" w:themeColor="text1"/>
        </w:rPr>
        <w:t>с 2014 года МИО выделяются трансферты на проведение энергетического аудита в тех домах, в которых в дальнейшем будут производиться ремонтные работы.</w:t>
      </w:r>
      <w:r w:rsidRPr="00F0736F">
        <w:rPr>
          <w:rFonts w:ascii="Times New Roman" w:hAnsi="Times New Roman" w:cs="Times New Roman"/>
          <w:color w:val="000000" w:themeColor="text1"/>
          <w:lang w:val="kk-KZ"/>
        </w:rPr>
        <w:t xml:space="preserve"> За период 2011 - 2017 годы по области проведен ремонт 157 многоэтажных жилых домов на сумму 1739,0 млн. тенге.</w:t>
      </w:r>
    </w:p>
    <w:p w14:paraId="3625F0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районах и городах области вывешены </w:t>
      </w:r>
      <w:r w:rsidRPr="00F0736F">
        <w:rPr>
          <w:rFonts w:ascii="Times New Roman" w:hAnsi="Times New Roman" w:cs="Times New Roman"/>
          <w:color w:val="000000" w:themeColor="text1"/>
          <w:lang w:val="kk-KZ"/>
        </w:rPr>
        <w:t>34</w:t>
      </w:r>
      <w:r w:rsidRPr="00F0736F">
        <w:rPr>
          <w:rFonts w:ascii="Times New Roman" w:hAnsi="Times New Roman" w:cs="Times New Roman"/>
          <w:color w:val="000000" w:themeColor="text1"/>
        </w:rPr>
        <w:t xml:space="preserve"> баннера, пропагандирующие энергосбере</w:t>
      </w:r>
      <w:r w:rsidRPr="00F0736F">
        <w:rPr>
          <w:rFonts w:ascii="Times New Roman" w:hAnsi="Times New Roman" w:cs="Times New Roman"/>
          <w:color w:val="000000" w:themeColor="text1"/>
          <w:lang w:val="kk-KZ"/>
        </w:rPr>
        <w:t>жение.</w:t>
      </w:r>
    </w:p>
    <w:p w14:paraId="68784A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В 2018 году из 117 учреждений 108 провели энергоаудит</w:t>
      </w:r>
      <w:r w:rsidRPr="00F0736F">
        <w:rPr>
          <w:rFonts w:ascii="Times New Roman" w:hAnsi="Times New Roman" w:cs="Times New Roman"/>
          <w:color w:val="000000" w:themeColor="text1"/>
          <w:szCs w:val="28"/>
        </w:rPr>
        <w:t xml:space="preserve">. </w:t>
      </w:r>
    </w:p>
    <w:p w14:paraId="69E0D0CD"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70B737F7"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rPr>
        <w:t>Водоснабжение.</w:t>
      </w:r>
      <w:r w:rsidRPr="00F0736F">
        <w:rPr>
          <w:rFonts w:ascii="Times New Roman" w:hAnsi="Times New Roman" w:cs="Times New Roman"/>
          <w:color w:val="000000" w:themeColor="text1"/>
          <w:szCs w:val="28"/>
        </w:rPr>
        <w:t xml:space="preserve"> В области водоснабжение населенных пунктов осуществляют 45 предприятий и их подразделения. </w:t>
      </w:r>
      <w:r w:rsidRPr="00F0736F">
        <w:rPr>
          <w:rFonts w:ascii="Times New Roman" w:hAnsi="Times New Roman" w:cs="Times New Roman"/>
          <w:color w:val="000000" w:themeColor="text1"/>
        </w:rPr>
        <w:t>В общей сложности на территории Туркестанской области и города Шымкент находятся 117 гидротехнических сооружений. Из них водохранилища – 34, пруды – 10, плотин – 1, дамб – 1, гидроузлов – 15 и 56 других ГТС.</w:t>
      </w:r>
      <w:r w:rsidRPr="00F0736F">
        <w:rPr>
          <w:rFonts w:ascii="Arial" w:hAnsi="Arial" w:cs="Arial"/>
          <w:color w:val="000000" w:themeColor="text1"/>
          <w:sz w:val="28"/>
          <w:szCs w:val="28"/>
        </w:rPr>
        <w:t xml:space="preserve"> </w:t>
      </w:r>
    </w:p>
    <w:p w14:paraId="3FEAE35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Общая протяженность водопроводных сетей области в 2018 году составила 9840,5 км, в 2019 году — 12056,2 км, из них 2206,9 км нуждается в замене (данные Комитета по статистике).</w:t>
      </w:r>
    </w:p>
    <w:p w14:paraId="3121182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2017 - 2020 годы разработан План мероприятий по обеспечению централизованным водоснабжением населенных пунктов области. Согласно Плану, в 2020 году планируется обеспечить 84 н.п. (198 429 населения) питьевой водой. В итоге до 2021 года будет обеспечено централизованной питьевой водой 702 н.п. (83,2%) или 2 769 360 населения (95,5%) области.</w:t>
      </w:r>
    </w:p>
    <w:p w14:paraId="5DA8D1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Кроме этого, по согласию Республики Узбекистан было принято решение об использовании воды реки Угам. На сегодняшний день, с целью обеспечения питьевой водой с численностью 700 тыс. жителей Казыгуртского, Сарыагашского и Мактаральского районов разрабатываются необходимые документы.  </w:t>
      </w:r>
    </w:p>
    <w:p w14:paraId="307F0D8B"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rPr>
        <w:t xml:space="preserve">Водоотведение. </w:t>
      </w:r>
      <w:r w:rsidRPr="00F0736F">
        <w:rPr>
          <w:rFonts w:ascii="Times New Roman" w:hAnsi="Times New Roman" w:cs="Times New Roman"/>
          <w:color w:val="000000" w:themeColor="text1"/>
          <w:szCs w:val="28"/>
        </w:rPr>
        <w:t>В 2017 году о</w:t>
      </w:r>
      <w:r w:rsidRPr="00F0736F">
        <w:rPr>
          <w:rFonts w:ascii="Times New Roman" w:hAnsi="Times New Roman" w:cs="Times New Roman"/>
          <w:color w:val="000000" w:themeColor="text1"/>
        </w:rPr>
        <w:t xml:space="preserve">бщая протяженность канализационных сетей по ЮКО составляла </w:t>
      </w:r>
      <w:r w:rsidRPr="00F0736F">
        <w:rPr>
          <w:rFonts w:ascii="Times New Roman" w:hAnsi="Times New Roman" w:cs="Times New Roman"/>
          <w:bCs/>
          <w:color w:val="000000" w:themeColor="text1"/>
          <w:szCs w:val="28"/>
        </w:rPr>
        <w:t xml:space="preserve">927,4 </w:t>
      </w:r>
      <w:r w:rsidRPr="00F0736F">
        <w:rPr>
          <w:rFonts w:ascii="Times New Roman" w:hAnsi="Times New Roman" w:cs="Times New Roman"/>
          <w:color w:val="000000" w:themeColor="text1"/>
        </w:rPr>
        <w:t>км (по данным Комитета по статистике). Все сети находились в коммунальной собственности города. Канализационные системы города с общей протяженностью 525,3 км были переданы на доверительное управление ТОО «Водные ресурсы - Маркетинг».</w:t>
      </w:r>
    </w:p>
    <w:p w14:paraId="1537513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rPr>
        <w:t>По Туркестанской области в 2018 году</w:t>
      </w:r>
      <w:r w:rsidRPr="00F0736F">
        <w:rPr>
          <w:rFonts w:ascii="Times New Roman" w:hAnsi="Times New Roman" w:cs="Times New Roman"/>
          <w:bCs/>
          <w:color w:val="000000" w:themeColor="text1"/>
          <w:szCs w:val="28"/>
        </w:rPr>
        <w:t xml:space="preserve"> </w:t>
      </w:r>
      <w:r w:rsidRPr="00F0736F">
        <w:rPr>
          <w:rFonts w:ascii="Times New Roman" w:hAnsi="Times New Roman" w:cs="Times New Roman"/>
          <w:color w:val="000000" w:themeColor="text1"/>
        </w:rPr>
        <w:t xml:space="preserve">протяженность канализационных сетей </w:t>
      </w:r>
      <w:r w:rsidRPr="00F0736F">
        <w:rPr>
          <w:rFonts w:ascii="Times New Roman" w:hAnsi="Times New Roman" w:cs="Times New Roman"/>
          <w:bCs/>
          <w:color w:val="000000" w:themeColor="text1"/>
          <w:szCs w:val="28"/>
        </w:rPr>
        <w:t xml:space="preserve">составляет </w:t>
      </w:r>
      <w:r w:rsidRPr="00F0736F">
        <w:rPr>
          <w:rFonts w:ascii="Times New Roman" w:hAnsi="Times New Roman" w:cs="Times New Roman"/>
          <w:bCs/>
          <w:color w:val="000000" w:themeColor="text1"/>
          <w:szCs w:val="28"/>
          <w:lang w:val="kk-KZ"/>
        </w:rPr>
        <w:t>424,5</w:t>
      </w:r>
      <w:r w:rsidRPr="00F0736F">
        <w:rPr>
          <w:rFonts w:ascii="Times New Roman" w:hAnsi="Times New Roman" w:cs="Times New Roman"/>
          <w:bCs/>
          <w:color w:val="000000" w:themeColor="text1"/>
          <w:szCs w:val="28"/>
        </w:rPr>
        <w:t xml:space="preserve"> км, </w:t>
      </w:r>
      <w:r w:rsidRPr="00F0736F">
        <w:rPr>
          <w:rFonts w:ascii="Times New Roman" w:hAnsi="Times New Roman" w:cs="Times New Roman"/>
          <w:color w:val="000000" w:themeColor="text1"/>
          <w:szCs w:val="28"/>
        </w:rPr>
        <w:t xml:space="preserve"> в т. ч. в г.</w:t>
      </w:r>
      <w:r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rPr>
        <w:t>Арыс – 17,8 км</w:t>
      </w:r>
      <w:r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rPr>
        <w:t xml:space="preserve">в г. Кентау – 109,0 км, в г. Туркестан – </w:t>
      </w:r>
      <w:r w:rsidRPr="00F0736F">
        <w:rPr>
          <w:rFonts w:ascii="Times New Roman" w:hAnsi="Times New Roman" w:cs="Times New Roman"/>
          <w:color w:val="000000" w:themeColor="text1"/>
          <w:szCs w:val="28"/>
          <w:lang w:val="kk-KZ"/>
        </w:rPr>
        <w:t>127,5</w:t>
      </w:r>
      <w:r w:rsidRPr="00F0736F">
        <w:rPr>
          <w:rFonts w:ascii="Times New Roman" w:hAnsi="Times New Roman" w:cs="Times New Roman"/>
          <w:color w:val="000000" w:themeColor="text1"/>
          <w:szCs w:val="28"/>
        </w:rPr>
        <w:t xml:space="preserve"> км</w:t>
      </w:r>
      <w:r w:rsidRPr="00F0736F">
        <w:rPr>
          <w:rFonts w:ascii="Times New Roman" w:hAnsi="Times New Roman" w:cs="Times New Roman"/>
          <w:color w:val="000000" w:themeColor="text1"/>
          <w:szCs w:val="28"/>
          <w:lang w:val="kk-KZ"/>
        </w:rPr>
        <w:t xml:space="preserve">, </w:t>
      </w:r>
      <w:r w:rsidRPr="00F0736F">
        <w:rPr>
          <w:rFonts w:ascii="Times New Roman" w:hAnsi="Times New Roman" w:cs="Times New Roman"/>
          <w:color w:val="000000" w:themeColor="text1"/>
          <w:szCs w:val="28"/>
        </w:rPr>
        <w:t>в</w:t>
      </w:r>
      <w:r w:rsidRPr="00F0736F">
        <w:rPr>
          <w:rFonts w:ascii="Times New Roman" w:hAnsi="Times New Roman" w:cs="Times New Roman"/>
          <w:color w:val="000000" w:themeColor="text1"/>
          <w:szCs w:val="28"/>
          <w:lang w:val="kk-KZ"/>
        </w:rPr>
        <w:t xml:space="preserve"> Мактаральском районе – 9,5 км, в Сайрамском – 28,2 км, в Сузакском – 61,4 км, в Толебийском – 36,0 км, в Шардаринском – 31,5 км (данные Комитета по статистике). </w:t>
      </w:r>
      <w:r w:rsidRPr="00F0736F">
        <w:rPr>
          <w:rFonts w:ascii="Times New Roman" w:hAnsi="Times New Roman" w:cs="Times New Roman"/>
          <w:color w:val="000000" w:themeColor="text1"/>
          <w:szCs w:val="28"/>
        </w:rPr>
        <w:t>Все с</w:t>
      </w:r>
      <w:r w:rsidRPr="00F0736F">
        <w:rPr>
          <w:rFonts w:ascii="Times New Roman" w:hAnsi="Times New Roman" w:cs="Times New Roman"/>
          <w:bCs/>
          <w:color w:val="000000" w:themeColor="text1"/>
          <w:szCs w:val="28"/>
        </w:rPr>
        <w:t>ети находятся в коммунальной собственности городов</w:t>
      </w:r>
      <w:r w:rsidRPr="00F0736F">
        <w:rPr>
          <w:rFonts w:ascii="Times New Roman" w:hAnsi="Times New Roman" w:cs="Times New Roman"/>
          <w:bCs/>
          <w:color w:val="000000" w:themeColor="text1"/>
          <w:szCs w:val="28"/>
          <w:lang w:val="kk-KZ"/>
        </w:rPr>
        <w:t xml:space="preserve"> и районов</w:t>
      </w:r>
      <w:r w:rsidRPr="00F0736F">
        <w:rPr>
          <w:rFonts w:ascii="Times New Roman" w:hAnsi="Times New Roman" w:cs="Times New Roman"/>
          <w:bCs/>
          <w:color w:val="000000" w:themeColor="text1"/>
          <w:szCs w:val="28"/>
        </w:rPr>
        <w:t xml:space="preserve">. </w:t>
      </w:r>
    </w:p>
    <w:p w14:paraId="06342612"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szCs w:val="28"/>
        </w:rPr>
        <w:t>В 2019 году общая протяженность сетей водоотведения составляет 424,5 км, из них 141,8 км нуждается в замене.</w:t>
      </w:r>
    </w:p>
    <w:p w14:paraId="19A527A8"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6FEF0476"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За 2017 - 2019 годы</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w:t>
      </w:r>
      <w:r w:rsidRPr="00F0736F">
        <w:rPr>
          <w:rFonts w:ascii="Times New Roman" w:hAnsi="Times New Roman" w:cs="Times New Roman"/>
          <w:b/>
          <w:color w:val="000000" w:themeColor="text1"/>
        </w:rPr>
        <w:t>города Туркестан</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 xml:space="preserve">низкий </w:t>
      </w:r>
      <w:r w:rsidRPr="00F0736F">
        <w:rPr>
          <w:rFonts w:ascii="Times New Roman" w:hAnsi="Times New Roman" w:cs="Times New Roman"/>
          <w:color w:val="000000" w:themeColor="text1"/>
        </w:rPr>
        <w:t>в 2017 году</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ИЗА составляет 2 и как повышенный в 2018 и 2019 годах (ИЗА = 5), СИ = </w:t>
      </w:r>
      <w:r w:rsidRPr="00F0736F">
        <w:rPr>
          <w:rFonts w:ascii="Times New Roman" w:hAnsi="Times New Roman" w:cs="Times New Roman"/>
          <w:color w:val="000000" w:themeColor="text1"/>
          <w:lang w:val="kk-KZ"/>
        </w:rPr>
        <w:t>2-</w:t>
      </w:r>
      <w:r w:rsidRPr="00F0736F">
        <w:rPr>
          <w:rFonts w:ascii="Times New Roman" w:hAnsi="Times New Roman" w:cs="Times New Roman"/>
          <w:color w:val="000000" w:themeColor="text1"/>
        </w:rPr>
        <w:t>6,9 (</w:t>
      </w:r>
      <w:r w:rsidRPr="00F0736F">
        <w:rPr>
          <w:rFonts w:ascii="Times New Roman" w:hAnsi="Times New Roman" w:cs="Times New Roman"/>
          <w:color w:val="000000" w:themeColor="text1"/>
          <w:lang w:val="kk-KZ"/>
        </w:rPr>
        <w:t>повышенный</w:t>
      </w:r>
      <w:r w:rsidRPr="00F0736F">
        <w:rPr>
          <w:rFonts w:ascii="Times New Roman" w:hAnsi="Times New Roman" w:cs="Times New Roman"/>
          <w:color w:val="000000" w:themeColor="text1"/>
        </w:rPr>
        <w:t xml:space="preserve"> и ысокий (2019 год) уровень) и НП = </w:t>
      </w:r>
      <w:r w:rsidRPr="00F0736F">
        <w:rPr>
          <w:rFonts w:ascii="Times New Roman" w:hAnsi="Times New Roman" w:cs="Times New Roman"/>
          <w:color w:val="000000" w:themeColor="text1"/>
          <w:lang w:val="kk-KZ"/>
        </w:rPr>
        <w:t>0-7</w:t>
      </w:r>
      <w:r w:rsidRPr="00F0736F">
        <w:rPr>
          <w:rFonts w:ascii="Times New Roman" w:hAnsi="Times New Roman" w:cs="Times New Roman"/>
          <w:color w:val="000000" w:themeColor="text1"/>
        </w:rPr>
        <w:t xml:space="preserve">% (низкий  и повышенный (2018 год) уровень).  </w:t>
      </w:r>
    </w:p>
    <w:p w14:paraId="3F8B180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Уровень загрязнения атмосферного воздуха </w:t>
      </w:r>
      <w:r w:rsidRPr="00F0736F">
        <w:rPr>
          <w:rFonts w:ascii="Times New Roman" w:hAnsi="Times New Roman" w:cs="Times New Roman"/>
          <w:b/>
          <w:color w:val="000000" w:themeColor="text1"/>
        </w:rPr>
        <w:t>города Кентау</w:t>
      </w:r>
      <w:r w:rsidRPr="00F0736F">
        <w:rPr>
          <w:rFonts w:ascii="Times New Roman" w:hAnsi="Times New Roman" w:cs="Times New Roman"/>
          <w:color w:val="000000" w:themeColor="text1"/>
        </w:rPr>
        <w:t xml:space="preserve">, оценивался как </w:t>
      </w:r>
      <w:r w:rsidRPr="00F0736F">
        <w:rPr>
          <w:rFonts w:ascii="Times New Roman" w:hAnsi="Times New Roman" w:cs="Times New Roman"/>
          <w:color w:val="000000" w:themeColor="text1"/>
          <w:lang w:val="kk-KZ"/>
        </w:rPr>
        <w:t xml:space="preserve">низкий </w:t>
      </w:r>
      <w:r w:rsidRPr="00F0736F">
        <w:rPr>
          <w:rFonts w:ascii="Times New Roman" w:hAnsi="Times New Roman" w:cs="Times New Roman"/>
          <w:color w:val="000000" w:themeColor="text1"/>
        </w:rPr>
        <w:t>и повышенный (2018 год)</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ИЗА  составляет 2 - 5, СИ = 2,4-</w:t>
      </w:r>
      <w:r w:rsidRPr="00F0736F">
        <w:rPr>
          <w:rFonts w:ascii="Times New Roman" w:hAnsi="Times New Roman" w:cs="Times New Roman"/>
          <w:color w:val="000000" w:themeColor="text1"/>
          <w:lang w:val="kk-KZ"/>
        </w:rPr>
        <w:t xml:space="preserve">10 </w:t>
      </w:r>
      <w:r w:rsidRPr="00F0736F">
        <w:rPr>
          <w:rFonts w:ascii="Times New Roman" w:hAnsi="Times New Roman" w:cs="Times New Roman"/>
          <w:color w:val="000000" w:themeColor="text1"/>
        </w:rPr>
        <w:t xml:space="preserve">(повышенный (2019 год) и высокий уровень) и НП = 1-5% (повышенный уровень).  </w:t>
      </w:r>
    </w:p>
    <w:p w14:paraId="5626AE39"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rPr>
        <w:t>По состоянию на начало 2020 года в регионе работают 297 природопользователей, деятельность которых относится к 1 категории опасности. Из них крупны</w:t>
      </w:r>
      <w:r w:rsidRPr="00F0736F">
        <w:rPr>
          <w:rFonts w:ascii="Times New Roman" w:eastAsia="Times New Roman" w:hAnsi="Times New Roman" w:cs="Times New Roman"/>
          <w:color w:val="000000" w:themeColor="text1"/>
          <w:lang w:val="kk-KZ"/>
        </w:rPr>
        <w:t>е</w:t>
      </w:r>
      <w:r w:rsidRPr="00F0736F">
        <w:rPr>
          <w:rFonts w:ascii="Times New Roman" w:eastAsia="Times New Roman" w:hAnsi="Times New Roman" w:cs="Times New Roman"/>
          <w:color w:val="000000" w:themeColor="text1"/>
        </w:rPr>
        <w:t xml:space="preserve"> предприяти</w:t>
      </w:r>
      <w:r w:rsidRPr="00F0736F">
        <w:rPr>
          <w:rFonts w:ascii="Times New Roman" w:eastAsia="Times New Roman" w:hAnsi="Times New Roman" w:cs="Times New Roman"/>
          <w:color w:val="000000" w:themeColor="text1"/>
          <w:lang w:val="kk-KZ"/>
        </w:rPr>
        <w:t>я</w:t>
      </w:r>
      <w:r w:rsidRPr="00F0736F">
        <w:rPr>
          <w:rFonts w:ascii="Times New Roman" w:eastAsia="Times New Roman" w:hAnsi="Times New Roman" w:cs="Times New Roman"/>
          <w:color w:val="000000" w:themeColor="text1"/>
        </w:rPr>
        <w:t xml:space="preserve"> республики:</w:t>
      </w:r>
      <w:r w:rsidRPr="00F0736F">
        <w:rPr>
          <w:rFonts w:ascii="Times New Roman" w:hAnsi="Times New Roman" w:cs="Times New Roman"/>
          <w:color w:val="000000" w:themeColor="text1"/>
        </w:rPr>
        <w:t xml:space="preserve"> ТОО «</w:t>
      </w:r>
      <w:r w:rsidRPr="00F0736F">
        <w:rPr>
          <w:rFonts w:ascii="Times New Roman" w:hAnsi="Times New Roman" w:cs="Times New Roman"/>
          <w:color w:val="000000" w:themeColor="text1"/>
          <w:lang w:val="en-US"/>
        </w:rPr>
        <w:t>SAS</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en-US"/>
        </w:rPr>
        <w:t>Tobe</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Technologies</w:t>
      </w:r>
      <w:r w:rsidRPr="00F0736F">
        <w:rPr>
          <w:rFonts w:ascii="Times New Roman" w:hAnsi="Times New Roman" w:cs="Times New Roman"/>
          <w:color w:val="000000" w:themeColor="text1"/>
        </w:rPr>
        <w:t>», ТОО «СП «КАТКО», АО СП «ИНКАЙ», ТОО «Заречное», ТОО «Каратау», ТОО «Акбастау», ТОО «Казатомпром-</w:t>
      </w:r>
      <w:r w:rsidRPr="00F0736F">
        <w:rPr>
          <w:rFonts w:ascii="Times New Roman" w:hAnsi="Times New Roman" w:cs="Times New Roman"/>
          <w:color w:val="000000" w:themeColor="text1"/>
          <w:lang w:val="en-US"/>
        </w:rPr>
        <w:t>Sauran</w:t>
      </w:r>
      <w:r w:rsidRPr="00F0736F">
        <w:rPr>
          <w:rFonts w:ascii="Times New Roman" w:hAnsi="Times New Roman" w:cs="Times New Roman"/>
          <w:color w:val="000000" w:themeColor="text1"/>
        </w:rPr>
        <w:t>», ТОО «Южная горно-химическая компания», Филиал Степное-РУ ТОО «Казатомпром-</w:t>
      </w:r>
      <w:r w:rsidRPr="00F0736F">
        <w:rPr>
          <w:rFonts w:ascii="Times New Roman" w:hAnsi="Times New Roman" w:cs="Times New Roman"/>
          <w:color w:val="000000" w:themeColor="text1"/>
          <w:lang w:val="en-US"/>
        </w:rPr>
        <w:t>Sauran</w:t>
      </w:r>
      <w:r w:rsidRPr="00F0736F">
        <w:rPr>
          <w:rFonts w:ascii="Times New Roman" w:hAnsi="Times New Roman" w:cs="Times New Roman"/>
          <w:color w:val="000000" w:themeColor="text1"/>
        </w:rPr>
        <w:t>», ТОО «ДП «Орталык», ТОО «АППАК».</w:t>
      </w:r>
    </w:p>
    <w:p w14:paraId="24F69215" w14:textId="77777777" w:rsidR="00AC1D5B" w:rsidRPr="00F0736F" w:rsidRDefault="00AC1D5B" w:rsidP="00AC1D5B">
      <w:pPr>
        <w:suppressLineNumbers/>
        <w:shd w:val="clear" w:color="auto" w:fill="FFFFFF"/>
        <w:tabs>
          <w:tab w:val="left" w:pos="7880"/>
        </w:tabs>
        <w:ind w:firstLine="709"/>
        <w:contextualSpacing/>
        <w:jc w:val="both"/>
        <w:rPr>
          <w:rFonts w:ascii="Times New Roman" w:hAnsi="Times New Roman" w:cs="Times New Roman"/>
          <w:color w:val="000000" w:themeColor="text1"/>
        </w:rPr>
      </w:pPr>
    </w:p>
    <w:p w14:paraId="224EED26" w14:textId="77777777" w:rsidR="00AC1D5B" w:rsidRPr="00F0736F" w:rsidRDefault="00AC1D5B" w:rsidP="00AC1D5B">
      <w:pPr>
        <w:suppressLineNumbers/>
        <w:shd w:val="clear" w:color="auto" w:fill="FFFFFF"/>
        <w:tabs>
          <w:tab w:val="left" w:pos="7880"/>
        </w:tabs>
        <w:contextualSpacing/>
        <w:jc w:val="both"/>
        <w:rPr>
          <w:color w:val="000000" w:themeColor="text1"/>
        </w:rPr>
      </w:pPr>
      <w:r w:rsidRPr="00F0736F">
        <w:rPr>
          <w:rFonts w:ascii="Times New Roman" w:hAnsi="Times New Roman" w:cs="Times New Roman"/>
          <w:color w:val="000000" w:themeColor="text1"/>
        </w:rPr>
        <w:t xml:space="preserve">Таблица 2.14.1. </w:t>
      </w:r>
      <w:r w:rsidRPr="00F0736F">
        <w:rPr>
          <w:rFonts w:ascii="Times New Roman" w:eastAsia="Times New Roman" w:hAnsi="Times New Roman" w:cs="Times New Roman"/>
          <w:color w:val="000000" w:themeColor="text1"/>
        </w:rPr>
        <w:t xml:space="preserve">Динамика эмиссий </w:t>
      </w:r>
      <w:r w:rsidRPr="00F0736F">
        <w:rPr>
          <w:rFonts w:ascii="Times New Roman" w:hAnsi="Times New Roman" w:cs="Times New Roman"/>
          <w:color w:val="000000" w:themeColor="text1"/>
        </w:rPr>
        <w:t>в окружающую среду по Туркестанской области</w:t>
      </w:r>
      <w:r w:rsidRPr="00F0736F">
        <w:rPr>
          <w:rFonts w:ascii="Times New Roman" w:hAnsi="Times New Roman" w:cs="Times New Roman"/>
          <w:color w:val="000000" w:themeColor="text1"/>
          <w:lang w:val="kk-KZ"/>
        </w:rPr>
        <w:t xml:space="preserve"> (до 2019 года ЮКО</w:t>
      </w:r>
      <w:r w:rsidRPr="00F0736F">
        <w:rPr>
          <w:rFonts w:ascii="Times New Roman" w:hAnsi="Times New Roman" w:cs="Times New Roman"/>
          <w:color w:val="000000" w:themeColor="text1"/>
        </w:rPr>
        <w:t xml:space="preserve">) </w:t>
      </w:r>
    </w:p>
    <w:tbl>
      <w:tblPr>
        <w:tblW w:w="5000" w:type="pct"/>
        <w:tblInd w:w="108" w:type="dxa"/>
        <w:tblLayout w:type="fixed"/>
        <w:tblLook w:val="0000" w:firstRow="0" w:lastRow="0" w:firstColumn="0" w:lastColumn="0" w:noHBand="0" w:noVBand="0"/>
      </w:tblPr>
      <w:tblGrid>
        <w:gridCol w:w="2139"/>
        <w:gridCol w:w="1532"/>
        <w:gridCol w:w="1175"/>
        <w:gridCol w:w="1038"/>
        <w:gridCol w:w="931"/>
        <w:gridCol w:w="1317"/>
        <w:gridCol w:w="1707"/>
      </w:tblGrid>
      <w:tr w:rsidR="00F0736F" w:rsidRPr="00F0736F" w14:paraId="2C0D0E77" w14:textId="77777777" w:rsidTr="000B2B8A">
        <w:trPr>
          <w:trHeight w:val="363"/>
        </w:trPr>
        <w:tc>
          <w:tcPr>
            <w:tcW w:w="2116" w:type="dxa"/>
            <w:vMerge w:val="restart"/>
            <w:tcBorders>
              <w:top w:val="single" w:sz="4" w:space="0" w:color="000000"/>
              <w:left w:val="single" w:sz="4" w:space="0" w:color="000000"/>
              <w:bottom w:val="single" w:sz="4" w:space="0" w:color="000000"/>
            </w:tcBorders>
            <w:shd w:val="clear" w:color="auto" w:fill="auto"/>
            <w:vAlign w:val="center"/>
          </w:tcPr>
          <w:p w14:paraId="48EC8327" w14:textId="77777777" w:rsidR="00AC1D5B" w:rsidRPr="00F0736F" w:rsidRDefault="00AC1D5B" w:rsidP="00AC1D5B">
            <w:pPr>
              <w:tabs>
                <w:tab w:val="left" w:pos="7880"/>
              </w:tabs>
              <w:ind w:firstLine="709"/>
              <w:jc w:val="both"/>
              <w:rPr>
                <w:color w:val="000000" w:themeColor="text1"/>
              </w:rPr>
            </w:pPr>
            <w:r w:rsidRPr="00F0736F">
              <w:rPr>
                <w:rFonts w:ascii="Times New Roman" w:eastAsia="Times New Roman" w:hAnsi="Times New Roman" w:cs="Times New Roman"/>
                <w:color w:val="000000" w:themeColor="text1"/>
                <w:sz w:val="20"/>
                <w:szCs w:val="20"/>
              </w:rPr>
              <w:t>Вид эмиссий</w:t>
            </w:r>
          </w:p>
        </w:tc>
        <w:tc>
          <w:tcPr>
            <w:tcW w:w="2679" w:type="dxa"/>
            <w:gridSpan w:val="2"/>
            <w:tcBorders>
              <w:top w:val="single" w:sz="4" w:space="0" w:color="000000"/>
              <w:left w:val="single" w:sz="4" w:space="0" w:color="000000"/>
              <w:bottom w:val="single" w:sz="4" w:space="0" w:color="000000"/>
            </w:tcBorders>
            <w:shd w:val="clear" w:color="auto" w:fill="auto"/>
            <w:vAlign w:val="center"/>
          </w:tcPr>
          <w:p w14:paraId="3470396C" w14:textId="77777777" w:rsidR="00AC1D5B" w:rsidRPr="00F0736F" w:rsidRDefault="00AC1D5B" w:rsidP="00AC1D5B">
            <w:pPr>
              <w:tabs>
                <w:tab w:val="left" w:pos="7880"/>
              </w:tabs>
              <w:ind w:firstLine="709"/>
              <w:jc w:val="both"/>
              <w:rPr>
                <w:color w:val="000000" w:themeColor="text1"/>
              </w:rPr>
            </w:pPr>
            <w:r w:rsidRPr="00F0736F">
              <w:rPr>
                <w:rFonts w:ascii="Times New Roman" w:eastAsia="Times New Roman" w:hAnsi="Times New Roman" w:cs="Times New Roman"/>
                <w:color w:val="000000" w:themeColor="text1"/>
                <w:sz w:val="20"/>
                <w:szCs w:val="20"/>
              </w:rPr>
              <w:t>2017* год</w:t>
            </w:r>
          </w:p>
        </w:tc>
        <w:tc>
          <w:tcPr>
            <w:tcW w:w="1948" w:type="dxa"/>
            <w:gridSpan w:val="2"/>
            <w:tcBorders>
              <w:top w:val="single" w:sz="4" w:space="0" w:color="000000"/>
              <w:left w:val="single" w:sz="4" w:space="0" w:color="000000"/>
              <w:bottom w:val="single" w:sz="4" w:space="0" w:color="000000"/>
            </w:tcBorders>
            <w:shd w:val="clear" w:color="auto" w:fill="auto"/>
            <w:vAlign w:val="center"/>
          </w:tcPr>
          <w:p w14:paraId="5057BE4C" w14:textId="77777777" w:rsidR="00AC1D5B" w:rsidRPr="00F0736F" w:rsidRDefault="00AC1D5B" w:rsidP="00AC1D5B">
            <w:pPr>
              <w:tabs>
                <w:tab w:val="left" w:pos="7880"/>
              </w:tabs>
              <w:ind w:firstLine="709"/>
              <w:jc w:val="both"/>
              <w:rPr>
                <w:color w:val="000000" w:themeColor="text1"/>
              </w:rPr>
            </w:pPr>
            <w:r w:rsidRPr="00F0736F">
              <w:rPr>
                <w:rFonts w:ascii="Times New Roman" w:eastAsia="Times New Roman" w:hAnsi="Times New Roman" w:cs="Times New Roman"/>
                <w:color w:val="000000" w:themeColor="text1"/>
                <w:sz w:val="20"/>
                <w:szCs w:val="20"/>
              </w:rPr>
              <w:t>2018* год</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12C502F"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sz w:val="20"/>
                <w:szCs w:val="20"/>
                <w:lang w:val="kk-KZ"/>
              </w:rPr>
              <w:t>2</w:t>
            </w:r>
            <w:r w:rsidRPr="00F0736F">
              <w:rPr>
                <w:rFonts w:ascii="Times New Roman" w:eastAsia="Times New Roman" w:hAnsi="Times New Roman" w:cs="Times New Roman"/>
                <w:color w:val="000000" w:themeColor="text1"/>
                <w:sz w:val="20"/>
                <w:szCs w:val="20"/>
              </w:rPr>
              <w:t>019 год</w:t>
            </w:r>
          </w:p>
        </w:tc>
      </w:tr>
      <w:tr w:rsidR="00F0736F" w:rsidRPr="00F0736F" w14:paraId="7FF41463" w14:textId="77777777" w:rsidTr="000B2B8A">
        <w:trPr>
          <w:trHeight w:val="403"/>
        </w:trPr>
        <w:tc>
          <w:tcPr>
            <w:tcW w:w="2116" w:type="dxa"/>
            <w:vMerge/>
            <w:tcBorders>
              <w:top w:val="single" w:sz="4" w:space="0" w:color="000000"/>
              <w:left w:val="single" w:sz="4" w:space="0" w:color="000000"/>
              <w:bottom w:val="single" w:sz="4" w:space="0" w:color="000000"/>
            </w:tcBorders>
            <w:shd w:val="clear" w:color="auto" w:fill="auto"/>
            <w:vAlign w:val="center"/>
          </w:tcPr>
          <w:p w14:paraId="0BF0BA95" w14:textId="77777777" w:rsidR="00AC1D5B" w:rsidRPr="00F0736F" w:rsidRDefault="00AC1D5B" w:rsidP="00AC1D5B">
            <w:pPr>
              <w:snapToGrid w:val="0"/>
              <w:ind w:firstLine="709"/>
              <w:jc w:val="both"/>
              <w:rPr>
                <w:rFonts w:ascii="Times New Roman" w:eastAsia="Times New Roman" w:hAnsi="Times New Roman" w:cs="Times New Roman"/>
                <w:color w:val="000000" w:themeColor="text1"/>
                <w:sz w:val="20"/>
                <w:szCs w:val="20"/>
              </w:rPr>
            </w:pPr>
          </w:p>
        </w:tc>
        <w:tc>
          <w:tcPr>
            <w:tcW w:w="1516" w:type="dxa"/>
            <w:tcBorders>
              <w:top w:val="single" w:sz="4" w:space="0" w:color="000000"/>
              <w:left w:val="single" w:sz="4" w:space="0" w:color="000000"/>
              <w:bottom w:val="single" w:sz="4" w:space="0" w:color="000000"/>
            </w:tcBorders>
            <w:shd w:val="clear" w:color="auto" w:fill="auto"/>
            <w:vAlign w:val="center"/>
          </w:tcPr>
          <w:p w14:paraId="2D32A751"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Лимит</w:t>
            </w:r>
          </w:p>
        </w:tc>
        <w:tc>
          <w:tcPr>
            <w:tcW w:w="1163" w:type="dxa"/>
            <w:tcBorders>
              <w:top w:val="single" w:sz="4" w:space="0" w:color="000000"/>
              <w:left w:val="single" w:sz="4" w:space="0" w:color="000000"/>
              <w:bottom w:val="single" w:sz="4" w:space="0" w:color="000000"/>
            </w:tcBorders>
            <w:shd w:val="clear" w:color="auto" w:fill="auto"/>
            <w:vAlign w:val="center"/>
          </w:tcPr>
          <w:p w14:paraId="0B49A951"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Факт</w:t>
            </w:r>
          </w:p>
        </w:tc>
        <w:tc>
          <w:tcPr>
            <w:tcW w:w="1027" w:type="dxa"/>
            <w:tcBorders>
              <w:top w:val="single" w:sz="4" w:space="0" w:color="000000"/>
              <w:left w:val="single" w:sz="4" w:space="0" w:color="000000"/>
              <w:bottom w:val="single" w:sz="4" w:space="0" w:color="000000"/>
            </w:tcBorders>
            <w:shd w:val="clear" w:color="auto" w:fill="auto"/>
            <w:vAlign w:val="center"/>
          </w:tcPr>
          <w:p w14:paraId="23F14891"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Лимит</w:t>
            </w:r>
          </w:p>
        </w:tc>
        <w:tc>
          <w:tcPr>
            <w:tcW w:w="921" w:type="dxa"/>
            <w:tcBorders>
              <w:top w:val="single" w:sz="4" w:space="0" w:color="000000"/>
              <w:left w:val="single" w:sz="4" w:space="0" w:color="000000"/>
              <w:bottom w:val="single" w:sz="4" w:space="0" w:color="000000"/>
            </w:tcBorders>
            <w:shd w:val="clear" w:color="auto" w:fill="auto"/>
            <w:vAlign w:val="center"/>
          </w:tcPr>
          <w:p w14:paraId="7A79A8BB"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Факт</w:t>
            </w:r>
          </w:p>
        </w:tc>
        <w:tc>
          <w:tcPr>
            <w:tcW w:w="1303" w:type="dxa"/>
            <w:tcBorders>
              <w:top w:val="single" w:sz="4" w:space="0" w:color="000000"/>
              <w:left w:val="single" w:sz="4" w:space="0" w:color="000000"/>
              <w:bottom w:val="single" w:sz="4" w:space="0" w:color="000000"/>
            </w:tcBorders>
            <w:shd w:val="clear" w:color="auto" w:fill="auto"/>
            <w:vAlign w:val="center"/>
          </w:tcPr>
          <w:p w14:paraId="284B07C5"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Лимит</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D187" w14:textId="77777777" w:rsidR="00AC1D5B" w:rsidRPr="00F0736F" w:rsidRDefault="00AC1D5B" w:rsidP="00AC1D5B">
            <w:pPr>
              <w:tabs>
                <w:tab w:val="left" w:pos="7880"/>
              </w:tabs>
              <w:ind w:firstLine="12"/>
              <w:jc w:val="center"/>
              <w:rPr>
                <w:color w:val="000000" w:themeColor="text1"/>
              </w:rPr>
            </w:pPr>
            <w:r w:rsidRPr="00F0736F">
              <w:rPr>
                <w:rFonts w:ascii="Times New Roman" w:eastAsia="Times New Roman" w:hAnsi="Times New Roman" w:cs="Times New Roman"/>
                <w:color w:val="000000" w:themeColor="text1"/>
                <w:sz w:val="20"/>
                <w:szCs w:val="20"/>
              </w:rPr>
              <w:t>Факт</w:t>
            </w:r>
          </w:p>
        </w:tc>
      </w:tr>
      <w:tr w:rsidR="00F0736F" w:rsidRPr="00F0736F" w14:paraId="26EBEF8F" w14:textId="77777777" w:rsidTr="000B2B8A">
        <w:tc>
          <w:tcPr>
            <w:tcW w:w="2116" w:type="dxa"/>
            <w:tcBorders>
              <w:top w:val="single" w:sz="4" w:space="0" w:color="000000"/>
              <w:left w:val="single" w:sz="4" w:space="0" w:color="000000"/>
              <w:bottom w:val="single" w:sz="4" w:space="0" w:color="000000"/>
            </w:tcBorders>
            <w:shd w:val="clear" w:color="auto" w:fill="auto"/>
            <w:vAlign w:val="center"/>
          </w:tcPr>
          <w:p w14:paraId="51BF0CD4"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Выбросы тыс. т.</w:t>
            </w:r>
          </w:p>
        </w:tc>
        <w:tc>
          <w:tcPr>
            <w:tcW w:w="1516" w:type="dxa"/>
            <w:tcBorders>
              <w:top w:val="single" w:sz="4" w:space="0" w:color="000000"/>
              <w:left w:val="single" w:sz="4" w:space="0" w:color="000000"/>
              <w:bottom w:val="single" w:sz="4" w:space="0" w:color="000000"/>
            </w:tcBorders>
            <w:shd w:val="clear" w:color="auto" w:fill="auto"/>
          </w:tcPr>
          <w:p w14:paraId="295C0C6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135,1</w:t>
            </w:r>
          </w:p>
        </w:tc>
        <w:tc>
          <w:tcPr>
            <w:tcW w:w="1163" w:type="dxa"/>
            <w:tcBorders>
              <w:top w:val="single" w:sz="4" w:space="0" w:color="000000"/>
              <w:left w:val="single" w:sz="4" w:space="0" w:color="000000"/>
              <w:bottom w:val="single" w:sz="4" w:space="0" w:color="000000"/>
            </w:tcBorders>
            <w:shd w:val="clear" w:color="auto" w:fill="auto"/>
          </w:tcPr>
          <w:p w14:paraId="4B5416F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72,8</w:t>
            </w:r>
          </w:p>
        </w:tc>
        <w:tc>
          <w:tcPr>
            <w:tcW w:w="1027" w:type="dxa"/>
            <w:tcBorders>
              <w:top w:val="single" w:sz="4" w:space="0" w:color="000000"/>
              <w:left w:val="single" w:sz="4" w:space="0" w:color="000000"/>
              <w:bottom w:val="single" w:sz="4" w:space="0" w:color="000000"/>
            </w:tcBorders>
            <w:shd w:val="clear" w:color="auto" w:fill="auto"/>
          </w:tcPr>
          <w:p w14:paraId="7401FC3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143,04</w:t>
            </w:r>
          </w:p>
        </w:tc>
        <w:tc>
          <w:tcPr>
            <w:tcW w:w="921" w:type="dxa"/>
            <w:tcBorders>
              <w:top w:val="single" w:sz="4" w:space="0" w:color="000000"/>
              <w:left w:val="single" w:sz="4" w:space="0" w:color="000000"/>
              <w:bottom w:val="single" w:sz="4" w:space="0" w:color="000000"/>
            </w:tcBorders>
            <w:shd w:val="clear" w:color="auto" w:fill="auto"/>
          </w:tcPr>
          <w:p w14:paraId="0B36895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74,2</w:t>
            </w:r>
          </w:p>
        </w:tc>
        <w:tc>
          <w:tcPr>
            <w:tcW w:w="1303" w:type="dxa"/>
            <w:tcBorders>
              <w:top w:val="single" w:sz="4" w:space="0" w:color="000000"/>
              <w:left w:val="single" w:sz="4" w:space="0" w:color="000000"/>
              <w:bottom w:val="single" w:sz="4" w:space="0" w:color="000000"/>
            </w:tcBorders>
            <w:shd w:val="clear" w:color="auto" w:fill="auto"/>
          </w:tcPr>
          <w:p w14:paraId="463F14F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76,</w:t>
            </w:r>
            <w:r w:rsidRPr="00F0736F">
              <w:rPr>
                <w:rFonts w:ascii="Times New Roman" w:hAnsi="Times New Roman" w:cs="Times New Roman"/>
                <w:color w:val="000000" w:themeColor="text1"/>
                <w:sz w:val="20"/>
                <w:szCs w:val="20"/>
                <w:lang w:val="en-US"/>
              </w:rPr>
              <w:t>1</w:t>
            </w:r>
          </w:p>
        </w:tc>
        <w:tc>
          <w:tcPr>
            <w:tcW w:w="1689" w:type="dxa"/>
            <w:tcBorders>
              <w:top w:val="single" w:sz="4" w:space="0" w:color="000000"/>
              <w:left w:val="single" w:sz="4" w:space="0" w:color="000000"/>
              <w:bottom w:val="single" w:sz="4" w:space="0" w:color="000000"/>
              <w:right w:val="single" w:sz="4" w:space="0" w:color="000000"/>
            </w:tcBorders>
            <w:shd w:val="clear" w:color="auto" w:fill="auto"/>
          </w:tcPr>
          <w:p w14:paraId="7D14ED99" w14:textId="77777777" w:rsidR="00AC1D5B" w:rsidRPr="00F0736F" w:rsidRDefault="00AC1D5B" w:rsidP="00AC1D5B">
            <w:pPr>
              <w:ind w:firstLine="12"/>
              <w:jc w:val="center"/>
              <w:rPr>
                <w:color w:val="000000" w:themeColor="text1"/>
              </w:rPr>
            </w:pPr>
            <w:r w:rsidRPr="00F0736F">
              <w:rPr>
                <w:rFonts w:ascii="Times New Roman" w:hAnsi="Times New Roman" w:cs="Times New Roman"/>
                <w:color w:val="000000" w:themeColor="text1"/>
                <w:sz w:val="20"/>
                <w:szCs w:val="20"/>
              </w:rPr>
              <w:t>28,8</w:t>
            </w:r>
          </w:p>
        </w:tc>
      </w:tr>
      <w:tr w:rsidR="00F0736F" w:rsidRPr="00F0736F" w14:paraId="008612BB" w14:textId="77777777" w:rsidTr="000B2B8A">
        <w:tc>
          <w:tcPr>
            <w:tcW w:w="2116" w:type="dxa"/>
            <w:tcBorders>
              <w:top w:val="single" w:sz="4" w:space="0" w:color="000000"/>
              <w:left w:val="single" w:sz="4" w:space="0" w:color="000000"/>
              <w:bottom w:val="single" w:sz="4" w:space="0" w:color="000000"/>
            </w:tcBorders>
            <w:shd w:val="clear" w:color="auto" w:fill="auto"/>
            <w:vAlign w:val="center"/>
          </w:tcPr>
          <w:p w14:paraId="445206DB"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Сбросы тыс. т.</w:t>
            </w:r>
          </w:p>
        </w:tc>
        <w:tc>
          <w:tcPr>
            <w:tcW w:w="1516" w:type="dxa"/>
            <w:tcBorders>
              <w:top w:val="single" w:sz="4" w:space="0" w:color="000000"/>
              <w:left w:val="single" w:sz="4" w:space="0" w:color="000000"/>
              <w:bottom w:val="single" w:sz="4" w:space="0" w:color="000000"/>
            </w:tcBorders>
            <w:shd w:val="clear" w:color="auto" w:fill="auto"/>
            <w:vAlign w:val="center"/>
          </w:tcPr>
          <w:p w14:paraId="19DDEB75"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159,3</w:t>
            </w:r>
          </w:p>
        </w:tc>
        <w:tc>
          <w:tcPr>
            <w:tcW w:w="1163" w:type="dxa"/>
            <w:tcBorders>
              <w:top w:val="single" w:sz="4" w:space="0" w:color="000000"/>
              <w:left w:val="single" w:sz="4" w:space="0" w:color="000000"/>
              <w:bottom w:val="single" w:sz="4" w:space="0" w:color="000000"/>
            </w:tcBorders>
            <w:shd w:val="clear" w:color="auto" w:fill="auto"/>
            <w:vAlign w:val="center"/>
          </w:tcPr>
          <w:p w14:paraId="719EB08E"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30,1</w:t>
            </w:r>
          </w:p>
        </w:tc>
        <w:tc>
          <w:tcPr>
            <w:tcW w:w="1027" w:type="dxa"/>
            <w:tcBorders>
              <w:top w:val="single" w:sz="4" w:space="0" w:color="000000"/>
              <w:left w:val="single" w:sz="4" w:space="0" w:color="000000"/>
              <w:bottom w:val="single" w:sz="4" w:space="0" w:color="000000"/>
            </w:tcBorders>
            <w:shd w:val="clear" w:color="auto" w:fill="auto"/>
            <w:vAlign w:val="center"/>
          </w:tcPr>
          <w:p w14:paraId="6FE83B9B"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157,9</w:t>
            </w:r>
          </w:p>
        </w:tc>
        <w:tc>
          <w:tcPr>
            <w:tcW w:w="921" w:type="dxa"/>
            <w:tcBorders>
              <w:top w:val="single" w:sz="4" w:space="0" w:color="000000"/>
              <w:left w:val="single" w:sz="4" w:space="0" w:color="000000"/>
              <w:bottom w:val="single" w:sz="4" w:space="0" w:color="000000"/>
            </w:tcBorders>
            <w:shd w:val="clear" w:color="auto" w:fill="auto"/>
            <w:vAlign w:val="center"/>
          </w:tcPr>
          <w:p w14:paraId="3B43AB9C"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30,3</w:t>
            </w:r>
          </w:p>
        </w:tc>
        <w:tc>
          <w:tcPr>
            <w:tcW w:w="1303" w:type="dxa"/>
            <w:tcBorders>
              <w:top w:val="single" w:sz="4" w:space="0" w:color="000000"/>
              <w:left w:val="single" w:sz="4" w:space="0" w:color="000000"/>
              <w:bottom w:val="single" w:sz="4" w:space="0" w:color="000000"/>
            </w:tcBorders>
            <w:shd w:val="clear" w:color="auto" w:fill="auto"/>
            <w:vAlign w:val="center"/>
          </w:tcPr>
          <w:p w14:paraId="2E1B54B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142,</w:t>
            </w:r>
            <w:r w:rsidRPr="00F0736F">
              <w:rPr>
                <w:rFonts w:ascii="Times New Roman" w:hAnsi="Times New Roman" w:cs="Times New Roman"/>
                <w:color w:val="000000" w:themeColor="text1"/>
                <w:sz w:val="20"/>
                <w:szCs w:val="20"/>
                <w:lang w:val="kk-KZ"/>
              </w:rPr>
              <w:t>4</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DD089" w14:textId="77777777" w:rsidR="00AC1D5B" w:rsidRPr="00F0736F" w:rsidRDefault="00AC1D5B" w:rsidP="00AC1D5B">
            <w:pPr>
              <w:ind w:firstLine="12"/>
              <w:jc w:val="center"/>
              <w:rPr>
                <w:color w:val="000000" w:themeColor="text1"/>
              </w:rPr>
            </w:pPr>
            <w:r w:rsidRPr="00F0736F">
              <w:rPr>
                <w:rFonts w:ascii="Times New Roman" w:hAnsi="Times New Roman" w:cs="Times New Roman"/>
                <w:color w:val="000000" w:themeColor="text1"/>
                <w:sz w:val="20"/>
                <w:szCs w:val="20"/>
                <w:lang w:val="kk-KZ"/>
              </w:rPr>
              <w:t>18,2</w:t>
            </w:r>
          </w:p>
        </w:tc>
      </w:tr>
      <w:tr w:rsidR="00F0736F" w:rsidRPr="00F0736F" w14:paraId="1FC4CCA1" w14:textId="77777777" w:rsidTr="000B2B8A">
        <w:tc>
          <w:tcPr>
            <w:tcW w:w="2116" w:type="dxa"/>
            <w:tcBorders>
              <w:top w:val="single" w:sz="4" w:space="0" w:color="000000"/>
              <w:left w:val="single" w:sz="4" w:space="0" w:color="000000"/>
              <w:bottom w:val="single" w:sz="4" w:space="0" w:color="000000"/>
            </w:tcBorders>
            <w:shd w:val="clear" w:color="auto" w:fill="auto"/>
            <w:vAlign w:val="center"/>
          </w:tcPr>
          <w:p w14:paraId="3289462F" w14:textId="77777777" w:rsidR="00AC1D5B" w:rsidRPr="00F0736F" w:rsidRDefault="00AC1D5B" w:rsidP="00AC1D5B">
            <w:pPr>
              <w:tabs>
                <w:tab w:val="left" w:pos="7880"/>
              </w:tabs>
              <w:jc w:val="both"/>
              <w:rPr>
                <w:color w:val="000000" w:themeColor="text1"/>
              </w:rPr>
            </w:pPr>
            <w:r w:rsidRPr="00F0736F">
              <w:rPr>
                <w:rFonts w:ascii="Times New Roman" w:eastAsia="Times New Roman" w:hAnsi="Times New Roman" w:cs="Times New Roman"/>
                <w:color w:val="000000" w:themeColor="text1"/>
                <w:sz w:val="20"/>
                <w:szCs w:val="20"/>
              </w:rPr>
              <w:t>Отходы тыс. т.</w:t>
            </w:r>
          </w:p>
        </w:tc>
        <w:tc>
          <w:tcPr>
            <w:tcW w:w="1516" w:type="dxa"/>
            <w:tcBorders>
              <w:top w:val="single" w:sz="4" w:space="0" w:color="000000"/>
              <w:left w:val="single" w:sz="4" w:space="0" w:color="000000"/>
              <w:bottom w:val="single" w:sz="4" w:space="0" w:color="000000"/>
            </w:tcBorders>
            <w:shd w:val="clear" w:color="auto" w:fill="auto"/>
            <w:vAlign w:val="center"/>
          </w:tcPr>
          <w:p w14:paraId="57564008"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2937,5</w:t>
            </w:r>
          </w:p>
        </w:tc>
        <w:tc>
          <w:tcPr>
            <w:tcW w:w="1163" w:type="dxa"/>
            <w:tcBorders>
              <w:top w:val="single" w:sz="4" w:space="0" w:color="000000"/>
              <w:left w:val="single" w:sz="4" w:space="0" w:color="000000"/>
              <w:bottom w:val="single" w:sz="4" w:space="0" w:color="000000"/>
            </w:tcBorders>
            <w:shd w:val="clear" w:color="auto" w:fill="auto"/>
            <w:vAlign w:val="center"/>
          </w:tcPr>
          <w:p w14:paraId="22E358C6"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1159,</w:t>
            </w:r>
            <w:r w:rsidRPr="00F0736F">
              <w:rPr>
                <w:rFonts w:ascii="Times New Roman" w:eastAsia="Times New Roman" w:hAnsi="Times New Roman" w:cs="Times New Roman"/>
                <w:color w:val="000000" w:themeColor="text1"/>
                <w:sz w:val="20"/>
                <w:szCs w:val="20"/>
                <w:lang w:val="kk-KZ"/>
              </w:rPr>
              <w:t>6</w:t>
            </w:r>
          </w:p>
        </w:tc>
        <w:tc>
          <w:tcPr>
            <w:tcW w:w="1027" w:type="dxa"/>
            <w:tcBorders>
              <w:top w:val="single" w:sz="4" w:space="0" w:color="000000"/>
              <w:left w:val="single" w:sz="4" w:space="0" w:color="000000"/>
              <w:bottom w:val="single" w:sz="4" w:space="0" w:color="000000"/>
            </w:tcBorders>
            <w:shd w:val="clear" w:color="auto" w:fill="auto"/>
            <w:vAlign w:val="center"/>
          </w:tcPr>
          <w:p w14:paraId="06D16845"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2716,9</w:t>
            </w:r>
          </w:p>
        </w:tc>
        <w:tc>
          <w:tcPr>
            <w:tcW w:w="921" w:type="dxa"/>
            <w:tcBorders>
              <w:top w:val="single" w:sz="4" w:space="0" w:color="000000"/>
              <w:left w:val="single" w:sz="4" w:space="0" w:color="000000"/>
              <w:bottom w:val="single" w:sz="4" w:space="0" w:color="000000"/>
            </w:tcBorders>
            <w:shd w:val="clear" w:color="auto" w:fill="auto"/>
            <w:vAlign w:val="center"/>
          </w:tcPr>
          <w:p w14:paraId="2A99C55B" w14:textId="77777777" w:rsidR="00AC1D5B" w:rsidRPr="00F0736F" w:rsidRDefault="00AC1D5B" w:rsidP="00AC1D5B">
            <w:pPr>
              <w:tabs>
                <w:tab w:val="left" w:pos="7880"/>
              </w:tabs>
              <w:jc w:val="center"/>
              <w:rPr>
                <w:color w:val="000000" w:themeColor="text1"/>
              </w:rPr>
            </w:pPr>
            <w:r w:rsidRPr="00F0736F">
              <w:rPr>
                <w:rFonts w:ascii="Times New Roman" w:eastAsia="Times New Roman" w:hAnsi="Times New Roman" w:cs="Times New Roman"/>
                <w:color w:val="000000" w:themeColor="text1"/>
                <w:sz w:val="20"/>
                <w:szCs w:val="20"/>
              </w:rPr>
              <w:t>1016,3</w:t>
            </w:r>
          </w:p>
        </w:tc>
        <w:tc>
          <w:tcPr>
            <w:tcW w:w="1303" w:type="dxa"/>
            <w:tcBorders>
              <w:top w:val="single" w:sz="4" w:space="0" w:color="000000"/>
              <w:left w:val="single" w:sz="4" w:space="0" w:color="000000"/>
              <w:bottom w:val="single" w:sz="4" w:space="0" w:color="000000"/>
            </w:tcBorders>
            <w:shd w:val="clear" w:color="auto" w:fill="auto"/>
            <w:vAlign w:val="center"/>
          </w:tcPr>
          <w:p w14:paraId="683506ED"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30 422,</w:t>
            </w:r>
            <w:r w:rsidRPr="00F0736F">
              <w:rPr>
                <w:rFonts w:ascii="Times New Roman" w:hAnsi="Times New Roman" w:cs="Times New Roman"/>
                <w:color w:val="000000" w:themeColor="text1"/>
                <w:sz w:val="20"/>
                <w:szCs w:val="20"/>
                <w:lang w:val="kk-KZ"/>
              </w:rPr>
              <w:t>8</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AE41" w14:textId="77777777" w:rsidR="00AC1D5B" w:rsidRPr="00F0736F" w:rsidRDefault="00AC1D5B" w:rsidP="00AC1D5B">
            <w:pPr>
              <w:ind w:firstLine="12"/>
              <w:jc w:val="center"/>
              <w:rPr>
                <w:color w:val="000000" w:themeColor="text1"/>
              </w:rPr>
            </w:pPr>
            <w:r w:rsidRPr="00F0736F">
              <w:rPr>
                <w:rFonts w:ascii="Times New Roman" w:hAnsi="Times New Roman" w:cs="Times New Roman"/>
                <w:color w:val="000000" w:themeColor="text1"/>
                <w:sz w:val="20"/>
                <w:szCs w:val="20"/>
                <w:lang w:val="kk-KZ"/>
              </w:rPr>
              <w:t>12 340,8</w:t>
            </w:r>
          </w:p>
        </w:tc>
      </w:tr>
    </w:tbl>
    <w:p w14:paraId="5BEB0E3C" w14:textId="77777777" w:rsidR="00AC1D5B" w:rsidRPr="00F0736F" w:rsidRDefault="00AC1D5B" w:rsidP="00AC1D5B">
      <w:pPr>
        <w:ind w:firstLine="709"/>
        <w:jc w:val="both"/>
        <w:rPr>
          <w:i/>
          <w:iCs/>
          <w:color w:val="000000" w:themeColor="text1"/>
        </w:rPr>
      </w:pPr>
      <w:r w:rsidRPr="00F0736F">
        <w:rPr>
          <w:rFonts w:ascii="Times New Roman" w:hAnsi="Times New Roman" w:cs="Times New Roman"/>
          <w:i/>
          <w:iCs/>
          <w:color w:val="000000" w:themeColor="text1"/>
          <w:sz w:val="20"/>
          <w:szCs w:val="20"/>
        </w:rPr>
        <w:t xml:space="preserve">Примечание: *за 2017, 2018 годы данные по Южно-Казахстанской области. </w:t>
      </w:r>
    </w:p>
    <w:p w14:paraId="638DF427" w14:textId="77777777" w:rsidR="00AC1D5B" w:rsidRPr="00F0736F" w:rsidRDefault="00AC1D5B" w:rsidP="00AC1D5B">
      <w:pPr>
        <w:ind w:firstLine="709"/>
        <w:jc w:val="both"/>
        <w:rPr>
          <w:rFonts w:ascii="Times New Roman" w:hAnsi="Times New Roman" w:cs="Times New Roman"/>
          <w:color w:val="000000" w:themeColor="text1"/>
        </w:rPr>
      </w:pPr>
    </w:p>
    <w:p w14:paraId="57DC6CA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настоящее время, крупными предприятиями горнодобывающего сектора Туркестанской области выбросы составляют 35% от общих объемов области.</w:t>
      </w:r>
    </w:p>
    <w:p w14:paraId="3E40755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сравнению с 2017 годом в 2018 году наблюдалось увеличение фактических объемов выбросов загрязняющих веществ в атмосферу на 1,4 тыс. т. В 2019 году выбросы сократились за счет исключения города Шымкента.</w:t>
      </w:r>
    </w:p>
    <w:p w14:paraId="49E2796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Предприятиями по Южно-Казахстанской области освоено в 2016 году – более 4,7 млрд. тенге в 2017 году – 4,2 млрд. тенге, в 2018 году – около 3 млрд. тенге, по Туркестанской области за 2019 год – 1,3 млрд. тенге.</w:t>
      </w:r>
    </w:p>
    <w:p w14:paraId="105916E1" w14:textId="77777777" w:rsidR="00AC1D5B" w:rsidRPr="00F0736F" w:rsidRDefault="00AC1D5B" w:rsidP="00AC1D5B">
      <w:pPr>
        <w:ind w:firstLine="709"/>
        <w:jc w:val="both"/>
        <w:rPr>
          <w:rFonts w:ascii="Times New Roman" w:hAnsi="Times New Roman" w:cs="Times New Roman"/>
          <w:color w:val="000000" w:themeColor="text1"/>
          <w:sz w:val="20"/>
          <w:szCs w:val="20"/>
        </w:rPr>
      </w:pPr>
    </w:p>
    <w:p w14:paraId="44CF65C4" w14:textId="77777777" w:rsidR="00AC1D5B" w:rsidRPr="00F0736F" w:rsidRDefault="00AC1D5B" w:rsidP="00AC1D5B">
      <w:pPr>
        <w:overflowPunct/>
        <w:jc w:val="both"/>
        <w:rPr>
          <w:rFonts w:ascii="Times New Roman" w:eastAsia="Tahoma" w:hAnsi="Times New Roman" w:cs="Times New Roman"/>
          <w:color w:val="000000" w:themeColor="text1"/>
        </w:rPr>
      </w:pPr>
      <w:r w:rsidRPr="00F0736F">
        <w:rPr>
          <w:rFonts w:ascii="Times New Roman" w:eastAsia="Tahoma" w:hAnsi="Times New Roman" w:cs="Times New Roman"/>
          <w:color w:val="000000" w:themeColor="text1"/>
        </w:rPr>
        <w:t>Таблица 2.14.2. Финансирование природоохранных мероприятий природопользователями по Южно-Казахстанской и Туркестанской области области, млрд.тенге</w:t>
      </w:r>
    </w:p>
    <w:p w14:paraId="637FFA99" w14:textId="77777777" w:rsidR="00AC1D5B" w:rsidRPr="00F0736F" w:rsidRDefault="00AC1D5B" w:rsidP="00AC1D5B">
      <w:pPr>
        <w:widowControl w:val="0"/>
        <w:overflowPunct/>
        <w:ind w:firstLine="709"/>
        <w:jc w:val="both"/>
        <w:rPr>
          <w:color w:val="000000" w:themeColor="text1"/>
          <w:kern w:val="0"/>
          <w:sz w:val="20"/>
          <w:szCs w:val="20"/>
        </w:rPr>
      </w:pPr>
    </w:p>
    <w:tbl>
      <w:tblPr>
        <w:tblW w:w="0" w:type="auto"/>
        <w:tblInd w:w="-42" w:type="dxa"/>
        <w:tblLayout w:type="fixed"/>
        <w:tblLook w:val="0000" w:firstRow="0" w:lastRow="0" w:firstColumn="0" w:lastColumn="0" w:noHBand="0" w:noVBand="0"/>
      </w:tblPr>
      <w:tblGrid>
        <w:gridCol w:w="1605"/>
        <w:gridCol w:w="1710"/>
        <w:gridCol w:w="1695"/>
        <w:gridCol w:w="1680"/>
        <w:gridCol w:w="1155"/>
        <w:gridCol w:w="2160"/>
      </w:tblGrid>
      <w:tr w:rsidR="00F0736F" w:rsidRPr="00F0736F" w14:paraId="5AA6BB4D" w14:textId="77777777" w:rsidTr="000B2B8A">
        <w:trPr>
          <w:trHeight w:val="175"/>
        </w:trPr>
        <w:tc>
          <w:tcPr>
            <w:tcW w:w="3315" w:type="dxa"/>
            <w:gridSpan w:val="2"/>
            <w:tcBorders>
              <w:top w:val="single" w:sz="4" w:space="0" w:color="000000"/>
              <w:left w:val="single" w:sz="4" w:space="0" w:color="000000"/>
              <w:bottom w:val="single" w:sz="4" w:space="0" w:color="000000"/>
            </w:tcBorders>
            <w:shd w:val="clear" w:color="auto" w:fill="auto"/>
          </w:tcPr>
          <w:p w14:paraId="3FBDBD16" w14:textId="77777777" w:rsidR="00AC1D5B" w:rsidRPr="00F0736F" w:rsidRDefault="00AC1D5B" w:rsidP="00AC1D5B">
            <w:pPr>
              <w:shd w:val="clear" w:color="auto" w:fill="FFFFFF"/>
              <w:overflowPunct/>
              <w:ind w:firstLine="709"/>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2017 год</w:t>
            </w:r>
          </w:p>
        </w:tc>
        <w:tc>
          <w:tcPr>
            <w:tcW w:w="3375" w:type="dxa"/>
            <w:gridSpan w:val="2"/>
            <w:tcBorders>
              <w:top w:val="single" w:sz="4" w:space="0" w:color="000000"/>
              <w:left w:val="single" w:sz="4" w:space="0" w:color="000000"/>
              <w:bottom w:val="single" w:sz="4" w:space="0" w:color="000000"/>
            </w:tcBorders>
            <w:shd w:val="clear" w:color="auto" w:fill="auto"/>
          </w:tcPr>
          <w:p w14:paraId="6D0BD858" w14:textId="77777777" w:rsidR="00AC1D5B" w:rsidRPr="00F0736F" w:rsidRDefault="00AC1D5B" w:rsidP="00AC1D5B">
            <w:pPr>
              <w:shd w:val="clear" w:color="auto" w:fill="FFFFFF"/>
              <w:overflowPunct/>
              <w:ind w:firstLine="709"/>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2018 г</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auto"/>
          </w:tcPr>
          <w:p w14:paraId="7A77A2A0" w14:textId="77777777" w:rsidR="00AC1D5B" w:rsidRPr="00F0736F" w:rsidRDefault="00AC1D5B" w:rsidP="00AC1D5B">
            <w:pPr>
              <w:shd w:val="clear" w:color="auto" w:fill="FFFFFF"/>
              <w:overflowPunct/>
              <w:ind w:firstLine="709"/>
              <w:jc w:val="both"/>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 xml:space="preserve">2019 г </w:t>
            </w:r>
          </w:p>
        </w:tc>
      </w:tr>
      <w:tr w:rsidR="00F0736F" w:rsidRPr="00F0736F" w14:paraId="7339206E" w14:textId="77777777" w:rsidTr="000B2B8A">
        <w:trPr>
          <w:trHeight w:val="109"/>
        </w:trPr>
        <w:tc>
          <w:tcPr>
            <w:tcW w:w="1605" w:type="dxa"/>
            <w:tcBorders>
              <w:top w:val="single" w:sz="4" w:space="0" w:color="000000"/>
              <w:left w:val="single" w:sz="4" w:space="0" w:color="000000"/>
              <w:bottom w:val="single" w:sz="4" w:space="0" w:color="000000"/>
            </w:tcBorders>
            <w:shd w:val="clear" w:color="auto" w:fill="auto"/>
          </w:tcPr>
          <w:p w14:paraId="496C5775"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План</w:t>
            </w:r>
          </w:p>
        </w:tc>
        <w:tc>
          <w:tcPr>
            <w:tcW w:w="1710" w:type="dxa"/>
            <w:tcBorders>
              <w:top w:val="single" w:sz="4" w:space="0" w:color="000000"/>
              <w:left w:val="single" w:sz="4" w:space="0" w:color="000000"/>
              <w:bottom w:val="single" w:sz="4" w:space="0" w:color="000000"/>
            </w:tcBorders>
            <w:shd w:val="clear" w:color="auto" w:fill="auto"/>
          </w:tcPr>
          <w:p w14:paraId="5C63FF37"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w:t>
            </w:r>
          </w:p>
        </w:tc>
        <w:tc>
          <w:tcPr>
            <w:tcW w:w="1695" w:type="dxa"/>
            <w:tcBorders>
              <w:top w:val="single" w:sz="4" w:space="0" w:color="000000"/>
              <w:left w:val="single" w:sz="4" w:space="0" w:color="000000"/>
              <w:bottom w:val="single" w:sz="4" w:space="0" w:color="000000"/>
            </w:tcBorders>
            <w:shd w:val="clear" w:color="auto" w:fill="auto"/>
          </w:tcPr>
          <w:p w14:paraId="0342C769"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План</w:t>
            </w:r>
          </w:p>
        </w:tc>
        <w:tc>
          <w:tcPr>
            <w:tcW w:w="1680" w:type="dxa"/>
            <w:tcBorders>
              <w:top w:val="single" w:sz="4" w:space="0" w:color="000000"/>
              <w:left w:val="single" w:sz="4" w:space="0" w:color="000000"/>
              <w:bottom w:val="single" w:sz="4" w:space="0" w:color="000000"/>
            </w:tcBorders>
            <w:shd w:val="clear" w:color="auto" w:fill="auto"/>
          </w:tcPr>
          <w:p w14:paraId="33E8C63C"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w:t>
            </w:r>
          </w:p>
        </w:tc>
        <w:tc>
          <w:tcPr>
            <w:tcW w:w="1155" w:type="dxa"/>
            <w:tcBorders>
              <w:top w:val="single" w:sz="4" w:space="0" w:color="000000"/>
              <w:left w:val="single" w:sz="4" w:space="0" w:color="000000"/>
              <w:bottom w:val="single" w:sz="4" w:space="0" w:color="000000"/>
            </w:tcBorders>
            <w:shd w:val="clear" w:color="auto" w:fill="auto"/>
          </w:tcPr>
          <w:p w14:paraId="0409C365"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План</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99AAC6"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Факт</w:t>
            </w:r>
          </w:p>
        </w:tc>
      </w:tr>
      <w:tr w:rsidR="00F0736F" w:rsidRPr="00F0736F" w14:paraId="4A2A5536" w14:textId="77777777" w:rsidTr="000B2B8A">
        <w:trPr>
          <w:trHeight w:val="109"/>
        </w:trPr>
        <w:tc>
          <w:tcPr>
            <w:tcW w:w="1605" w:type="dxa"/>
            <w:tcBorders>
              <w:top w:val="single" w:sz="4" w:space="0" w:color="000000"/>
              <w:left w:val="single" w:sz="4" w:space="0" w:color="000000"/>
              <w:bottom w:val="single" w:sz="4" w:space="0" w:color="000000"/>
            </w:tcBorders>
            <w:shd w:val="clear" w:color="auto" w:fill="auto"/>
          </w:tcPr>
          <w:p w14:paraId="719E0622"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4,2</w:t>
            </w:r>
          </w:p>
        </w:tc>
        <w:tc>
          <w:tcPr>
            <w:tcW w:w="1710" w:type="dxa"/>
            <w:tcBorders>
              <w:top w:val="single" w:sz="4" w:space="0" w:color="000000"/>
              <w:left w:val="single" w:sz="4" w:space="0" w:color="000000"/>
              <w:bottom w:val="single" w:sz="4" w:space="0" w:color="000000"/>
            </w:tcBorders>
            <w:shd w:val="clear" w:color="auto" w:fill="auto"/>
          </w:tcPr>
          <w:p w14:paraId="565E2F06"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4,2</w:t>
            </w:r>
          </w:p>
        </w:tc>
        <w:tc>
          <w:tcPr>
            <w:tcW w:w="1695" w:type="dxa"/>
            <w:tcBorders>
              <w:top w:val="single" w:sz="4" w:space="0" w:color="000000"/>
              <w:left w:val="single" w:sz="4" w:space="0" w:color="000000"/>
              <w:bottom w:val="single" w:sz="4" w:space="0" w:color="000000"/>
            </w:tcBorders>
            <w:shd w:val="clear" w:color="auto" w:fill="auto"/>
          </w:tcPr>
          <w:p w14:paraId="763EEFF0"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3,0</w:t>
            </w:r>
          </w:p>
        </w:tc>
        <w:tc>
          <w:tcPr>
            <w:tcW w:w="1680" w:type="dxa"/>
            <w:tcBorders>
              <w:top w:val="single" w:sz="4" w:space="0" w:color="000000"/>
              <w:left w:val="single" w:sz="4" w:space="0" w:color="000000"/>
              <w:bottom w:val="single" w:sz="4" w:space="0" w:color="000000"/>
            </w:tcBorders>
            <w:shd w:val="clear" w:color="auto" w:fill="auto"/>
          </w:tcPr>
          <w:p w14:paraId="6787C691"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3,0</w:t>
            </w:r>
          </w:p>
        </w:tc>
        <w:tc>
          <w:tcPr>
            <w:tcW w:w="1155" w:type="dxa"/>
            <w:tcBorders>
              <w:top w:val="single" w:sz="4" w:space="0" w:color="000000"/>
              <w:left w:val="single" w:sz="4" w:space="0" w:color="000000"/>
              <w:bottom w:val="single" w:sz="4" w:space="0" w:color="000000"/>
            </w:tcBorders>
            <w:shd w:val="clear" w:color="auto" w:fill="auto"/>
          </w:tcPr>
          <w:p w14:paraId="5ED99698"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1,231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7330F7" w14:textId="77777777" w:rsidR="00AC1D5B" w:rsidRPr="00F0736F" w:rsidRDefault="00AC1D5B" w:rsidP="00AC1D5B">
            <w:pPr>
              <w:shd w:val="clear" w:color="auto" w:fill="FFFFFF"/>
              <w:overflowPunct/>
              <w:jc w:val="center"/>
              <w:rPr>
                <w:rFonts w:ascii="Tahoma" w:eastAsia="Tahoma" w:hAnsi="Tahoma" w:cs="Tahoma"/>
                <w:color w:val="000000" w:themeColor="text1"/>
                <w:sz w:val="20"/>
                <w:szCs w:val="20"/>
              </w:rPr>
            </w:pPr>
            <w:r w:rsidRPr="00F0736F">
              <w:rPr>
                <w:rFonts w:ascii="Times New Roman" w:eastAsia="Tahoma" w:hAnsi="Times New Roman" w:cs="Times New Roman"/>
                <w:color w:val="000000" w:themeColor="text1"/>
                <w:sz w:val="20"/>
                <w:szCs w:val="20"/>
              </w:rPr>
              <w:t>1,3</w:t>
            </w:r>
          </w:p>
        </w:tc>
      </w:tr>
    </w:tbl>
    <w:p w14:paraId="5513DE85" w14:textId="77777777" w:rsidR="00AC1D5B" w:rsidRPr="00F0736F" w:rsidRDefault="00AC1D5B" w:rsidP="00AC1D5B">
      <w:pPr>
        <w:ind w:firstLine="709"/>
        <w:jc w:val="both"/>
        <w:rPr>
          <w:rFonts w:ascii="Arial" w:eastAsia="font4398" w:hAnsi="Arial" w:cs="Arial"/>
          <w:b/>
          <w:bCs/>
          <w:i/>
          <w:color w:val="000000" w:themeColor="text1"/>
          <w:sz w:val="20"/>
          <w:szCs w:val="20"/>
          <w:lang w:val="kk-KZ" w:eastAsia="en-US"/>
        </w:rPr>
      </w:pPr>
    </w:p>
    <w:p w14:paraId="764C6F5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сокращения загрязнения населенных пунктов за последние 8 лет дополнительно газифицированы 203 населенных пункта, в результате из 844 населенных пунктов газифицировано 300 (35,5%), или 1 755 307 (61,8%) жителей.</w:t>
      </w:r>
    </w:p>
    <w:p w14:paraId="6D58C42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Согласно плану, к 2022 году будут дополнительно газифицированы 383 н.п. (960 195 тыс. жителей) и количество газифицированных населенных пунктов достигнет до 683 (80,9%) или 2715501 (95,65%) жителей. </w:t>
      </w:r>
    </w:p>
    <w:p w14:paraId="016930A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Южно-Казахстанской области количество автобусов и микроавтобусов, работающих на межрегиональных пассажирских маршрутах, составляло 2750. Из них переведено на газ: в 2015 году - 397 (14,5%), в 2016 году - 463 (17%), в 2017 году - 630 (23%).</w:t>
      </w:r>
    </w:p>
    <w:p w14:paraId="3B7D657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Южно-Казахстанской</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 xml:space="preserve">области проводились на 7-и водных объектах (реки Сырдарья, Келес, Бадам, Арыс, Боген, Катта </w:t>
      </w:r>
      <w:r w:rsidRPr="00F0736F">
        <w:rPr>
          <w:rFonts w:ascii="Times New Roman" w:hAnsi="Times New Roman" w:cs="Times New Roman"/>
          <w:b/>
          <w:color w:val="000000" w:themeColor="text1"/>
        </w:rPr>
        <w:t>-</w:t>
      </w:r>
      <w:r w:rsidRPr="00F0736F">
        <w:rPr>
          <w:rFonts w:ascii="Times New Roman" w:hAnsi="Times New Roman" w:cs="Times New Roman"/>
          <w:color w:val="000000" w:themeColor="text1"/>
        </w:rPr>
        <w:t xml:space="preserve"> Бугунь и водохранилище Шардаринское). </w:t>
      </w:r>
    </w:p>
    <w:p w14:paraId="54A97EE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охраны от загрязнения и истощения водных объектов областным акиматом продолжается работа по установлению водоохранных зон и полос на водных объектах области и режима их хозяйственного использования. Так, начиная с 2005 года, на 122 реках протяженностью 3991 км, 35 водохранилищах и 2 природных озерах, находящихся на Арало-Сырдарьинском бассейне, были установлены водоохранные зоны и полосы.</w:t>
      </w:r>
    </w:p>
    <w:p w14:paraId="0576944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2015 году установлены водоохранные полосы и зоны на Коксарайском контррегуляторе. Также введены координаты всех водоохранных зон и полос в электронную базу Земельного кадастра для предотвращения выделения земельных участков в водоохранных зонах и полосах водных объектов. </w:t>
      </w:r>
    </w:p>
    <w:p w14:paraId="312417C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2017 году на 23 реках, расположенных в Сузакском районе Шу-Таласского бассейна, установлены водоохранные зоны и полосы.</w:t>
      </w:r>
    </w:p>
    <w:p w14:paraId="50B103E9"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31EFDA96"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en-US"/>
        </w:rPr>
        <w:t>В 2017 году по Южно-Казахстанской области объем образованных ТБО составило 328,4 тыс. т., из них переработано 6%. 55% населения было охвачено услугами по сбору и вывозу ТБО</w:t>
      </w:r>
      <w:r w:rsidRPr="00F0736F">
        <w:rPr>
          <w:rFonts w:ascii="Times New Roman" w:eastAsia="Calibri" w:hAnsi="Times New Roman" w:cs="Times New Roman"/>
          <w:b/>
          <w:bCs/>
          <w:color w:val="000000" w:themeColor="text1"/>
          <w:lang w:eastAsia="en-US"/>
        </w:rPr>
        <w:t>.</w:t>
      </w:r>
      <w:r w:rsidRPr="00F0736F">
        <w:rPr>
          <w:rFonts w:ascii="Times New Roman" w:eastAsia="Calibri" w:hAnsi="Times New Roman" w:cs="Times New Roman"/>
          <w:b/>
          <w:color w:val="000000" w:themeColor="text1"/>
          <w:lang w:eastAsia="en-US"/>
        </w:rPr>
        <w:t xml:space="preserve"> </w:t>
      </w:r>
      <w:r w:rsidRPr="00F0736F">
        <w:rPr>
          <w:rFonts w:ascii="Times New Roman" w:hAnsi="Times New Roman" w:cs="Times New Roman"/>
          <w:color w:val="000000" w:themeColor="text1"/>
        </w:rPr>
        <w:t>В 2018 г. образовано 137,6 тыс. т. ТБО, из них переработано 7,17%, По итогам 2019 года общий объем накопленных твердых бытовых отходов составил 128 081 т., из них на переработку направлено 14 390 т. или 11,2%.</w:t>
      </w:r>
    </w:p>
    <w:p w14:paraId="59A1774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81,24% населения было охвачено услугами по сбору и вывозу ТБО. Из 159 объектов размещения ТБО 144 соответствуют экологическим и санитарным требованиям и нормам, что составляет 91%. </w:t>
      </w:r>
    </w:p>
    <w:p w14:paraId="2269768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начало 2020 года на территории области установлено 163 полигона твердых бытовых отходов, из них 150 получили разрешения на эмиссии в окружающую среду — 92%. </w:t>
      </w:r>
    </w:p>
    <w:p w14:paraId="42F5A297"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lang w:val="kk-KZ"/>
        </w:rPr>
        <w:t>По Туркестанской области вывоз ТБО осуществляют 38 мусоровывозящих организаций.</w:t>
      </w:r>
    </w:p>
    <w:p w14:paraId="646B4A81"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г. Туркестан ИП Акметов занимается сбором и переработкой различных полиэтиленовых и бумажно-картонных отходов от населения, а также производством сырья для пластиковых труб.</w:t>
      </w:r>
    </w:p>
    <w:p w14:paraId="031613EE"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На территории полигона ТБО г. Кентау ИП Булегенов проводит сортировку отходов (пластмассовые, пластиковые, полиэтиленовые отходы и бумажная продукция) с последующей передачей на переработку на завод ТОО «Статус Эверест» с производством пластиковых гранул, т. е. сырья для пластиковых труб.</w:t>
      </w:r>
    </w:p>
    <w:p w14:paraId="01073581"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По области сортировкой и раздельным сбором также занимаются следующие предприятия: ИП «Шаяхмет Сәрсен», ИП «Сахова», ИП «Дарбишев», ТОО «Автомелиос», ТОО «Big Dale», ТОО «KazPromVtor», ТОО «Ынтымақ-2016», ТОО «Қызмет-Сервис-Арыс», ТОО «FERRUM-LTD», ТОО «DELTA-MET».</w:t>
      </w:r>
    </w:p>
    <w:p w14:paraId="0C9C5782"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целях утилизации ТБО в индустриальной зоне Бадам Ордабасинского района ТОО «GREEN Technology Industries» ведется строительство завода по переработке ПЭТ-отходов с производством гранул и штапельного волокна. В июле 2018 года запущен I этап завода по мойке, измельчению ПЭТ отходов и производству флекса из ПЭТ-отходов. По итогам 2019 года выпущено 1515 т. ПЭТ-флекса. В июне 2020 года планируется запуск II-го этапа завода (производство химических волокон (синтепон, холлофайбер) из отходов полиэтилена). Продукция, произведенная ТОО «GREEN Technology Industries» (ПЭТ-флекс) потребляется в Казахстане и экспортируется в Россию.</w:t>
      </w:r>
    </w:p>
    <w:p w14:paraId="64D5BED4"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Кроме того, акиматом г. Туркестан ведутся переговоры с инвесторами по установке сортировочной линии на территории полигона ТБО в г. Туркестан.</w:t>
      </w:r>
    </w:p>
    <w:p w14:paraId="7706C953"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На территории Туркестанской области в 2019 году выявлено 303 объекта несанкционированных свалок, государственными экологическими инспекторами Департамента экологии Туркестанской области направлено 250 писем об устранении несанкционированных свалок, из которых утилизировано 29 объектов. МЭГПР совместно с акиматом Туркестанской области утверждён график ликвидации свалок. Работа по ликвидации несанкционированных свалок продолжается.</w:t>
      </w:r>
    </w:p>
    <w:p w14:paraId="5A66604C"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eastAsia="Calibri" w:hAnsi="Times New Roman" w:cs="Times New Roman"/>
          <w:b/>
          <w:bCs/>
          <w:i/>
          <w:iCs/>
          <w:color w:val="000000" w:themeColor="text1"/>
        </w:rPr>
        <w:t xml:space="preserve">Состояние биологических ресурсов и развитие лесного, рыбного и охотничьего хозяйств, </w:t>
      </w:r>
      <w:r w:rsidRPr="00F0736F">
        <w:rPr>
          <w:rFonts w:ascii="Times New Roman" w:eastAsia="TimesNewRoman" w:hAnsi="Times New Roman" w:cs="Times New Roman"/>
          <w:b/>
          <w:bCs/>
          <w:i/>
          <w:iCs/>
          <w:color w:val="000000" w:themeColor="text1"/>
          <w:lang w:eastAsia="ru-RU" w:bidi="ru-RU"/>
        </w:rPr>
        <w:t xml:space="preserve">ООПТ </w:t>
      </w:r>
      <w:r w:rsidRPr="00F0736F">
        <w:rPr>
          <w:rFonts w:ascii="Times New Roman" w:eastAsia="Calibri" w:hAnsi="Times New Roman" w:cs="Times New Roman"/>
          <w:b/>
          <w:bCs/>
          <w:i/>
          <w:iCs/>
          <w:color w:val="000000" w:themeColor="text1"/>
        </w:rPr>
        <w:t>и экологического туризма</w:t>
      </w:r>
    </w:p>
    <w:p w14:paraId="24893A39"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lang w:eastAsia="en-US"/>
        </w:rPr>
        <w:t>В 2019 году общая площадь государственного лесного фонда Туркестанской области составляет 3 439,1 тыс. га, в том числе 1 654,4 тыс. га покрытых лесом земель. Лесистость области 14,1 %.</w:t>
      </w:r>
    </w:p>
    <w:p w14:paraId="3F8B64CA"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lang w:eastAsia="en-US"/>
        </w:rPr>
        <w:t>В 2019 году мероприятия по воспроизводству лесов и лесоразведению государственными учреждениями лесного хозяйства Туркестанской области способом посева и посадки леса проведены на площади 18500 га (при плане 18500 га). В том числе Сайрам-Угамским государственным национальным природным парком проведена посадка леса на площади 20 га.</w:t>
      </w:r>
    </w:p>
    <w:p w14:paraId="61A6692E"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2017 году зарег</w:t>
      </w:r>
      <w:r w:rsidRPr="00F0736F">
        <w:rPr>
          <w:rFonts w:ascii="Times New Roman" w:hAnsi="Times New Roman" w:cs="Times New Roman"/>
          <w:color w:val="000000" w:themeColor="text1"/>
          <w:lang w:val="kk-KZ"/>
        </w:rPr>
        <w:t>и</w:t>
      </w:r>
      <w:r w:rsidRPr="00F0736F">
        <w:rPr>
          <w:rFonts w:ascii="Times New Roman" w:hAnsi="Times New Roman" w:cs="Times New Roman"/>
          <w:color w:val="000000" w:themeColor="text1"/>
        </w:rPr>
        <w:t>стрировано 2 случая лесного пожара с охватом пожара 21,5 га площади. В результате, средняя площадь 1 лесного пожара составила 0,011 тыс. га (план 0,013 га), где показатель составил 85%. За 201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год произошло </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случаев лесного пожара на площади </w:t>
      </w:r>
      <w:r w:rsidRPr="00F0736F">
        <w:rPr>
          <w:rFonts w:ascii="Times New Roman" w:hAnsi="Times New Roman" w:cs="Times New Roman"/>
          <w:color w:val="000000" w:themeColor="text1"/>
          <w:lang w:val="kk-KZ"/>
        </w:rPr>
        <w:t xml:space="preserve">3939,6 </w:t>
      </w:r>
      <w:r w:rsidRPr="00F0736F">
        <w:rPr>
          <w:rFonts w:ascii="Times New Roman" w:hAnsi="Times New Roman" w:cs="Times New Roman"/>
          <w:color w:val="000000" w:themeColor="text1"/>
        </w:rPr>
        <w:t xml:space="preserve">га, в том числе покрытой лесом </w:t>
      </w:r>
      <w:r w:rsidRPr="00F0736F">
        <w:rPr>
          <w:rFonts w:ascii="Times New Roman" w:hAnsi="Times New Roman" w:cs="Times New Roman"/>
          <w:color w:val="000000" w:themeColor="text1"/>
          <w:lang w:val="kk-KZ"/>
        </w:rPr>
        <w:t>502,1</w:t>
      </w:r>
      <w:r w:rsidRPr="00F0736F">
        <w:rPr>
          <w:rFonts w:ascii="Times New Roman" w:hAnsi="Times New Roman" w:cs="Times New Roman"/>
          <w:color w:val="000000" w:themeColor="text1"/>
        </w:rPr>
        <w:t xml:space="preserve"> га. За 201</w:t>
      </w:r>
      <w:r w:rsidRPr="00F0736F">
        <w:rPr>
          <w:rFonts w:ascii="Times New Roman" w:hAnsi="Times New Roman" w:cs="Times New Roman"/>
          <w:color w:val="000000" w:themeColor="text1"/>
          <w:lang w:val="kk-KZ"/>
        </w:rPr>
        <w:t>9</w:t>
      </w:r>
      <w:r w:rsidRPr="00F0736F">
        <w:rPr>
          <w:rFonts w:ascii="Times New Roman" w:hAnsi="Times New Roman" w:cs="Times New Roman"/>
          <w:color w:val="000000" w:themeColor="text1"/>
        </w:rPr>
        <w:t xml:space="preserve"> год произошло </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случаев лесного пожара на общей площади </w:t>
      </w:r>
      <w:r w:rsidRPr="00F0736F">
        <w:rPr>
          <w:rFonts w:ascii="Times New Roman" w:hAnsi="Times New Roman" w:cs="Times New Roman"/>
          <w:color w:val="000000" w:themeColor="text1"/>
          <w:lang w:val="kk-KZ"/>
        </w:rPr>
        <w:t xml:space="preserve">63,1 </w:t>
      </w:r>
      <w:r w:rsidRPr="00F0736F">
        <w:rPr>
          <w:rFonts w:ascii="Times New Roman" w:hAnsi="Times New Roman" w:cs="Times New Roman"/>
          <w:color w:val="000000" w:themeColor="text1"/>
        </w:rPr>
        <w:t>га, в том числе 22,3 га лесная, из них 13 га лесопокрытая, 40,8 га нелесная площадь, ущерб от лесных пожаров 562,2 тыс. тенге.</w:t>
      </w:r>
    </w:p>
    <w:p w14:paraId="481DF4B5"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2019 году государственными инспекторами проведено 1984 рейда, при этом выявлено 38 фактов незаконных рубок леса, объем от которых составил 61,8 кубометров, ущерб 446,1 тыс. тенге.</w:t>
      </w:r>
    </w:p>
    <w:p w14:paraId="4041AC47"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Площадь охотничьих угодий по Туркистанской области составляет 2440,178 тыс. га. Площадь охотничьих угодий, закрепленная за охотпользователями составляет 449,277 тыс. га, в том числе  площадь резервного фонда 1991,901. тыс. га.</w:t>
      </w:r>
    </w:p>
    <w:p w14:paraId="327B088B"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eastAsia="Consolas" w:hAnsi="Times New Roman" w:cs="Times New Roman"/>
          <w:color w:val="000000" w:themeColor="text1"/>
        </w:rPr>
        <w:t xml:space="preserve">В соответствии с проектом озеленения, в 2019 году посадили  180 тыс. саженцев. В 2020 году в городе планируется посадить 250 тыс. саженцев различных видов. </w:t>
      </w:r>
    </w:p>
    <w:p w14:paraId="350393CA"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На водоемах международного и республиканского значения – 8 участков, из них закреплено 8 участков. Из 8 водоемов местного значения закреплено 8 водоемов. Лимит на </w:t>
      </w:r>
      <w:r w:rsidRPr="00F0736F">
        <w:rPr>
          <w:rFonts w:ascii="Times New Roman" w:hAnsi="Times New Roman" w:cs="Times New Roman"/>
          <w:b/>
          <w:bCs/>
          <w:color w:val="000000" w:themeColor="text1"/>
        </w:rPr>
        <w:t>вылов рыбы</w:t>
      </w:r>
      <w:r w:rsidRPr="00F0736F">
        <w:rPr>
          <w:rFonts w:ascii="Times New Roman" w:hAnsi="Times New Roman" w:cs="Times New Roman"/>
          <w:color w:val="000000" w:themeColor="text1"/>
        </w:rPr>
        <w:t xml:space="preserve"> на 2019 год – 2,6 тысяч т.. Фактический вылов рыбы – </w:t>
      </w:r>
      <w:r w:rsidRPr="00F0736F">
        <w:rPr>
          <w:rFonts w:ascii="Times New Roman" w:hAnsi="Times New Roman" w:cs="Times New Roman"/>
          <w:color w:val="000000" w:themeColor="text1"/>
          <w:lang w:val="kk-KZ"/>
        </w:rPr>
        <w:t>2,5</w:t>
      </w:r>
      <w:r w:rsidRPr="00F0736F">
        <w:rPr>
          <w:rFonts w:ascii="Times New Roman" w:hAnsi="Times New Roman" w:cs="Times New Roman"/>
          <w:color w:val="000000" w:themeColor="text1"/>
        </w:rPr>
        <w:t xml:space="preserve"> т. (96%).</w:t>
      </w:r>
    </w:p>
    <w:p w14:paraId="6549774F"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По состоянию на 1 января 2020 года на территории Туркестанской области имеется 8 </w:t>
      </w:r>
      <w:r w:rsidRPr="00F0736F">
        <w:rPr>
          <w:rFonts w:ascii="Times New Roman" w:hAnsi="Times New Roman" w:cs="Times New Roman"/>
          <w:b/>
          <w:bCs/>
          <w:color w:val="000000" w:themeColor="text1"/>
        </w:rPr>
        <w:t>особо охраняемых природных территорий</w:t>
      </w:r>
      <w:r w:rsidRPr="00F0736F">
        <w:rPr>
          <w:rFonts w:ascii="Times New Roman" w:hAnsi="Times New Roman" w:cs="Times New Roman"/>
          <w:color w:val="000000" w:themeColor="text1"/>
        </w:rPr>
        <w:t>, в том числе: г</w:t>
      </w:r>
      <w:r w:rsidRPr="00F0736F">
        <w:rPr>
          <w:rFonts w:ascii="Times New Roman" w:eastAsia="Times New Roman" w:hAnsi="Times New Roman" w:cs="Times New Roman"/>
          <w:bCs/>
          <w:color w:val="000000" w:themeColor="text1"/>
          <w:kern w:val="0"/>
          <w:lang w:eastAsia="en-US" w:bidi="ar-SA"/>
        </w:rPr>
        <w:t>осударственные природные заповедники «Аксу-Жабаглинский» и «</w:t>
      </w:r>
      <w:r w:rsidRPr="00F0736F">
        <w:rPr>
          <w:rFonts w:ascii="Times New Roman" w:eastAsia="Times New Roman" w:hAnsi="Times New Roman" w:cs="Times New Roman"/>
          <w:bCs/>
          <w:color w:val="000000" w:themeColor="text1"/>
          <w:kern w:val="0"/>
          <w:lang w:val="kk-KZ" w:eastAsia="en-US" w:bidi="ar-SA"/>
        </w:rPr>
        <w:t>Каратауский», государственный национальный природный парк «Сайрам-Угамский» и 5 государственных природных заказников.</w:t>
      </w:r>
    </w:p>
    <w:p w14:paraId="4E73041D"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eastAsia="Times New Roman" w:hAnsi="Times New Roman" w:cs="Times New Roman"/>
          <w:bCs/>
          <w:color w:val="000000" w:themeColor="text1"/>
          <w:kern w:val="0"/>
          <w:lang w:eastAsia="ru-RU" w:bidi="ar-SA"/>
        </w:rPr>
        <w:t xml:space="preserve">Заповедник Аксу-Жабаглы </w:t>
      </w:r>
      <w:r w:rsidRPr="00F0736F">
        <w:rPr>
          <w:rFonts w:ascii="Times New Roman" w:eastAsia="Times New Roman" w:hAnsi="Times New Roman" w:cs="Times New Roman"/>
          <w:color w:val="000000" w:themeColor="text1"/>
          <w:kern w:val="0"/>
          <w:lang w:eastAsia="ru-RU" w:bidi="ar-SA"/>
        </w:rPr>
        <w:t>– в пределах Тюлькубасского и Толебийского административных районов Туркестанской области и Жувалинского района Жамбылской области - на хребте Таласский Алатау на высотах от 1300 до 4238 м над уровнем моря. Площадь заповедника составляет 132 тыс. га. Старейший заповедник Казахстана и Средней Азии, организован в 1926 г.</w:t>
      </w:r>
    </w:p>
    <w:p w14:paraId="2D71B463"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eastAsia="Times New Roman" w:hAnsi="Times New Roman" w:cs="Times New Roman"/>
          <w:bCs/>
          <w:color w:val="000000" w:themeColor="text1"/>
          <w:kern w:val="0"/>
          <w:lang w:eastAsia="ru-RU" w:bidi="ar-SA"/>
        </w:rPr>
        <w:t>Каратауский заповедник</w:t>
      </w:r>
      <w:r w:rsidRPr="00F0736F">
        <w:rPr>
          <w:rFonts w:ascii="Times New Roman" w:eastAsia="Times New Roman" w:hAnsi="Times New Roman" w:cs="Times New Roman"/>
          <w:color w:val="000000" w:themeColor="text1"/>
          <w:kern w:val="0"/>
          <w:lang w:eastAsia="ru-RU" w:bidi="ar-SA"/>
        </w:rPr>
        <w:t> – на хребте Сырдарьинский Каратау с конторой в г. Кентау. Наивысшая точка заповедника – гора Бессаз 2176 м над уровнем моря. Организован в 2004 г.</w:t>
      </w:r>
    </w:p>
    <w:p w14:paraId="7E220A5C"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Сайрам-Угамский Национальный парк – на хребтах Угамский, Каржантау, Казыгурт и Боролдай. Расположен на высотах от 1700 до 4200 м над уровнем моря. Общая площадь парка составляет 149 тыс. га. Создан в 2006 г.</w:t>
      </w:r>
    </w:p>
    <w:p w14:paraId="7AF467CD"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 xml:space="preserve">В области расположены 1278 </w:t>
      </w:r>
      <w:r w:rsidRPr="00F0736F">
        <w:rPr>
          <w:rFonts w:ascii="Times New Roman" w:hAnsi="Times New Roman" w:cs="Times New Roman"/>
          <w:b/>
          <w:bCs/>
          <w:color w:val="000000" w:themeColor="text1"/>
        </w:rPr>
        <w:t>памятников истории и культуры</w:t>
      </w:r>
      <w:r w:rsidRPr="00F0736F">
        <w:rPr>
          <w:rFonts w:ascii="Times New Roman" w:hAnsi="Times New Roman" w:cs="Times New Roman"/>
          <w:color w:val="000000" w:themeColor="text1"/>
        </w:rPr>
        <w:t>. На территории области находится мавзолей Ходжа Ахмета Яссави, мавзолей Арыстан баб, Домалак Ана, а также древние городища «Отырар», «Сауран» и многие другие исторические объекты. Также в регионе имеется красивейшие ущелье «Аксу-Жабаглы», «Сайрам-су», «Угем», «Бургулюк», «Кырыккыз».</w:t>
      </w:r>
    </w:p>
    <w:p w14:paraId="0D3F1165"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в области расположены уникальные природные (пещера Ак мечеть в Байдибекском районе, Плачущая пещера в Тюлькубасском районе, ущелье Бургулюк в Толебийском районе и т.д.) и исторические объекты (памятник «Кеме калган» в Казыгуртском районе, мавзолеи Байдибек ата и Домалак ана в Байдибексом районе, Карашаш ана и Ибрагим ата и т.д.).</w:t>
      </w:r>
      <w:r w:rsidRPr="00F0736F">
        <w:rPr>
          <w:rFonts w:ascii="Times New Roman" w:hAnsi="Times New Roman" w:cs="Times New Roman"/>
          <w:color w:val="000000" w:themeColor="text1"/>
        </w:rPr>
        <w:tab/>
      </w:r>
    </w:p>
    <w:p w14:paraId="478B1526"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Приоритетными направлениями туристской деятельности в области являются:</w:t>
      </w:r>
    </w:p>
    <w:p w14:paraId="3DB73B41"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паломнический туризм, с центрами в городе Туркестан и Отрарском районе;</w:t>
      </w:r>
    </w:p>
    <w:p w14:paraId="39690E65"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экологический туризм, с центрами в заповедниках «Аксу-Джабаглы» и «Каратау», ГНПП «Сайрам-Угам»;</w:t>
      </w:r>
    </w:p>
    <w:p w14:paraId="0E5A141B"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лечебно-оздоровительный туризм с центром в Сарыагашском районе.</w:t>
      </w:r>
    </w:p>
    <w:p w14:paraId="30C21A5D"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2017 года в области количество объектов туризма составляет: 44 санатория, 17 гостевых домов, 224 места размещения, а также зарегистрировано 104 туристские организации.</w:t>
      </w:r>
    </w:p>
    <w:p w14:paraId="217A315C"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2017 году наибольший объем оказанных услуг по Южно-Казахстанской области был в г. Шымкент (72,2%), Тюлькубасском районе (8,45%), г. Туркестан (4,3%) и Толебийском районе (4,17%).</w:t>
      </w:r>
    </w:p>
    <w:p w14:paraId="67C46C8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итогам І квартала 2018 года количество туристов, посетивших Туркестанскую область, составило 24 876 человек и по сравнению с аналогичным периодом 2017 года (23 322 чел.) вырос на 10,7%, в том числе количество туристов по внутреннему туризму 23948 человек, рост по сравнению с прошлым годом составляет (21 901 чел.) 9,3%.</w:t>
      </w:r>
    </w:p>
    <w:p w14:paraId="7583D2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За </w:t>
      </w:r>
      <w:r w:rsidRPr="00F0736F">
        <w:rPr>
          <w:rFonts w:ascii="Times New Roman" w:hAnsi="Times New Roman" w:cs="Times New Roman"/>
          <w:color w:val="000000" w:themeColor="text1"/>
          <w:lang w:val="en-US"/>
        </w:rPr>
        <w:t>I</w:t>
      </w:r>
      <w:r w:rsidRPr="00F0736F">
        <w:rPr>
          <w:rFonts w:ascii="Times New Roman" w:hAnsi="Times New Roman" w:cs="Times New Roman"/>
          <w:color w:val="000000" w:themeColor="text1"/>
          <w:lang w:val="kk-KZ"/>
        </w:rPr>
        <w:t xml:space="preserve"> квартал 2018 года по данным мест размещения количество посетителей города Туркестан составило 5648 человек, Отрарского района 7166 человек, Сарыагашского района 2733 человек.</w:t>
      </w:r>
    </w:p>
    <w:p w14:paraId="5D2E79F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области разработаны 1-, 2- и 3-х дневные туристские маршруты каждого района. В туристские маршруты включены 84 объекта исторического и природного направления. В свою очередь, в целях комфортного пребывания туристов проведен анализ по необходимой инфраструктуре (подъездные дороги, указатели, туалеты).</w:t>
      </w:r>
    </w:p>
    <w:p w14:paraId="5B091AD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Деятельность СЭЗ «</w:t>
      </w:r>
      <w:r w:rsidRPr="00F0736F">
        <w:rPr>
          <w:rFonts w:ascii="Times New Roman" w:hAnsi="Times New Roman" w:cs="Times New Roman"/>
          <w:color w:val="000000" w:themeColor="text1"/>
          <w:lang w:val="en-US"/>
        </w:rPr>
        <w:t>TURKISTAN</w:t>
      </w:r>
      <w:r w:rsidRPr="00F0736F">
        <w:rPr>
          <w:rFonts w:ascii="Times New Roman" w:hAnsi="Times New Roman" w:cs="Times New Roman"/>
          <w:color w:val="000000" w:themeColor="text1"/>
        </w:rPr>
        <w:t xml:space="preserve">» направлена на </w:t>
      </w:r>
      <w:r w:rsidRPr="00F0736F">
        <w:rPr>
          <w:rFonts w:ascii="Times New Roman" w:hAnsi="Times New Roman" w:cs="Times New Roman"/>
          <w:color w:val="000000" w:themeColor="text1"/>
          <w:lang w:val="kk-KZ"/>
        </w:rPr>
        <w:t>активное развитие инфраструктуры туризма</w:t>
      </w:r>
      <w:r w:rsidRPr="00F0736F">
        <w:rPr>
          <w:rFonts w:ascii="Times New Roman" w:hAnsi="Times New Roman" w:cs="Times New Roman"/>
          <w:color w:val="000000" w:themeColor="text1"/>
        </w:rPr>
        <w:t xml:space="preserve">, а также ускоренное развитие инфраструктуры нового административного центра города Туркестан. </w:t>
      </w:r>
    </w:p>
    <w:p w14:paraId="0757B9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Приоритетными направлениями СЭЗ будут:</w:t>
      </w:r>
    </w:p>
    <w:p w14:paraId="4B806F9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туризм;</w:t>
      </w:r>
    </w:p>
    <w:p w14:paraId="1946374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строительство;</w:t>
      </w:r>
    </w:p>
    <w:p w14:paraId="35C3211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промышленность.</w:t>
      </w:r>
    </w:p>
    <w:p w14:paraId="19DA479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Необходимость развития данных направлений обусловлена первостепенными задачами продвижения города Туркестан как объекта международного туризма и паломничества, развития нового административного центра, а также развития производства строительных материалов. </w:t>
      </w:r>
    </w:p>
    <w:p w14:paraId="65F8BDC6" w14:textId="77777777" w:rsidR="00AC1D5B" w:rsidRPr="00F0736F" w:rsidRDefault="00AC1D5B" w:rsidP="00AC1D5B">
      <w:pPr>
        <w:ind w:firstLine="709"/>
        <w:jc w:val="both"/>
        <w:rPr>
          <w:color w:val="000000" w:themeColor="text1"/>
        </w:rPr>
      </w:pPr>
    </w:p>
    <w:p w14:paraId="129539F0"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60" w:name="_Toc57818749"/>
      <w:r w:rsidRPr="007272FB">
        <w:rPr>
          <w:rFonts w:ascii="Times New Roman" w:eastAsia="Times New Roman" w:hAnsi="Times New Roman" w:cs="Times New Roman"/>
          <w:color w:val="000000" w:themeColor="text1"/>
          <w:sz w:val="24"/>
          <w:szCs w:val="24"/>
        </w:rPr>
        <w:t>2.15. Город Нур-Султан (Астана).</w:t>
      </w:r>
      <w:bookmarkEnd w:id="60"/>
    </w:p>
    <w:p w14:paraId="01DC59F9" w14:textId="77777777" w:rsidR="00AC1D5B" w:rsidRPr="00F0736F" w:rsidRDefault="00AC1D5B" w:rsidP="00AC1D5B">
      <w:pPr>
        <w:ind w:firstLine="709"/>
        <w:jc w:val="both"/>
        <w:rPr>
          <w:rFonts w:ascii="Times New Roman" w:hAnsi="Times New Roman" w:cs="Times New Roman"/>
          <w:color w:val="000000" w:themeColor="text1"/>
        </w:rPr>
      </w:pPr>
    </w:p>
    <w:p w14:paraId="7D74584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города. Диверсификация экономики. </w:t>
      </w:r>
    </w:p>
    <w:p w14:paraId="736ABBA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Город Нур-Султан (до 2019 года – Астана) – столица Республики Казахстан, является одним из самых быстрорастущих мегаполисов на всем Евразийском пространстве, численность населения в 2019 году достигла 1136,2 тыс. человек</w:t>
      </w:r>
      <w:r w:rsidRPr="00F0736F">
        <w:rPr>
          <w:rFonts w:ascii="Times New Roman" w:hAnsi="Times New Roman" w:cs="Times New Roman"/>
          <w:color w:val="000000" w:themeColor="text1"/>
          <w:vertAlign w:val="superscript"/>
        </w:rPr>
        <w:footnoteReference w:id="161"/>
      </w:r>
      <w:r w:rsidRPr="00F0736F">
        <w:rPr>
          <w:rFonts w:ascii="Times New Roman" w:hAnsi="Times New Roman" w:cs="Times New Roman"/>
          <w:color w:val="000000" w:themeColor="text1"/>
        </w:rPr>
        <w:t xml:space="preserve">. </w:t>
      </w:r>
    </w:p>
    <w:p w14:paraId="60AE3183"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По данным Комитета по статистике, объем валового регионального продукта города за 2018 год составил 6706,0 млрд. тенге, или 117% к соответствующему периоду 2017 года. Удельный вес города в ВВП страны – 10,9%. Величина ВРП на душу населения составила 6359,5 тыс. тенге. В 2019 году ВРП составил 7834,8 млрд. тенге, на душу населения — 7075,8 тыс. тенге.</w:t>
      </w:r>
    </w:p>
    <w:p w14:paraId="15AE56D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w:t>
      </w:r>
      <w:r w:rsidRPr="00F0736F">
        <w:rPr>
          <w:rFonts w:ascii="Times New Roman" w:hAnsi="Times New Roman" w:cs="Times New Roman"/>
          <w:b/>
          <w:color w:val="000000" w:themeColor="text1"/>
        </w:rPr>
        <w:t xml:space="preserve"> </w:t>
      </w:r>
      <w:r w:rsidRPr="00F0736F">
        <w:rPr>
          <w:rFonts w:ascii="Times New Roman" w:hAnsi="Times New Roman" w:cs="Times New Roman"/>
          <w:bCs/>
          <w:color w:val="000000" w:themeColor="text1"/>
        </w:rPr>
        <w:t>промышленными предприятиями</w:t>
      </w:r>
      <w:r w:rsidRPr="00F0736F">
        <w:rPr>
          <w:rFonts w:ascii="Times New Roman" w:hAnsi="Times New Roman" w:cs="Times New Roman"/>
          <w:color w:val="000000" w:themeColor="text1"/>
        </w:rPr>
        <w:t xml:space="preserve"> за 2019 год произведено продукции на сумму 884,3 млрд. тенге, за 2018 год - 646,7 млрд, а за 2017 год – 573,9 млрд. тенге. тенге, в том числе в </w:t>
      </w:r>
      <w:r w:rsidRPr="00F0736F">
        <w:rPr>
          <w:rFonts w:ascii="Times New Roman" w:hAnsi="Times New Roman" w:cs="Times New Roman"/>
          <w:bCs/>
          <w:color w:val="000000" w:themeColor="text1"/>
        </w:rPr>
        <w:t>обрабатывающей промышленности</w:t>
      </w:r>
      <w:r w:rsidRPr="00F0736F">
        <w:rPr>
          <w:rFonts w:ascii="Times New Roman" w:hAnsi="Times New Roman" w:cs="Times New Roman"/>
          <w:color w:val="000000" w:themeColor="text1"/>
        </w:rPr>
        <w:t xml:space="preserve"> в 2019 году —786,5 млрд. тенге, в 2018 году – 546,9 млрд. тенге, в 2017 году – 484,9 млрд. тенге. </w:t>
      </w:r>
    </w:p>
    <w:p w14:paraId="5C455CCD"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contextualSpacing/>
        <w:jc w:val="both"/>
        <w:rPr>
          <w:color w:val="000000" w:themeColor="text1"/>
        </w:rPr>
      </w:pPr>
      <w:r w:rsidRPr="00F0736F">
        <w:rPr>
          <w:rFonts w:ascii="Times New Roman" w:hAnsi="Times New Roman" w:cs="Times New Roman"/>
          <w:bCs/>
          <w:color w:val="000000" w:themeColor="text1"/>
        </w:rPr>
        <w:t xml:space="preserve">В 2019 году основными отраслями обрабатывающей промышленности являлись: металлургия (производство золота и серебра) (доля в обрабатывающей промышленности 55,4%), машиностроение (доля в обрабатывающей промышленности 16,8%), производство прочей не металлической минеральной продукции (доля в обрабатывающей промышленности 9,0%) и производство продуктов питания (доля в обрабатывающей промышленности 5,4%).  </w:t>
      </w:r>
    </w:p>
    <w:p w14:paraId="6C060C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Карты индустриализации за период с 2010 по 2018 годы реализовано 25 проектов с объемом инвестиций на сумму 234,2 млрд. тенге и количеством рабочих мест - 3,5 тыс. чел. За январь-декабрь 2018 года объем произведенной продукции в рамках Карты индустриализации составил свыше 2858,8 млрд. тенге. Доля объема производства продукции от общего объема обрабатывающей промышленности составляет 50,4%. В 2018 на территории Индустриального парка №1 введены в эксплуатацию 7 проектов на общую сумму 10,6 млрд. тенге, с созданием порядка 730 рабочих мест.</w:t>
      </w:r>
    </w:p>
    <w:p w14:paraId="3F10BCAE"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contextualSpacing/>
        <w:jc w:val="both"/>
        <w:rPr>
          <w:color w:val="000000" w:themeColor="text1"/>
        </w:rPr>
      </w:pPr>
      <w:r w:rsidRPr="00F0736F">
        <w:rPr>
          <w:rFonts w:ascii="Times New Roman" w:hAnsi="Times New Roman" w:cs="Times New Roman"/>
          <w:bCs/>
          <w:color w:val="000000" w:themeColor="text1"/>
        </w:rPr>
        <w:t>В 2019 году на территории СЭЗ «Астана – Технополис» зарегистрировано 10 проектов на сумму 333 млрд. тенге, из них запущено 2 проекта в IT-сфере.</w:t>
      </w:r>
    </w:p>
    <w:p w14:paraId="0023395B"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625BF8E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Энергоснабжение.</w:t>
      </w:r>
      <w:r w:rsidRPr="00F0736F">
        <w:rPr>
          <w:rFonts w:ascii="Times New Roman" w:hAnsi="Times New Roman" w:cs="Times New Roman"/>
          <w:color w:val="000000" w:themeColor="text1"/>
        </w:rPr>
        <w:t xml:space="preserve"> </w:t>
      </w:r>
      <w:r w:rsidRPr="00F0736F">
        <w:rPr>
          <w:rFonts w:ascii="Times New Roman" w:eastAsia="Calibri" w:hAnsi="Times New Roman" w:cs="Times New Roman"/>
          <w:color w:val="000000" w:themeColor="text1"/>
        </w:rPr>
        <w:t>На ТЭЦ-1 располагаемая мощность в горячей воде составляет 710 Гкал/час. Располагаемая мощность электроэнергии – 15,6 МВт. На ТЭЦ-2 располагаемая мощность в горячей воде составляет 1800 Гкал/час. Располагаемая мощность электроэнергии – 460 МВт. На энергоисточниках, сетях тепло- и электроснабжения, отказов I и II степени не зарегистрировано, на сетях электроснабжения за 2018 зарегистрировано 453 аварии.</w:t>
      </w:r>
    </w:p>
    <w:p w14:paraId="7D6798A4"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hAnsi="Times New Roman" w:cs="Times New Roman"/>
          <w:bCs/>
          <w:iCs/>
          <w:color w:val="000000" w:themeColor="text1"/>
        </w:rPr>
        <w:t xml:space="preserve">В 2019 году на ТЭЦ-1 выполнена реконструкция котлоагрегата №2 с увеличением производительности и турбоагрегата №4 с полной заменой физически устаревшего оборудования, что дало возможность увеличить надежность и безопасность энергоснабжения правобережной части города. </w:t>
      </w:r>
      <w:r w:rsidRPr="00F0736F">
        <w:rPr>
          <w:rFonts w:ascii="Times New Roman" w:eastAsia="Calibri" w:hAnsi="Times New Roman" w:cs="Times New Roman"/>
          <w:color w:val="000000" w:themeColor="text1"/>
        </w:rPr>
        <w:t xml:space="preserve">Завершено строительство кабельной линии 110 кВ «Западная-Туран» протяженностью </w:t>
      </w:r>
      <w:r w:rsidRPr="00F0736F">
        <w:rPr>
          <w:rFonts w:ascii="Times New Roman" w:eastAsia="Calibri" w:hAnsi="Times New Roman" w:cs="Times New Roman"/>
          <w:b/>
          <w:color w:val="000000" w:themeColor="text1"/>
        </w:rPr>
        <w:t>28,5 км</w:t>
      </w:r>
      <w:r w:rsidRPr="00F0736F">
        <w:rPr>
          <w:rFonts w:ascii="Times New Roman" w:eastAsia="Calibri" w:hAnsi="Times New Roman" w:cs="Times New Roman"/>
          <w:color w:val="000000" w:themeColor="text1"/>
        </w:rPr>
        <w:t xml:space="preserve"> в рамках проекта «Реконструкция ВЛ-110 кВ». </w:t>
      </w:r>
    </w:p>
    <w:p w14:paraId="0A57D00E"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eastAsia="Calibri" w:hAnsi="Times New Roman" w:cs="Times New Roman"/>
          <w:b/>
          <w:color w:val="000000" w:themeColor="text1"/>
        </w:rPr>
        <w:t xml:space="preserve">Теплоснабжение. </w:t>
      </w:r>
      <w:r w:rsidRPr="00F0736F">
        <w:rPr>
          <w:rFonts w:ascii="Times New Roman" w:hAnsi="Times New Roman" w:cs="Times New Roman"/>
          <w:color w:val="000000" w:themeColor="text1"/>
        </w:rPr>
        <w:t xml:space="preserve">По состоянию на 01.01.2020г. на балансе и обслуживании АО «Астана-Теплотранзит» имеются 816,265 км тепловых сетей, в том числе магистральных - 262,192 км, распределительных - 554,073 км; насосных станций - 14 шт., тепловых распределительных пунктов - 2 шт. На начало 2020 года средний износ по сетям теплоснабжения составил 56,4%, тепловые потери — 12,4%. В целях снижения протяженности изношенных сетей, ежегодно в столице проводятся реконструкции тепловых сетей в рамках инвестиционной программы, а также текущий и капитальный ремонты. </w:t>
      </w:r>
    </w:p>
    <w:p w14:paraId="65D561F4"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период 2017 – 2019 гг. в рамках Государственной программы инфраструктурного развития «Нурлы Жол» проведено новое строительство 28,652 км сетей теплоснабжения. За счет собственных средств (амортизация, прибыль) коммунальным предприятием в период с 2017 по 2019 год в рамках инвестиционной программы реконструировано 16,435 км сетей теплоснабжения, в рамках капитального и текущего ремонтов заменено - 14,883 км теплотрассы. С 2017 по 2019 года показатель среднего износа снизился на 1,5% с 57,9% до 56,4%, тепловые потери снизились на 0,6% с 13% до 12,4%. </w:t>
      </w:r>
    </w:p>
    <w:p w14:paraId="461BC8AC"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2019 году, по данным Комитета по статистике, общая протяженность тепловых сетей в городе составила 831,4 км, из них ветхие — 210,0 км (25,3%), нуждаются в замене - 209,4 км (25,2%). заменено — 9,5 км.</w:t>
      </w:r>
    </w:p>
    <w:p w14:paraId="32EE5211"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2020 году в рамках Государственной программы «Нурлы Жол» запланирована реализация 1,7 км теплотрассы. В рамках инвестиционной программы планируется реконструировать 7,112 км сетей теплоснабжения. Также планируется выполнить капитальный и текущий ремонт 2,574 км сетей теплоснабжения.</w:t>
      </w:r>
    </w:p>
    <w:p w14:paraId="7BCF190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рамках подготовки к международной выставке ЭКСПО-2017 Акиматом столицы был реализован проект по установке малых форм </w:t>
      </w:r>
      <w:r w:rsidRPr="00F0736F">
        <w:rPr>
          <w:rFonts w:ascii="Times New Roman" w:hAnsi="Times New Roman" w:cs="Times New Roman"/>
          <w:b/>
          <w:bCs/>
          <w:color w:val="000000" w:themeColor="text1"/>
        </w:rPr>
        <w:t>возобновляемых источников энергии</w:t>
      </w:r>
      <w:r w:rsidRPr="00F0736F">
        <w:rPr>
          <w:rFonts w:ascii="Times New Roman" w:hAnsi="Times New Roman" w:cs="Times New Roman"/>
          <w:color w:val="000000" w:themeColor="text1"/>
        </w:rPr>
        <w:t xml:space="preserve"> (ВИЭ) без нагрузки на городской бюджет. Данный проект, включает в себя установку различных инновационных изобретений на территории города.</w:t>
      </w:r>
    </w:p>
    <w:p w14:paraId="52FF62D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целях реализации данного проекта проведена работа по изучению лучшего мирового опыта (ОАЭ, США, Китай, страны Восточной Европы) по установке малых форм ВИЭ в городских условиях. Выработанная электроэнергия направляется на уличное и парковое освещение, что позволило снизить нагрузку на городские сети и бюджет.</w:t>
      </w:r>
    </w:p>
    <w:p w14:paraId="2A7F37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были установлены 5 пешеходных переходов с подсветкой места движения пешеходов, что позволило повысить безопасность и снизить количество ДТП с участием пешеходов.</w:t>
      </w:r>
    </w:p>
    <w:p w14:paraId="6D86FD4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Электроснабжение 5-ти закрытых остановок переведено на автономное, путем установки на их крыше солнечных панелей. Солнечные панели позволили обеспечить электроснабжение, отопление и освещение остановки. </w:t>
      </w:r>
    </w:p>
    <w:p w14:paraId="6EB0419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обеспечения экономии электроэнергии на территориях парков и скверов установлены светильники с солнечными панелями и ветрогенераторами. Светильники оснащены светодиодными лампами с чипом CREE</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LED, данные светодиодные лампы обеспечат высокую продолжительность службы и экономию электроэнергии.</w:t>
      </w:r>
    </w:p>
    <w:p w14:paraId="7AD06CB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При выезде с международного аэропорта установлен «цветок» для сбора солнечного света и выработки электроэнергии для передачи её в городскую сеть. Около центрального цирка города установлены декоративные светильники в виде «НЛО» на опорах, которые обеспечивают сами себя электричеством, для поддержания тематики здания городского цирка.</w:t>
      </w:r>
    </w:p>
    <w:p w14:paraId="28E7408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основных местах отдыха установлены «деревья» с ветрогенераторами, «солнечные цветки», казахстанского производства. Данные установки имеют современный дизайн, и позволили передать всю атмосферу выставки ЭКСПО-2017. </w:t>
      </w:r>
    </w:p>
    <w:p w14:paraId="4AA3871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Также переведены на работу от ВИЭ уличное освещение по улице Рыскулова и Улы Дала. </w:t>
      </w:r>
    </w:p>
    <w:p w14:paraId="7E821D1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районе кольца Аэропорта предусмотрена установка Болотова, с ветрогенераторами, которые даже при слабом ветре вырабатывают достаточное количество электроэнергии.</w:t>
      </w:r>
    </w:p>
    <w:p w14:paraId="60A42F10" w14:textId="77777777" w:rsidR="00AC1D5B" w:rsidRPr="00F0736F" w:rsidRDefault="00AC1D5B" w:rsidP="00AC1D5B">
      <w:pPr>
        <w:ind w:firstLine="709"/>
        <w:jc w:val="both"/>
        <w:rPr>
          <w:color w:val="000000" w:themeColor="text1"/>
        </w:rPr>
      </w:pPr>
      <w:r w:rsidRPr="00F0736F">
        <w:rPr>
          <w:rFonts w:ascii="Times New Roman" w:eastAsia="Arial" w:hAnsi="Times New Roman" w:cs="Times New Roman"/>
          <w:color w:val="000000" w:themeColor="text1"/>
          <w:lang w:bidi="ru-RU"/>
        </w:rPr>
        <w:t>ВИЭ активно используется при строительстве жилых комплексов. В 2019 году общая выработка ВИЭ по городу составляет более 7</w:t>
      </w:r>
      <w:r w:rsidRPr="00F0736F">
        <w:rPr>
          <w:rFonts w:ascii="Times New Roman" w:eastAsia="Arial" w:hAnsi="Times New Roman" w:cs="Times New Roman"/>
          <w:bCs/>
          <w:color w:val="000000" w:themeColor="text1"/>
          <w:lang w:bidi="ru-RU"/>
        </w:rPr>
        <w:t xml:space="preserve">00 </w:t>
      </w:r>
      <w:r w:rsidRPr="00F0736F">
        <w:rPr>
          <w:rFonts w:ascii="Times New Roman" w:hAnsi="Times New Roman" w:cs="Times New Roman"/>
          <w:color w:val="000000" w:themeColor="text1"/>
        </w:rPr>
        <w:t>кВт*ч</w:t>
      </w:r>
      <w:r w:rsidRPr="00F0736F">
        <w:rPr>
          <w:rFonts w:ascii="Times New Roman" w:eastAsia="Arial" w:hAnsi="Times New Roman" w:cs="Times New Roman"/>
          <w:bCs/>
          <w:color w:val="000000" w:themeColor="text1"/>
          <w:lang w:bidi="ru-RU"/>
        </w:rPr>
        <w:t xml:space="preserve">. </w:t>
      </w:r>
      <w:r w:rsidRPr="00F0736F">
        <w:rPr>
          <w:rFonts w:ascii="Times New Roman" w:eastAsia="Arial" w:hAnsi="Times New Roman" w:cs="Times New Roman"/>
          <w:color w:val="000000" w:themeColor="text1"/>
          <w:lang w:bidi="ru-RU"/>
        </w:rPr>
        <w:t xml:space="preserve">Это позволяет экономить затраты на электроэнергию </w:t>
      </w:r>
      <w:r w:rsidRPr="00F0736F">
        <w:rPr>
          <w:rFonts w:ascii="Times New Roman" w:eastAsia="Arial" w:hAnsi="Times New Roman" w:cs="Times New Roman"/>
          <w:bCs/>
          <w:color w:val="000000" w:themeColor="text1"/>
          <w:lang w:bidi="ru-RU"/>
        </w:rPr>
        <w:t xml:space="preserve">более 20 млн. тенге </w:t>
      </w:r>
      <w:r w:rsidRPr="00F0736F">
        <w:rPr>
          <w:rFonts w:ascii="Times New Roman" w:eastAsia="Arial" w:hAnsi="Times New Roman" w:cs="Times New Roman"/>
          <w:color w:val="000000" w:themeColor="text1"/>
          <w:lang w:bidi="ru-RU"/>
        </w:rPr>
        <w:t>в год.</w:t>
      </w:r>
    </w:p>
    <w:p w14:paraId="15AE5BF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Для эффективного мониторинга и контроля за исполнением политики в области </w:t>
      </w:r>
      <w:r w:rsidRPr="00F0736F">
        <w:rPr>
          <w:rFonts w:ascii="Times New Roman" w:hAnsi="Times New Roman" w:cs="Times New Roman"/>
          <w:b/>
          <w:color w:val="000000" w:themeColor="text1"/>
        </w:rPr>
        <w:t xml:space="preserve">энергосбережения </w:t>
      </w:r>
      <w:r w:rsidRPr="00F0736F">
        <w:rPr>
          <w:rFonts w:ascii="Times New Roman" w:hAnsi="Times New Roman" w:cs="Times New Roman"/>
          <w:color w:val="000000" w:themeColor="text1"/>
        </w:rPr>
        <w:t xml:space="preserve">акиматом столицы разработан Комплексный план энергосбережения и повышения энергоэффективности на 2017 – 2020 гг., где объединены мероприятия всех отраслевых секторов столицы. Комплексный план направлен на обеспечение повышения конкурентоспособности, финансовой устойчивости, энергетической и экологической безопасности, а также роста уровня и качества жизни населения за счет реализации потенциала энергосбережения и повышения энергетической эффективности на основе модернизации, технологического развития и перехода к рациональному и экологически ответственному использованию энергетических ресурсов. </w:t>
      </w:r>
      <w:r w:rsidRPr="00F0736F">
        <w:rPr>
          <w:rFonts w:ascii="Times New Roman" w:eastAsia="Arial" w:hAnsi="Times New Roman" w:cs="Times New Roman"/>
          <w:color w:val="000000" w:themeColor="text1"/>
          <w:lang w:bidi="ru-RU"/>
        </w:rPr>
        <w:t xml:space="preserve">Данный план содержит </w:t>
      </w:r>
      <w:r w:rsidRPr="00F0736F">
        <w:rPr>
          <w:rFonts w:ascii="Times New Roman" w:eastAsia="Arial" w:hAnsi="Times New Roman" w:cs="Times New Roman"/>
          <w:bCs/>
          <w:color w:val="000000" w:themeColor="text1"/>
          <w:lang w:bidi="ru-RU"/>
        </w:rPr>
        <w:t xml:space="preserve">189 </w:t>
      </w:r>
      <w:r w:rsidRPr="00F0736F">
        <w:rPr>
          <w:rFonts w:ascii="Times New Roman" w:eastAsia="Arial" w:hAnsi="Times New Roman" w:cs="Times New Roman"/>
          <w:color w:val="000000" w:themeColor="text1"/>
          <w:lang w:bidi="ru-RU"/>
        </w:rPr>
        <w:t xml:space="preserve">мероприятий по энергосбережению и повышению энергоэффективности, из которых </w:t>
      </w:r>
      <w:r w:rsidRPr="00F0736F">
        <w:rPr>
          <w:rFonts w:ascii="Times New Roman" w:eastAsia="Arial" w:hAnsi="Times New Roman" w:cs="Times New Roman"/>
          <w:bCs/>
          <w:color w:val="000000" w:themeColor="text1"/>
          <w:lang w:bidi="ru-RU"/>
        </w:rPr>
        <w:t xml:space="preserve">более 80% </w:t>
      </w:r>
      <w:r w:rsidRPr="00F0736F">
        <w:rPr>
          <w:rFonts w:ascii="Times New Roman" w:eastAsia="Arial" w:hAnsi="Times New Roman" w:cs="Times New Roman"/>
          <w:color w:val="000000" w:themeColor="text1"/>
          <w:lang w:bidi="ru-RU"/>
        </w:rPr>
        <w:t xml:space="preserve">уже реализованы. Остальные </w:t>
      </w:r>
      <w:r w:rsidRPr="00F0736F">
        <w:rPr>
          <w:rFonts w:ascii="Times New Roman" w:eastAsia="Arial" w:hAnsi="Times New Roman" w:cs="Times New Roman"/>
          <w:bCs/>
          <w:color w:val="000000" w:themeColor="text1"/>
          <w:lang w:bidi="ru-RU"/>
        </w:rPr>
        <w:t xml:space="preserve">20% </w:t>
      </w:r>
      <w:r w:rsidRPr="00F0736F">
        <w:rPr>
          <w:rFonts w:ascii="Times New Roman" w:eastAsia="Arial" w:hAnsi="Times New Roman" w:cs="Times New Roman"/>
          <w:color w:val="000000" w:themeColor="text1"/>
          <w:lang w:bidi="ru-RU"/>
        </w:rPr>
        <w:t>планируется завершить до конца 2020 года.</w:t>
      </w:r>
    </w:p>
    <w:p w14:paraId="5D0A124D" w14:textId="77777777" w:rsidR="00AC1D5B" w:rsidRPr="00F0736F" w:rsidRDefault="00AC1D5B" w:rsidP="00AC1D5B">
      <w:pPr>
        <w:ind w:firstLine="709"/>
        <w:jc w:val="both"/>
        <w:rPr>
          <w:color w:val="000000" w:themeColor="text1"/>
        </w:rPr>
      </w:pPr>
      <w:r w:rsidRPr="00F0736F">
        <w:rPr>
          <w:rFonts w:ascii="Times New Roman" w:eastAsia="Arial" w:hAnsi="Times New Roman" w:cs="Times New Roman"/>
          <w:color w:val="000000" w:themeColor="text1"/>
          <w:lang w:bidi="ru-RU"/>
        </w:rPr>
        <w:t xml:space="preserve">В частности, в 2019 году планируется начать реализацию проекта государственно-частного партнерства «Создание и эксплуатация умного уличного освещения в г. Нур-Султан». Планируется выполнить замену </w:t>
      </w:r>
      <w:r w:rsidRPr="00F0736F">
        <w:rPr>
          <w:rFonts w:ascii="Times New Roman" w:eastAsia="Arial" w:hAnsi="Times New Roman" w:cs="Times New Roman"/>
          <w:bCs/>
          <w:color w:val="000000" w:themeColor="text1"/>
          <w:lang w:bidi="ru-RU"/>
        </w:rPr>
        <w:t xml:space="preserve">30 877 штук </w:t>
      </w:r>
      <w:r w:rsidRPr="00F0736F">
        <w:rPr>
          <w:rFonts w:ascii="Times New Roman" w:eastAsia="Arial" w:hAnsi="Times New Roman" w:cs="Times New Roman"/>
          <w:color w:val="000000" w:themeColor="text1"/>
          <w:lang w:bidi="ru-RU"/>
        </w:rPr>
        <w:t xml:space="preserve">ламп уличного освещения, </w:t>
      </w:r>
      <w:r w:rsidRPr="00F0736F">
        <w:rPr>
          <w:rFonts w:ascii="Times New Roman" w:eastAsia="Arial" w:hAnsi="Times New Roman" w:cs="Times New Roman"/>
          <w:bCs/>
          <w:color w:val="000000" w:themeColor="text1"/>
          <w:lang w:bidi="ru-RU"/>
        </w:rPr>
        <w:t xml:space="preserve">329 единиц </w:t>
      </w:r>
      <w:r w:rsidRPr="00F0736F">
        <w:rPr>
          <w:rFonts w:ascii="Times New Roman" w:eastAsia="Arial" w:hAnsi="Times New Roman" w:cs="Times New Roman"/>
          <w:color w:val="000000" w:themeColor="text1"/>
          <w:lang w:bidi="ru-RU"/>
        </w:rPr>
        <w:t xml:space="preserve">шкафов управления освещением, а также создать </w:t>
      </w:r>
      <w:r w:rsidRPr="00F0736F">
        <w:rPr>
          <w:rFonts w:ascii="Times New Roman" w:eastAsia="Arial" w:hAnsi="Times New Roman" w:cs="Times New Roman"/>
          <w:bCs/>
          <w:color w:val="000000" w:themeColor="text1"/>
          <w:lang w:bidi="ru-RU"/>
        </w:rPr>
        <w:t xml:space="preserve">диспетчерский пункт. </w:t>
      </w:r>
      <w:r w:rsidRPr="00F0736F">
        <w:rPr>
          <w:rFonts w:ascii="Times New Roman" w:eastAsia="Arial" w:hAnsi="Times New Roman" w:cs="Times New Roman"/>
          <w:color w:val="000000" w:themeColor="text1"/>
          <w:lang w:bidi="ru-RU"/>
        </w:rPr>
        <w:t xml:space="preserve">Реализация проекта позволит сократить расходы электроэнергии более чем на </w:t>
      </w:r>
      <w:r w:rsidRPr="00F0736F">
        <w:rPr>
          <w:rFonts w:ascii="Times New Roman" w:eastAsia="Arial" w:hAnsi="Times New Roman" w:cs="Times New Roman"/>
          <w:bCs/>
          <w:color w:val="000000" w:themeColor="text1"/>
          <w:lang w:bidi="ru-RU"/>
        </w:rPr>
        <w:t xml:space="preserve">30%, </w:t>
      </w:r>
      <w:r w:rsidRPr="00F0736F">
        <w:rPr>
          <w:rFonts w:ascii="Times New Roman" w:eastAsia="Arial" w:hAnsi="Times New Roman" w:cs="Times New Roman"/>
          <w:color w:val="000000" w:themeColor="text1"/>
          <w:lang w:bidi="ru-RU"/>
        </w:rPr>
        <w:t xml:space="preserve">или </w:t>
      </w:r>
      <w:r w:rsidRPr="00F0736F">
        <w:rPr>
          <w:rFonts w:ascii="Times New Roman" w:eastAsia="Arial" w:hAnsi="Times New Roman" w:cs="Times New Roman"/>
          <w:bCs/>
          <w:color w:val="000000" w:themeColor="text1"/>
          <w:lang w:bidi="ru-RU"/>
        </w:rPr>
        <w:t xml:space="preserve">300 млн. </w:t>
      </w:r>
      <w:r w:rsidRPr="00F0736F">
        <w:rPr>
          <w:rFonts w:ascii="Times New Roman" w:eastAsia="Arial" w:hAnsi="Times New Roman" w:cs="Times New Roman"/>
          <w:color w:val="000000" w:themeColor="text1"/>
          <w:lang w:bidi="ru-RU"/>
        </w:rPr>
        <w:t xml:space="preserve">тенге в год. </w:t>
      </w:r>
    </w:p>
    <w:p w14:paraId="666D076F" w14:textId="77777777" w:rsidR="00AC1D5B" w:rsidRPr="00F0736F" w:rsidRDefault="00AC1D5B" w:rsidP="00AC1D5B">
      <w:pPr>
        <w:ind w:firstLine="709"/>
        <w:jc w:val="both"/>
        <w:rPr>
          <w:color w:val="000000" w:themeColor="text1"/>
        </w:rPr>
      </w:pPr>
      <w:r w:rsidRPr="00F0736F">
        <w:rPr>
          <w:rFonts w:ascii="Times New Roman" w:eastAsia="Arial" w:hAnsi="Times New Roman" w:cs="Times New Roman"/>
          <w:color w:val="000000" w:themeColor="text1"/>
          <w:lang w:bidi="ru-RU"/>
        </w:rPr>
        <w:t xml:space="preserve">Подписаны меморандумы с тремя международными компаниями «Сиеменс» (Германия), </w:t>
      </w:r>
      <w:r w:rsidRPr="00F0736F">
        <w:rPr>
          <w:rFonts w:ascii="Times New Roman" w:eastAsia="Arial" w:hAnsi="Times New Roman" w:cs="Times New Roman"/>
          <w:color w:val="000000" w:themeColor="text1"/>
          <w:lang w:eastAsia="en-US" w:bidi="en-US"/>
        </w:rPr>
        <w:t>«</w:t>
      </w:r>
      <w:r w:rsidRPr="00F0736F">
        <w:rPr>
          <w:rFonts w:ascii="Times New Roman" w:eastAsia="Arial" w:hAnsi="Times New Roman" w:cs="Times New Roman"/>
          <w:color w:val="000000" w:themeColor="text1"/>
          <w:lang w:val="en-US" w:eastAsia="en-US" w:bidi="en-US"/>
        </w:rPr>
        <w:t>WavysCoLtd</w:t>
      </w:r>
      <w:r w:rsidRPr="00F0736F">
        <w:rPr>
          <w:rFonts w:ascii="Times New Roman" w:eastAsia="Arial" w:hAnsi="Times New Roman" w:cs="Times New Roman"/>
          <w:color w:val="000000" w:themeColor="text1"/>
          <w:lang w:eastAsia="en-US" w:bidi="en-US"/>
        </w:rPr>
        <w:t xml:space="preserve">» </w:t>
      </w:r>
      <w:r w:rsidRPr="00F0736F">
        <w:rPr>
          <w:rFonts w:ascii="Times New Roman" w:eastAsia="Arial" w:hAnsi="Times New Roman" w:cs="Times New Roman"/>
          <w:color w:val="000000" w:themeColor="text1"/>
          <w:lang w:bidi="ru-RU"/>
        </w:rPr>
        <w:t xml:space="preserve">(Корея), </w:t>
      </w:r>
      <w:r w:rsidRPr="00F0736F">
        <w:rPr>
          <w:rFonts w:ascii="Times New Roman" w:eastAsia="Arial" w:hAnsi="Times New Roman" w:cs="Times New Roman"/>
          <w:color w:val="000000" w:themeColor="text1"/>
          <w:lang w:val="en-US" w:eastAsia="en-US" w:bidi="en-US"/>
        </w:rPr>
        <w:t>Planora</w:t>
      </w:r>
      <w:r w:rsidRPr="00F0736F">
        <w:rPr>
          <w:rFonts w:ascii="Times New Roman" w:eastAsia="Arial" w:hAnsi="Times New Roman" w:cs="Times New Roman"/>
          <w:color w:val="000000" w:themeColor="text1"/>
          <w:lang w:eastAsia="en-US" w:bidi="en-US"/>
        </w:rPr>
        <w:t xml:space="preserve"> </w:t>
      </w:r>
      <w:r w:rsidRPr="00F0736F">
        <w:rPr>
          <w:rFonts w:ascii="Times New Roman" w:eastAsia="Arial" w:hAnsi="Times New Roman" w:cs="Times New Roman"/>
          <w:color w:val="000000" w:themeColor="text1"/>
          <w:lang w:bidi="ru-RU"/>
        </w:rPr>
        <w:t>(Финляндия). Реализация данных проектов позволит снизить потери тепло- и электроснабжения н</w:t>
      </w:r>
      <w:r w:rsidRPr="00F0736F">
        <w:rPr>
          <w:rFonts w:ascii="Times New Roman" w:eastAsia="Arial" w:hAnsi="Times New Roman" w:cs="Times New Roman"/>
          <w:bCs/>
          <w:color w:val="000000" w:themeColor="text1"/>
          <w:lang w:bidi="ru-RU"/>
        </w:rPr>
        <w:t>а 20 - 25%.</w:t>
      </w:r>
    </w:p>
    <w:p w14:paraId="7FC32A00" w14:textId="77777777" w:rsidR="00AC1D5B" w:rsidRPr="00F0736F" w:rsidRDefault="00AC1D5B" w:rsidP="00AC1D5B">
      <w:pPr>
        <w:ind w:firstLine="709"/>
        <w:jc w:val="both"/>
        <w:rPr>
          <w:color w:val="000000" w:themeColor="text1"/>
        </w:rPr>
      </w:pPr>
      <w:r w:rsidRPr="00F0736F">
        <w:rPr>
          <w:rFonts w:ascii="Times New Roman" w:eastAsia="Arial" w:hAnsi="Times New Roman" w:cs="Times New Roman"/>
          <w:color w:val="000000" w:themeColor="text1"/>
          <w:lang w:bidi="ru-RU"/>
        </w:rPr>
        <w:t xml:space="preserve">Начиная с 2011 по 2018 годы ТОО «Оркен кала» выполнена модернизация </w:t>
      </w:r>
      <w:r w:rsidRPr="00F0736F">
        <w:rPr>
          <w:rFonts w:ascii="Times New Roman" w:eastAsia="Arial" w:hAnsi="Times New Roman" w:cs="Times New Roman"/>
          <w:bCs/>
          <w:color w:val="000000" w:themeColor="text1"/>
          <w:lang w:bidi="ru-RU"/>
        </w:rPr>
        <w:t>63</w:t>
      </w:r>
      <w:r w:rsidRPr="00F0736F">
        <w:rPr>
          <w:rFonts w:ascii="Times New Roman" w:eastAsia="Arial" w:hAnsi="Times New Roman" w:cs="Times New Roman"/>
          <w:b/>
          <w:bCs/>
          <w:color w:val="000000" w:themeColor="text1"/>
          <w:lang w:bidi="ru-RU"/>
        </w:rPr>
        <w:t xml:space="preserve"> </w:t>
      </w:r>
      <w:r w:rsidRPr="00F0736F">
        <w:rPr>
          <w:rFonts w:ascii="Times New Roman" w:eastAsia="Arial" w:hAnsi="Times New Roman" w:cs="Times New Roman"/>
          <w:color w:val="000000" w:themeColor="text1"/>
          <w:lang w:bidi="ru-RU"/>
        </w:rPr>
        <w:t xml:space="preserve">многоквартирных жилых домов. Это позволит сэкономить </w:t>
      </w:r>
      <w:r w:rsidRPr="00F0736F">
        <w:rPr>
          <w:rFonts w:ascii="Times New Roman" w:eastAsia="Arial" w:hAnsi="Times New Roman" w:cs="Times New Roman"/>
          <w:bCs/>
          <w:color w:val="000000" w:themeColor="text1"/>
          <w:lang w:bidi="ru-RU"/>
        </w:rPr>
        <w:t>до 15 - 20%</w:t>
      </w:r>
      <w:r w:rsidRPr="00F0736F">
        <w:rPr>
          <w:rFonts w:ascii="Times New Roman" w:eastAsia="Arial" w:hAnsi="Times New Roman" w:cs="Times New Roman"/>
          <w:b/>
          <w:bCs/>
          <w:color w:val="000000" w:themeColor="text1"/>
          <w:lang w:bidi="ru-RU"/>
        </w:rPr>
        <w:t xml:space="preserve"> </w:t>
      </w:r>
      <w:r w:rsidRPr="00F0736F">
        <w:rPr>
          <w:rFonts w:ascii="Times New Roman" w:eastAsia="Arial" w:hAnsi="Times New Roman" w:cs="Times New Roman"/>
          <w:color w:val="000000" w:themeColor="text1"/>
          <w:lang w:bidi="ru-RU"/>
        </w:rPr>
        <w:t xml:space="preserve">тепловой энергии от общего энергопотребления. </w:t>
      </w:r>
    </w:p>
    <w:p w14:paraId="7D2F4BCA"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lang w:bidi="ru-RU"/>
        </w:rPr>
        <w:t xml:space="preserve">В 2017 году </w:t>
      </w:r>
      <w:r w:rsidRPr="00F0736F">
        <w:rPr>
          <w:rFonts w:ascii="Times New Roman" w:hAnsi="Times New Roman" w:cs="Times New Roman"/>
          <w:color w:val="000000" w:themeColor="text1"/>
          <w:lang w:bidi="ru-RU"/>
        </w:rPr>
        <w:t xml:space="preserve">между </w:t>
      </w:r>
      <w:r w:rsidRPr="00F0736F">
        <w:rPr>
          <w:rFonts w:ascii="Times New Roman" w:hAnsi="Times New Roman" w:cs="Times New Roman"/>
          <w:bCs/>
          <w:color w:val="000000" w:themeColor="text1"/>
          <w:lang w:bidi="ru-RU"/>
        </w:rPr>
        <w:t xml:space="preserve">ПРООН и акиматом </w:t>
      </w:r>
      <w:r w:rsidRPr="00F0736F">
        <w:rPr>
          <w:rFonts w:ascii="Times New Roman" w:hAnsi="Times New Roman" w:cs="Times New Roman"/>
          <w:color w:val="000000" w:themeColor="text1"/>
          <w:lang w:bidi="ru-RU"/>
        </w:rPr>
        <w:t xml:space="preserve">города Астаны (ныне </w:t>
      </w:r>
      <w:r w:rsidRPr="00F0736F">
        <w:rPr>
          <w:rFonts w:ascii="Times New Roman" w:hAnsi="Times New Roman" w:cs="Times New Roman"/>
          <w:color w:val="000000" w:themeColor="text1"/>
        </w:rPr>
        <w:t>Нур-Султан)</w:t>
      </w:r>
      <w:r w:rsidRPr="00F0736F">
        <w:rPr>
          <w:rFonts w:ascii="Times New Roman" w:hAnsi="Times New Roman" w:cs="Times New Roman"/>
          <w:color w:val="000000" w:themeColor="text1"/>
          <w:lang w:bidi="ru-RU"/>
        </w:rPr>
        <w:t xml:space="preserve"> был подписан еще один Меморандум о сотрудничестве, согласно которому город </w:t>
      </w:r>
      <w:r w:rsidRPr="00F0736F">
        <w:rPr>
          <w:rFonts w:ascii="Times New Roman" w:hAnsi="Times New Roman" w:cs="Times New Roman"/>
          <w:color w:val="000000" w:themeColor="text1"/>
        </w:rPr>
        <w:t>Нур-Султан</w:t>
      </w:r>
      <w:r w:rsidRPr="00F0736F">
        <w:rPr>
          <w:rFonts w:ascii="Times New Roman" w:hAnsi="Times New Roman" w:cs="Times New Roman"/>
          <w:color w:val="000000" w:themeColor="text1"/>
          <w:lang w:bidi="ru-RU"/>
        </w:rPr>
        <w:t xml:space="preserve"> является одним из пилотных городов по проекту «Устойчивые города для низкоуглеродного развития». В 2018 году сотрудниками ПРООН разработан Мастер-план модернизации городского жилого квартала  (5 зданий на углу ул. Пушкина - Жубанова)</w:t>
      </w:r>
      <w:r w:rsidRPr="00F0736F">
        <w:rPr>
          <w:rFonts w:ascii="Times New Roman" w:hAnsi="Times New Roman" w:cs="Times New Roman"/>
          <w:bCs/>
          <w:color w:val="000000" w:themeColor="text1"/>
          <w:lang w:bidi="ru-RU"/>
        </w:rPr>
        <w:t xml:space="preserve">. </w:t>
      </w:r>
      <w:r w:rsidRPr="00F0736F">
        <w:rPr>
          <w:rFonts w:ascii="Times New Roman" w:hAnsi="Times New Roman" w:cs="Times New Roman"/>
          <w:color w:val="000000" w:themeColor="text1"/>
          <w:lang w:bidi="ru-RU"/>
        </w:rPr>
        <w:t xml:space="preserve">Ежегодная экономия тепловой энергии в сумме по всем </w:t>
      </w:r>
      <w:r w:rsidRPr="00F0736F">
        <w:rPr>
          <w:rFonts w:ascii="Times New Roman" w:hAnsi="Times New Roman" w:cs="Times New Roman"/>
          <w:bCs/>
          <w:color w:val="000000" w:themeColor="text1"/>
          <w:lang w:bidi="ru-RU"/>
        </w:rPr>
        <w:t xml:space="preserve">пяти </w:t>
      </w:r>
      <w:r w:rsidRPr="00F0736F">
        <w:rPr>
          <w:rFonts w:ascii="Times New Roman" w:hAnsi="Times New Roman" w:cs="Times New Roman"/>
          <w:color w:val="000000" w:themeColor="text1"/>
          <w:lang w:bidi="ru-RU"/>
        </w:rPr>
        <w:t xml:space="preserve">зданиям квартала составит - </w:t>
      </w:r>
      <w:r w:rsidRPr="00F0736F">
        <w:rPr>
          <w:rFonts w:ascii="Times New Roman" w:hAnsi="Times New Roman" w:cs="Times New Roman"/>
          <w:bCs/>
          <w:color w:val="000000" w:themeColor="text1"/>
          <w:lang w:bidi="ru-RU"/>
        </w:rPr>
        <w:t xml:space="preserve">2 238 Гкал. </w:t>
      </w:r>
      <w:r w:rsidRPr="00F0736F">
        <w:rPr>
          <w:rFonts w:ascii="Times New Roman" w:hAnsi="Times New Roman" w:cs="Times New Roman"/>
          <w:color w:val="000000" w:themeColor="text1"/>
          <w:lang w:bidi="ru-RU"/>
        </w:rPr>
        <w:t xml:space="preserve">Ежегодная экономия электроэнергии от всех пяти зданий жилого квартала - </w:t>
      </w:r>
      <w:r w:rsidRPr="00F0736F">
        <w:rPr>
          <w:rFonts w:ascii="Times New Roman" w:hAnsi="Times New Roman" w:cs="Times New Roman"/>
          <w:bCs/>
          <w:color w:val="000000" w:themeColor="text1"/>
          <w:lang w:bidi="ru-RU"/>
        </w:rPr>
        <w:t xml:space="preserve">9318 </w:t>
      </w:r>
      <w:r w:rsidRPr="00F0736F">
        <w:rPr>
          <w:rFonts w:ascii="Times New Roman" w:hAnsi="Times New Roman" w:cs="Times New Roman"/>
          <w:color w:val="000000" w:themeColor="text1"/>
        </w:rPr>
        <w:t>кВт*ч</w:t>
      </w:r>
      <w:r w:rsidRPr="00F0736F">
        <w:rPr>
          <w:rFonts w:ascii="Times New Roman" w:hAnsi="Times New Roman" w:cs="Times New Roman"/>
          <w:bCs/>
          <w:color w:val="000000" w:themeColor="text1"/>
          <w:lang w:bidi="ru-RU"/>
        </w:rPr>
        <w:t xml:space="preserve">. </w:t>
      </w:r>
      <w:r w:rsidRPr="00F0736F">
        <w:rPr>
          <w:rFonts w:ascii="Times New Roman" w:hAnsi="Times New Roman" w:cs="Times New Roman"/>
          <w:color w:val="000000" w:themeColor="text1"/>
          <w:lang w:bidi="ru-RU"/>
        </w:rPr>
        <w:t xml:space="preserve">Экономия денежных средств или экономия энергии более - </w:t>
      </w:r>
      <w:r w:rsidRPr="00F0736F">
        <w:rPr>
          <w:rFonts w:ascii="Times New Roman" w:hAnsi="Times New Roman" w:cs="Times New Roman"/>
          <w:bCs/>
          <w:color w:val="000000" w:themeColor="text1"/>
          <w:lang w:bidi="ru-RU"/>
        </w:rPr>
        <w:t xml:space="preserve">40% </w:t>
      </w:r>
      <w:r w:rsidRPr="00F0736F">
        <w:rPr>
          <w:rFonts w:ascii="Times New Roman" w:hAnsi="Times New Roman" w:cs="Times New Roman"/>
          <w:color w:val="000000" w:themeColor="text1"/>
          <w:lang w:bidi="ru-RU"/>
        </w:rPr>
        <w:t>от прежнего уровня. Предотвращенная эмиссия парниковых газов (СО</w:t>
      </w:r>
      <w:r w:rsidRPr="00F0736F">
        <w:rPr>
          <w:rFonts w:ascii="Times New Roman" w:hAnsi="Times New Roman" w:cs="Times New Roman"/>
          <w:color w:val="000000" w:themeColor="text1"/>
          <w:vertAlign w:val="subscript"/>
          <w:lang w:bidi="ru-RU"/>
        </w:rPr>
        <w:t>2</w:t>
      </w:r>
      <w:r w:rsidRPr="00F0736F">
        <w:rPr>
          <w:rFonts w:ascii="Times New Roman" w:hAnsi="Times New Roman" w:cs="Times New Roman"/>
          <w:color w:val="000000" w:themeColor="text1"/>
          <w:lang w:bidi="ru-RU"/>
        </w:rPr>
        <w:t xml:space="preserve">) в атмосферу города, по кварталу, в год составит </w:t>
      </w:r>
      <w:r w:rsidRPr="00F0736F">
        <w:rPr>
          <w:rFonts w:ascii="Times New Roman" w:hAnsi="Times New Roman" w:cs="Times New Roman"/>
          <w:bCs/>
          <w:color w:val="000000" w:themeColor="text1"/>
          <w:lang w:bidi="ru-RU"/>
        </w:rPr>
        <w:t>1000 т.</w:t>
      </w:r>
    </w:p>
    <w:p w14:paraId="1A7B86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была завершена реализация первого энергосервисного ГЧП-проекта по замене освещения на светодиодное в здании «ТраспортТауэрс» за счет частного инвестора. Общая сумма привлечённых инвестиций на замену освещения составила 34,5 млн. тенге. В ходе реализации этого проекта на всех этажах этого здания заменены лампы на светодиодные, установлены датчики движения. В результате реализации проекта достигнута экономия энергопотребления этого здания в размере 52% от первоначального (допроектного) уровня. Ожидаемая экономия платежей за энергию по итогам года составит порядка 10 млн. тенге.</w:t>
      </w:r>
    </w:p>
    <w:p w14:paraId="0FD3BDA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результате мероприятий по энергосбережению в 2017 году в расчете на один киловатт-час затраченной электроэнергии произведено 1681,5 тыс. тенге ВРП, что в 1,3 раза больше, чем в 2013 году.</w:t>
      </w:r>
    </w:p>
    <w:p w14:paraId="491F8A55"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Также в рамках госпрограммы «Цифровой Казахстан» определены 5 ключевых направлений цифровизации. Это – цифровизация безопасности, здравоохранения, образования, ЖКХ и транспорта.</w:t>
      </w:r>
    </w:p>
    <w:p w14:paraId="5A0AB079" w14:textId="77777777" w:rsidR="00AC1D5B" w:rsidRPr="00F0736F" w:rsidRDefault="00AC1D5B" w:rsidP="00AC1D5B">
      <w:pPr>
        <w:widowControl w:val="0"/>
        <w:pBdr>
          <w:top w:val="none" w:sz="0" w:space="0" w:color="000000"/>
          <w:left w:val="none" w:sz="0" w:space="0" w:color="000000"/>
          <w:bottom w:val="single" w:sz="4" w:space="0"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Акиматом столицы совместно с международным агентством IDC (International Data Corporation) проведен анализ отраслевых управлений акимата по вопросам образования, здравоохранения, транспорта, ЖКХ, безопасности и цифровизации государственных услуг.</w:t>
      </w:r>
    </w:p>
    <w:p w14:paraId="67210ABD" w14:textId="77777777" w:rsidR="00AC1D5B" w:rsidRPr="00F0736F" w:rsidRDefault="00AC1D5B" w:rsidP="00AC1D5B">
      <w:pPr>
        <w:widowControl w:val="0"/>
        <w:pBdr>
          <w:top w:val="none" w:sz="0" w:space="0" w:color="000000"/>
          <w:left w:val="none" w:sz="0" w:space="0" w:color="000000"/>
          <w:bottom w:val="single" w:sz="4" w:space="0" w:color="FFFFFF"/>
          <w:right w:val="none" w:sz="0" w:space="0" w:color="000000"/>
        </w:pBdr>
        <w:ind w:firstLine="709"/>
        <w:contextualSpacing/>
        <w:jc w:val="both"/>
        <w:rPr>
          <w:color w:val="000000" w:themeColor="text1"/>
        </w:rPr>
      </w:pPr>
      <w:r w:rsidRPr="00F0736F">
        <w:rPr>
          <w:rFonts w:ascii="Times New Roman" w:hAnsi="Times New Roman" w:cs="Times New Roman"/>
          <w:color w:val="000000" w:themeColor="text1"/>
        </w:rPr>
        <w:t xml:space="preserve">По итогам вышеуказанной работы город Нур-Султан включен в международный рейтинг «умных» городов по версии компании IDC. По результатам обследования города Нур-Султан, столица Казахстана достигла уровня зрелости 2.48 балла. Уровень зрелости некоторых городов мира: 4.4 – Сингапур, 3.7 – Нью- Йорк, 3.6 – Дубай, 3.2 – Барселона, 3.1 – Москва. </w:t>
      </w:r>
    </w:p>
    <w:p w14:paraId="79A5ED5E"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6D9020E3"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Водоснабжение и водоотведение. </w:t>
      </w:r>
      <w:r w:rsidRPr="00F0736F">
        <w:rPr>
          <w:rFonts w:ascii="Times New Roman" w:hAnsi="Times New Roman" w:cs="Times New Roman"/>
          <w:color w:val="000000" w:themeColor="text1"/>
        </w:rPr>
        <w:t xml:space="preserve">Вопрос качественного водообеспечения и своевременного отведения и очистки сточных вод является актуальным для столицы. </w:t>
      </w:r>
    </w:p>
    <w:p w14:paraId="4D4A9A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Протяженность сетей водоснабжения составляет 1343 км, сетей водоотведения - 814 км (по данным Комитета по статистике). Средняя степень износа систем водоснабжения - 44%, систем водоотведения – 40%. </w:t>
      </w:r>
    </w:p>
    <w:p w14:paraId="4215177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общая протяженность водопроводов составила 1377,4 км, из них нуждается в замене 342,5 км, протяженность сетей водоотведения — 862,6 км, нуждается в замене — 176,3 км.</w:t>
      </w:r>
    </w:p>
    <w:p w14:paraId="3E31B4E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Доступ к централизованному водоснабжению имеют 99,8% населения, из них 5,3% пользуются питьевой водой через водоразборные колонки. Децентрализованное водоснабжение (скважины, колодцы) используют 0,2% (или 1286 человек) населения. Всего 204 колоно</w:t>
      </w:r>
      <w:r w:rsidRPr="00F0736F">
        <w:rPr>
          <w:rFonts w:ascii="Times New Roman" w:hAnsi="Times New Roman" w:cs="Times New Roman"/>
          <w:color w:val="000000" w:themeColor="text1"/>
          <w:lang w:val="kk-KZ"/>
        </w:rPr>
        <w:t>к, имеется п</w:t>
      </w:r>
      <w:r w:rsidRPr="00F0736F">
        <w:rPr>
          <w:rFonts w:ascii="Times New Roman" w:hAnsi="Times New Roman" w:cs="Times New Roman"/>
          <w:color w:val="000000" w:themeColor="text1"/>
        </w:rPr>
        <w:t>лан по их ликвидаци</w:t>
      </w:r>
      <w:r w:rsidRPr="00F0736F">
        <w:rPr>
          <w:rFonts w:ascii="Times New Roman" w:hAnsi="Times New Roman" w:cs="Times New Roman"/>
          <w:color w:val="000000" w:themeColor="text1"/>
          <w:lang w:val="kk-KZ"/>
        </w:rPr>
        <w:t>и</w:t>
      </w:r>
      <w:r w:rsidRPr="00F0736F">
        <w:rPr>
          <w:rFonts w:ascii="Times New Roman" w:hAnsi="Times New Roman" w:cs="Times New Roman"/>
          <w:color w:val="000000" w:themeColor="text1"/>
        </w:rPr>
        <w:t xml:space="preserve"> к 2020 году будет ликви</w:t>
      </w:r>
      <w:r w:rsidRPr="00F0736F">
        <w:rPr>
          <w:rFonts w:ascii="Times New Roman" w:hAnsi="Times New Roman" w:cs="Times New Roman"/>
          <w:color w:val="000000" w:themeColor="text1"/>
          <w:lang w:val="kk-KZ"/>
        </w:rPr>
        <w:t>дировано</w:t>
      </w:r>
      <w:r w:rsidRPr="00F0736F">
        <w:rPr>
          <w:rFonts w:ascii="Times New Roman" w:hAnsi="Times New Roman" w:cs="Times New Roman"/>
          <w:color w:val="000000" w:themeColor="text1"/>
        </w:rPr>
        <w:t xml:space="preserve"> 110</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p>
    <w:p w14:paraId="13F4D942" w14:textId="77777777" w:rsidR="00AC1D5B" w:rsidRPr="00F0736F" w:rsidRDefault="00AC1D5B" w:rsidP="00AC1D5B">
      <w:pPr>
        <w:tabs>
          <w:tab w:val="left" w:pos="0"/>
        </w:tabs>
        <w:ind w:firstLine="709"/>
        <w:contextualSpacing/>
        <w:jc w:val="both"/>
        <w:rPr>
          <w:color w:val="000000" w:themeColor="text1"/>
        </w:rPr>
      </w:pPr>
      <w:r w:rsidRPr="00F0736F">
        <w:rPr>
          <w:rFonts w:ascii="Times New Roman" w:eastAsia="Calibri" w:hAnsi="Times New Roman" w:cs="Times New Roman"/>
          <w:color w:val="000000" w:themeColor="text1"/>
        </w:rPr>
        <w:t xml:space="preserve">В 2019 году начата реконструкция подающего водовода от НС 1 подъема до ж.м. Железнодорожный протяженностью 43,9 км в две нитки. </w:t>
      </w:r>
      <w:r w:rsidRPr="00F0736F">
        <w:rPr>
          <w:rFonts w:ascii="Times New Roman" w:hAnsi="Times New Roman" w:cs="Times New Roman"/>
          <w:color w:val="000000" w:themeColor="text1"/>
        </w:rPr>
        <w:t>Основной целью реконструкции магистрального водовода является повышение надежности водоснабжения столицы.</w:t>
      </w:r>
    </w:p>
    <w:p w14:paraId="333F715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Также продолжена реализация проекта «</w:t>
      </w:r>
      <w:r w:rsidRPr="00F0736F">
        <w:rPr>
          <w:rFonts w:ascii="Times New Roman" w:eastAsia="Calibri" w:hAnsi="Times New Roman" w:cs="Times New Roman"/>
          <w:color w:val="000000" w:themeColor="text1"/>
        </w:rPr>
        <w:t xml:space="preserve">Строительство подводящих инженерных сетей водоснабжения, канализации, электроснабжения к застройке, находящейся южнее пр. Тлендиева, в границах улиц № 20-2, № 11 и ул. Баршин», что </w:t>
      </w:r>
      <w:r w:rsidRPr="00F0736F">
        <w:rPr>
          <w:rFonts w:ascii="Times New Roman" w:hAnsi="Times New Roman" w:cs="Times New Roman"/>
          <w:color w:val="000000" w:themeColor="text1"/>
          <w:lang w:eastAsia="ru-RU"/>
        </w:rPr>
        <w:t>позволит обеспечить сетями электроснабжения, водоснабжения и водоотведения район ЖСК «Асар» (70 квартир и 204 коттеджных дома).</w:t>
      </w:r>
    </w:p>
    <w:p w14:paraId="23EB476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сегодняшний день система ливневой канализации города состоит из 15-ти ОС и 3-х прудов-накопителей, 390 км магистральных коллекторов ливневой, дренажной и лотково-арычной сети канализации обеспечивают отвод поверхностных стоков с территории площадью 13,5 тыс. га. </w:t>
      </w:r>
    </w:p>
    <w:p w14:paraId="141F3AD9"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hAnsi="Times New Roman" w:cs="Times New Roman"/>
          <w:color w:val="000000" w:themeColor="text1"/>
        </w:rPr>
        <w:t>В 2019 году с учетом выделенного финансирования осуществлен ввод в эксплуатацию очистных сооружений в районе Ондирис (ОС района V-2), что позволило увеличить площадь водосбора на 605 га, обеспечило прирост совокупной мощности очистных сооружений на 12,1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 Также начато строительство очистных сооружений в мкр. Молодежный, реконструкция очистных сооружении в районе Можайского моста и строительство подводящего коллектора в мкр. Акбулак.</w:t>
      </w:r>
    </w:p>
    <w:p w14:paraId="0D21570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eastAsia="ru-RU"/>
        </w:rPr>
        <w:t>В 2019 году продолжены работы по строительству 9 объектов и 2 коллекторов ливневой канализации. Кроме того, начаты работы по строительству 2 очистных сооружении (ОС района I-5 (мкр. Молодежный), (реконструкция) ОС района VI-1 (район Можайского) и подводящего коллектора района І-4 (мкр. Акбулак).</w:t>
      </w:r>
    </w:p>
    <w:p w14:paraId="53153463"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eastAsia="Calibri" w:hAnsi="Times New Roman" w:cs="Times New Roman"/>
          <w:color w:val="000000" w:themeColor="text1"/>
          <w:lang w:eastAsia="ru-RU"/>
        </w:rPr>
        <w:t>Кроме того, проведены работы по устройству инженерных сетей (водопровод, хозяйственно-бытовая и ливневая канализация) протяженностью - 24,4 км, в том числе сети водопровода к жилым массивам Интернациональный и Мичурино, протяженностью - 11 км.</w:t>
      </w:r>
    </w:p>
    <w:p w14:paraId="6F87895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Доступ к централизованному водоотведению имеют 92% населения.</w:t>
      </w:r>
    </w:p>
    <w:p w14:paraId="3DABA99D"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7D96C712" w14:textId="77777777" w:rsidR="00AC1D5B" w:rsidRPr="00F0736F" w:rsidRDefault="00AC1D5B" w:rsidP="00AC1D5B">
      <w:pPr>
        <w:ind w:firstLine="709"/>
        <w:jc w:val="both"/>
        <w:rPr>
          <w:bCs/>
          <w:color w:val="000000" w:themeColor="text1"/>
        </w:rPr>
      </w:pPr>
      <w:r w:rsidRPr="00F0736F">
        <w:rPr>
          <w:rFonts w:ascii="Times New Roman" w:hAnsi="Times New Roman" w:cs="Times New Roman"/>
          <w:bCs/>
          <w:color w:val="000000" w:themeColor="text1"/>
        </w:rPr>
        <w:t xml:space="preserve">В </w:t>
      </w:r>
      <w:r w:rsidRPr="00F0736F">
        <w:rPr>
          <w:rFonts w:ascii="Times New Roman" w:hAnsi="Times New Roman" w:cs="Times New Roman"/>
          <w:bCs/>
          <w:color w:val="000000" w:themeColor="text1"/>
          <w:lang w:val="kk-KZ"/>
        </w:rPr>
        <w:t>2017 году,</w:t>
      </w:r>
      <w:r w:rsidRPr="00F0736F">
        <w:rPr>
          <w:rFonts w:ascii="Times New Roman" w:hAnsi="Times New Roman" w:cs="Times New Roman"/>
          <w:bCs/>
          <w:color w:val="000000" w:themeColor="text1"/>
        </w:rPr>
        <w:t xml:space="preserve"> по данным стационарной сети наблюдений, уровень загрязнения атмосферного воздуха города Астана (ныне Нур-Султан) оценивался как </w:t>
      </w:r>
      <w:r w:rsidRPr="00F0736F">
        <w:rPr>
          <w:rFonts w:ascii="Times New Roman" w:hAnsi="Times New Roman" w:cs="Times New Roman"/>
          <w:bCs/>
          <w:color w:val="000000" w:themeColor="text1"/>
          <w:lang w:val="kk-KZ"/>
        </w:rPr>
        <w:t xml:space="preserve">повышенный. </w:t>
      </w:r>
      <w:r w:rsidRPr="00F0736F">
        <w:rPr>
          <w:rFonts w:ascii="Times New Roman" w:hAnsi="Times New Roman" w:cs="Times New Roman"/>
          <w:bCs/>
          <w:color w:val="000000" w:themeColor="text1"/>
        </w:rPr>
        <w:t xml:space="preserve">ИЗА составляет </w:t>
      </w:r>
      <w:r w:rsidRPr="00F0736F">
        <w:rPr>
          <w:rFonts w:ascii="Times New Roman" w:hAnsi="Times New Roman" w:cs="Times New Roman"/>
          <w:bCs/>
          <w:color w:val="000000" w:themeColor="text1"/>
          <w:lang w:val="kk-KZ"/>
        </w:rPr>
        <w:t xml:space="preserve">6 </w:t>
      </w:r>
      <w:r w:rsidRPr="00F0736F">
        <w:rPr>
          <w:rFonts w:ascii="Times New Roman" w:hAnsi="Times New Roman" w:cs="Times New Roman"/>
          <w:bCs/>
          <w:color w:val="000000" w:themeColor="text1"/>
        </w:rPr>
        <w:t>(</w:t>
      </w:r>
      <w:r w:rsidRPr="00F0736F">
        <w:rPr>
          <w:rFonts w:ascii="Times New Roman" w:hAnsi="Times New Roman" w:cs="Times New Roman"/>
          <w:bCs/>
          <w:color w:val="000000" w:themeColor="text1"/>
          <w:lang w:val="kk-KZ"/>
        </w:rPr>
        <w:t>повышенный</w:t>
      </w:r>
      <w:r w:rsidRPr="00F0736F">
        <w:rPr>
          <w:rFonts w:ascii="Times New Roman" w:hAnsi="Times New Roman" w:cs="Times New Roman"/>
          <w:bCs/>
          <w:color w:val="000000" w:themeColor="text1"/>
        </w:rPr>
        <w:t xml:space="preserve"> уровень). СИ = </w:t>
      </w:r>
      <w:r w:rsidRPr="00F0736F">
        <w:rPr>
          <w:rFonts w:ascii="Times New Roman" w:hAnsi="Times New Roman" w:cs="Times New Roman"/>
          <w:bCs/>
          <w:color w:val="000000" w:themeColor="text1"/>
          <w:lang w:val="kk-KZ"/>
        </w:rPr>
        <w:t>9</w:t>
      </w:r>
      <w:r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lang w:val="kk-KZ"/>
        </w:rPr>
        <w:t xml:space="preserve">(высокий уровень), НП </w:t>
      </w:r>
      <w:r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lang w:val="kk-KZ"/>
        </w:rPr>
        <w:t>27%</w:t>
      </w:r>
      <w:r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lang w:val="kk-KZ"/>
        </w:rPr>
        <w:t>(высокий уровень).</w:t>
      </w:r>
      <w:r w:rsidRPr="00F0736F">
        <w:rPr>
          <w:rFonts w:ascii="Times New Roman" w:hAnsi="Times New Roman" w:cs="Times New Roman"/>
          <w:bCs/>
          <w:color w:val="000000" w:themeColor="text1"/>
        </w:rPr>
        <w:t xml:space="preserve"> </w:t>
      </w:r>
      <w:r w:rsidRPr="00F0736F">
        <w:rPr>
          <w:rFonts w:ascii="Times New Roman" w:hAnsi="Times New Roman" w:cs="Times New Roman"/>
          <w:bCs/>
          <w:color w:val="000000" w:themeColor="text1"/>
          <w:lang w:val="kk-KZ"/>
        </w:rPr>
        <w:t xml:space="preserve">  </w:t>
      </w:r>
      <w:r w:rsidRPr="00F0736F">
        <w:rPr>
          <w:rFonts w:ascii="Times New Roman" w:hAnsi="Times New Roman" w:cs="Times New Roman"/>
          <w:bCs/>
          <w:color w:val="000000" w:themeColor="text1"/>
        </w:rPr>
        <w:t>Уровень загрязнения атмосферного воздуха по сравнению с 2016 годом понизился с «высокого» на «повышенный»</w:t>
      </w:r>
      <w:r w:rsidRPr="00F0736F">
        <w:rPr>
          <w:rFonts w:ascii="Times New Roman" w:hAnsi="Times New Roman" w:cs="Times New Roman"/>
          <w:bCs/>
          <w:color w:val="000000" w:themeColor="text1"/>
          <w:vertAlign w:val="superscript"/>
        </w:rPr>
        <w:footnoteReference w:id="162"/>
      </w:r>
      <w:r w:rsidRPr="00F0736F">
        <w:rPr>
          <w:rFonts w:ascii="Times New Roman" w:hAnsi="Times New Roman" w:cs="Times New Roman"/>
          <w:bCs/>
          <w:color w:val="000000" w:themeColor="text1"/>
        </w:rPr>
        <w:t>.</w:t>
      </w:r>
    </w:p>
    <w:p w14:paraId="1C5FF1FB" w14:textId="77777777" w:rsidR="00AC1D5B" w:rsidRPr="00F0736F" w:rsidRDefault="00AC1D5B" w:rsidP="00AC1D5B">
      <w:pPr>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 xml:space="preserve">За 2018 год, по данным стационарной сети наблюдений, уровень загрязнения атмосферного воздуха оценивался как высокий, он определялся значением ИЗА = 7 (высокий уровень). СИ = 17 (очень высокий уровень &lt;10).  </w:t>
      </w:r>
    </w:p>
    <w:p w14:paraId="27D2E82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Cs/>
          <w:color w:val="000000" w:themeColor="text1"/>
        </w:rPr>
        <w:t>За 2019 год</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 xml:space="preserve">по данным стационарной сети наблюдений, уровень загрязнения атмосферного воздуха города Нур-Султан оценивался как высокого уровня загрязнения, он определялся значением ИЗА=7 (высокий уровень), СИ равным 19,7 (очень высокий уровень).  </w:t>
      </w:r>
    </w:p>
    <w:p w14:paraId="6120DBF6"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Мониторинг объемов выбросов загрязняющих веществ по источникам загрязнения на ежегодной основе производится только по стационарным источникам. Объемы выбросов от автотранспорта и индивидуальных жилых домов не рассчитываются и по ним не производится сбор статистических данных. Косвенный анализ ингредиентов в атмосферном воздухе указывает, что высокий уровень загрязнения связан с загруженностью автодорог городским транспортом и рассеиванием эмиссий от промышленных предприятий. </w:t>
      </w:r>
      <w:r w:rsidRPr="00F0736F">
        <w:rPr>
          <w:rFonts w:ascii="Times New Roman" w:eastAsia="Calibri" w:hAnsi="Times New Roman" w:cs="Times New Roman"/>
          <w:color w:val="000000" w:themeColor="text1"/>
        </w:rPr>
        <w:t xml:space="preserve">Основными источниками загрязнения атмосферного воздуха столицы являются как стационарные (41,2% в 2018 году и 44,4% в 2019 году), так и передвижные источники загрязнения (54,2% в 2018 году и 51,3% в 2019 году), на их общую долю приходится 95,7% общего объема валовых выбросов загрязняющих веществ. </w:t>
      </w:r>
      <w:r w:rsidRPr="00F0736F">
        <w:rPr>
          <w:rFonts w:ascii="Times New Roman" w:eastAsia="Times New Roman" w:hAnsi="Times New Roman" w:cs="Times New Roman"/>
          <w:color w:val="000000" w:themeColor="text1"/>
          <w:lang w:eastAsia="ru-RU"/>
        </w:rPr>
        <w:t>Динамика объемов загрязняющих веществ, выброшенных в атмосферу от стационарных источников, демонстрирует небольшое снижение выбросов в атмосферу с 60,5 тыс. т. в 2013 году до 59,2 тыс. т. в 2017 году, и до 56,4 т. в 2018 году, но в 2019 году произошло повышение до 65,1 тыс. т..</w:t>
      </w:r>
    </w:p>
    <w:p w14:paraId="44A3444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Крупнейшим источником выбросов парниковых газов в городе являются действующие ТЭЦ-1 и ТЭЦ-2, на долю которых приходится более 60% выбросов. На долю сжигаемого топлива частным сектором приходится 5 - 6%.</w:t>
      </w:r>
    </w:p>
    <w:p w14:paraId="467E744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оздоровления состояния воздушного бассейна города и обеспечения комфортных условий проживания населения в 2018 году в городе принята 5-летняя программа по газификации, предусматривающая перевод водогрейных котлов ТЭЦ-1, 2 и 3, котельных, промышленных предприятий, объектов коммунальной инфраструктуры на природный газ. </w:t>
      </w:r>
    </w:p>
    <w:p w14:paraId="7C400C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рамках реализации Концепции по переходу РК к «зеленой экономике» в транспортном секторе утвержден «Комплексный план мероприятий по оздоровлению окружающей среды города Нур-Султан на 2018 - 2020 годы». На газ переведены 854 автотранспортных средств коммунальных предприятий, закуплены 738 автобусов класса ЕВРО-5 и ЕВРО-6, ведутся работы по переводу частных таксопарков на газомоторное топливо, 161 из них уже переведено на газ, остальные 339 перевели до конца 2018 года. Кроме того, работают ещё 158 ЭкоТакси. Всего газобаллонное оборудование установлено на более 16 тыс. автотранспортных средствах юридических и физических лиц.</w:t>
      </w:r>
    </w:p>
    <w:p w14:paraId="4025DD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конце 2019 года акиматом города было приобретено 100 электроавтобусов, которые курсируют на линии с начала 2020 года. Преимущества бесшумных электрических автобусов в экологичности (отсутствие вредных выбросов в атмосферу) и экономности при их эксплуатации. «Эксплуатация данных автобусов показала, что автопарки только на топливе экономят порядка 80% в сравнении с дизельным аналогом. Экономия на эксплуатационных расходах также составит порядка до 80%, так как не нужно менять масла, жидкости и т.д. Если расходы на дизельные в сутки составляет до 22-25 тыс. тенге, то затраты на электрические составляют в 4-5 раз меньше. Сама конструкция позволяет заряжать автобус только один раз в сутки – в ночное время, то есть днём нет необходимости заряжать автобус», – сказал председатель правления City Transportation Systems (CTS) Бекмырза Игенбердинов. В 2020 году планируется приобрести еще 100 электроавтобусов уже за счет частного инвестора.</w:t>
      </w:r>
    </w:p>
    <w:p w14:paraId="07AA138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целью расширения инфраструктуры для экологически чистого вида транспорта разработана ПСД по объекту «Первая очередь велосипедного транспорта и инфраструктуры в городе Нур-Султан (1-й этап)» (длина 44 км), начата разработка ПСД по объекту «Вторая очередь велосипедного транспорта и инфраструктуры в г. Нур-Султан (1-й этап)». Кроме того, в городе Нур-Султан начали внедрять электромобили, уже установлены 50 электрозарядных станций.</w:t>
      </w:r>
    </w:p>
    <w:p w14:paraId="22BBD43F"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За 2018 год площади зеленых насаждений в расчете на одного жителя столицы возросли на 5,3% по сравнению с уровнем 2017 года (то есть с 15,2 м</w:t>
      </w:r>
      <w:r w:rsidRPr="00F0736F">
        <w:rPr>
          <w:rFonts w:ascii="Times New Roman" w:eastAsia="Calibri" w:hAnsi="Times New Roman" w:cs="Times New Roman"/>
          <w:color w:val="000000" w:themeColor="text1"/>
          <w:vertAlign w:val="superscript"/>
        </w:rPr>
        <w:t>2</w:t>
      </w:r>
      <w:r w:rsidRPr="00F0736F">
        <w:rPr>
          <w:rFonts w:ascii="Times New Roman" w:eastAsia="Calibri" w:hAnsi="Times New Roman" w:cs="Times New Roman"/>
          <w:color w:val="000000" w:themeColor="text1"/>
        </w:rPr>
        <w:t>/чел. в 2017 г. до 16,0 м</w:t>
      </w:r>
      <w:r w:rsidRPr="00F0736F">
        <w:rPr>
          <w:rFonts w:ascii="Times New Roman" w:eastAsia="Calibri" w:hAnsi="Times New Roman" w:cs="Times New Roman"/>
          <w:color w:val="000000" w:themeColor="text1"/>
          <w:vertAlign w:val="superscript"/>
        </w:rPr>
        <w:t>2</w:t>
      </w:r>
      <w:r w:rsidRPr="00F0736F">
        <w:rPr>
          <w:rFonts w:ascii="Times New Roman" w:eastAsia="Calibri" w:hAnsi="Times New Roman" w:cs="Times New Roman"/>
          <w:color w:val="000000" w:themeColor="text1"/>
        </w:rPr>
        <w:t xml:space="preserve">/чел. в 2018 г.), что обусловлено постоянным увеличением количества деревьев и кустарников, ежегодно высаживаемых в столице, а также строительством новых парков и скверов. </w:t>
      </w:r>
    </w:p>
    <w:p w14:paraId="1ACA4330" w14:textId="77777777" w:rsidR="00AC1D5B" w:rsidRPr="00F0736F" w:rsidRDefault="00AC1D5B" w:rsidP="00AC1D5B">
      <w:pPr>
        <w:pBdr>
          <w:top w:val="none" w:sz="0" w:space="0" w:color="000000"/>
          <w:left w:val="none" w:sz="0" w:space="0" w:color="000000"/>
          <w:bottom w:val="single" w:sz="4" w:space="1" w:color="FFFFFF"/>
          <w:right w:val="none" w:sz="0" w:space="0" w:color="000000"/>
        </w:pBdr>
        <w:ind w:firstLine="709"/>
        <w:jc w:val="both"/>
        <w:rPr>
          <w:color w:val="000000" w:themeColor="text1"/>
        </w:rPr>
      </w:pPr>
      <w:r w:rsidRPr="00F0736F">
        <w:rPr>
          <w:rFonts w:ascii="Times New Roman" w:eastAsia="Calibri" w:hAnsi="Times New Roman" w:cs="Times New Roman"/>
          <w:color w:val="000000" w:themeColor="text1"/>
        </w:rPr>
        <w:t>За 2019 год площади зеленых насаждений в расчете на одного жителя столицы возросли на 4,9 % по сравнению с уровнем 2018 года (то есть с 16,2 м</w:t>
      </w:r>
      <w:r w:rsidRPr="00F0736F">
        <w:rPr>
          <w:rFonts w:ascii="Times New Roman" w:eastAsia="Calibri" w:hAnsi="Times New Roman" w:cs="Times New Roman"/>
          <w:color w:val="000000" w:themeColor="text1"/>
          <w:vertAlign w:val="superscript"/>
        </w:rPr>
        <w:t>2</w:t>
      </w:r>
      <w:r w:rsidRPr="00F0736F">
        <w:rPr>
          <w:rFonts w:ascii="Times New Roman" w:eastAsia="Calibri" w:hAnsi="Times New Roman" w:cs="Times New Roman"/>
          <w:color w:val="000000" w:themeColor="text1"/>
        </w:rPr>
        <w:t>/чел. в 2018 г. до 17,0 м</w:t>
      </w:r>
      <w:r w:rsidRPr="00F0736F">
        <w:rPr>
          <w:rFonts w:ascii="Times New Roman" w:eastAsia="Calibri" w:hAnsi="Times New Roman" w:cs="Times New Roman"/>
          <w:color w:val="000000" w:themeColor="text1"/>
          <w:vertAlign w:val="superscript"/>
        </w:rPr>
        <w:t>2</w:t>
      </w:r>
      <w:r w:rsidRPr="00F0736F">
        <w:rPr>
          <w:rFonts w:ascii="Times New Roman" w:eastAsia="Calibri" w:hAnsi="Times New Roman" w:cs="Times New Roman"/>
          <w:color w:val="000000" w:themeColor="text1"/>
        </w:rPr>
        <w:t>/чел. в 2019 г.), что обусловлено постоянным увеличением количества деревьев и кустарников, ежегодно высаживаемых в столице, а также строительством новых парков и скверов.</w:t>
      </w:r>
    </w:p>
    <w:p w14:paraId="5C805B2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w:t>
      </w:r>
      <w:r w:rsidRPr="00F0736F">
        <w:rPr>
          <w:rFonts w:ascii="Times New Roman" w:hAnsi="Times New Roman" w:cs="Times New Roman"/>
          <w:color w:val="000000" w:themeColor="text1"/>
          <w:lang w:val="kk-KZ"/>
        </w:rPr>
        <w:t xml:space="preserve">ля придания эстетического вида столице, создания экологически благоприятных условий для проживания горожан, решения вопросов проведения семейного досуга в комфортной обстановке вблизи собственных домов на местах снесенных аварийно-ветхих домов, завершено строительство следующих объектов: </w:t>
      </w:r>
    </w:p>
    <w:p w14:paraId="4335FBC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 сквер на пересечении пр. Республики и ул. Ы.Дукенулы – 0,28 га; </w:t>
      </w:r>
    </w:p>
    <w:p w14:paraId="0907D60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сквер в районе дома №5 по улице Біржан Сал – 0,27 га;</w:t>
      </w:r>
    </w:p>
    <w:p w14:paraId="0CA9DBB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сквер по проспекту Сарыарка, в районе дома №27 – 0,23 га;</w:t>
      </w:r>
    </w:p>
    <w:p w14:paraId="6B5F2F9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сквер по ул. Пушкина, в районе дома №15Б – 0,26 га;</w:t>
      </w:r>
    </w:p>
    <w:p w14:paraId="3DB240A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сквер на объекте «Городская больница №1», по улице Ракымжана Кошкарбаева, 66 – 3,17 га;</w:t>
      </w:r>
    </w:p>
    <w:p w14:paraId="7A66029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бульвар по улице Кенесары, на участке от улицы Егемен Қазақстан газеті до улицы Б. Бейсекбаева – 0,45 га;</w:t>
      </w:r>
    </w:p>
    <w:p w14:paraId="367DDA6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бульвар по проспекту Абая, на участке от улицы Сембинова до улицы Егемен Қазақстан газеті – 1,19 га;</w:t>
      </w:r>
    </w:p>
    <w:p w14:paraId="15309E5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площадь этих объектов составляет 5,85 га, и согласно проекту, полностью благоустроены, озеленены, проведено освещение, установлены спортивные и детские игровые площадки.</w:t>
      </w:r>
    </w:p>
    <w:p w14:paraId="0536A821"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1CDCA287"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Твердые бытовые отходы. </w:t>
      </w:r>
      <w:r w:rsidRPr="00F0736F">
        <w:rPr>
          <w:rFonts w:ascii="Times New Roman" w:eastAsia="Times New Roman" w:hAnsi="Times New Roman" w:cs="Times New Roman"/>
          <w:color w:val="000000" w:themeColor="text1"/>
          <w:lang w:eastAsia="ru-RU"/>
        </w:rPr>
        <w:t xml:space="preserve">Система управления отходами в г. Нур-Султане включает в себя сбор, транспортировку, переработку, утилизацию и захоронение отходов на полигоне. Ежедневно с территории города вывозится 1000-1200 т. отходов. </w:t>
      </w:r>
      <w:r w:rsidRPr="00F0736F">
        <w:rPr>
          <w:rFonts w:ascii="Times New Roman" w:hAnsi="Times New Roman" w:cs="Times New Roman"/>
          <w:color w:val="000000" w:themeColor="text1"/>
        </w:rPr>
        <w:t xml:space="preserve">Согласно данным, предоставленные акиматом города Нур-Султан, за 2019 год на полигон захоронения ТБО вывезено 318,58 тыс. т. ТБО. В 2018 году образовано 307,6 тыс. т. ТБО, из них переработано 12,25%. В 2017 году объем образованных ТБО составил 345,4 тыс. т., из них переработано 8,33%. </w:t>
      </w:r>
      <w:r w:rsidRPr="00F0736F">
        <w:rPr>
          <w:rFonts w:ascii="Times New Roman" w:eastAsia="Calibri" w:hAnsi="Times New Roman" w:cs="Times New Roman"/>
          <w:color w:val="000000" w:themeColor="text1"/>
          <w:sz w:val="28"/>
          <w:szCs w:val="40"/>
          <w:lang w:eastAsia="ru-RU"/>
        </w:rPr>
        <w:t xml:space="preserve"> </w:t>
      </w:r>
      <w:r w:rsidRPr="00F0736F">
        <w:rPr>
          <w:rFonts w:ascii="Times New Roman" w:hAnsi="Times New Roman" w:cs="Times New Roman"/>
          <w:color w:val="000000" w:themeColor="text1"/>
        </w:rPr>
        <w:t xml:space="preserve">100% населения было охвачено услугами по сбору и вывозу ТБО. </w:t>
      </w:r>
      <w:r w:rsidRPr="00F0736F">
        <w:rPr>
          <w:rFonts w:ascii="Times New Roman" w:eastAsia="Times New Roman" w:hAnsi="Times New Roman" w:cs="Times New Roman"/>
          <w:color w:val="000000" w:themeColor="text1"/>
          <w:lang w:eastAsia="ru-RU"/>
        </w:rPr>
        <w:t>Все отходы, образующиеся на территории города, вывозятся на построенный в 2012 году мусороперерабатывающий комплекс мощностью 300 тыс. т. в год. На комплексе осуществляется сортировка, переработка и брикетирование отходов. Осуществляется переработка до 5 тыс. т. пластмассовых отходов и до 2 тыс. т. бумаги в год. Непереработанные отходы направляются на захоронение на полигон. </w:t>
      </w:r>
    </w:p>
    <w:p w14:paraId="5753D2C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территории города Нур-Султан имеется 1 полигон ТБО, соответствующий требованиям законодательства Казахстана. </w:t>
      </w:r>
      <w:r w:rsidRPr="00F0736F">
        <w:rPr>
          <w:rFonts w:ascii="Times New Roman" w:eastAsia="Calibri" w:hAnsi="Times New Roman" w:cs="Times New Roman"/>
          <w:color w:val="000000" w:themeColor="text1"/>
        </w:rPr>
        <w:t>Полигон состоит из 2-х ячеек. В августе 2018 года законсервирована первая ячейка, эксплуатируемая с 2006 года. В настоящее время разработано ТЭО «Рекультивация 1-й ячейки городского полигона для захоронения ТБО». В апреле 2018 года произведен ввод в эксплуатацию второй ячейки полигона (площадь - 15,1 га, мощность - 2 млн. т.), которая передана в доверительное управление ТОО «Эко-полигон Нур-Султан» сроком на 15 лет.</w:t>
      </w:r>
    </w:p>
    <w:p w14:paraId="45CA3645"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В рамках модернизации мусороперабатывающей отрасли города с 2018 года реализуется проект по раздельному сбору и переработке отходов. Для утилизации ртутьсодержащих ламп во всех районах города установлены специальные контейнеры для сбора ламп. В районах индивидуального жилья, отапливаемого углем, установлены контейнеры для сбора золы. Вывоз отходов осуществляется частной организацией, с которой город заключил 5-летний контракт.</w:t>
      </w:r>
      <w:r w:rsidRPr="00F0736F">
        <w:rPr>
          <w:rFonts w:ascii="Times New Roman" w:eastAsia="Calibri" w:hAnsi="Times New Roman" w:cs="Times New Roman"/>
          <w:color w:val="000000" w:themeColor="text1"/>
          <w:lang w:eastAsia="ru-RU"/>
        </w:rPr>
        <w:t xml:space="preserve"> </w:t>
      </w:r>
      <w:r w:rsidRPr="00F0736F">
        <w:rPr>
          <w:rFonts w:ascii="Times New Roman" w:eastAsia="Calibri" w:hAnsi="Times New Roman" w:cs="Times New Roman"/>
          <w:color w:val="000000" w:themeColor="text1"/>
        </w:rPr>
        <w:t>На территории города Нур-Султан установлено 30 пунктов (в 2018 году — 16 пунктов) приема вторичного сырья (полиэтилена, пластика, картона, стеклотары, макулатуры, алюминиевых банок).</w:t>
      </w:r>
    </w:p>
    <w:p w14:paraId="7990D95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акиматом города Нур-Султан по согласованию с Министерством энергетики РК и ТОО «Оператор РОП» утверждена Дорожная карта по реализации в городе Нур-Султане пилотного проекта по организации раздельного сбора твердых бытовых отходов, переработке и утилизации органической (пищевой) фракции ТБО. Во исполнение пунктов Дорожной карты, ТОО «</w:t>
      </w:r>
      <w:r w:rsidRPr="00F0736F">
        <w:rPr>
          <w:rFonts w:ascii="Times New Roman" w:hAnsi="Times New Roman" w:cs="Times New Roman"/>
          <w:color w:val="000000" w:themeColor="text1"/>
          <w:lang w:val="en-US"/>
        </w:rPr>
        <w:t>Clean</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City</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en-US"/>
        </w:rPr>
        <w:t>NC</w:t>
      </w:r>
      <w:r w:rsidRPr="00F0736F">
        <w:rPr>
          <w:rFonts w:ascii="Times New Roman" w:hAnsi="Times New Roman" w:cs="Times New Roman"/>
          <w:color w:val="000000" w:themeColor="text1"/>
        </w:rPr>
        <w:t>» были приобретены 25 ед. мусоровозов для раздельного вывоза ТБО и 6275 контейнеров желтого цвета для раздельного сбора ТБО, которые установлены на контейнерных площадках города Нур-Султан (район «Алматы» – 1935, район «Бай</w:t>
      </w:r>
      <w:r w:rsidRPr="00F0736F">
        <w:rPr>
          <w:rFonts w:ascii="Times New Roman" w:hAnsi="Times New Roman" w:cs="Times New Roman"/>
          <w:color w:val="000000" w:themeColor="text1"/>
          <w:lang w:val="kk-KZ"/>
        </w:rPr>
        <w:t>қоң</w:t>
      </w:r>
      <w:r w:rsidRPr="00F0736F">
        <w:rPr>
          <w:rFonts w:ascii="Times New Roman" w:hAnsi="Times New Roman" w:cs="Times New Roman"/>
          <w:color w:val="000000" w:themeColor="text1"/>
        </w:rPr>
        <w:t>ыр» – 1016, район «Есиль» – 1812, район «Сарыарка» – 1512).</w:t>
      </w:r>
      <w:r w:rsidRPr="00F0736F">
        <w:rPr>
          <w:rFonts w:ascii="Times New Roman" w:eastAsia="Times New Roman" w:hAnsi="Times New Roman" w:cs="Times New Roman"/>
          <w:color w:val="000000" w:themeColor="text1"/>
          <w:lang w:eastAsia="ru-RU"/>
        </w:rPr>
        <w:t>  В 2019 году т</w:t>
      </w:r>
      <w:r w:rsidRPr="00F0736F">
        <w:rPr>
          <w:rFonts w:ascii="Times New Roman" w:eastAsia="Calibri" w:hAnsi="Times New Roman" w:cs="Times New Roman"/>
          <w:color w:val="000000" w:themeColor="text1"/>
          <w:lang w:eastAsia="ru-RU"/>
        </w:rPr>
        <w:t>ерритория города поделена на 24 участка, на которых обустроено 2815 контейнерных площадок и размещены более 17 тыс. контейнеров.</w:t>
      </w:r>
    </w:p>
    <w:p w14:paraId="44EDF9F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«Сухая» фракция вывозится на мусороперерабатывающий комплекс (сортировка, переработка и брикетирование) ТОО «KazRecycleService» мощностью 300 тыс. т./год. </w:t>
      </w:r>
      <w:r w:rsidRPr="00F0736F">
        <w:rPr>
          <w:rFonts w:ascii="Times New Roman" w:eastAsia="Calibri" w:hAnsi="Times New Roman" w:cs="Times New Roman"/>
          <w:color w:val="000000" w:themeColor="text1"/>
        </w:rPr>
        <w:t xml:space="preserve">На МПК отходы подвергаются сортировке, переработке и брикетированию. Глубина переработки отходов по итогам 2018 года составила 15%. </w:t>
      </w:r>
      <w:r w:rsidRPr="00F0736F">
        <w:rPr>
          <w:rFonts w:ascii="Times New Roman" w:hAnsi="Times New Roman" w:cs="Times New Roman"/>
          <w:color w:val="000000" w:themeColor="text1"/>
        </w:rPr>
        <w:t>Получаемая продукция - полимерные гранулы, полиэтиленовые флексы и эковаты. За 2018 год мусороперерабатывающим комплексом было отсортировано и переработано - 44,1 тыс. т. ТБО.</w:t>
      </w:r>
    </w:p>
    <w:p w14:paraId="789BC7E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Также в рамках реализации Дорожной карты планируется внедрение технологии по переработке и утилизации органической (пищевой) фракции ТБО с получением технического компоста, по рекомендациям французского агентства по управлению отходами «Сиктом», являвшегося участником Международной специализированной выставки ЭКСПО-2017. Внедрение данных инновационных технологий по переработке отходов дает возможность глубины переработки до 75%. </w:t>
      </w:r>
    </w:p>
    <w:p w14:paraId="0B50F231" w14:textId="77777777" w:rsidR="00AC1D5B" w:rsidRPr="00F0736F" w:rsidRDefault="00AC1D5B" w:rsidP="00AC1D5B">
      <w:pPr>
        <w:tabs>
          <w:tab w:val="left" w:pos="6237"/>
        </w:tabs>
        <w:ind w:firstLine="709"/>
        <w:jc w:val="both"/>
        <w:rPr>
          <w:color w:val="000000" w:themeColor="text1"/>
        </w:rPr>
      </w:pPr>
      <w:r w:rsidRPr="00F0736F">
        <w:rPr>
          <w:rFonts w:ascii="Times New Roman" w:hAnsi="Times New Roman" w:cs="Times New Roman"/>
          <w:color w:val="000000" w:themeColor="text1"/>
        </w:rPr>
        <w:t>Сотрудниками акимата города Нур-Султан в целях улучшения экологической обстановки города с начала 2019 года было выявлено и ликвидировано 283 несанкционированные свалки.</w:t>
      </w:r>
    </w:p>
    <w:p w14:paraId="3B67EC49" w14:textId="77777777" w:rsidR="00AC1D5B" w:rsidRPr="00F0736F" w:rsidRDefault="00AC1D5B" w:rsidP="00AC1D5B">
      <w:pPr>
        <w:tabs>
          <w:tab w:val="left" w:pos="6237"/>
        </w:tabs>
        <w:ind w:firstLine="709"/>
        <w:jc w:val="both"/>
        <w:rPr>
          <w:color w:val="000000" w:themeColor="text1"/>
        </w:rPr>
      </w:pPr>
      <w:r w:rsidRPr="00F0736F">
        <w:rPr>
          <w:rFonts w:ascii="Times New Roman" w:hAnsi="Times New Roman" w:cs="Times New Roman"/>
          <w:color w:val="000000" w:themeColor="text1"/>
        </w:rPr>
        <w:t>Также акиматом на основе анализа информационных систем АО «Қазақстан Ғарыш Сапары» проводятся работы по выявлению мест несанкционированных свалок, методом космического мониторинга. На начало 2020 года по городу определено 431 место незаконного сброса отходов, из них ликвидировано 232 места, остальные в работе. Необходимо отметить, что основной объем несанкционированных свалок составляет строительные отходы. На системных местах незаконного сброса отходов установили более 40 камер видеонаблюдения «сергек», проводились объезды.</w:t>
      </w:r>
    </w:p>
    <w:p w14:paraId="1CE085FD"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озеленения города и экологического туризма</w:t>
      </w:r>
    </w:p>
    <w:p w14:paraId="6C80E9BD"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С 1997 года в столице ведутся масштабные работы по созданию </w:t>
      </w:r>
      <w:r w:rsidRPr="00F0736F">
        <w:rPr>
          <w:rFonts w:ascii="Times New Roman" w:eastAsia="Times New Roman" w:hAnsi="Times New Roman" w:cs="Times New Roman"/>
          <w:b/>
          <w:color w:val="000000" w:themeColor="text1"/>
          <w:lang w:eastAsia="ru-RU"/>
        </w:rPr>
        <w:t xml:space="preserve">«Зеленого пояса» </w:t>
      </w:r>
      <w:r w:rsidRPr="00F0736F">
        <w:rPr>
          <w:rFonts w:ascii="Times New Roman" w:eastAsia="Times New Roman" w:hAnsi="Times New Roman" w:cs="Times New Roman"/>
          <w:color w:val="000000" w:themeColor="text1"/>
          <w:lang w:eastAsia="ru-RU"/>
        </w:rPr>
        <w:t>вокруг города и озеленению территории города. Площадь зеленого пояса превысила 78 тыс. гектаров. Развитие «Зеленого пояса» планируется продолжить до 2030 года, поочередно в 6 этапов. На комплекс мер по реконструкции насаждений, посадку новых лесных культур, текущее содержание зеленого пояса запланированы затраты в размере 2,3 млрд. тенге. </w:t>
      </w:r>
    </w:p>
    <w:p w14:paraId="2893E5A8"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 xml:space="preserve">Озеленение территории города имеет положительную динамику. Суммарная площадь зеленых насаждений общего назначения за последние 4 года выросла почти на 35% </w:t>
      </w:r>
      <w:r w:rsidRPr="00F0736F">
        <w:rPr>
          <w:rFonts w:ascii="Times New Roman" w:eastAsia="Times New Roman" w:hAnsi="Times New Roman" w:cs="Times New Roman"/>
          <w:iCs/>
          <w:color w:val="000000" w:themeColor="text1"/>
          <w:lang w:eastAsia="ru-RU"/>
        </w:rPr>
        <w:t>(с 12853 тыс. кв. м. в 2015 году до 17347 тыс. кв. м. в 2018 году)</w:t>
      </w:r>
      <w:r w:rsidRPr="00F0736F">
        <w:rPr>
          <w:rFonts w:ascii="Times New Roman" w:eastAsia="Times New Roman" w:hAnsi="Times New Roman" w:cs="Times New Roman"/>
          <w:color w:val="000000" w:themeColor="text1"/>
          <w:lang w:eastAsia="ru-RU"/>
        </w:rPr>
        <w:t xml:space="preserve">, однако соответствующий показатель на душу населения увеличился лишь на 1 квадратный метр </w:t>
      </w:r>
      <w:r w:rsidRPr="00F0736F">
        <w:rPr>
          <w:rFonts w:ascii="Times New Roman" w:eastAsia="Times New Roman" w:hAnsi="Times New Roman" w:cs="Times New Roman"/>
          <w:iCs/>
          <w:color w:val="000000" w:themeColor="text1"/>
          <w:lang w:eastAsia="ru-RU"/>
        </w:rPr>
        <w:t>(с 15 до 16).</w:t>
      </w:r>
      <w:r w:rsidRPr="00F0736F">
        <w:rPr>
          <w:rFonts w:ascii="Times New Roman" w:eastAsia="Times New Roman" w:hAnsi="Times New Roman" w:cs="Times New Roman"/>
          <w:i/>
          <w:iCs/>
          <w:color w:val="000000" w:themeColor="text1"/>
          <w:lang w:eastAsia="ru-RU"/>
        </w:rPr>
        <w:t xml:space="preserve"> </w:t>
      </w:r>
      <w:r w:rsidRPr="00F0736F">
        <w:rPr>
          <w:rFonts w:ascii="Times New Roman" w:eastAsia="Times New Roman" w:hAnsi="Times New Roman" w:cs="Times New Roman"/>
          <w:color w:val="000000" w:themeColor="text1"/>
          <w:lang w:eastAsia="ru-RU"/>
        </w:rPr>
        <w:t>Затраты на озеленение в 2017 году составили 5,34 млрд. тенге. Более половины расходов бюджета направлены на уход за газоном и посадку однолетних цветников: 26% и 25% бюджета соответственно. На посадку деревьев, кустарников и живой изгороди затрачено лишь 14%.</w:t>
      </w:r>
    </w:p>
    <w:p w14:paraId="4CDE2A62"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Туризм.</w:t>
      </w:r>
      <w:r w:rsidRPr="00F0736F">
        <w:rPr>
          <w:rFonts w:ascii="Times New Roman" w:hAnsi="Times New Roman" w:cs="Times New Roman"/>
          <w:color w:val="000000" w:themeColor="text1"/>
        </w:rPr>
        <w:t xml:space="preserve"> Астана (ныне Нур-Султан) уже зарекомендовала себя как центр деловых или MICE мероприятий (от англ. Meetings, Incentives, Conferences, Exhibitions — область индустрии делового туризма, связанная с организацией и проведением различных корпоративных мероприятий) на евразийском пространстве, в частности, получив в недавнем времени награды от ведущего  мирового издания в сфере бизнес-путешествий «BusinessTraveller» как «Лучший город делового и событийного туризма России стран СНГ» и как «Лучшая дестинация года для делового туризма».</w:t>
      </w:r>
    </w:p>
    <w:p w14:paraId="020CCEF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году проведено порядка 40 крупных деловых международных мероприятий, из них: «Неделя коммерческой недвижимости CREW-2018», Национальный кубок студенческого предпринимательства и стартапов ENACTUS Kazakhstan EXPO-2018, Международный конвент ритейлеров «Мир торговли», 25-й Всемирный горный конгресс, 15-й Облигационный конгресс стран СНГ и Балтии C-bonds и другие.</w:t>
      </w:r>
    </w:p>
    <w:p w14:paraId="406C99A5" w14:textId="77777777" w:rsidR="00AC1D5B" w:rsidRPr="00F0736F" w:rsidRDefault="00AC1D5B" w:rsidP="00AC1D5B">
      <w:pPr>
        <w:tabs>
          <w:tab w:val="left" w:pos="1134"/>
        </w:tabs>
        <w:ind w:firstLine="709"/>
        <w:jc w:val="both"/>
        <w:rPr>
          <w:color w:val="000000" w:themeColor="text1"/>
        </w:rPr>
      </w:pPr>
      <w:r w:rsidRPr="00F0736F">
        <w:rPr>
          <w:rFonts w:ascii="Times New Roman" w:hAnsi="Times New Roman" w:cs="Times New Roman"/>
          <w:color w:val="000000" w:themeColor="text1"/>
        </w:rPr>
        <w:t xml:space="preserve">В 2019 году проведено более 600 мероприятий различного формата и масштаба, из них 180 - международного уровня. </w:t>
      </w:r>
      <w:r w:rsidRPr="00F0736F">
        <w:rPr>
          <w:rFonts w:ascii="Times New Roman" w:hAnsi="Times New Roman" w:cs="Times New Roman"/>
          <w:color w:val="000000" w:themeColor="text1"/>
          <w:lang w:eastAsia="ru-RU"/>
        </w:rPr>
        <w:t xml:space="preserve">Были проведены: выставка отечественных производителей «ULTTYQ ÓNIM», Астанинский экономический форум 2019, I форум писателей стран Азии, VII Форум машиностроителей Казахстана, 14-я конференция Международной ассоциации по судебному администрированию (МАСА), Глобальный Инновационный Саммит 2019, Международный туристская выставка PATA Travel Mart 2019, IV совещание спикеров парламентов стран Евразии, XII Евразийский форум KAZENERGY, </w:t>
      </w:r>
      <w:r w:rsidRPr="00F0736F">
        <w:rPr>
          <w:rFonts w:ascii="Times New Roman" w:hAnsi="Times New Roman" w:cs="Times New Roman"/>
          <w:color w:val="000000" w:themeColor="text1"/>
        </w:rPr>
        <w:t>Форум Digital Bridge 2019, Seedstars Summit CEE 2019 и др.</w:t>
      </w:r>
    </w:p>
    <w:p w14:paraId="214F267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Нур-Султан является единственным членом в стране в Международной ассоциации конгрессов и конференций (ICCA – International Congress and Convention Association), что открывает возможности участия в конкурсах заявок на проведение крупных международных мероприятии (биддинг).</w:t>
      </w:r>
    </w:p>
    <w:p w14:paraId="74834D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Также Нур-Султан получил аффилированность Всемирной туристской организации ООН (UNWTO – United Nations World Tourism Organization), что открывает доступ к результатам проводимых исследований UNWTO, возможность принимать в них участие и обмениваться опытом.</w:t>
      </w:r>
    </w:p>
    <w:p w14:paraId="6C3ADF9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Одним из последних успехов в области делового туризма для Нур-Султана является выбор столицы как места проведения 8-го всемирного саммита UNWTO по городскому туризму (ранее форум проходил в городах: Стамбул, Москва, Барселона, Марракеш, Люксор, Куала-Лумпур, Сеул).</w:t>
      </w:r>
    </w:p>
    <w:p w14:paraId="29A08DB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Медицинский туризм сравнительно новый вид туризма, к тому же обладающий довольно большим спектром специфических характеристик. Нур-Султан на сегодняшний день вправе считаться одной из наиболее перспективных дестинаций в части развития медицинского туризма среди стран Центральной Азии. Из 7 организаций в Казахстане, аккредитованных JCI (Joint Commission International – это престижная международная сертификация в области здравоохранения), 6 находятся в Нур-Султане (НЦМиД, НЦДР, РДЦ, НЦ нейрохирургии, НЦ кардиохирургии, МЦ УДП).</w:t>
      </w:r>
    </w:p>
    <w:p w14:paraId="0F6A0BBD" w14:textId="77777777" w:rsidR="00AC1D5B" w:rsidRPr="00F0736F" w:rsidRDefault="00AC1D5B" w:rsidP="00AC1D5B">
      <w:pPr>
        <w:ind w:firstLine="709"/>
        <w:jc w:val="both"/>
        <w:rPr>
          <w:rFonts w:ascii="Times New Roman" w:hAnsi="Times New Roman" w:cs="Times New Roman"/>
          <w:color w:val="000000" w:themeColor="text1"/>
        </w:rPr>
      </w:pPr>
    </w:p>
    <w:p w14:paraId="72510C1A" w14:textId="77777777" w:rsidR="00AC1D5B" w:rsidRPr="00F0736F" w:rsidRDefault="00AC1D5B" w:rsidP="00AC1D5B">
      <w:pPr>
        <w:ind w:firstLine="709"/>
        <w:jc w:val="both"/>
        <w:rPr>
          <w:rFonts w:ascii="Times New Roman" w:hAnsi="Times New Roman" w:cs="Times New Roman"/>
          <w:color w:val="000000" w:themeColor="text1"/>
        </w:rPr>
      </w:pPr>
    </w:p>
    <w:p w14:paraId="2A4A355C" w14:textId="77777777" w:rsidR="00AC1D5B" w:rsidRPr="00F0736F" w:rsidRDefault="00AC1D5B" w:rsidP="00AC1D5B">
      <w:pPr>
        <w:ind w:firstLine="709"/>
        <w:jc w:val="both"/>
        <w:rPr>
          <w:rFonts w:ascii="Times New Roman" w:hAnsi="Times New Roman" w:cs="Times New Roman"/>
          <w:color w:val="000000" w:themeColor="text1"/>
        </w:rPr>
      </w:pPr>
    </w:p>
    <w:p w14:paraId="7BEDE442"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61" w:name="_Toc57818750"/>
      <w:r w:rsidRPr="007272FB">
        <w:rPr>
          <w:rFonts w:ascii="Times New Roman" w:eastAsia="Times New Roman" w:hAnsi="Times New Roman" w:cs="Times New Roman"/>
          <w:color w:val="000000" w:themeColor="text1"/>
          <w:sz w:val="24"/>
          <w:szCs w:val="24"/>
        </w:rPr>
        <w:t>2.16. Город Алматы</w:t>
      </w:r>
      <w:bookmarkEnd w:id="61"/>
    </w:p>
    <w:p w14:paraId="705AB002" w14:textId="77777777" w:rsidR="00AC1D5B" w:rsidRPr="00F0736F" w:rsidRDefault="00AC1D5B" w:rsidP="00AC1D5B">
      <w:pPr>
        <w:ind w:firstLine="709"/>
        <w:jc w:val="both"/>
        <w:rPr>
          <w:rFonts w:ascii="Times New Roman" w:hAnsi="Times New Roman" w:cs="Times New Roman"/>
          <w:b/>
          <w:bCs/>
          <w:i/>
          <w:iCs/>
          <w:color w:val="000000" w:themeColor="text1"/>
        </w:rPr>
      </w:pPr>
    </w:p>
    <w:p w14:paraId="621F3CA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 xml:space="preserve">Территория, население и ВРП города. Диверсификация экономики. </w:t>
      </w:r>
    </w:p>
    <w:p w14:paraId="6365C8B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Численность населения на начало 2018 года составляла 1882,0 тыс. человек, на начало 2019 года – 1854,7 тыс. человек, а на начало 2020 года - 1909,5 тыс. чел. </w:t>
      </w:r>
    </w:p>
    <w:p w14:paraId="52D2520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eastAsia="ru-RU"/>
        </w:rPr>
        <w:t>По данным Комитета по статистике, Алматы занимает 1 место в стране по объему ВРП и является центром развития малого и среднего бизнеса. ВРП в 2017 году составил 11 893,2 млрд. тенге, а на душу населения города - 6694,2 тыс. тенге, в 2018, соответственно, – 12 132,7 млрд. тенге и 6636,1 тыс. тенге, в 2019 году — 14 429,1 млрд. тенге и 7651,8 тыс. тенге.</w:t>
      </w:r>
    </w:p>
    <w:p w14:paraId="69A2855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2017 году удельный вес города в ВВП республики составил 21,9%. Среднегодовой темп номинального роста ВРП города в 2015 - 2017 гг. составил 12,4%. Торговля и услуги являются основными факторами, определяющими развитие экономики</w:t>
      </w:r>
      <w:r w:rsidRPr="00F0736F">
        <w:rPr>
          <w:rFonts w:ascii="Times New Roman" w:hAnsi="Times New Roman" w:cs="Times New Roman"/>
          <w:color w:val="000000" w:themeColor="text1"/>
          <w:vertAlign w:val="superscript"/>
        </w:rPr>
        <w:footnoteReference w:id="163"/>
      </w:r>
      <w:r w:rsidRPr="00F0736F">
        <w:rPr>
          <w:rFonts w:ascii="Times New Roman" w:hAnsi="Times New Roman" w:cs="Times New Roman"/>
          <w:color w:val="000000" w:themeColor="text1"/>
        </w:rPr>
        <w:t>.</w:t>
      </w:r>
    </w:p>
    <w:p w14:paraId="1AE1C1B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Производительность труда в сфере услуг Алматы достигает </w:t>
      </w:r>
      <w:r w:rsidRPr="00F0736F">
        <w:rPr>
          <w:rFonts w:ascii="Times New Roman" w:hAnsi="Times New Roman" w:cs="Times New Roman"/>
          <w:color w:val="000000" w:themeColor="text1"/>
          <w:lang w:val="kk-KZ"/>
        </w:rPr>
        <w:t>35</w:t>
      </w:r>
      <w:r w:rsidRPr="00F0736F">
        <w:rPr>
          <w:rFonts w:ascii="Times New Roman" w:hAnsi="Times New Roman" w:cs="Times New Roman"/>
          <w:color w:val="000000" w:themeColor="text1"/>
        </w:rPr>
        <w:t xml:space="preserve"> тыс. долл. США на занятого человека, опережая Москву на 15%, но отставая от Варшавы на 42%.</w:t>
      </w:r>
    </w:p>
    <w:p w14:paraId="61D1F11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2017 году </w:t>
      </w:r>
      <w:r w:rsidRPr="00F0736F">
        <w:rPr>
          <w:rFonts w:ascii="Times New Roman" w:hAnsi="Times New Roman" w:cs="Times New Roman"/>
          <w:b/>
          <w:color w:val="000000" w:themeColor="text1"/>
        </w:rPr>
        <w:t>промышленность</w:t>
      </w:r>
      <w:r w:rsidRPr="00F0736F">
        <w:rPr>
          <w:rFonts w:ascii="Times New Roman" w:hAnsi="Times New Roman" w:cs="Times New Roman"/>
          <w:color w:val="000000" w:themeColor="text1"/>
        </w:rPr>
        <w:t xml:space="preserve"> города Алматы была представлена 1520 предприятиями, из которых 8,3% относятся к категории крупных и средних. Они составляют основу индустрии города, производя 76,4% объема промышленной продукции. Объем промышленного производства, по данным Комитета по статистике, в 2017 г</w:t>
      </w:r>
      <w:r w:rsidRPr="00F0736F">
        <w:rPr>
          <w:rFonts w:ascii="Times New Roman" w:hAnsi="Times New Roman" w:cs="Times New Roman"/>
          <w:color w:val="000000" w:themeColor="text1"/>
          <w:lang w:val="kk-KZ"/>
        </w:rPr>
        <w:t>оду</w:t>
      </w:r>
      <w:r w:rsidRPr="00F0736F">
        <w:rPr>
          <w:rFonts w:ascii="Times New Roman" w:hAnsi="Times New Roman" w:cs="Times New Roman"/>
          <w:color w:val="000000" w:themeColor="text1"/>
        </w:rPr>
        <w:t xml:space="preserve"> достиг 902,5 млрд. тенге, увеличившись с 663 млрд. тенге в 2015 году</w:t>
      </w:r>
      <w:r w:rsidRPr="00F0736F">
        <w:rPr>
          <w:rFonts w:ascii="Times New Roman" w:hAnsi="Times New Roman" w:cs="Times New Roman"/>
          <w:color w:val="000000" w:themeColor="text1"/>
          <w:lang w:val="kk-KZ"/>
        </w:rPr>
        <w:t xml:space="preserve">, в 2018 году – 917,9 млрд. </w:t>
      </w:r>
      <w:r w:rsidRPr="00F0736F">
        <w:rPr>
          <w:rFonts w:ascii="Times New Roman" w:hAnsi="Times New Roman" w:cs="Times New Roman"/>
          <w:color w:val="000000" w:themeColor="text1"/>
        </w:rPr>
        <w:t>т</w:t>
      </w:r>
      <w:r w:rsidRPr="00F0736F">
        <w:rPr>
          <w:rFonts w:ascii="Times New Roman" w:hAnsi="Times New Roman" w:cs="Times New Roman"/>
          <w:color w:val="000000" w:themeColor="text1"/>
          <w:lang w:val="kk-KZ"/>
        </w:rPr>
        <w:t xml:space="preserve">енге, </w:t>
      </w:r>
      <w:r w:rsidRPr="00F0736F">
        <w:rPr>
          <w:rFonts w:ascii="Times New Roman" w:hAnsi="Times New Roman" w:cs="Times New Roman"/>
          <w:color w:val="000000" w:themeColor="text1"/>
        </w:rPr>
        <w:t>в 2019 году — 957,1 млрд. тенге</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w:t>
      </w:r>
    </w:p>
    <w:p w14:paraId="4E1A9DC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За период 2015 - 2017 гг. также наблюдался рост объема продукции </w:t>
      </w:r>
      <w:r w:rsidRPr="00F0736F">
        <w:rPr>
          <w:rFonts w:ascii="Times New Roman" w:hAnsi="Times New Roman" w:cs="Times New Roman"/>
          <w:b/>
          <w:bCs/>
          <w:color w:val="000000" w:themeColor="text1"/>
        </w:rPr>
        <w:t>обрабатывающей промышленности</w:t>
      </w:r>
      <w:r w:rsidRPr="00F0736F">
        <w:rPr>
          <w:rFonts w:ascii="Times New Roman" w:hAnsi="Times New Roman" w:cs="Times New Roman"/>
          <w:color w:val="000000" w:themeColor="text1"/>
        </w:rPr>
        <w:t xml:space="preserve"> с 504,5 млрд. тенге до 691,9 млрд. тенге, до 695,9 млрд. тенге в 2018 году и до 758,5 млрд. тенге в 2019 году. По результатам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года город обеспечил достижение показателя по производительности в обрабатывающей промышленности в 23,8 тыс. долл. США.</w:t>
      </w:r>
    </w:p>
    <w:p w14:paraId="6E23AB6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6972FBD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Электроэнергетика. </w:t>
      </w:r>
      <w:r w:rsidRPr="00F0736F">
        <w:rPr>
          <w:rFonts w:ascii="Times New Roman" w:hAnsi="Times New Roman" w:cs="Times New Roman"/>
          <w:color w:val="000000" w:themeColor="text1"/>
        </w:rPr>
        <w:t>Рынок электроэнергии по городу Алматы формируется из поставок электрической энергии от энергоисточников АО «АлЭС» и за счет покупки электроэнергии от Мойнакской ГЭС, Жамбылской ГРЭС и ГРЭС Павлодар-Экибастузкого энергоузла (порядка 40%). В 2017 году уровень обеспеченности услугами централизованного электроснабжения города составляет 100%. Структура потребления электрической энергии показывает, что основная доля потребления приходится на промышленные предприятия – 33%, население – 29%, прочие – 25%, бюджетные организации – 13%.</w:t>
      </w:r>
    </w:p>
    <w:p w14:paraId="7B3418C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Существующая система электроснабжения характеризуется высоким уровнем износа и потерь. В республиканской структуре показатель износа электросетей в Алматы является одним из самых высоких, уступая лишь Алматинской и Павлодарской областям. </w:t>
      </w:r>
    </w:p>
    <w:p w14:paraId="18A79AE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Доля капитально ремонтированных сетей значительно увеличилась за 2015 - 2017 годы. Было реконструировано порядка 512,79 км электрических сетей (5,7%). Это привело к значительному снижению уровня потерь электросетей (с 14,3% в 2015 году до 13,4% в 2016 году и 11,24% в 2017 году), несмотря на высокий износ инфраструктуры (66,6 - 67% в 2015 - 2016 гг. и 66% в 2017 году).</w:t>
      </w:r>
    </w:p>
    <w:p w14:paraId="70EE7FA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Анализ технического состояния технологического оборудования показал, что оборудование ТЭЦ-1 и ТЭЦ-3 близко к выработке паркового ресурса и нуждается в модернизации, вместе с тем максимально принимаются все меры по поддержанию технического состояния:</w:t>
      </w:r>
    </w:p>
    <w:p w14:paraId="08A3636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все 6 котлов и 2 из 3-х турбин ТЭЦ-1, введенных в эксплуатацию в 1960 - 1972 гг., наработали свыше 275 тыс. часов;</w:t>
      </w:r>
    </w:p>
    <w:p w14:paraId="7F28986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- 3 из 6 турбин ТЭЦ-2, введенных в эксплуатацию в 1980 - 82 гг. также наработали свыше 200 тыс. часов;</w:t>
      </w:r>
    </w:p>
    <w:p w14:paraId="536C175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 xml:space="preserve">- все 6 котлов и все 4 турбины ТЭЦ-3 были введены в эксплуатацию в 1962 - </w:t>
      </w:r>
      <w:r w:rsidRPr="00F0736F">
        <w:rPr>
          <w:rFonts w:ascii="Times New Roman" w:eastAsia="Calibri" w:hAnsi="Times New Roman" w:cs="Times New Roman"/>
          <w:color w:val="000000" w:themeColor="text1"/>
          <w:lang w:val="kk-KZ" w:eastAsia="en-US"/>
        </w:rPr>
        <w:t>19</w:t>
      </w:r>
      <w:r w:rsidRPr="00F0736F">
        <w:rPr>
          <w:rFonts w:ascii="Times New Roman" w:eastAsia="Calibri" w:hAnsi="Times New Roman" w:cs="Times New Roman"/>
          <w:color w:val="000000" w:themeColor="text1"/>
          <w:lang w:eastAsia="en-US"/>
        </w:rPr>
        <w:t>65 гг. и наработали свыше 234 тыс. часов;</w:t>
      </w:r>
    </w:p>
    <w:p w14:paraId="74C82FC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в 2016 году на ТЭЦ-2 введен в работу котлоагрегат №8.</w:t>
      </w:r>
    </w:p>
    <w:p w14:paraId="3EDD066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Также ведется работа по переводу ТЭЦ-2 на газ. </w:t>
      </w:r>
    </w:p>
    <w:p w14:paraId="404CABF6"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В целях снижения выбросов вредных веществ в атмосферу заключен договор на разработку ТЭО «Модернизация ТЭЦ-2 с минимизацией воздействия на окружающую среду», где рассматриваются 4 варианта, в том числе:</w:t>
      </w:r>
    </w:p>
    <w:p w14:paraId="586DDBD3" w14:textId="77777777" w:rsidR="00AC1D5B" w:rsidRPr="00F0736F" w:rsidRDefault="00AC1D5B" w:rsidP="00AC1D5B">
      <w:pPr>
        <w:tabs>
          <w:tab w:val="left" w:pos="0"/>
        </w:tabs>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Перевод действующих котлов на газ – 98 млрд. тенге.</w:t>
      </w:r>
    </w:p>
    <w:p w14:paraId="0997173B" w14:textId="77777777" w:rsidR="00AC1D5B" w:rsidRPr="00F0736F" w:rsidRDefault="00AC1D5B" w:rsidP="00AC1D5B">
      <w:pPr>
        <w:tabs>
          <w:tab w:val="left" w:pos="0"/>
        </w:tabs>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Реконструкция котлов ст. №1-7 с установкой газоочистного оборудования – 159 млрд. тенге.</w:t>
      </w:r>
    </w:p>
    <w:p w14:paraId="0462E34A" w14:textId="77777777" w:rsidR="00AC1D5B" w:rsidRPr="00F0736F" w:rsidRDefault="00AC1D5B" w:rsidP="00AC1D5B">
      <w:pPr>
        <w:tabs>
          <w:tab w:val="left" w:pos="0"/>
        </w:tabs>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Строительство ГТУ для горячего водоснабжения с реконструкцией котлов и установкой ГОУ – 315 млрд. тенге.</w:t>
      </w:r>
    </w:p>
    <w:p w14:paraId="60B651D7" w14:textId="77777777" w:rsidR="00AC1D5B" w:rsidRPr="00F0736F" w:rsidRDefault="00AC1D5B" w:rsidP="00AC1D5B">
      <w:pPr>
        <w:tabs>
          <w:tab w:val="left" w:pos="0"/>
        </w:tabs>
        <w:ind w:firstLine="709"/>
        <w:jc w:val="both"/>
        <w:rPr>
          <w:rFonts w:ascii="Times New Roman" w:hAnsi="Times New Roman" w:cs="Times New Roman"/>
          <w:i/>
          <w:color w:val="000000" w:themeColor="text1"/>
        </w:rPr>
      </w:pPr>
      <w:r w:rsidRPr="00F0736F">
        <w:rPr>
          <w:rFonts w:ascii="Times New Roman" w:hAnsi="Times New Roman" w:cs="Times New Roman"/>
          <w:i/>
          <w:color w:val="000000" w:themeColor="text1"/>
        </w:rPr>
        <w:t>Строительство новой станции на базе ГТУ – 274 млрд. тенге.</w:t>
      </w:r>
    </w:p>
    <w:p w14:paraId="4D6E9BA4"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Завершение разработки ТЭО – 31.12.2020г.</w:t>
      </w:r>
    </w:p>
    <w:p w14:paraId="2755CA0E"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После завершения разработки ТЭО будет определен вариант по переводу ТЭЦ-2 на газ и последующей разработки ПСД до 2022 года.</w:t>
      </w:r>
    </w:p>
    <w:p w14:paraId="21354F02"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val="kk-KZ" w:eastAsia="en-US" w:bidi="ar-SA"/>
        </w:rPr>
        <w:t>В связи с экологической ситуацией в городе Алматы акимат города Алматы поддерживает вариант перевода ТЭЦ-2 полностью на газ.</w:t>
      </w:r>
    </w:p>
    <w:p w14:paraId="1524C3F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Теплоснабжение. </w:t>
      </w:r>
      <w:r w:rsidRPr="00F0736F">
        <w:rPr>
          <w:rFonts w:ascii="Times New Roman" w:hAnsi="Times New Roman" w:cs="Times New Roman"/>
          <w:color w:val="000000" w:themeColor="text1"/>
        </w:rPr>
        <w:t xml:space="preserve">Система теплоснабжения г. Алматы является одной из самых сложных систем инженерной инфраструктуры города. Основным источником производства тепла в городе остается уголь. Так, доля угля на ТЭЦ-2 и ТЭЦ-3 – 99,4%. </w:t>
      </w:r>
      <w:r w:rsidRPr="00F0736F">
        <w:rPr>
          <w:rFonts w:ascii="Times New Roman" w:hAnsi="Times New Roman" w:cs="Times New Roman"/>
          <w:color w:val="000000" w:themeColor="text1"/>
          <w:spacing w:val="-2"/>
        </w:rPr>
        <w:t>С 2017 года ТЭЦ-1 полностью переведена на сжигание природного газа и мазута.</w:t>
      </w:r>
      <w:r w:rsidRPr="00F0736F">
        <w:rPr>
          <w:rFonts w:ascii="Times New Roman" w:hAnsi="Times New Roman" w:cs="Times New Roman"/>
          <w:color w:val="000000" w:themeColor="text1"/>
        </w:rPr>
        <w:t xml:space="preserve"> В общем, по данным на 2017 год производство тепла на твердом и жидком топливе составляет 70%.</w:t>
      </w:r>
    </w:p>
    <w:p w14:paraId="3E7F8698"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Всего в городе Алматы 149 котельных, из них 83 обслуживает ТОО «Алматытеплокоммунэнерго» </w:t>
      </w:r>
      <w:r w:rsidRPr="00F0736F">
        <w:rPr>
          <w:rFonts w:ascii="Times New Roman" w:eastAsia="Calibri" w:hAnsi="Times New Roman" w:cs="Times New Roman"/>
          <w:i/>
          <w:color w:val="000000" w:themeColor="text1"/>
          <w:kern w:val="0"/>
          <w:lang w:eastAsia="en-US" w:bidi="ar-SA"/>
        </w:rPr>
        <w:t xml:space="preserve">(из 83 котельных, 9 крупных, 74 малых районных. На 80 котельных основным топливом является газ, 1 котельная (Шелехова) на угле, 1 (Санаторий «Алатау») на мазуте, 1 на электричестве («Медео»)) </w:t>
      </w:r>
      <w:r w:rsidRPr="00F0736F">
        <w:rPr>
          <w:rFonts w:ascii="Times New Roman" w:eastAsia="Calibri" w:hAnsi="Times New Roman" w:cs="Times New Roman"/>
          <w:color w:val="000000" w:themeColor="text1"/>
          <w:kern w:val="0"/>
          <w:lang w:eastAsia="en-US" w:bidi="ar-SA"/>
        </w:rPr>
        <w:t>и 66 - автономные котельные на объектах образования (</w:t>
      </w:r>
      <w:r w:rsidRPr="00F0736F">
        <w:rPr>
          <w:rFonts w:ascii="Times New Roman" w:eastAsia="Calibri" w:hAnsi="Times New Roman" w:cs="Times New Roman"/>
          <w:i/>
          <w:color w:val="000000" w:themeColor="text1"/>
          <w:kern w:val="0"/>
          <w:lang w:eastAsia="en-US" w:bidi="ar-SA"/>
        </w:rPr>
        <w:t xml:space="preserve">50 ед. – 1 на угле, 14 на диз. топливе, 35 на газе) </w:t>
      </w:r>
      <w:r w:rsidRPr="00F0736F">
        <w:rPr>
          <w:rFonts w:ascii="Times New Roman" w:eastAsia="Calibri" w:hAnsi="Times New Roman" w:cs="Times New Roman"/>
          <w:color w:val="000000" w:themeColor="text1"/>
          <w:kern w:val="0"/>
          <w:lang w:eastAsia="en-US" w:bidi="ar-SA"/>
        </w:rPr>
        <w:t>и здравоохранения</w:t>
      </w:r>
      <w:r w:rsidRPr="00F0736F">
        <w:rPr>
          <w:rFonts w:ascii="Times New Roman" w:eastAsia="Calibri" w:hAnsi="Times New Roman" w:cs="Times New Roman"/>
          <w:color w:val="000000" w:themeColor="text1"/>
          <w:kern w:val="0"/>
          <w:lang w:val="kk-KZ" w:eastAsia="en-US" w:bidi="ar-SA"/>
        </w:rPr>
        <w:t xml:space="preserve"> </w:t>
      </w:r>
      <w:r w:rsidRPr="00F0736F">
        <w:rPr>
          <w:rFonts w:ascii="Times New Roman" w:eastAsia="Calibri" w:hAnsi="Times New Roman" w:cs="Times New Roman"/>
          <w:i/>
          <w:color w:val="000000" w:themeColor="text1"/>
          <w:kern w:val="0"/>
          <w:lang w:eastAsia="en-US" w:bidi="ar-SA"/>
        </w:rPr>
        <w:t>(16 ед.</w:t>
      </w:r>
      <w:r w:rsidRPr="00F0736F">
        <w:rPr>
          <w:rFonts w:ascii="Times New Roman" w:eastAsia="Calibri" w:hAnsi="Times New Roman" w:cs="Times New Roman"/>
          <w:color w:val="000000" w:themeColor="text1"/>
          <w:kern w:val="0"/>
          <w:lang w:eastAsia="en-US" w:bidi="ar-SA"/>
        </w:rPr>
        <w:t xml:space="preserve"> – </w:t>
      </w:r>
      <w:r w:rsidRPr="00F0736F">
        <w:rPr>
          <w:rFonts w:ascii="Times New Roman" w:eastAsia="Calibri" w:hAnsi="Times New Roman" w:cs="Times New Roman"/>
          <w:i/>
          <w:color w:val="000000" w:themeColor="text1"/>
          <w:kern w:val="0"/>
          <w:lang w:eastAsia="en-US" w:bidi="ar-SA"/>
        </w:rPr>
        <w:t>2 на диз. топливе, 14 на газе)</w:t>
      </w:r>
      <w:r w:rsidRPr="00F0736F">
        <w:rPr>
          <w:rFonts w:ascii="Times New Roman" w:eastAsia="Calibri" w:hAnsi="Times New Roman" w:cs="Times New Roman"/>
          <w:color w:val="000000" w:themeColor="text1"/>
          <w:kern w:val="0"/>
          <w:lang w:eastAsia="en-US" w:bidi="ar-SA"/>
        </w:rPr>
        <w:t>.</w:t>
      </w:r>
    </w:p>
    <w:p w14:paraId="3D5B4C3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Планомерно проводится перевод всех котельных города на газовое отопление.</w:t>
      </w:r>
    </w:p>
    <w:p w14:paraId="7287890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2017 году общая протяженность тепловых сетей по городу Алматы составляла 1192,7 км. За период с 2015 по 2017 годы реконструировано порядка 51,36 км тепловых сетей.</w:t>
      </w:r>
    </w:p>
    <w:p w14:paraId="54A0FACE"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b/>
          <w:color w:val="000000" w:themeColor="text1"/>
          <w:kern w:val="24"/>
          <w:lang w:eastAsia="en-US" w:bidi="ar-SA"/>
        </w:rPr>
      </w:pPr>
      <w:r w:rsidRPr="00F0736F">
        <w:rPr>
          <w:rFonts w:ascii="Times New Roman" w:eastAsia="Calibri" w:hAnsi="Times New Roman" w:cs="Times New Roman"/>
          <w:color w:val="000000" w:themeColor="text1"/>
          <w:kern w:val="0"/>
          <w:lang w:eastAsia="en-US" w:bidi="ar-SA"/>
        </w:rPr>
        <w:t xml:space="preserve">На сегодняшний день протяженность тепловых сетей составляет 1241,4 км, из них магистральные тепловые сети – 282,43 км, распределительные – 958,96 км. Со сроком более 25 лет </w:t>
      </w:r>
      <w:r w:rsidRPr="00F0736F">
        <w:rPr>
          <w:rFonts w:ascii="Times New Roman" w:eastAsia="Calibri" w:hAnsi="Times New Roman" w:cs="Times New Roman"/>
          <w:i/>
          <w:color w:val="000000" w:themeColor="text1"/>
          <w:kern w:val="0"/>
          <w:lang w:eastAsia="en-US" w:bidi="ar-SA"/>
        </w:rPr>
        <w:t>(нормативный срок эксплуатации)</w:t>
      </w:r>
      <w:r w:rsidRPr="00F0736F">
        <w:rPr>
          <w:rFonts w:ascii="Times New Roman" w:eastAsia="Calibri" w:hAnsi="Times New Roman" w:cs="Times New Roman"/>
          <w:i/>
          <w:color w:val="000000" w:themeColor="text1"/>
          <w:kern w:val="0"/>
          <w:lang w:val="kk-KZ" w:eastAsia="en-US" w:bidi="ar-SA"/>
        </w:rPr>
        <w:t xml:space="preserve"> </w:t>
      </w:r>
      <w:r w:rsidRPr="00F0736F">
        <w:rPr>
          <w:rFonts w:ascii="Times New Roman" w:eastAsia="Calibri" w:hAnsi="Times New Roman" w:cs="Times New Roman"/>
          <w:color w:val="000000" w:themeColor="text1"/>
          <w:kern w:val="0"/>
          <w:lang w:eastAsia="en-US" w:bidi="ar-SA"/>
        </w:rPr>
        <w:t>составляет</w:t>
      </w:r>
      <w:r w:rsidRPr="00F0736F">
        <w:rPr>
          <w:rFonts w:ascii="Times New Roman" w:eastAsia="Calibri" w:hAnsi="Times New Roman" w:cs="Times New Roman"/>
          <w:color w:val="000000" w:themeColor="text1"/>
          <w:kern w:val="0"/>
          <w:lang w:val="kk-KZ" w:eastAsia="en-US" w:bidi="ar-SA"/>
        </w:rPr>
        <w:t xml:space="preserve"> </w:t>
      </w:r>
      <w:r w:rsidRPr="00F0736F">
        <w:rPr>
          <w:rFonts w:ascii="Times New Roman" w:eastAsia="Calibri" w:hAnsi="Times New Roman" w:cs="Times New Roman"/>
          <w:color w:val="000000" w:themeColor="text1"/>
          <w:kern w:val="0"/>
          <w:lang w:eastAsia="en-US" w:bidi="ar-SA"/>
        </w:rPr>
        <w:t xml:space="preserve">758 км или 61,1%. В 2019 году выполнена реконструкция и ремонт тепловых сетей протяженностью </w:t>
      </w:r>
      <w:r w:rsidRPr="00F0736F">
        <w:rPr>
          <w:rFonts w:ascii="Times New Roman" w:eastAsia="Calibri" w:hAnsi="Times New Roman" w:cs="Times New Roman"/>
          <w:color w:val="000000" w:themeColor="text1"/>
          <w:kern w:val="0"/>
          <w:lang w:val="kk-KZ" w:eastAsia="en-US" w:bidi="ar-SA"/>
        </w:rPr>
        <w:t>20,6</w:t>
      </w:r>
      <w:r w:rsidRPr="00F0736F">
        <w:rPr>
          <w:rFonts w:ascii="Times New Roman" w:eastAsia="Calibri" w:hAnsi="Times New Roman" w:cs="Times New Roman"/>
          <w:color w:val="000000" w:themeColor="text1"/>
          <w:kern w:val="0"/>
          <w:lang w:eastAsia="en-US" w:bidi="ar-SA"/>
        </w:rPr>
        <w:t xml:space="preserve"> км по</w:t>
      </w:r>
      <w:r w:rsidRPr="00F0736F">
        <w:rPr>
          <w:rFonts w:ascii="Times New Roman" w:eastAsia="Calibri" w:hAnsi="Times New Roman" w:cs="Times New Roman"/>
          <w:color w:val="000000" w:themeColor="text1"/>
          <w:kern w:val="0"/>
          <w:lang w:val="kk-KZ" w:eastAsia="en-US" w:bidi="ar-SA"/>
        </w:rPr>
        <w:t xml:space="preserve"> </w:t>
      </w:r>
      <w:r w:rsidRPr="00F0736F">
        <w:rPr>
          <w:rFonts w:ascii="Times New Roman" w:eastAsia="Calibri" w:hAnsi="Times New Roman" w:cs="Times New Roman"/>
          <w:color w:val="000000" w:themeColor="text1"/>
          <w:kern w:val="0"/>
          <w:lang w:eastAsia="en-US" w:bidi="ar-SA"/>
        </w:rPr>
        <w:t>5</w:t>
      </w:r>
      <w:r w:rsidRPr="00F0736F">
        <w:rPr>
          <w:rFonts w:ascii="Times New Roman" w:eastAsia="Calibri" w:hAnsi="Times New Roman" w:cs="Times New Roman"/>
          <w:color w:val="000000" w:themeColor="text1"/>
          <w:kern w:val="0"/>
          <w:lang w:val="kk-KZ" w:eastAsia="en-US" w:bidi="ar-SA"/>
        </w:rPr>
        <w:t xml:space="preserve"> </w:t>
      </w:r>
      <w:r w:rsidRPr="00F0736F">
        <w:rPr>
          <w:rFonts w:ascii="Times New Roman" w:eastAsia="Calibri" w:hAnsi="Times New Roman" w:cs="Times New Roman"/>
          <w:color w:val="000000" w:themeColor="text1"/>
          <w:kern w:val="0"/>
          <w:lang w:eastAsia="en-US" w:bidi="ar-SA"/>
        </w:rPr>
        <w:t>объектам</w:t>
      </w:r>
      <w:r w:rsidRPr="00F0736F">
        <w:rPr>
          <w:rFonts w:ascii="Times New Roman" w:eastAsia="Calibri" w:hAnsi="Times New Roman" w:cs="Times New Roman"/>
          <w:color w:val="000000" w:themeColor="text1"/>
          <w:kern w:val="24"/>
          <w:lang w:eastAsia="en-US" w:bidi="ar-SA"/>
        </w:rPr>
        <w:t>.</w:t>
      </w:r>
    </w:p>
    <w:p w14:paraId="3EC2974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Доля капитально отремонтированных сетей находится на низком уровне, что ведет к увеличению износа теплосетей. Для поддержания допустимого уровня износа тепловых сетей необходимо осуществлять перекладку магистральных тепловых сетей протяженностью не менее 14 км в год, распределительных тепловых сетей протяженностью не менее 23 км в год, отдавая приоритет магистральным сетям.</w:t>
      </w:r>
    </w:p>
    <w:p w14:paraId="4A31CAC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Снижается количество аварий и потерь на теплосетях. Если в 2015 году было зарегистрировано порядка 2070 случаев повреждений на тепловых сетях, то в 2017 году - 1937. В 2019 году аварий не было. Потери в тепловых сетях составляли 22,01% в 2017 году и 16,9% в 2019 году.</w:t>
      </w:r>
    </w:p>
    <w:p w14:paraId="733DA556" w14:textId="77777777" w:rsidR="00AC1D5B" w:rsidRPr="00F0736F" w:rsidRDefault="00AC1D5B" w:rsidP="00AC1D5B">
      <w:pPr>
        <w:tabs>
          <w:tab w:val="left" w:pos="0"/>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b/>
          <w:color w:val="000000" w:themeColor="text1"/>
          <w:kern w:val="0"/>
          <w:lang w:eastAsia="en-US" w:bidi="ar-SA"/>
        </w:rPr>
        <w:t xml:space="preserve">Газоснабжение. </w:t>
      </w:r>
      <w:r w:rsidRPr="00F0736F">
        <w:rPr>
          <w:rFonts w:ascii="Times New Roman" w:eastAsia="Calibri" w:hAnsi="Times New Roman" w:cs="Times New Roman"/>
          <w:color w:val="000000" w:themeColor="text1"/>
          <w:kern w:val="0"/>
          <w:lang w:eastAsia="en-US" w:bidi="ar-SA"/>
        </w:rPr>
        <w:t>В городе находятся 4 предприятия, занимающихся распределением газа, самым крупным из них является АПФ АО «КазТрансГаз - Аймак». На сегодняшний день на балансе Алматинского производственного филиала АО «КазТрансГаз Аймак» находятся – 5378 км газопроводов высокого, среднего и низкого давления. Газопроводы находятся в удовлетворительном состоянии.</w:t>
      </w:r>
    </w:p>
    <w:p w14:paraId="1EFCBB0C"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1. Высокого давления – 91,2 км;</w:t>
      </w:r>
    </w:p>
    <w:p w14:paraId="60A076ED"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2. Среднего давления – 796,0 км;</w:t>
      </w:r>
    </w:p>
    <w:p w14:paraId="06FF4B73"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3. Низкого давления – 4490,8 км.</w:t>
      </w:r>
    </w:p>
    <w:p w14:paraId="0AFE3D18"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Уровень износа инженерно-коммуникационной газовой инфраструктуры в 20</w:t>
      </w:r>
      <w:r w:rsidRPr="00F0736F">
        <w:rPr>
          <w:rFonts w:ascii="Times New Roman" w:eastAsia="Calibri" w:hAnsi="Times New Roman" w:cs="Times New Roman"/>
          <w:color w:val="000000" w:themeColor="text1"/>
          <w:kern w:val="0"/>
          <w:lang w:val="kk-KZ" w:eastAsia="en-US" w:bidi="ar-SA"/>
        </w:rPr>
        <w:t>20</w:t>
      </w:r>
      <w:r w:rsidRPr="00F0736F">
        <w:rPr>
          <w:rFonts w:ascii="Times New Roman" w:eastAsia="Calibri" w:hAnsi="Times New Roman" w:cs="Times New Roman"/>
          <w:color w:val="000000" w:themeColor="text1"/>
          <w:kern w:val="0"/>
          <w:lang w:eastAsia="en-US" w:bidi="ar-SA"/>
        </w:rPr>
        <w:t xml:space="preserve"> году составляет 36%.</w:t>
      </w:r>
    </w:p>
    <w:p w14:paraId="567A6BA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Потребление газа населением города в 2017 году составило 495,3 млн. куб. метров, или 34% от общего объема потребления газа в городе, на производственные нужды использовано 944,9 млн. куб. м (66%). </w:t>
      </w:r>
    </w:p>
    <w:p w14:paraId="3181C143" w14:textId="77777777" w:rsidR="00AC1D5B" w:rsidRPr="00F0736F" w:rsidRDefault="00AC1D5B" w:rsidP="00AC1D5B">
      <w:pPr>
        <w:tabs>
          <w:tab w:val="left" w:pos="709"/>
        </w:tabs>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Уровень обеспеченности газом в Алматы достаточно высокий. Показатель обеспеченности газом вырос с 93% в 2015 году, 95% в 2016 году и до 97% в 2017 году.  Доступ к централизованному газоснабжению имеет 99% горожан (2019 г.).</w:t>
      </w:r>
    </w:p>
    <w:p w14:paraId="59DFF30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Помимо природного газа потребители города используют сжиженный газ. В 2017 году населению было отпущено 10,8 тыс. т. данного топлива из выделенных Министерством Энергетики Республики Казахстан 50,4 тыс. т. сжиженного газа. Низкое потребление населением сжиженного газа связано с переходом потребителей на природный газ и уменьшением количества домов, потребляющих сжиженный газ. В 2017 году многоквартирные дома полностью переведены со сжиженного газа на природный газ.  </w:t>
      </w:r>
    </w:p>
    <w:p w14:paraId="7F7ACBD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 2014 года протяженность газопроводов ежегодно увеличивается. Увеличение произошло в основном по следующим районам - Алатауский, Турксибский, Наурызбайский и Медеуский. Уровень износа инженерно-коммуникационной газовой инфраструктуры в 2017 году составил 37%, что на 1% ниже аналогичного показателя предыдущего периода. Потери природного газа в 2017 году составили 53,8 млн. куб. метров (3,9% к поданному газу) по сравнению с 51,5 млн. куб. метров в 2016 году.</w:t>
      </w:r>
    </w:p>
    <w:p w14:paraId="24EA42A8" w14:textId="77777777" w:rsidR="00AC1D5B" w:rsidRPr="00F0736F" w:rsidRDefault="00AC1D5B" w:rsidP="00AC1D5B">
      <w:pPr>
        <w:pBdr>
          <w:bottom w:val="single" w:sz="4" w:space="8"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2016 году было реконструировано 3,1 км  газовых сетей. В 2017 г. было реконструировано 18,7 км газовых сетей, в 2018 году реконструкция составила 23 км, в 2019 году - 23 км.</w:t>
      </w:r>
    </w:p>
    <w:p w14:paraId="4A0BFB2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увеличения мощности газотранспортной системы города Алматы завершен вынос мощностей ГРС-2 со строительством обводного газопровода. С завершением данного проекта создано газовое кольцо вокруг города, которое в свою очередь позволит решить вопросы, связанные с теплоснабжением жилых и нежилых объектов с использованием природного газа.</w:t>
      </w:r>
    </w:p>
    <w:p w14:paraId="48AFC68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Доступ к централизованному газоснабжению имеет 99% горожан</w:t>
      </w:r>
    </w:p>
    <w:p w14:paraId="1A5F6F4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Рост экономики, в целом, оказывает положительное влияние на динамику темпов роста потребления энергетических ресурсов и внутреннего регионального продукта, так как экономический рост сопровождается увеличением производства продукции и потребления ресурсов. Таким образом, энергосбережение является одной из актуальных задач города Алматы.</w:t>
      </w:r>
    </w:p>
    <w:p w14:paraId="5A3CA88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Реализация мер по энергосбережению в настоящее время является одним из основных инструментов модернизации промышленности, жилищно-коммунального хозяйства и транспортного сектора. Успешная реализация мер по энергосбережению и повышению энергоэффективности обеспечивает энергетическую и экологическую безопасность, а также повышение конкурентоспособности экономики города Алматы.</w:t>
      </w:r>
    </w:p>
    <w:p w14:paraId="641ACDB6" w14:textId="77777777" w:rsidR="00AC1D5B" w:rsidRPr="00F0736F" w:rsidRDefault="00AC1D5B" w:rsidP="00AC1D5B">
      <w:pPr>
        <w:pBdr>
          <w:bottom w:val="single" w:sz="4" w:space="8" w:color="FFFFFF"/>
        </w:pBdr>
        <w:ind w:firstLine="709"/>
        <w:jc w:val="both"/>
        <w:rPr>
          <w:rFonts w:ascii="Times New Roman" w:eastAsia="Calibri" w:hAnsi="Times New Roman" w:cs="Times New Roman"/>
          <w:color w:val="000000" w:themeColor="text1"/>
          <w:lang w:bidi="en-US"/>
        </w:rPr>
      </w:pPr>
      <w:r w:rsidRPr="00F0736F">
        <w:rPr>
          <w:rFonts w:ascii="Times New Roman" w:eastAsia="Calibri" w:hAnsi="Times New Roman" w:cs="Times New Roman"/>
          <w:color w:val="000000" w:themeColor="text1"/>
          <w:lang w:bidi="en-US"/>
        </w:rPr>
        <w:t xml:space="preserve">В период с 2019 по 2026 годы планируется реализация проекта </w:t>
      </w:r>
      <w:r w:rsidRPr="00F0736F">
        <w:rPr>
          <w:rFonts w:ascii="Times New Roman" w:eastAsia="Times New Roman" w:hAnsi="Times New Roman" w:cs="Times New Roman"/>
          <w:color w:val="000000" w:themeColor="text1"/>
        </w:rPr>
        <w:t>государственно-частного партнерства</w:t>
      </w:r>
      <w:r w:rsidRPr="00F0736F">
        <w:rPr>
          <w:rFonts w:ascii="Times New Roman" w:eastAsia="Calibri" w:hAnsi="Times New Roman" w:cs="Times New Roman"/>
          <w:color w:val="000000" w:themeColor="text1"/>
          <w:lang w:bidi="en-US"/>
        </w:rPr>
        <w:t xml:space="preserve"> «Модернизация наружного освещения города Алматы». На сегодня</w:t>
      </w:r>
      <w:r w:rsidRPr="00F0736F">
        <w:rPr>
          <w:rFonts w:ascii="Times New Roman" w:eastAsia="Times New Roman" w:hAnsi="Times New Roman" w:cs="Times New Roman"/>
          <w:color w:val="000000" w:themeColor="text1"/>
        </w:rPr>
        <w:t xml:space="preserve"> проведен конкурс по проекту ГЧП «Модернизация наружного освещения г</w:t>
      </w:r>
      <w:r w:rsidRPr="00F0736F">
        <w:rPr>
          <w:rFonts w:ascii="Times New Roman" w:eastAsia="Times New Roman" w:hAnsi="Times New Roman" w:cs="Times New Roman"/>
          <w:color w:val="000000" w:themeColor="text1"/>
          <w:lang w:val="kk-KZ"/>
        </w:rPr>
        <w:t>орода</w:t>
      </w:r>
      <w:r w:rsidRPr="00F0736F">
        <w:rPr>
          <w:rFonts w:ascii="Times New Roman" w:eastAsia="Times New Roman" w:hAnsi="Times New Roman" w:cs="Times New Roman"/>
          <w:color w:val="000000" w:themeColor="text1"/>
        </w:rPr>
        <w:t xml:space="preserve"> Алматы». </w:t>
      </w:r>
      <w:r w:rsidRPr="00F0736F">
        <w:rPr>
          <w:rFonts w:ascii="Times New Roman" w:eastAsia="Calibri" w:hAnsi="Times New Roman" w:cs="Times New Roman"/>
          <w:color w:val="000000" w:themeColor="text1"/>
          <w:lang w:bidi="en-US"/>
        </w:rPr>
        <w:t>В рамках проекта:</w:t>
      </w:r>
    </w:p>
    <w:p w14:paraId="7352AA90" w14:textId="77777777" w:rsidR="00AC1D5B" w:rsidRPr="00F0736F" w:rsidRDefault="00AC1D5B" w:rsidP="00AC1D5B">
      <w:pPr>
        <w:pBdr>
          <w:bottom w:val="single" w:sz="4" w:space="8" w:color="FFFFFF"/>
        </w:pBdr>
        <w:ind w:firstLine="709"/>
        <w:jc w:val="both"/>
        <w:rPr>
          <w:rFonts w:ascii="Times New Roman" w:hAnsi="Times New Roman" w:cs="Times New Roman"/>
          <w:color w:val="000000" w:themeColor="text1"/>
        </w:rPr>
      </w:pPr>
      <w:r w:rsidRPr="00F0736F">
        <w:rPr>
          <w:rFonts w:ascii="Times New Roman" w:eastAsia="font188" w:hAnsi="Times New Roman" w:cs="Times New Roman"/>
          <w:color w:val="000000" w:themeColor="text1"/>
        </w:rPr>
        <w:t>- в 2019 году планир</w:t>
      </w:r>
      <w:r w:rsidRPr="00F0736F">
        <w:rPr>
          <w:rFonts w:ascii="Times New Roman" w:eastAsia="font188" w:hAnsi="Times New Roman" w:cs="Times New Roman"/>
          <w:color w:val="000000" w:themeColor="text1"/>
          <w:lang w:val="kk-KZ"/>
        </w:rPr>
        <w:t>овалось</w:t>
      </w:r>
      <w:r w:rsidRPr="00F0736F">
        <w:rPr>
          <w:rFonts w:ascii="Times New Roman" w:eastAsia="font188" w:hAnsi="Times New Roman" w:cs="Times New Roman"/>
          <w:color w:val="000000" w:themeColor="text1"/>
        </w:rPr>
        <w:t xml:space="preserve"> заменить порядка 9 тысяч светильников </w:t>
      </w:r>
      <w:r w:rsidRPr="00F0736F">
        <w:rPr>
          <w:rFonts w:ascii="Times New Roman" w:hAnsi="Times New Roman" w:cs="Times New Roman"/>
          <w:color w:val="000000" w:themeColor="text1"/>
        </w:rPr>
        <w:t>на энергосберегающее и светодиодное освещение (проведена замена 5,9 тыс. светильников);</w:t>
      </w:r>
    </w:p>
    <w:p w14:paraId="45664249" w14:textId="77777777" w:rsidR="00AC1D5B" w:rsidRPr="00F0736F" w:rsidRDefault="00AC1D5B" w:rsidP="00AC1D5B">
      <w:pPr>
        <w:pBdr>
          <w:bottom w:val="single" w:sz="4" w:space="8"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с 2019 по 2026 годы планируется модернизация 1375 км линий или 45 829 светильников, 42 052 опор, то есть 100% модернизация;</w:t>
      </w:r>
    </w:p>
    <w:p w14:paraId="7F09BA9D" w14:textId="77777777" w:rsidR="00AC1D5B" w:rsidRPr="00F0736F" w:rsidRDefault="00AC1D5B" w:rsidP="00AC1D5B">
      <w:pPr>
        <w:pBdr>
          <w:bottom w:val="single" w:sz="4" w:space="8" w:color="FFFFFF"/>
        </w:pBdr>
        <w:ind w:firstLine="709"/>
        <w:jc w:val="both"/>
        <w:rPr>
          <w:rFonts w:ascii="Times New Roman" w:eastAsia="Times New Roman" w:hAnsi="Times New Roman" w:cs="Times New Roman"/>
          <w:color w:val="000000" w:themeColor="text1"/>
          <w:lang w:eastAsia="ru-RU"/>
        </w:rPr>
      </w:pPr>
      <w:r w:rsidRPr="00F0736F">
        <w:rPr>
          <w:rFonts w:ascii="Times New Roman" w:hAnsi="Times New Roman" w:cs="Times New Roman"/>
          <w:color w:val="000000" w:themeColor="text1"/>
        </w:rPr>
        <w:t xml:space="preserve">- предусмотрена установка </w:t>
      </w:r>
      <w:r w:rsidRPr="00F0736F">
        <w:rPr>
          <w:rFonts w:ascii="Times New Roman" w:eastAsia="Times New Roman" w:hAnsi="Times New Roman" w:cs="Times New Roman"/>
          <w:color w:val="000000" w:themeColor="text1"/>
          <w:lang w:eastAsia="ru-RU"/>
        </w:rPr>
        <w:t>дополнительных светильников для освещения тротуарной зоны в количестве 1253 единицы.</w:t>
      </w:r>
    </w:p>
    <w:p w14:paraId="33491FE8" w14:textId="77777777" w:rsidR="00AC1D5B" w:rsidRPr="00F0736F" w:rsidRDefault="00AC1D5B" w:rsidP="00AC1D5B">
      <w:pPr>
        <w:pBdr>
          <w:bottom w:val="single" w:sz="4" w:space="8"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рамках Комплексного плана энергосбережения города Алматы на 2015-2020 гг. проведена модернизация линий наружного освещения путем замены натриевых энергоемких светильников на современные </w:t>
      </w:r>
      <w:r w:rsidRPr="00F0736F">
        <w:rPr>
          <w:rFonts w:ascii="Times New Roman" w:hAnsi="Times New Roman" w:cs="Times New Roman"/>
          <w:color w:val="000000" w:themeColor="text1"/>
          <w:lang w:val="en-US"/>
        </w:rPr>
        <w:t>LED</w:t>
      </w:r>
      <w:r w:rsidRPr="00F0736F">
        <w:rPr>
          <w:rFonts w:ascii="Times New Roman" w:hAnsi="Times New Roman" w:cs="Times New Roman"/>
          <w:color w:val="000000" w:themeColor="text1"/>
        </w:rPr>
        <w:t xml:space="preserve"> светильники с возможностью установки системы </w:t>
      </w:r>
      <w:r w:rsidRPr="00F0736F">
        <w:rPr>
          <w:rFonts w:ascii="Times New Roman" w:hAnsi="Times New Roman" w:cs="Times New Roman"/>
          <w:color w:val="000000" w:themeColor="text1"/>
          <w:lang w:val="en-US"/>
        </w:rPr>
        <w:t>SMART</w:t>
      </w:r>
      <w:r w:rsidRPr="00F0736F">
        <w:rPr>
          <w:rFonts w:ascii="Times New Roman" w:hAnsi="Times New Roman" w:cs="Times New Roman"/>
          <w:color w:val="000000" w:themeColor="text1"/>
        </w:rPr>
        <w:t>. Данная система позволяет автоматизировать управление наружным освещением, снизить потребление электроэнергии до 15%. За 2019 год произведена модернизация по 7 магистральным улицам, в т.ч. произведена замена 5,9 тыс. светильников, проложено 148 км кабеля, установлено 4,8 тыс. новых опор.</w:t>
      </w:r>
    </w:p>
    <w:p w14:paraId="1759DF53" w14:textId="77777777" w:rsidR="00AC1D5B" w:rsidRPr="00F0736F" w:rsidRDefault="00AC1D5B" w:rsidP="00AC1D5B">
      <w:pPr>
        <w:pBdr>
          <w:bottom w:val="single" w:sz="4" w:space="8" w:color="FFFFFF"/>
        </w:pBdr>
        <w:ind w:firstLine="709"/>
        <w:jc w:val="both"/>
        <w:rPr>
          <w:rFonts w:ascii="Times New Roman" w:hAnsi="Times New Roman" w:cs="Times New Roman"/>
          <w:b/>
          <w:bCs/>
          <w:i/>
          <w:iCs/>
          <w:color w:val="000000" w:themeColor="text1"/>
        </w:rPr>
      </w:pPr>
      <w:r w:rsidRPr="00F0736F">
        <w:rPr>
          <w:rFonts w:ascii="Times New Roman" w:hAnsi="Times New Roman" w:cs="Times New Roman"/>
          <w:b/>
          <w:bCs/>
          <w:i/>
          <w:iCs/>
          <w:color w:val="000000" w:themeColor="text1"/>
        </w:rPr>
        <w:t xml:space="preserve">Состояние водоснабжения и канализации, обеспечение населения централизованным водоснабжением </w:t>
      </w:r>
      <w:r w:rsidRPr="00F0736F">
        <w:rPr>
          <w:b/>
          <w:bCs/>
          <w:i/>
          <w:iCs/>
          <w:color w:val="000000" w:themeColor="text1"/>
        </w:rPr>
        <w:t>и водоотведением.</w:t>
      </w:r>
    </w:p>
    <w:p w14:paraId="6DD93709" w14:textId="77777777" w:rsidR="00AC1D5B" w:rsidRPr="00F0736F" w:rsidRDefault="00AC1D5B" w:rsidP="00AC1D5B">
      <w:pPr>
        <w:pBdr>
          <w:bottom w:val="single" w:sz="4" w:space="8" w:color="FFFFFF"/>
        </w:pBdr>
        <w:ind w:firstLine="709"/>
        <w:jc w:val="both"/>
        <w:rPr>
          <w:rFonts w:ascii="Times New Roman" w:eastAsia="Times New Roman" w:hAnsi="Times New Roman" w:cs="Times New Roman"/>
          <w:color w:val="000000" w:themeColor="text1"/>
          <w:lang w:eastAsia="ru-RU"/>
        </w:rPr>
      </w:pPr>
      <w:r w:rsidRPr="00F0736F">
        <w:rPr>
          <w:rFonts w:ascii="Times New Roman" w:hAnsi="Times New Roman" w:cs="Times New Roman"/>
          <w:b/>
          <w:bCs/>
          <w:color w:val="000000" w:themeColor="text1"/>
        </w:rPr>
        <w:t>Водоснабжение</w:t>
      </w:r>
      <w:r w:rsidRPr="00F0736F">
        <w:rPr>
          <w:rFonts w:ascii="Times New Roman" w:hAnsi="Times New Roman" w:cs="Times New Roman"/>
          <w:b/>
          <w:color w:val="000000" w:themeColor="text1"/>
        </w:rPr>
        <w:t xml:space="preserve"> и водоотведение. </w:t>
      </w:r>
      <w:r w:rsidRPr="00F0736F">
        <w:rPr>
          <w:rFonts w:ascii="Times New Roman" w:hAnsi="Times New Roman" w:cs="Times New Roman"/>
          <w:color w:val="000000" w:themeColor="text1"/>
        </w:rPr>
        <w:t xml:space="preserve">Город Алматы обеспечивается водой из 4 основных источников: рек Большая и Малая Алматинка (после очистки на фильтровальных станциях) и из подземных (скважинных) водозаборов Алматинского и Талгарского месторождений. Уровень обеспеченности водопроводом в городе соответствует мировому уровню и в 2016 - 2017 гг. составлял 95-96%. Однако эти данные не включают присоединенный Наурызбайский район, где уровень обеспеченности водопроводом составляет всего 15%. Существующая в районе система водоснабжения использует для питьевых нужд сырую воду малых рек (Каргалы, Аксай и их притоков), а также неглубокие скважины с грунтовой водой, часть водопроводов проложена по земельным участкам жителей (что затрудняет их обслуживание) и неглубокого заложения (что часто приводит к перемерзанию в зимнее время). Качество воды не всегда соответствует требованиям ГОСТ. Существующая в районе разводящая водопроводная сеть строилась </w:t>
      </w:r>
      <w:r w:rsidRPr="00F0736F">
        <w:rPr>
          <w:rFonts w:ascii="Times New Roman" w:eastAsia="Times New Roman" w:hAnsi="Times New Roman" w:cs="Times New Roman"/>
          <w:color w:val="000000" w:themeColor="text1"/>
          <w:lang w:eastAsia="ru-RU"/>
        </w:rPr>
        <w:t>жителями самостоятельно, без соблюдений требований СНиП к строительству.</w:t>
      </w:r>
    </w:p>
    <w:p w14:paraId="412143D7" w14:textId="77777777" w:rsidR="00AC1D5B" w:rsidRPr="00F0736F" w:rsidRDefault="00AC1D5B" w:rsidP="00AC1D5B">
      <w:pPr>
        <w:pBdr>
          <w:bottom w:val="single" w:sz="4" w:space="8" w:color="FFFFFF"/>
        </w:pBd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Протяженность водопроводных сетей превышает 3,6 тыс. км (изношенность – 58,9%). Доступ</w:t>
      </w:r>
      <w:r w:rsidRPr="00F0736F">
        <w:rPr>
          <w:rFonts w:ascii="Times New Roman" w:hAnsi="Times New Roman"/>
          <w:color w:val="000000" w:themeColor="text1"/>
        </w:rPr>
        <w:t xml:space="preserve"> к </w:t>
      </w:r>
      <w:r w:rsidRPr="00F0736F">
        <w:rPr>
          <w:rFonts w:ascii="Times New Roman" w:eastAsia="Times New Roman" w:hAnsi="Times New Roman" w:cs="Times New Roman"/>
          <w:color w:val="000000" w:themeColor="text1"/>
          <w:lang w:eastAsia="ru-RU"/>
        </w:rPr>
        <w:t xml:space="preserve">централизованному водоснабжению имеет 97,7% горожан. </w:t>
      </w:r>
    </w:p>
    <w:p w14:paraId="3434546A" w14:textId="77777777" w:rsidR="00AC1D5B" w:rsidRPr="00F0736F" w:rsidRDefault="00AC1D5B" w:rsidP="00AC1D5B">
      <w:pPr>
        <w:pBdr>
          <w:bottom w:val="single" w:sz="4" w:space="8" w:color="FFFFFF"/>
        </w:pBdr>
        <w:ind w:firstLine="709"/>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lang w:eastAsia="ru-RU"/>
        </w:rPr>
        <w:t>Увеличение капитальных ремонтов способствует сокращению количества аварий, износа и потерь</w:t>
      </w:r>
      <w:r w:rsidRPr="00F0736F">
        <w:rPr>
          <w:rFonts w:ascii="Times New Roman" w:hAnsi="Times New Roman" w:cs="Times New Roman"/>
          <w:color w:val="000000" w:themeColor="text1"/>
        </w:rPr>
        <w:t xml:space="preserve"> инфраструктуры водоснабжения. Однако в связи с передачей в коммунальную собственность сетей присоединенных поселков Наурызбайского, Алатауского и Турксибского районов общая протяженность городских водопроводных сетей увеличилась с 2699,5 км в 2015 году до 3325,4 км в 2017 году. В связи со значительным износом передаваемых сетей процент реконструируемых сетей в 2017 году составил 0,8% против 1,16 % в 2015 году.</w:t>
      </w:r>
    </w:p>
    <w:p w14:paraId="5697410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За счет выполнения работ по реконструкции и капитальному ремонту сетей количество аварий сокращается до 5% ежегодно. Так, в 2015 году уровень износа составлял 66,5%, а потери по водоснабжению 22%. Эти показатели снизились к 2017 году до 63,01% и 19,5% соответственно, но все еще значительны. Также анализ потерь показывает, что основными его источниками являются потери в абонентских сетях (40%), потери в бесхозных сетях (20%) и недоучет воды (20 - 40%). </w:t>
      </w:r>
    </w:p>
    <w:p w14:paraId="03A646D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При сохранении текущего шага замены сетей (1,1%) проблема износа сетей и потерь будет сохраняться на протяжении следующих 60 лет и целевой уровень (износ 50%) будет достигнут только к 2030 году. Снижение износа достигается только за счет принятия на баланс предприятия вновь построенных сетей, в первом полугодии 2018 года готовится передача - около 120 километров водопроводных сетей.</w:t>
      </w:r>
    </w:p>
    <w:p w14:paraId="1CF880C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Потребление воды в 2016 году составило 132,38 млн. куб. м, в 2017 году - 134,97 млн. куб. м. По видам экономической деятельности крупнейшими потребителями являются жилой фонд (61,14 млн. куб. м), предприятия, предоставляющие сферу обслуживания населения и промышленность (26,26 млн. куб. м), теплоснабжающие организации и предприятия, специализирующиеся на электроснабжении (44,97 млн. куб. м). Вместе с тем, ведется активная работа по установке счетчиков, что приводит к более бережливому потреблению воды. Оснащенность общедомовыми приборами учета воды составляет 100%, или 9094 из необходимых 9094 единиц. Оснащенность индивидуальными приборами учета составила 87,48%. Необходимо дополнительно установить 69,15 тыс. приборов.</w:t>
      </w:r>
    </w:p>
    <w:p w14:paraId="0470D72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 2019 год построено 153,5 км сетей (мкр. Айгерим, Рабочий поселок, Курылысшы, Ужет, Шанырак-5, Кайрат, Карасу, Шапагат (Заря-Востока), Кокшокы и ул. Радуга, Казыбаева, Бурундайская, Галилея. А также для обеспечения бесперебойным и качественным водоснабжением жителей города Алматы ведется реконструкция водозаборных сооружений КУСТ-19, Западная-1, Балхаш и канализационных насосных станций Тастак, Бекмаханова, Кок-Кайнар, Трудовик. Сегодня протяженность водопроводных сетей превышает 3,6 тыс. км, канализационных – 1,9 тыс. км. Доступ к централизованному водоснабжению имеет 97,7% горожан.</w:t>
      </w:r>
    </w:p>
    <w:p w14:paraId="77FB38A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Общегородская канализация</w:t>
      </w:r>
      <w:r w:rsidRPr="00F0736F">
        <w:rPr>
          <w:rFonts w:ascii="Times New Roman" w:hAnsi="Times New Roman" w:cs="Times New Roman"/>
          <w:color w:val="000000" w:themeColor="text1"/>
        </w:rPr>
        <w:t xml:space="preserve"> осуществляет прием, отведение и очистку сточных вод из города, прилегающих к нему зон отдыха, ряда поселков и городов Талгара и Каскелена. Уровень обеспеченности водоотводами растет быстрыми темпами: на 7% ежегодно. </w:t>
      </w:r>
    </w:p>
    <w:p w14:paraId="7BBA3D8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Протяженность канализационных сетей составила в 2017 году 1587,1 км, в 2018 году - 1619,8 км, в 2019 году – 1,8 тыс. км </w:t>
      </w:r>
      <w:r w:rsidRPr="00F0736F">
        <w:rPr>
          <w:rFonts w:ascii="Times New Roman" w:hAnsi="Times New Roman" w:cs="Times New Roman"/>
          <w:i/>
          <w:color w:val="000000" w:themeColor="text1"/>
        </w:rPr>
        <w:t>(изношенность – 59,8%)</w:t>
      </w:r>
      <w:r w:rsidRPr="00F0736F">
        <w:rPr>
          <w:rFonts w:ascii="Times New Roman" w:hAnsi="Times New Roman" w:cs="Times New Roman"/>
          <w:color w:val="000000" w:themeColor="text1"/>
        </w:rPr>
        <w:t>.  Доля капитально отремонтированных сетей водоотвода в Алматы ниже уровня сравниваемых городов. При этом доля капитально отремонтированных сетей водоотвода не покрывает рост изношенности сетей. Износ водоотвода уменьшился на 2% в связи с новым строительством. В Алматы этот уровень был равен 65% в 2016 году и снизился на 63% в 2017 году. В целом уровень износа в 3 раза превышает показатель в сравниваемых городах. Из всего вышесказанного можно заключить, что доля капитально ремонтированных сетей водоотвода является недостаточной.</w:t>
      </w:r>
    </w:p>
    <w:p w14:paraId="32D8626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При сохранении текущей доли капитального ремонта через 20 лет уровень изношенности превысит 90%, что приведет к выходу из строя большинства сетей водоотведения. Данная ситуация может привести в будущем к повышенной аварийности и выходу из строя значительных объемов сетей водоотведения.</w:t>
      </w:r>
    </w:p>
    <w:p w14:paraId="3243DFF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статистическим данным, доля очищенных стоков в общем пропуске сточных вод в 2018 году составила 99,6%.</w:t>
      </w:r>
    </w:p>
    <w:p w14:paraId="70F3B25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500D828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Алматы относится к городам Казахстана с высоким уровнем </w:t>
      </w:r>
      <w:r w:rsidRPr="00F0736F">
        <w:rPr>
          <w:rFonts w:ascii="Times New Roman" w:hAnsi="Times New Roman" w:cs="Times New Roman"/>
          <w:b/>
          <w:color w:val="000000" w:themeColor="text1"/>
        </w:rPr>
        <w:t>загрязнения воздуха</w:t>
      </w:r>
      <w:r w:rsidRPr="00F0736F">
        <w:rPr>
          <w:rFonts w:ascii="Times New Roman" w:hAnsi="Times New Roman" w:cs="Times New Roman"/>
          <w:color w:val="000000" w:themeColor="text1"/>
        </w:rPr>
        <w:t xml:space="preserve"> в течение многих лет. Высокий уровень загрязнения обусловлен как природными и климатическими особенностями местности, так и антропогенным воздействием на окружающую среду.</w:t>
      </w:r>
    </w:p>
    <w:p w14:paraId="3154730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Наблюдения за состоянием атмосферного воздуха велись на 16 стационарных постах.</w:t>
      </w:r>
    </w:p>
    <w:p w14:paraId="0FCE413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 xml:space="preserve">В </w:t>
      </w:r>
      <w:r w:rsidRPr="00F0736F">
        <w:rPr>
          <w:rFonts w:ascii="Times New Roman" w:hAnsi="Times New Roman" w:cs="Times New Roman"/>
          <w:b/>
          <w:color w:val="000000" w:themeColor="text1"/>
          <w:lang w:val="kk-KZ"/>
        </w:rPr>
        <w:t>2017 году</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оценивался как </w:t>
      </w:r>
      <w:r w:rsidRPr="00F0736F">
        <w:rPr>
          <w:rFonts w:ascii="Times New Roman" w:hAnsi="Times New Roman" w:cs="Times New Roman"/>
          <w:color w:val="000000" w:themeColor="text1"/>
          <w:lang w:val="kk-KZ"/>
        </w:rPr>
        <w:t>повышенный</w:t>
      </w:r>
      <w:r w:rsidRPr="00F0736F">
        <w:rPr>
          <w:rFonts w:ascii="Times New Roman" w:hAnsi="Times New Roman" w:cs="Times New Roman"/>
          <w:i/>
          <w:color w:val="000000" w:themeColor="text1"/>
        </w:rPr>
        <w:t xml:space="preserve">. </w:t>
      </w:r>
      <w:r w:rsidRPr="00F0736F">
        <w:rPr>
          <w:rFonts w:ascii="Times New Roman" w:hAnsi="Times New Roman" w:cs="Times New Roman"/>
          <w:color w:val="000000" w:themeColor="text1"/>
        </w:rPr>
        <w:t xml:space="preserve">ИЗА составляет </w:t>
      </w:r>
      <w:r w:rsidRPr="00F0736F">
        <w:rPr>
          <w:rFonts w:ascii="Times New Roman" w:hAnsi="Times New Roman" w:cs="Times New Roman"/>
          <w:color w:val="000000" w:themeColor="text1"/>
          <w:lang w:val="kk-KZ"/>
        </w:rPr>
        <w:t xml:space="preserve">6 </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повышенный</w:t>
      </w:r>
      <w:r w:rsidRPr="00F0736F">
        <w:rPr>
          <w:rFonts w:ascii="Times New Roman" w:hAnsi="Times New Roman" w:cs="Times New Roman"/>
          <w:color w:val="000000" w:themeColor="text1"/>
        </w:rPr>
        <w:t xml:space="preserve"> уровень). СИ = </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 xml:space="preserve">(повышенный уровень), НП </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37%</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(высокий уровень)</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Средние концентрации </w:t>
      </w:r>
      <w:r w:rsidRPr="00F0736F">
        <w:rPr>
          <w:rFonts w:ascii="Times New Roman" w:hAnsi="Times New Roman" w:cs="Times New Roman"/>
          <w:color w:val="000000" w:themeColor="text1"/>
          <w:lang w:val="kk-KZ"/>
        </w:rPr>
        <w:t>взвешенных частиц (пыль)</w:t>
      </w:r>
      <w:r w:rsidRPr="00F0736F">
        <w:rPr>
          <w:rFonts w:ascii="Times New Roman" w:hAnsi="Times New Roman" w:cs="Times New Roman"/>
          <w:color w:val="000000" w:themeColor="text1"/>
        </w:rPr>
        <w:t xml:space="preserve"> составили </w:t>
      </w:r>
      <w:r w:rsidRPr="00F0736F">
        <w:rPr>
          <w:rFonts w:ascii="Times New Roman" w:hAnsi="Times New Roman" w:cs="Times New Roman"/>
          <w:color w:val="000000" w:themeColor="text1"/>
          <w:lang w:val="kk-KZ"/>
        </w:rPr>
        <w:t>1,1</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с.с.</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диоксида серы</w:t>
      </w:r>
      <w:r w:rsidRPr="00F0736F">
        <w:rPr>
          <w:rFonts w:ascii="Times New Roman" w:hAnsi="Times New Roman" w:cs="Times New Roman"/>
          <w:color w:val="000000" w:themeColor="text1"/>
        </w:rPr>
        <w:t xml:space="preserve"> – </w:t>
      </w:r>
      <w:r w:rsidRPr="00F0736F">
        <w:rPr>
          <w:rFonts w:ascii="Times New Roman" w:hAnsi="Times New Roman" w:cs="Times New Roman"/>
          <w:color w:val="000000" w:themeColor="text1"/>
          <w:lang w:val="kk-KZ"/>
        </w:rPr>
        <w:t>1,1</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с.с.</w:t>
      </w:r>
      <w:r w:rsidRPr="00F0736F">
        <w:rPr>
          <w:rFonts w:ascii="Times New Roman" w:hAnsi="Times New Roman" w:cs="Times New Roman"/>
          <w:color w:val="000000" w:themeColor="text1"/>
        </w:rPr>
        <w:t xml:space="preserve">, диоксида азота – </w:t>
      </w:r>
      <w:r w:rsidRPr="00F0736F">
        <w:rPr>
          <w:rFonts w:ascii="Times New Roman" w:hAnsi="Times New Roman" w:cs="Times New Roman"/>
          <w:color w:val="000000" w:themeColor="text1"/>
          <w:lang w:val="kk-KZ"/>
        </w:rPr>
        <w:t xml:space="preserve">1,8 </w:t>
      </w:r>
      <w:r w:rsidRPr="00F0736F">
        <w:rPr>
          <w:rFonts w:ascii="Times New Roman" w:hAnsi="Times New Roman" w:cs="Times New Roman"/>
          <w:color w:val="000000" w:themeColor="text1"/>
        </w:rPr>
        <w:t>ПДК</w:t>
      </w:r>
      <w:r w:rsidRPr="00F0736F">
        <w:rPr>
          <w:rFonts w:ascii="Times New Roman" w:hAnsi="Times New Roman" w:cs="Times New Roman"/>
          <w:color w:val="000000" w:themeColor="text1"/>
          <w:vertAlign w:val="subscript"/>
        </w:rPr>
        <w:t>с.с.</w:t>
      </w:r>
      <w:r w:rsidRPr="00F0736F">
        <w:rPr>
          <w:rFonts w:ascii="Times New Roman" w:hAnsi="Times New Roman" w:cs="Times New Roman"/>
          <w:color w:val="000000" w:themeColor="text1"/>
        </w:rPr>
        <w:t xml:space="preserve">, формальдегида </w:t>
      </w:r>
      <w:r w:rsidRPr="00F0736F">
        <w:rPr>
          <w:rFonts w:ascii="Times New Roman" w:hAnsi="Times New Roman" w:cs="Times New Roman"/>
          <w:color w:val="000000" w:themeColor="text1"/>
          <w:lang w:val="kk-KZ"/>
        </w:rPr>
        <w:t xml:space="preserve">– 1,2 </w:t>
      </w:r>
      <w:r w:rsidRPr="00F0736F">
        <w:rPr>
          <w:rFonts w:ascii="Times New Roman" w:hAnsi="Times New Roman" w:cs="Times New Roman"/>
          <w:color w:val="000000" w:themeColor="text1"/>
        </w:rPr>
        <w:t>ПДК</w:t>
      </w:r>
      <w:r w:rsidRPr="00F0736F">
        <w:rPr>
          <w:rFonts w:ascii="Times New Roman" w:hAnsi="Times New Roman" w:cs="Times New Roman"/>
          <w:color w:val="000000" w:themeColor="text1"/>
          <w:vertAlign w:val="subscript"/>
        </w:rPr>
        <w:t>с.с.</w:t>
      </w:r>
      <w:r w:rsidRPr="00F0736F">
        <w:rPr>
          <w:rFonts w:ascii="Times New Roman" w:hAnsi="Times New Roman" w:cs="Times New Roman"/>
          <w:color w:val="000000" w:themeColor="text1"/>
        </w:rPr>
        <w:t>, содержание тяжелых металлов и других загрязняющих веществ не превышало ПДК. Максимальные разовые концентрации взвешенных частиц (пыль) составили 1,4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xml:space="preserve">, взвешенных частиц РМ2,5 – </w:t>
      </w:r>
      <w:r w:rsidRPr="00F0736F">
        <w:rPr>
          <w:rFonts w:ascii="Times New Roman" w:hAnsi="Times New Roman" w:cs="Times New Roman"/>
          <w:color w:val="000000" w:themeColor="text1"/>
          <w:lang w:val="kk-KZ"/>
        </w:rPr>
        <w:t>4,4</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взвешенных частиц РМ10 – 3,</w:t>
      </w:r>
      <w:r w:rsidRPr="00F0736F">
        <w:rPr>
          <w:rFonts w:ascii="Times New Roman" w:hAnsi="Times New Roman" w:cs="Times New Roman"/>
          <w:color w:val="000000" w:themeColor="text1"/>
          <w:lang w:val="kk-KZ"/>
        </w:rPr>
        <w:t>5</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диоксида серы – 3,5</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xml:space="preserve">, оксида углерода – </w:t>
      </w:r>
      <w:r w:rsidRPr="00F0736F">
        <w:rPr>
          <w:rFonts w:ascii="Times New Roman" w:hAnsi="Times New Roman" w:cs="Times New Roman"/>
          <w:color w:val="000000" w:themeColor="text1"/>
          <w:lang w:val="kk-KZ"/>
        </w:rPr>
        <w:t>4,1</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диоксида азота – 2,5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оксида азота – 1,</w:t>
      </w:r>
      <w:r w:rsidRPr="00F0736F">
        <w:rPr>
          <w:rFonts w:ascii="Times New Roman" w:hAnsi="Times New Roman" w:cs="Times New Roman"/>
          <w:color w:val="000000" w:themeColor="text1"/>
          <w:lang w:val="kk-KZ"/>
        </w:rPr>
        <w:t>8</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фенола – 1,</w:t>
      </w:r>
      <w:r w:rsidRPr="00F0736F">
        <w:rPr>
          <w:rFonts w:ascii="Times New Roman" w:hAnsi="Times New Roman" w:cs="Times New Roman"/>
          <w:color w:val="000000" w:themeColor="text1"/>
          <w:lang w:val="kk-KZ"/>
        </w:rPr>
        <w:t>4</w:t>
      </w:r>
      <w:r w:rsidRPr="00F0736F">
        <w:rPr>
          <w:rFonts w:ascii="Times New Roman" w:hAnsi="Times New Roman" w:cs="Times New Roman"/>
          <w:color w:val="000000" w:themeColor="text1"/>
        </w:rPr>
        <w:t xml:space="preserve"> ПДК</w:t>
      </w:r>
      <w:r w:rsidRPr="00F0736F">
        <w:rPr>
          <w:rFonts w:ascii="Times New Roman" w:hAnsi="Times New Roman" w:cs="Times New Roman"/>
          <w:color w:val="000000" w:themeColor="text1"/>
          <w:vertAlign w:val="subscript"/>
        </w:rPr>
        <w:t>м.р.</w:t>
      </w:r>
      <w:r w:rsidRPr="00F0736F">
        <w:rPr>
          <w:rFonts w:ascii="Times New Roman" w:hAnsi="Times New Roman" w:cs="Times New Roman"/>
          <w:color w:val="000000" w:themeColor="text1"/>
        </w:rPr>
        <w:t xml:space="preserve"> остальные загрязняющие вещества не превышали ПДК. Уровень загрязнения атмосферного воздуха, по сравнению с 2016 годом снизился от «высокого» на «повышенный»</w:t>
      </w:r>
      <w:r w:rsidRPr="00F0736F">
        <w:rPr>
          <w:rFonts w:ascii="Times New Roman" w:hAnsi="Times New Roman" w:cs="Times New Roman"/>
          <w:color w:val="000000" w:themeColor="text1"/>
          <w:vertAlign w:val="superscript"/>
        </w:rPr>
        <w:footnoteReference w:id="164"/>
      </w:r>
      <w:r w:rsidRPr="00F0736F">
        <w:rPr>
          <w:rFonts w:ascii="Times New Roman" w:hAnsi="Times New Roman" w:cs="Times New Roman"/>
          <w:color w:val="000000" w:themeColor="text1"/>
        </w:rPr>
        <w:t>.</w:t>
      </w:r>
    </w:p>
    <w:p w14:paraId="76A8BB1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В 2018 году,</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оценивался как высокий. ИЗА составляет 7 (высокий уровень). СИ равен 9 (высокий уровень) и НП = 29%. Средние концентрации загрязняющих веществ составили по: диоксиду азота 1,5 ПДКс.с, формальдегиду - 1,2 ПДКс.с, содержание тяжелых металлов и остальных загрязняющих веществ не превышало ПДКс.с. Максимально-разовые концентрации загрязняющих веществ составили: диоксида азота - 9,1 ПДКм.р, взвешенных частиц РМ2,5 - 5,2 ПДКм.р, оксида азота 4,0 ПДКм.р, диоксида серы - 4,0 ПДКм.р,  взвешенные частицы РМ10 – 3,4 ПДКм.р, оксида углерода - 2,5 ПДКм.р, взвешенные частицы (пыль) - 2,0 ПДКм.р, фенолу и формальдегиду - 1,0 ПДКм.р. Случаи высокого загрязнения (ВЗ) и экстремально высокого загрязнения (ЭВЗ) атмосферного воздуха не обнаружены</w:t>
      </w:r>
      <w:r w:rsidRPr="00F0736F">
        <w:rPr>
          <w:rFonts w:ascii="Times New Roman" w:hAnsi="Times New Roman" w:cs="Times New Roman"/>
          <w:color w:val="000000" w:themeColor="text1"/>
          <w:vertAlign w:val="superscript"/>
        </w:rPr>
        <w:footnoteReference w:id="165"/>
      </w:r>
      <w:r w:rsidRPr="00F0736F">
        <w:rPr>
          <w:rFonts w:ascii="Times New Roman" w:hAnsi="Times New Roman" w:cs="Times New Roman"/>
          <w:color w:val="000000" w:themeColor="text1"/>
        </w:rPr>
        <w:t xml:space="preserve">. </w:t>
      </w:r>
    </w:p>
    <w:p w14:paraId="421F231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color w:val="000000" w:themeColor="text1"/>
        </w:rPr>
        <w:t>В 2019 году</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города Алматы оценивался как высокий. ИЗА составляет 8 (высокий уровень). СИ равен 9,5 (высокий уровень) в районе ПНЗ №1 (Бостандыкский район, терр. Казахского национального университета им. Аль-Фараби) и НП=29% (высокий уровень) в районе ПНЗ №12 (пр. Райымбека, угол ул. Наурызбай батыра) по диоксиду азота. Средние концентрации загрязняющих веществ составили: взвешенные вещества (пыль) – 1,1 ПДКс.с. диоксид серы - 2,6 ПДКс.с, диоксид азота - 1,6 ПДКс.с, формальдегид - 1,4 ПДКс.с, Концентрации тяжелых металлов и остальных загрязняющих веществ не превышали ПДКс.с. Максимально-разовые концентрации загрязняющих веществ составили: диоксид азота – 9,5 ПДКм.р, взвешенные частицы РМ2,5 – 6,3 ПДКм.р, диоксид серы 157 - 4,0 ПДКм.р, взвешенные частицы РМ10 – 3,5 ПДКм.р, оксид углерода – 3,2 ПДКм.р, оксид азота – 1,8 ПДКм.р, взвешенные вещества (пыль) - 1,8 ПДКм.р, фенол - 1,0 ПДКм.р. Концентрации остальных загрязняющих веществ не превышали ПДКм.р. Случаи высокого загрязнения (ВЗ) и экстремально высокого загрязнения (ЭВЗ) атмосферного воздуха не обнаружены</w:t>
      </w:r>
      <w:r w:rsidRPr="00F0736F">
        <w:rPr>
          <w:rFonts w:ascii="Times New Roman" w:hAnsi="Times New Roman" w:cs="Times New Roman"/>
          <w:color w:val="000000" w:themeColor="text1"/>
          <w:vertAlign w:val="superscript"/>
        </w:rPr>
        <w:footnoteReference w:id="166"/>
      </w:r>
      <w:r w:rsidRPr="00F0736F">
        <w:rPr>
          <w:rFonts w:ascii="Times New Roman" w:hAnsi="Times New Roman" w:cs="Times New Roman"/>
          <w:color w:val="000000" w:themeColor="text1"/>
        </w:rPr>
        <w:t xml:space="preserve">. </w:t>
      </w:r>
    </w:p>
    <w:p w14:paraId="3F924EB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Отмечается, что текущий уровень мониторинга загрязнения атмосферного воздуха не является достаточным для отражения фактической ситуации по уровню и источникам загрязнения атмосферы в городе Алматы.</w:t>
      </w:r>
    </w:p>
    <w:p w14:paraId="6AE2E47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Департамента статистики города Алматы, в 20</w:t>
      </w:r>
      <w:r w:rsidRPr="00F0736F">
        <w:rPr>
          <w:rFonts w:ascii="Times New Roman" w:hAnsi="Times New Roman" w:cs="Times New Roman"/>
          <w:color w:val="000000" w:themeColor="text1"/>
          <w:lang w:val="kk-KZ"/>
        </w:rPr>
        <w:t xml:space="preserve">17 году </w:t>
      </w:r>
      <w:r w:rsidRPr="00F0736F">
        <w:rPr>
          <w:rFonts w:ascii="Times New Roman" w:hAnsi="Times New Roman" w:cs="Times New Roman"/>
          <w:b/>
          <w:color w:val="000000" w:themeColor="text1"/>
        </w:rPr>
        <w:t>фактические выбросы</w:t>
      </w:r>
      <w:r w:rsidRPr="00F0736F">
        <w:rPr>
          <w:rFonts w:ascii="Times New Roman" w:hAnsi="Times New Roman" w:cs="Times New Roman"/>
          <w:color w:val="000000" w:themeColor="text1"/>
        </w:rPr>
        <w:t xml:space="preserve"> вредных веществ в атмосферный воздух от стационарных источников загрязнения </w:t>
      </w:r>
      <w:r w:rsidRPr="00F0736F">
        <w:rPr>
          <w:rFonts w:ascii="Times New Roman" w:hAnsi="Times New Roman" w:cs="Times New Roman"/>
          <w:color w:val="000000" w:themeColor="text1"/>
          <w:lang w:val="kk-KZ"/>
        </w:rPr>
        <w:t xml:space="preserve">в городе </w:t>
      </w:r>
      <w:r w:rsidRPr="00F0736F">
        <w:rPr>
          <w:rFonts w:ascii="Times New Roman" w:hAnsi="Times New Roman" w:cs="Times New Roman"/>
          <w:color w:val="000000" w:themeColor="text1"/>
        </w:rPr>
        <w:t xml:space="preserve">составили </w:t>
      </w:r>
      <w:r w:rsidRPr="00F0736F">
        <w:rPr>
          <w:rFonts w:ascii="Times New Roman" w:hAnsi="Times New Roman" w:cs="Times New Roman"/>
          <w:color w:val="000000" w:themeColor="text1"/>
          <w:lang w:val="kk-KZ"/>
        </w:rPr>
        <w:t>41,1</w:t>
      </w:r>
      <w:r w:rsidRPr="00F0736F">
        <w:rPr>
          <w:rFonts w:ascii="Times New Roman" w:hAnsi="Times New Roman" w:cs="Times New Roman"/>
          <w:color w:val="000000" w:themeColor="text1"/>
        </w:rPr>
        <w:t xml:space="preserve"> тыс. т. (при разрешенном на 2017 год объеме 66,011 т.) и их уровень по сравнению с 2016 годом увеличился на 5,9%. </w:t>
      </w:r>
    </w:p>
    <w:p w14:paraId="1D63EAEC" w14:textId="77777777" w:rsidR="00AC1D5B" w:rsidRPr="00F0736F" w:rsidRDefault="00AC1D5B" w:rsidP="00AC1D5B">
      <w:pPr>
        <w:widowControl w:val="0"/>
        <w:overflowPunct/>
        <w:ind w:firstLine="709"/>
        <w:jc w:val="both"/>
        <w:rPr>
          <w:rFonts w:ascii="Times New Roman" w:hAnsi="Times New Roman" w:cs="Times New Roman"/>
          <w:color w:val="000000" w:themeColor="text1"/>
          <w:kern w:val="0"/>
        </w:rPr>
      </w:pPr>
      <w:r w:rsidRPr="00F0736F">
        <w:rPr>
          <w:rFonts w:ascii="Times New Roman" w:hAnsi="Times New Roman" w:cs="Times New Roman"/>
          <w:b/>
          <w:color w:val="000000" w:themeColor="text1"/>
          <w:kern w:val="0"/>
        </w:rPr>
        <w:t>В 2018 году стационарными источниками предприятий г. Алматы в атмосферный воздух было выброшено 43 тыс. т. загрязняющих веществ, а в 2019 году — 46,1 тыс. т.</w:t>
      </w:r>
      <w:r w:rsidRPr="00F0736F">
        <w:rPr>
          <w:rFonts w:ascii="Times New Roman" w:hAnsi="Times New Roman" w:cs="Times New Roman"/>
          <w:color w:val="000000" w:themeColor="text1"/>
          <w:kern w:val="0"/>
        </w:rPr>
        <w:t xml:space="preserve"> и их уровень по сравнению с 2018 годом увеличился на 9,3%.</w:t>
      </w:r>
    </w:p>
    <w:p w14:paraId="1D38280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Затраты хозяйствующих субъектов, направленные на охрану окружающей среды, в 2018 году составили 4984,6 млн. тенге против 4444,3 млн. тенге в 2017 году.</w:t>
      </w:r>
    </w:p>
    <w:p w14:paraId="0E64EC5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Значительная доля природоохранных затрат </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95,4%</w:t>
      </w:r>
      <w:r w:rsidRPr="00F0736F">
        <w:rPr>
          <w:rFonts w:ascii="Times New Roman" w:hAnsi="Times New Roman" w:cs="Times New Roman"/>
          <w:color w:val="000000" w:themeColor="text1"/>
          <w:lang w:val="kk-KZ"/>
        </w:rPr>
        <w:t xml:space="preserve">) осуществляется промышленными предприятими, в основном, </w:t>
      </w:r>
      <w:r w:rsidRPr="00F0736F">
        <w:rPr>
          <w:rFonts w:ascii="Times New Roman" w:hAnsi="Times New Roman" w:cs="Times New Roman"/>
          <w:color w:val="000000" w:themeColor="text1"/>
        </w:rPr>
        <w:t xml:space="preserve">за счет </w:t>
      </w:r>
      <w:r w:rsidRPr="00F0736F">
        <w:rPr>
          <w:rFonts w:ascii="Times New Roman" w:hAnsi="Times New Roman" w:cs="Times New Roman"/>
          <w:color w:val="000000" w:themeColor="text1"/>
          <w:lang w:val="kk-KZ"/>
        </w:rPr>
        <w:t xml:space="preserve">предприятий </w:t>
      </w:r>
      <w:r w:rsidRPr="00F0736F">
        <w:rPr>
          <w:rFonts w:ascii="Times New Roman" w:hAnsi="Times New Roman" w:cs="Times New Roman"/>
          <w:color w:val="000000" w:themeColor="text1"/>
        </w:rPr>
        <w:t>Алатауского и Жетысуского районов.</w:t>
      </w:r>
    </w:p>
    <w:p w14:paraId="50CB7DE0"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Основным источником загрязнения атмосферы в городе Алматы является автотранспорт.  Объем загрязнения от транспорта связан со значительным его количеством и постепенным старением автопарка города (доля машин более 7 лет в эксплуатации составляет порядка 75%, или 400 тысяч единиц). </w:t>
      </w:r>
      <w:r w:rsidRPr="00F0736F">
        <w:rPr>
          <w:rFonts w:ascii="Times New Roman" w:eastAsia="Times New Roman" w:hAnsi="Times New Roman" w:cs="Times New Roman"/>
          <w:color w:val="000000" w:themeColor="text1"/>
        </w:rPr>
        <w:t xml:space="preserve">При этом, по данным Комитета статистики, пик количества автомобилей в г. Алматы пришелся на 2011 год - 525,7 тыс. ед. </w:t>
      </w:r>
      <w:r w:rsidRPr="00F0736F">
        <w:rPr>
          <w:rFonts w:ascii="Times New Roman" w:hAnsi="Times New Roman" w:cs="Times New Roman"/>
          <w:color w:val="000000" w:themeColor="text1"/>
          <w:lang w:val="kk-KZ"/>
        </w:rPr>
        <w:t>По состоянию на 01.12.2018 г. зарегистрировано в г.Алматы 509 610 единиц, в том числе легковых автомобилей - 471100 ед, автобусов – 8315 ед, грузового автотранспорта – 30195 ед. (</w:t>
      </w:r>
      <w:r w:rsidRPr="00F0736F">
        <w:rPr>
          <w:rFonts w:ascii="Times New Roman" w:hAnsi="Times New Roman" w:cs="Times New Roman"/>
          <w:i/>
          <w:color w:val="000000" w:themeColor="text1"/>
          <w:lang w:val="kk-KZ"/>
        </w:rPr>
        <w:t>в 2017 году – 518 тыс. ед</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i/>
          <w:color w:val="000000" w:themeColor="text1"/>
          <w:lang w:val="kk-KZ"/>
        </w:rPr>
        <w:t>по состоянию на 01.12.2016 г. зарегистрировано в г.Алматы 529 295 ед</w:t>
      </w:r>
      <w:r w:rsidRPr="00F0736F">
        <w:rPr>
          <w:rFonts w:ascii="Times New Roman" w:hAnsi="Times New Roman" w:cs="Times New Roman"/>
          <w:color w:val="000000" w:themeColor="text1"/>
          <w:lang w:val="kk-KZ"/>
        </w:rPr>
        <w:t>.). П</w:t>
      </w:r>
      <w:r w:rsidRPr="00F0736F">
        <w:rPr>
          <w:rFonts w:ascii="Times New Roman" w:hAnsi="Times New Roman" w:cs="Times New Roman"/>
          <w:color w:val="000000" w:themeColor="text1"/>
        </w:rPr>
        <w:t>о данным МВД РК по состоянию на 01.11.2019г. в Алматы зарегистрированы 516 066 ед. автотранспортных средств, из них 1460 ед. на газобаллонном топливе, 17 120 ед. – на смешанном топливе, 263 ед. – имеют электропривод).</w:t>
      </w:r>
    </w:p>
    <w:p w14:paraId="29A8E40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В то же время следует отметить, что растет количество автомобилей, соответствующих современным требованиям соответствия классу Евро-5 (таблица 2.16.1.). </w:t>
      </w:r>
    </w:p>
    <w:p w14:paraId="4F40985D" w14:textId="77777777" w:rsidR="00AC1D5B" w:rsidRPr="00F0736F" w:rsidRDefault="00AC1D5B" w:rsidP="00AC1D5B">
      <w:pPr>
        <w:ind w:firstLine="709"/>
        <w:jc w:val="both"/>
        <w:rPr>
          <w:rFonts w:ascii="Times New Roman" w:hAnsi="Times New Roman" w:cs="Times New Roman"/>
          <w:color w:val="000000" w:themeColor="text1"/>
        </w:rPr>
      </w:pPr>
    </w:p>
    <w:p w14:paraId="7C220DF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Таблица 2.16.1. Соответствие автомобилей экологическим стандартам</w:t>
      </w:r>
    </w:p>
    <w:p w14:paraId="417F7375" w14:textId="77777777" w:rsidR="00AC1D5B" w:rsidRPr="00F0736F" w:rsidRDefault="00AC1D5B" w:rsidP="00AC1D5B">
      <w:pPr>
        <w:ind w:firstLine="567"/>
        <w:jc w:val="both"/>
        <w:rPr>
          <w:rFonts w:ascii="Times New Roman" w:hAnsi="Times New Roman" w:cs="Times New Roman"/>
          <w:color w:val="000000" w:themeColor="text1"/>
        </w:rPr>
      </w:pPr>
    </w:p>
    <w:tbl>
      <w:tblPr>
        <w:tblW w:w="0" w:type="auto"/>
        <w:tblInd w:w="195" w:type="dxa"/>
        <w:tblLayout w:type="fixed"/>
        <w:tblCellMar>
          <w:top w:w="15" w:type="dxa"/>
          <w:left w:w="15" w:type="dxa"/>
          <w:right w:w="15" w:type="dxa"/>
        </w:tblCellMar>
        <w:tblLook w:val="0000" w:firstRow="0" w:lastRow="0" w:firstColumn="0" w:lastColumn="0" w:noHBand="0" w:noVBand="0"/>
      </w:tblPr>
      <w:tblGrid>
        <w:gridCol w:w="3270"/>
        <w:gridCol w:w="2715"/>
        <w:gridCol w:w="3265"/>
      </w:tblGrid>
      <w:tr w:rsidR="00F0736F" w:rsidRPr="00F0736F" w14:paraId="29FE65E6" w14:textId="77777777" w:rsidTr="000B2B8A">
        <w:trPr>
          <w:trHeight w:val="190"/>
        </w:trPr>
        <w:tc>
          <w:tcPr>
            <w:tcW w:w="3270" w:type="dxa"/>
            <w:tcBorders>
              <w:top w:val="single" w:sz="8" w:space="0" w:color="000000"/>
              <w:left w:val="single" w:sz="8" w:space="0" w:color="000000"/>
              <w:bottom w:val="single" w:sz="8" w:space="0" w:color="000000"/>
            </w:tcBorders>
            <w:shd w:val="clear" w:color="auto" w:fill="auto"/>
            <w:vAlign w:val="bottom"/>
          </w:tcPr>
          <w:p w14:paraId="517D3388"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Соответствие класса АТС </w:t>
            </w:r>
          </w:p>
        </w:tc>
        <w:tc>
          <w:tcPr>
            <w:tcW w:w="2715" w:type="dxa"/>
            <w:tcBorders>
              <w:top w:val="single" w:sz="8" w:space="0" w:color="000000"/>
              <w:left w:val="single" w:sz="8" w:space="0" w:color="000000"/>
              <w:bottom w:val="single" w:sz="8" w:space="0" w:color="000000"/>
            </w:tcBorders>
            <w:shd w:val="clear" w:color="auto" w:fill="auto"/>
            <w:vAlign w:val="bottom"/>
          </w:tcPr>
          <w:p w14:paraId="4B2ED50D"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2009 </w:t>
            </w:r>
          </w:p>
        </w:tc>
        <w:tc>
          <w:tcPr>
            <w:tcW w:w="32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B03C19"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2017 </w:t>
            </w:r>
          </w:p>
        </w:tc>
      </w:tr>
      <w:tr w:rsidR="00F0736F" w:rsidRPr="00F0736F" w14:paraId="4D4A972B" w14:textId="77777777" w:rsidTr="000B2B8A">
        <w:trPr>
          <w:trHeight w:val="208"/>
        </w:trPr>
        <w:tc>
          <w:tcPr>
            <w:tcW w:w="3270" w:type="dxa"/>
            <w:tcBorders>
              <w:top w:val="single" w:sz="8" w:space="0" w:color="000000"/>
              <w:left w:val="single" w:sz="8" w:space="0" w:color="000000"/>
              <w:bottom w:val="single" w:sz="8" w:space="0" w:color="000000"/>
            </w:tcBorders>
            <w:shd w:val="clear" w:color="auto" w:fill="auto"/>
            <w:vAlign w:val="bottom"/>
          </w:tcPr>
          <w:p w14:paraId="1F97E1BA"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Евро 0 </w:t>
            </w:r>
          </w:p>
        </w:tc>
        <w:tc>
          <w:tcPr>
            <w:tcW w:w="2715" w:type="dxa"/>
            <w:tcBorders>
              <w:top w:val="single" w:sz="8" w:space="0" w:color="000000"/>
              <w:left w:val="single" w:sz="8" w:space="0" w:color="000000"/>
              <w:bottom w:val="single" w:sz="8" w:space="0" w:color="000000"/>
            </w:tcBorders>
            <w:shd w:val="clear" w:color="auto" w:fill="auto"/>
            <w:vAlign w:val="bottom"/>
          </w:tcPr>
          <w:p w14:paraId="20BB66C0"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38 - 40% </w:t>
            </w:r>
          </w:p>
        </w:tc>
        <w:tc>
          <w:tcPr>
            <w:tcW w:w="32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061A6D8"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10 - 13% </w:t>
            </w:r>
          </w:p>
        </w:tc>
      </w:tr>
      <w:tr w:rsidR="00F0736F" w:rsidRPr="00F0736F" w14:paraId="62F30837" w14:textId="77777777" w:rsidTr="000B2B8A">
        <w:trPr>
          <w:trHeight w:val="226"/>
        </w:trPr>
        <w:tc>
          <w:tcPr>
            <w:tcW w:w="3270" w:type="dxa"/>
            <w:tcBorders>
              <w:top w:val="single" w:sz="8" w:space="0" w:color="000000"/>
              <w:left w:val="single" w:sz="8" w:space="0" w:color="000000"/>
              <w:bottom w:val="single" w:sz="8" w:space="0" w:color="000000"/>
            </w:tcBorders>
            <w:shd w:val="clear" w:color="auto" w:fill="auto"/>
            <w:vAlign w:val="bottom"/>
          </w:tcPr>
          <w:p w14:paraId="41961946"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Евро 4 </w:t>
            </w:r>
          </w:p>
        </w:tc>
        <w:tc>
          <w:tcPr>
            <w:tcW w:w="2715" w:type="dxa"/>
            <w:tcBorders>
              <w:top w:val="single" w:sz="8" w:space="0" w:color="000000"/>
              <w:left w:val="single" w:sz="8" w:space="0" w:color="000000"/>
              <w:bottom w:val="single" w:sz="8" w:space="0" w:color="000000"/>
            </w:tcBorders>
            <w:shd w:val="clear" w:color="auto" w:fill="auto"/>
            <w:vAlign w:val="bottom"/>
          </w:tcPr>
          <w:p w14:paraId="3654654D"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15% </w:t>
            </w:r>
          </w:p>
        </w:tc>
        <w:tc>
          <w:tcPr>
            <w:tcW w:w="32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BF10C4"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17% </w:t>
            </w:r>
          </w:p>
        </w:tc>
      </w:tr>
      <w:tr w:rsidR="00AC1D5B" w:rsidRPr="00F0736F" w14:paraId="1758DC9F" w14:textId="77777777" w:rsidTr="000B2B8A">
        <w:trPr>
          <w:trHeight w:val="253"/>
        </w:trPr>
        <w:tc>
          <w:tcPr>
            <w:tcW w:w="3270" w:type="dxa"/>
            <w:tcBorders>
              <w:top w:val="single" w:sz="8" w:space="0" w:color="000000"/>
              <w:left w:val="single" w:sz="8" w:space="0" w:color="000000"/>
              <w:bottom w:val="single" w:sz="8" w:space="0" w:color="000000"/>
            </w:tcBorders>
            <w:shd w:val="clear" w:color="auto" w:fill="auto"/>
            <w:vAlign w:val="bottom"/>
          </w:tcPr>
          <w:p w14:paraId="208F1E18"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Евро 5 </w:t>
            </w:r>
          </w:p>
        </w:tc>
        <w:tc>
          <w:tcPr>
            <w:tcW w:w="2715" w:type="dxa"/>
            <w:tcBorders>
              <w:top w:val="single" w:sz="8" w:space="0" w:color="000000"/>
              <w:left w:val="single" w:sz="8" w:space="0" w:color="000000"/>
              <w:bottom w:val="single" w:sz="8" w:space="0" w:color="000000"/>
            </w:tcBorders>
            <w:shd w:val="clear" w:color="auto" w:fill="auto"/>
            <w:vAlign w:val="bottom"/>
          </w:tcPr>
          <w:p w14:paraId="2D8238B7"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0% </w:t>
            </w:r>
          </w:p>
        </w:tc>
        <w:tc>
          <w:tcPr>
            <w:tcW w:w="32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7C68E95" w14:textId="77777777" w:rsidR="00AC1D5B" w:rsidRPr="00F0736F" w:rsidRDefault="00AC1D5B" w:rsidP="00AC1D5B">
            <w:pPr>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25% </w:t>
            </w:r>
          </w:p>
        </w:tc>
      </w:tr>
    </w:tbl>
    <w:p w14:paraId="47148838" w14:textId="77777777" w:rsidR="00AC1D5B" w:rsidRPr="00F0736F" w:rsidRDefault="00AC1D5B" w:rsidP="00AC1D5B">
      <w:pPr>
        <w:ind w:firstLine="567"/>
        <w:jc w:val="both"/>
        <w:rPr>
          <w:rFonts w:ascii="Times New Roman" w:hAnsi="Times New Roman" w:cs="Times New Roman"/>
          <w:color w:val="000000" w:themeColor="text1"/>
        </w:rPr>
      </w:pPr>
    </w:p>
    <w:p w14:paraId="79BA989E" w14:textId="77777777" w:rsidR="00AC1D5B" w:rsidRPr="00F0736F" w:rsidRDefault="00AC1D5B" w:rsidP="00AC1D5B">
      <w:pPr>
        <w:pBdr>
          <w:top w:val="none" w:sz="0" w:space="0" w:color="000000"/>
          <w:left w:val="none" w:sz="0" w:space="0" w:color="000000"/>
          <w:bottom w:val="single" w:sz="4" w:space="0" w:color="FFFFFF"/>
          <w:right w:val="none" w:sz="0" w:space="0" w:color="000000"/>
        </w:pBdr>
        <w:overflowPunct/>
        <w:ind w:firstLine="709"/>
        <w:jc w:val="both"/>
        <w:rPr>
          <w:rFonts w:ascii="Times New Roman" w:eastAsia="font275" w:hAnsi="Times New Roman" w:cs="Times New Roman"/>
          <w:color w:val="000000" w:themeColor="text1"/>
          <w:kern w:val="0"/>
          <w:lang w:eastAsia="ru-RU" w:bidi="ar-SA"/>
        </w:rPr>
      </w:pPr>
      <w:r w:rsidRPr="00F0736F">
        <w:rPr>
          <w:rFonts w:ascii="Times New Roman" w:hAnsi="Times New Roman" w:cs="Times New Roman"/>
          <w:color w:val="000000" w:themeColor="text1"/>
        </w:rPr>
        <w:t xml:space="preserve">На состояние атмосферы города оказывают влияние выбросы ТЭЦ-3 Алматинской области, которые раньше не учитывались в балансе города. </w:t>
      </w:r>
    </w:p>
    <w:p w14:paraId="067DE228" w14:textId="77777777" w:rsidR="00AC1D5B" w:rsidRPr="00F0736F" w:rsidRDefault="00AC1D5B" w:rsidP="00AC1D5B">
      <w:pPr>
        <w:overflowPunct/>
        <w:ind w:firstLine="709"/>
        <w:contextualSpacing/>
        <w:jc w:val="both"/>
        <w:rPr>
          <w:rFonts w:ascii="Times New Roman" w:eastAsia="Calibri" w:hAnsi="Times New Roman" w:cs="Times New Roman"/>
          <w:color w:val="000000" w:themeColor="text1"/>
          <w:lang w:bidi="ar-SA"/>
        </w:rPr>
      </w:pPr>
      <w:r w:rsidRPr="00F0736F">
        <w:rPr>
          <w:rFonts w:ascii="Times New Roman" w:hAnsi="Times New Roman" w:cs="Times New Roman"/>
          <w:color w:val="000000" w:themeColor="text1"/>
        </w:rPr>
        <w:t>Также, несмотря на высокий уровень газификации города Алматы, на состояние атмосферного воздуха оказывают негативное воздействие выбросы негазифицированных регионов в 5 приграничных районах Алматинской области, где уровень составляет менее 40%.</w:t>
      </w:r>
    </w:p>
    <w:p w14:paraId="2659DCA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Снижение общего уровня загрязнения атмосферы является одной из приоритетных задач города. К </w:t>
      </w:r>
      <w:r w:rsidRPr="00F0736F">
        <w:rPr>
          <w:rFonts w:ascii="Times New Roman" w:hAnsi="Times New Roman" w:cs="Times New Roman"/>
          <w:color w:val="000000" w:themeColor="text1"/>
          <w:lang w:val="kk-KZ"/>
        </w:rPr>
        <w:t>2017</w:t>
      </w:r>
      <w:r w:rsidRPr="00F0736F">
        <w:rPr>
          <w:rFonts w:ascii="Times New Roman" w:hAnsi="Times New Roman" w:cs="Times New Roman"/>
          <w:color w:val="000000" w:themeColor="text1"/>
        </w:rPr>
        <w:t xml:space="preserve"> году были реализованы следующие проекты:</w:t>
      </w:r>
    </w:p>
    <w:p w14:paraId="60725DB0" w14:textId="77777777" w:rsidR="00AC1D5B" w:rsidRPr="00F0736F" w:rsidRDefault="00AC1D5B" w:rsidP="00AC1D5B">
      <w:pPr>
        <w:numPr>
          <w:ilvl w:val="0"/>
          <w:numId w:val="10"/>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Произведено переоборудование ТЭЦ-1 и порядка 90% котельных АО «Алматытеплокоммунэнерго» на сезонную или круглогодичную работу на природном газе;</w:t>
      </w:r>
    </w:p>
    <w:p w14:paraId="1E81082C" w14:textId="77777777" w:rsidR="00AC1D5B" w:rsidRPr="00F0736F" w:rsidRDefault="00AC1D5B" w:rsidP="00AC1D5B">
      <w:pPr>
        <w:numPr>
          <w:ilvl w:val="0"/>
          <w:numId w:val="10"/>
        </w:numPr>
        <w:ind w:left="0" w:firstLine="426"/>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 xml:space="preserve">На ТЭЦ-2 (выбросы составляют 37,1 тыс. т/год за 2019 год) введён в эксплуатацию новый котельный агрегат №8 с эмульгатором нового поколения со степенью очистки 99,5% и модернизированными горелочными устройствами для подавления окислов азота; </w:t>
      </w:r>
    </w:p>
    <w:p w14:paraId="572354A7" w14:textId="77777777" w:rsidR="00AC1D5B" w:rsidRPr="00F0736F" w:rsidRDefault="00AC1D5B" w:rsidP="00AC1D5B">
      <w:pPr>
        <w:numPr>
          <w:ilvl w:val="0"/>
          <w:numId w:val="10"/>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Завершено строительство 2-й очереди проекта по прокладке труб газопровода от АГРС к Западному тепловому комплексу;</w:t>
      </w:r>
    </w:p>
    <w:p w14:paraId="01736E40" w14:textId="77777777" w:rsidR="00AC1D5B" w:rsidRPr="00F0736F" w:rsidRDefault="00AC1D5B" w:rsidP="00AC1D5B">
      <w:pPr>
        <w:numPr>
          <w:ilvl w:val="0"/>
          <w:numId w:val="10"/>
        </w:numPr>
        <w:ind w:left="0" w:firstLine="426"/>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 </w:t>
      </w:r>
      <w:r w:rsidRPr="00F0736F">
        <w:rPr>
          <w:rFonts w:ascii="Times New Roman" w:hAnsi="Times New Roman" w:cs="Times New Roman"/>
          <w:color w:val="000000" w:themeColor="text1"/>
        </w:rPr>
        <w:t>Продолжается реализация программы по газификации частного сектора, частный жилой сектор на 99% обеспечен природным газом. Стоит вопрос о дальнейшей газификации поселков и садоводческих обществ, расположенных в пригородной зоне;</w:t>
      </w:r>
    </w:p>
    <w:p w14:paraId="44595016" w14:textId="77777777" w:rsidR="00AC1D5B" w:rsidRPr="00F0736F" w:rsidRDefault="00AC1D5B" w:rsidP="00AC1D5B">
      <w:pPr>
        <w:numPr>
          <w:ilvl w:val="0"/>
          <w:numId w:val="10"/>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В рамках развития дорожной инфраструктуры построено 4 развязки, более 40,2 км новых дорог, 13,5 км пробивок, отремонтировано 464,5 км дорог и 9 мостов. Сформировано малое транспортное кольцо: «Восточная объездная–Аль-Фараби–Саина–Рыскулова». На 10-ти улицах организовано одностороннее движение протяженностью 33 км. Это позволило сократить «traffictime» (время в пути) в центре города с 40 до 15-20 и увеличить среднюю скорость на 10 односторонних улицах с 6 до 15 км/час;</w:t>
      </w:r>
    </w:p>
    <w:p w14:paraId="316236BC" w14:textId="77777777" w:rsidR="00AC1D5B" w:rsidRPr="00F0736F" w:rsidRDefault="00AC1D5B" w:rsidP="00AC1D5B">
      <w:pPr>
        <w:numPr>
          <w:ilvl w:val="0"/>
          <w:numId w:val="10"/>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Продолжается строительство еще 4-х развязок, которые увеличат пропускную способность на 15% в северо-восточной части города;</w:t>
      </w:r>
    </w:p>
    <w:p w14:paraId="1FDA87F7" w14:textId="77777777" w:rsidR="00AC1D5B" w:rsidRPr="00F0736F" w:rsidRDefault="00AC1D5B" w:rsidP="00AC1D5B">
      <w:pPr>
        <w:numPr>
          <w:ilvl w:val="0"/>
          <w:numId w:val="10"/>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Развивается инфраструктура общественного транспорта: построен коридор скоростного автобусного транспорта (BRT) на 3-х улицах протяженностью 7,7 км. Пассажиропоток по БРТ вырос на 40% (со 100 до 140 тыс. пасс/день), время в пути сократилось на 32%;</w:t>
      </w:r>
    </w:p>
    <w:p w14:paraId="1D9ED504" w14:textId="77777777" w:rsidR="00AC1D5B" w:rsidRPr="00F0736F" w:rsidRDefault="00AC1D5B" w:rsidP="00AC1D5B">
      <w:pPr>
        <w:numPr>
          <w:ilvl w:val="0"/>
          <w:numId w:val="11"/>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Введена в эксплуатацию часть 1-й линии метрополитена (9 станций, 10,3 км). Ведется строительство 2-х новых станций на 3,1 км. Для сокращения времени ожидания и увеличения пассажиропотока ведется закуп 8 новых составов (32 вагона), которые выйдут на линию метро уже в 2020-м году;</w:t>
      </w:r>
    </w:p>
    <w:p w14:paraId="715EBC76" w14:textId="77777777" w:rsidR="00AC1D5B" w:rsidRPr="00F0736F" w:rsidRDefault="00AC1D5B" w:rsidP="00AC1D5B">
      <w:pPr>
        <w:numPr>
          <w:ilvl w:val="0"/>
          <w:numId w:val="11"/>
        </w:numPr>
        <w:tabs>
          <w:tab w:val="left" w:pos="567"/>
        </w:tabs>
        <w:suppressAutoHyphens w:val="0"/>
        <w:overflowPunct/>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Введены «выделенные полосы» для общественного транспорта, сегодня это 122 км. дорог. Скорость движения общественного транспорта на 22-х улицах выросла на 20%, пассажиропоток увеличился на 30%, время ожидания для пассажиров сократилось в 2 раза, аварийность на 40%;</w:t>
      </w:r>
    </w:p>
    <w:p w14:paraId="5A70FC0B" w14:textId="77777777" w:rsidR="00AC1D5B" w:rsidRPr="00F0736F" w:rsidRDefault="00AC1D5B" w:rsidP="00AC1D5B">
      <w:pPr>
        <w:numPr>
          <w:ilvl w:val="0"/>
          <w:numId w:val="12"/>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В 2019 году выявлено 35 637 нарушений экологических норм, из них допущено иногородним автотранспортом – 14 082, или 39,5%. По статье 334 КоАП (за превышение нормативов содержания загрязняющих веществ в выбросах) наложено штрафов на сумму 54 млн. 858 тыс.тенге, взыскано 21 млн. 468 тыс. тенге, или 39,1% (</w:t>
      </w:r>
      <w:r w:rsidRPr="00F0736F">
        <w:rPr>
          <w:rFonts w:ascii="Times New Roman" w:eastAsia="Calibri" w:hAnsi="Times New Roman" w:cs="Times New Roman"/>
          <w:i/>
          <w:color w:val="000000" w:themeColor="text1"/>
          <w:kern w:val="0"/>
          <w:lang w:eastAsia="en-US" w:bidi="ar-SA"/>
        </w:rPr>
        <w:t>в 2018 году выписано 40 тыс. штрафов (в 2017 году – 33 464; в 2016 г. - 33 556), наложено штрафов на сумму  107,5 млн. тенге, взыскано 45,5 млн.тенге (в 2017 г. - 160,6 млн. тенге; в 2016 г. - 165 млн. тенге</w:t>
      </w:r>
      <w:r w:rsidRPr="00F0736F">
        <w:rPr>
          <w:rFonts w:ascii="Times New Roman" w:eastAsia="Calibri" w:hAnsi="Times New Roman" w:cs="Times New Roman"/>
          <w:color w:val="000000" w:themeColor="text1"/>
          <w:kern w:val="0"/>
          <w:lang w:eastAsia="en-US" w:bidi="ar-SA"/>
        </w:rPr>
        <w:t>);</w:t>
      </w:r>
    </w:p>
    <w:p w14:paraId="3B821188" w14:textId="77777777" w:rsidR="00AC1D5B" w:rsidRPr="00F0736F" w:rsidRDefault="00AC1D5B" w:rsidP="00AC1D5B">
      <w:pPr>
        <w:numPr>
          <w:ilvl w:val="0"/>
          <w:numId w:val="12"/>
        </w:numPr>
        <w:tabs>
          <w:tab w:val="left" w:pos="567"/>
        </w:tabs>
        <w:suppressAutoHyphens w:val="0"/>
        <w:overflowPunct/>
        <w:ind w:left="0" w:firstLine="426"/>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 xml:space="preserve">  Продолжается работа над сохранением зеленого фонда города: на территории города в 201</w:t>
      </w:r>
      <w:r w:rsidRPr="00F0736F">
        <w:rPr>
          <w:rFonts w:ascii="Times New Roman" w:eastAsia="Calibri" w:hAnsi="Times New Roman" w:cs="Times New Roman"/>
          <w:color w:val="000000" w:themeColor="text1"/>
          <w:kern w:val="0"/>
          <w:lang w:val="kk-KZ" w:eastAsia="en-US" w:bidi="ar-SA"/>
        </w:rPr>
        <w:t>7</w:t>
      </w:r>
      <w:r w:rsidRPr="00F0736F">
        <w:rPr>
          <w:rFonts w:ascii="Times New Roman" w:eastAsia="Calibri" w:hAnsi="Times New Roman" w:cs="Times New Roman"/>
          <w:color w:val="000000" w:themeColor="text1"/>
          <w:kern w:val="0"/>
          <w:lang w:eastAsia="en-US" w:bidi="ar-SA"/>
        </w:rPr>
        <w:t xml:space="preserve"> году высажено свыше </w:t>
      </w:r>
      <w:r w:rsidRPr="00F0736F">
        <w:rPr>
          <w:rFonts w:ascii="Times New Roman" w:eastAsia="Calibri" w:hAnsi="Times New Roman" w:cs="Times New Roman"/>
          <w:color w:val="000000" w:themeColor="text1"/>
          <w:kern w:val="0"/>
          <w:lang w:val="kk-KZ" w:eastAsia="en-US" w:bidi="ar-SA"/>
        </w:rPr>
        <w:t xml:space="preserve">28 </w:t>
      </w:r>
      <w:r w:rsidRPr="00F0736F">
        <w:rPr>
          <w:rFonts w:ascii="Times New Roman" w:eastAsia="Calibri" w:hAnsi="Times New Roman" w:cs="Times New Roman"/>
          <w:color w:val="000000" w:themeColor="text1"/>
          <w:kern w:val="0"/>
          <w:lang w:eastAsia="en-US" w:bidi="ar-SA"/>
        </w:rPr>
        <w:t>тыс. ед. саженцев различных деревьев; в 2018 году – свыше 29 тысяч деревьев, в 2019 году – свыше 135 тысяч саженцев.</w:t>
      </w:r>
    </w:p>
    <w:p w14:paraId="07E75897" w14:textId="77777777" w:rsidR="00AC1D5B" w:rsidRPr="00F0736F" w:rsidRDefault="00AC1D5B" w:rsidP="00AC1D5B">
      <w:pPr>
        <w:ind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При этом имеется ряд инициатив, которые были запланированы в рамках предыдущих программ, но не были реализованы или были реализованы только частично:</w:t>
      </w:r>
    </w:p>
    <w:p w14:paraId="513E4596" w14:textId="77777777" w:rsidR="00AC1D5B" w:rsidRPr="00F0736F" w:rsidRDefault="00AC1D5B" w:rsidP="00AC1D5B">
      <w:pPr>
        <w:numPr>
          <w:ilvl w:val="0"/>
          <w:numId w:val="5"/>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Запуск 2-й линии метрополитена;</w:t>
      </w:r>
    </w:p>
    <w:p w14:paraId="5D007630" w14:textId="77777777" w:rsidR="00AC1D5B" w:rsidRPr="00F0736F" w:rsidRDefault="00AC1D5B" w:rsidP="00AC1D5B">
      <w:pPr>
        <w:numPr>
          <w:ilvl w:val="0"/>
          <w:numId w:val="5"/>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Вынос промышленных предприятий за пределы города;</w:t>
      </w:r>
    </w:p>
    <w:p w14:paraId="75C30273" w14:textId="77777777" w:rsidR="00AC1D5B" w:rsidRPr="00F0736F" w:rsidRDefault="00AC1D5B" w:rsidP="00AC1D5B">
      <w:pPr>
        <w:numPr>
          <w:ilvl w:val="0"/>
          <w:numId w:val="5"/>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Завершение строительства автодороги БАКАД (разрешение данного вопроса находится вне полномочий акимата г. Алматы и должно рассматриваться на уровне Правительства РК);</w:t>
      </w:r>
    </w:p>
    <w:p w14:paraId="5541EF03" w14:textId="77777777" w:rsidR="00AC1D5B" w:rsidRPr="00F0736F" w:rsidRDefault="00AC1D5B" w:rsidP="00AC1D5B">
      <w:pPr>
        <w:numPr>
          <w:ilvl w:val="0"/>
          <w:numId w:val="5"/>
        </w:numPr>
        <w:ind w:left="0" w:firstLine="426"/>
        <w:jc w:val="both"/>
        <w:rPr>
          <w:rFonts w:ascii="Times New Roman" w:hAnsi="Times New Roman" w:cs="Times New Roman"/>
          <w:color w:val="000000" w:themeColor="text1"/>
        </w:rPr>
      </w:pPr>
      <w:r w:rsidRPr="00F0736F">
        <w:rPr>
          <w:rFonts w:ascii="Times New Roman" w:hAnsi="Times New Roman" w:cs="Times New Roman"/>
          <w:color w:val="000000" w:themeColor="text1"/>
        </w:rPr>
        <w:t>Перевод 60% коммунального транспорта на газ.</w:t>
      </w:r>
    </w:p>
    <w:p w14:paraId="5D7B1C08" w14:textId="77777777" w:rsidR="00AC1D5B" w:rsidRPr="00F0736F" w:rsidRDefault="00AC1D5B" w:rsidP="00AC1D5B">
      <w:pPr>
        <w:tabs>
          <w:tab w:val="left" w:pos="567"/>
        </w:tabs>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Ведутся работы по экологизации общественного пассажирского транспорта: за последние 3 года обновлено 80% автобусного парка города. Вместо старых и некомфортных автобусов закуплены 1150 новых (соответствующие Евро-5), из них 135 на газе. Общий пассажиропоток увеличился за 3 года с 158,5 млн. человек до 305,5 млн. человек. </w:t>
      </w:r>
      <w:r w:rsidRPr="00F0736F">
        <w:rPr>
          <w:rFonts w:ascii="Times New Roman" w:hAnsi="Times New Roman" w:cs="Times New Roman"/>
          <w:color w:val="000000" w:themeColor="text1"/>
          <w:u w:val="single"/>
        </w:rPr>
        <w:t>В 2019 году закуплено еще 450 автобус</w:t>
      </w:r>
      <w:r w:rsidRPr="00F0736F">
        <w:rPr>
          <w:rFonts w:ascii="Times New Roman" w:hAnsi="Times New Roman" w:cs="Times New Roman"/>
          <w:color w:val="000000" w:themeColor="text1"/>
          <w:u w:val="single"/>
          <w:lang w:val="kk-KZ"/>
        </w:rPr>
        <w:t>ов</w:t>
      </w:r>
      <w:r w:rsidRPr="00F0736F">
        <w:rPr>
          <w:rFonts w:ascii="Times New Roman" w:hAnsi="Times New Roman" w:cs="Times New Roman"/>
          <w:color w:val="000000" w:themeColor="text1"/>
          <w:u w:val="single"/>
        </w:rPr>
        <w:t>, тем самым на 82% обновлен автобусный парк.</w:t>
      </w:r>
    </w:p>
    <w:p w14:paraId="56EF45D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Открыт Казахстанско-германско-гонконгский </w:t>
      </w:r>
      <w:hyperlink r:id="rId60" w:history="1">
        <w:r w:rsidRPr="00F0736F">
          <w:rPr>
            <w:rFonts w:ascii="Times New Roman" w:eastAsia="Times New Roman" w:hAnsi="Times New Roman" w:cs="Times New Roman"/>
            <w:bCs/>
            <w:color w:val="000000" w:themeColor="text1"/>
            <w:u w:val="single"/>
            <w:lang w:eastAsia="ru-RU"/>
          </w:rPr>
          <w:t>завод по сборке электроавтобусов</w:t>
        </w:r>
      </w:hyperlink>
      <w:r w:rsidRPr="00F0736F">
        <w:rPr>
          <w:rFonts w:ascii="Times New Roman" w:eastAsia="Times New Roman" w:hAnsi="Times New Roman" w:cs="Times New Roman"/>
          <w:bCs/>
          <w:color w:val="000000" w:themeColor="text1"/>
          <w:u w:val="single"/>
          <w:lang w:eastAsia="ru-RU"/>
        </w:rPr>
        <w:t xml:space="preserve"> </w:t>
      </w:r>
      <w:r w:rsidRPr="00F0736F">
        <w:rPr>
          <w:rFonts w:ascii="Times New Roman" w:hAnsi="Times New Roman" w:cs="Times New Roman"/>
          <w:color w:val="000000" w:themeColor="text1"/>
        </w:rPr>
        <w:t>III поколения. Выведены на маршруты электроавтобусы III поколения (10 ед), проводится модернизация троллейбусного парка. За счет обновления автопарка общественного транспорта снизились выбросы вредных веществ</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на 2,33 тыс. т., при этом сэкономлено 96,7 тыс. т. топлива.</w:t>
      </w:r>
    </w:p>
    <w:p w14:paraId="3457D26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Переведены на газовое топливо 138 единиц автотранспорта коммунальных предприятий.</w:t>
      </w:r>
    </w:p>
    <w:p w14:paraId="283080B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качестве стимулирующей меры перевода автотранспорта на газ АО «НК «СПК Алматы» совместно с коммерческими банками международного уровня разработана концепция льготного банковского кредитования. Предполагаемый объем инвестиций 700 млн. тенге.</w:t>
      </w:r>
    </w:p>
    <w:p w14:paraId="67C662D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Во исполнение поручения Главы государства, постановлением акимата города Алматы №2/122 организован автобусный и легковой маршрут «Медеу-Шымбулак» на такси и микроавтобусах, работающих на газовом топливе. </w:t>
      </w:r>
    </w:p>
    <w:p w14:paraId="40C9B53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с</w:t>
      </w:r>
      <w:r w:rsidRPr="00F0736F">
        <w:rPr>
          <w:rFonts w:ascii="Times New Roman" w:eastAsia="Times New Roman" w:hAnsi="Times New Roman" w:cs="Times New Roman"/>
          <w:bCs/>
          <w:color w:val="000000" w:themeColor="text1"/>
          <w:lang w:eastAsia="ru-RU"/>
        </w:rPr>
        <w:t xml:space="preserve">овместно с ЕБРР в городе завершается первый этап конкурса ГЧП </w:t>
      </w:r>
      <w:hyperlink r:id="rId61" w:history="1">
        <w:r w:rsidRPr="00F0736F">
          <w:rPr>
            <w:rFonts w:ascii="Times New Roman" w:eastAsia="Times New Roman" w:hAnsi="Times New Roman" w:cs="Times New Roman"/>
            <w:bCs/>
            <w:color w:val="000000" w:themeColor="text1"/>
            <w:u w:val="single"/>
          </w:rPr>
          <w:t>по проекту легкорельсового трамвая</w:t>
        </w:r>
      </w:hyperlink>
      <w:r w:rsidRPr="00F0736F">
        <w:rPr>
          <w:rFonts w:ascii="Times New Roman" w:eastAsia="Times New Roman" w:hAnsi="Times New Roman" w:cs="Times New Roman"/>
          <w:bCs/>
          <w:color w:val="000000" w:themeColor="text1"/>
          <w:lang w:eastAsia="ru-RU"/>
        </w:rPr>
        <w:t>. В нем участвуют японские, турецкие, французские, испанские и китайские консорциумы. Лучший из них по цене и качеству станет долгосрочным партнером города с совместной эксплуатацией на 20 лет</w:t>
      </w:r>
      <w:r w:rsidRPr="00F0736F">
        <w:rPr>
          <w:rFonts w:ascii="Times New Roman" w:eastAsia="Times New Roman" w:hAnsi="Times New Roman" w:cs="Times New Roman"/>
          <w:b/>
          <w:bCs/>
          <w:i/>
          <w:color w:val="000000" w:themeColor="text1"/>
          <w:lang w:eastAsia="ru-RU"/>
        </w:rPr>
        <w:t xml:space="preserve"> </w:t>
      </w:r>
      <w:r w:rsidRPr="00F0736F">
        <w:rPr>
          <w:rFonts w:ascii="Times New Roman" w:eastAsia="Times New Roman" w:hAnsi="Times New Roman" w:cs="Times New Roman"/>
          <w:bCs/>
          <w:color w:val="000000" w:themeColor="text1"/>
          <w:lang w:eastAsia="ru-RU"/>
        </w:rPr>
        <w:t>(</w:t>
      </w:r>
      <w:hyperlink r:id="rId62" w:history="1">
        <w:r w:rsidRPr="00F0736F">
          <w:rPr>
            <w:rFonts w:ascii="Times New Roman" w:eastAsia="Times New Roman" w:hAnsi="Times New Roman" w:cs="Times New Roman"/>
            <w:bCs/>
            <w:color w:val="000000" w:themeColor="text1"/>
            <w:u w:val="single"/>
          </w:rPr>
          <w:t>https://www.kt.kz/rus/ecology/v_almaty_gotovyatsya_vypustit_na_marshruty_pervye_10_1377884475.html</w:t>
        </w:r>
      </w:hyperlink>
      <w:r w:rsidRPr="00F0736F">
        <w:rPr>
          <w:rFonts w:ascii="Times New Roman" w:eastAsia="Times New Roman" w:hAnsi="Times New Roman" w:cs="Times New Roman"/>
          <w:bCs/>
          <w:color w:val="000000" w:themeColor="text1"/>
          <w:lang w:eastAsia="ru-RU"/>
        </w:rPr>
        <w:t xml:space="preserve"> ).</w:t>
      </w:r>
    </w:p>
    <w:p w14:paraId="15397E75" w14:textId="77777777" w:rsidR="00AC1D5B" w:rsidRPr="00F0736F" w:rsidRDefault="00AC1D5B" w:rsidP="00AC1D5B">
      <w:pPr>
        <w:ind w:firstLine="709"/>
        <w:jc w:val="both"/>
        <w:rPr>
          <w:rFonts w:ascii="Times New Roman" w:hAnsi="Times New Roman" w:cs="Times New Roman"/>
          <w:iCs/>
          <w:color w:val="000000" w:themeColor="text1"/>
        </w:rPr>
      </w:pPr>
      <w:r w:rsidRPr="00F0736F">
        <w:rPr>
          <w:rFonts w:ascii="Times New Roman" w:hAnsi="Times New Roman" w:cs="Times New Roman"/>
          <w:color w:val="000000" w:themeColor="text1"/>
        </w:rPr>
        <w:t>«Allur Auto» совместно с Оператором РОП реализуется проект по установке электро-заправочных станций для электромобилей (ЭЗС). В Алматы установлены 19 точек электро-заправочных станций. В г. Алматы на данный момент имеется 52 ед. ЭЗС, в том числе на горнолыжном курорте «Шымбулак» и на спортивном комплексе «Медео» имеется 7 ед. ЭЗС.</w:t>
      </w:r>
      <w:r w:rsidRPr="00F0736F">
        <w:rPr>
          <w:rFonts w:ascii="Times New Roman" w:hAnsi="Times New Roman" w:cs="Times New Roman"/>
          <w:color w:val="000000" w:themeColor="text1"/>
          <w:lang w:val="kk-KZ"/>
        </w:rPr>
        <w:t xml:space="preserve"> В предварительный список установки ЭЗС в г. Алматы вошли: Горнолыжный курорт «Шымбулак», Спортивный комплекс «Медео», Парк Первого Президента, Парк 28 Панфиловцев, ТРЦ </w:t>
      </w:r>
      <w:r w:rsidRPr="00F0736F">
        <w:rPr>
          <w:rFonts w:ascii="Times New Roman" w:hAnsi="Times New Roman" w:cs="Times New Roman"/>
          <w:iCs/>
          <w:color w:val="000000" w:themeColor="text1"/>
        </w:rPr>
        <w:t>ЕсентайМолл, Мега, Достык Плаза, АДК, Атакент Молл, Спутник, сеть магазинов «Магнум» и др.</w:t>
      </w:r>
    </w:p>
    <w:p w14:paraId="59B51DE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iCs/>
          <w:color w:val="000000" w:themeColor="text1"/>
        </w:rPr>
        <w:t>Также до конца т.г. будет установлено дополнительно 18 станций ЭЗС.</w:t>
      </w:r>
    </w:p>
    <w:p w14:paraId="1449FB9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Наблюдения за </w:t>
      </w:r>
      <w:r w:rsidRPr="00F0736F">
        <w:rPr>
          <w:rFonts w:ascii="Times New Roman" w:hAnsi="Times New Roman" w:cs="Times New Roman"/>
          <w:b/>
          <w:color w:val="000000" w:themeColor="text1"/>
        </w:rPr>
        <w:t>загрязнением поверхностных вод</w:t>
      </w:r>
      <w:r w:rsidRPr="00F0736F">
        <w:rPr>
          <w:rFonts w:ascii="Times New Roman" w:hAnsi="Times New Roman" w:cs="Times New Roman"/>
          <w:color w:val="000000" w:themeColor="text1"/>
        </w:rPr>
        <w:t xml:space="preserve"> на территории Алматы проводились на 4 водных объектах (реки Киши Алматы, Есентай, Улькен Алматы, оз. Улькен Алматы).</w:t>
      </w:r>
    </w:p>
    <w:p w14:paraId="7546B32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В 2017 году</w:t>
      </w:r>
      <w:r w:rsidRPr="00F0736F">
        <w:rPr>
          <w:rFonts w:ascii="Times New Roman" w:hAnsi="Times New Roman" w:cs="Times New Roman"/>
          <w:color w:val="000000" w:themeColor="text1"/>
        </w:rPr>
        <w:t xml:space="preserve"> качество поверхностных вод </w:t>
      </w:r>
      <w:r w:rsidRPr="00F0736F">
        <w:rPr>
          <w:rFonts w:ascii="Times New Roman" w:hAnsi="Times New Roman" w:cs="Times New Roman"/>
          <w:bCs/>
          <w:color w:val="000000" w:themeColor="text1"/>
        </w:rPr>
        <w:t>рек</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rPr>
        <w:t>Киши Алматы, Есентай, Улькен Алматы, оз.</w:t>
      </w:r>
      <w:r w:rsidRPr="00F0736F">
        <w:rPr>
          <w:rFonts w:ascii="Times New Roman" w:hAnsi="Times New Roman" w:cs="Times New Roman"/>
          <w:color w:val="000000" w:themeColor="text1"/>
        </w:rPr>
        <w:t xml:space="preserve"> Улькен Алматы оценивается как «умеренного уровня загрязнения». По сравнению с 2016 год</w:t>
      </w:r>
      <w:r w:rsidRPr="00F0736F">
        <w:rPr>
          <w:rFonts w:ascii="Times New Roman" w:hAnsi="Times New Roman" w:cs="Times New Roman"/>
          <w:color w:val="000000" w:themeColor="text1"/>
          <w:lang w:val="kk-KZ"/>
        </w:rPr>
        <w:t>ом</w:t>
      </w:r>
      <w:r w:rsidRPr="00F0736F">
        <w:rPr>
          <w:rFonts w:ascii="Times New Roman" w:hAnsi="Times New Roman" w:cs="Times New Roman"/>
          <w:color w:val="000000" w:themeColor="text1"/>
        </w:rPr>
        <w:t xml:space="preserve"> качество воды значительно не изменилось</w:t>
      </w:r>
      <w:r w:rsidRPr="00F0736F">
        <w:rPr>
          <w:rFonts w:ascii="Times New Roman" w:hAnsi="Times New Roman" w:cs="Times New Roman"/>
          <w:color w:val="000000" w:themeColor="text1"/>
          <w:vertAlign w:val="superscript"/>
        </w:rPr>
        <w:footnoteReference w:id="167"/>
      </w:r>
      <w:r w:rsidRPr="00F0736F">
        <w:rPr>
          <w:rFonts w:ascii="Times New Roman" w:hAnsi="Times New Roman" w:cs="Times New Roman"/>
          <w:color w:val="000000" w:themeColor="text1"/>
        </w:rPr>
        <w:t>.</w:t>
      </w:r>
    </w:p>
    <w:p w14:paraId="3454392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color w:val="000000" w:themeColor="text1"/>
        </w:rPr>
        <w:t>В 2018 году</w:t>
      </w:r>
      <w:r w:rsidRPr="00F0736F">
        <w:rPr>
          <w:rFonts w:ascii="Times New Roman" w:hAnsi="Times New Roman" w:cs="Times New Roman"/>
          <w:color w:val="000000" w:themeColor="text1"/>
        </w:rPr>
        <w:t xml:space="preserve"> качество поверхностных вод </w:t>
      </w:r>
      <w:r w:rsidRPr="00F0736F">
        <w:rPr>
          <w:rFonts w:ascii="Times New Roman" w:hAnsi="Times New Roman" w:cs="Times New Roman"/>
          <w:bCs/>
          <w:color w:val="000000" w:themeColor="text1"/>
        </w:rPr>
        <w:t>рек</w:t>
      </w:r>
      <w:r w:rsidRPr="00F0736F">
        <w:rPr>
          <w:rFonts w:ascii="Times New Roman" w:hAnsi="Times New Roman" w:cs="Times New Roman"/>
          <w:color w:val="000000" w:themeColor="text1"/>
        </w:rPr>
        <w:t xml:space="preserve"> </w:t>
      </w:r>
      <w:r w:rsidRPr="00F0736F">
        <w:rPr>
          <w:rFonts w:ascii="Times New Roman" w:hAnsi="Times New Roman" w:cs="Times New Roman"/>
          <w:bCs/>
          <w:color w:val="000000" w:themeColor="text1"/>
        </w:rPr>
        <w:t>Киши Алматы, Есентай, Улькен Алматы, оз.</w:t>
      </w:r>
      <w:r w:rsidRPr="00F0736F">
        <w:rPr>
          <w:rFonts w:ascii="Times New Roman" w:hAnsi="Times New Roman" w:cs="Times New Roman"/>
          <w:color w:val="000000" w:themeColor="text1"/>
        </w:rPr>
        <w:t xml:space="preserve"> Улькен Алматы оценивается как «умеренного уровня загрязнения». По сравнению с 2017 год</w:t>
      </w:r>
      <w:r w:rsidRPr="00F0736F">
        <w:rPr>
          <w:rFonts w:ascii="Times New Roman" w:hAnsi="Times New Roman" w:cs="Times New Roman"/>
          <w:color w:val="000000" w:themeColor="text1"/>
          <w:lang w:val="kk-KZ"/>
        </w:rPr>
        <w:t>ом</w:t>
      </w:r>
      <w:r w:rsidRPr="00F0736F">
        <w:rPr>
          <w:rFonts w:ascii="Times New Roman" w:hAnsi="Times New Roman" w:cs="Times New Roman"/>
          <w:color w:val="000000" w:themeColor="text1"/>
        </w:rPr>
        <w:t xml:space="preserve"> качество воды значительно не изменилось</w:t>
      </w:r>
      <w:r w:rsidRPr="00F0736F">
        <w:rPr>
          <w:rFonts w:ascii="Times New Roman" w:hAnsi="Times New Roman" w:cs="Times New Roman"/>
          <w:color w:val="000000" w:themeColor="text1"/>
          <w:vertAlign w:val="superscript"/>
        </w:rPr>
        <w:footnoteReference w:id="168"/>
      </w:r>
      <w:r w:rsidRPr="00F0736F">
        <w:rPr>
          <w:rFonts w:ascii="Times New Roman" w:hAnsi="Times New Roman" w:cs="Times New Roman"/>
          <w:color w:val="000000" w:themeColor="text1"/>
        </w:rPr>
        <w:t>.</w:t>
      </w:r>
    </w:p>
    <w:p w14:paraId="1E20B65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color w:val="000000" w:themeColor="text1"/>
        </w:rPr>
        <w:t>В 2019 году</w:t>
      </w:r>
      <w:r w:rsidRPr="00F0736F">
        <w:rPr>
          <w:rFonts w:ascii="Times New Roman" w:hAnsi="Times New Roman" w:cs="Times New Roman"/>
          <w:color w:val="000000" w:themeColor="text1"/>
        </w:rPr>
        <w:t xml:space="preserve"> по Единой классификации качество воды водных объектов на территории города Алматы оценивается следующим образом: 3 класс – река Киши Алматы, Есентай, Улькен Алматы; не нормируются (&gt;3 класса) – озеро Улькен Алматы</w:t>
      </w:r>
      <w:r w:rsidRPr="00F0736F">
        <w:rPr>
          <w:rFonts w:ascii="Times New Roman" w:hAnsi="Times New Roman" w:cs="Times New Roman"/>
          <w:color w:val="000000" w:themeColor="text1"/>
          <w:vertAlign w:val="superscript"/>
        </w:rPr>
        <w:footnoteReference w:id="169"/>
      </w:r>
      <w:r w:rsidRPr="00F0736F">
        <w:rPr>
          <w:rFonts w:ascii="Times New Roman" w:hAnsi="Times New Roman" w:cs="Times New Roman"/>
          <w:color w:val="000000" w:themeColor="text1"/>
        </w:rPr>
        <w:t>.</w:t>
      </w:r>
    </w:p>
    <w:p w14:paraId="67FF7A5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2017 - 2018 годах проведены плановые комплексные работы по реконструкции арычных сетей протяженностью 30 км, а также реконструкция отдельных участков русел рек и благоустройство водоохранных полос реки Есентай. В сентябре 2017 года завершены аварийно-восстановительные работы на р. Каргалы. Из местного бюджета выделены </w:t>
      </w:r>
      <w:r w:rsidRPr="00F0736F">
        <w:rPr>
          <w:rFonts w:ascii="Times New Roman" w:hAnsi="Times New Roman" w:cs="Times New Roman"/>
          <w:color w:val="000000" w:themeColor="text1"/>
          <w:lang w:val="kk-KZ"/>
        </w:rPr>
        <w:t>финансовые средства</w:t>
      </w:r>
      <w:r w:rsidRPr="00F0736F">
        <w:rPr>
          <w:rFonts w:ascii="Times New Roman" w:hAnsi="Times New Roman" w:cs="Times New Roman"/>
          <w:color w:val="000000" w:themeColor="text1"/>
        </w:rPr>
        <w:t xml:space="preserve"> в сумме </w:t>
      </w:r>
      <w:r w:rsidRPr="00F0736F">
        <w:rPr>
          <w:rFonts w:ascii="Times New Roman" w:hAnsi="Times New Roman" w:cs="Times New Roman"/>
          <w:color w:val="000000" w:themeColor="text1"/>
          <w:lang w:val="kk-KZ"/>
        </w:rPr>
        <w:t>136 млн.тг.</w:t>
      </w:r>
      <w:r w:rsidRPr="00F0736F">
        <w:rPr>
          <w:rFonts w:ascii="Times New Roman" w:hAnsi="Times New Roman" w:cs="Times New Roman"/>
          <w:color w:val="000000" w:themeColor="text1"/>
        </w:rPr>
        <w:t xml:space="preserve"> для разработки ПСД на стабилизацию русла реки Улкен Алматы, протяженностью 3,5 км. </w:t>
      </w:r>
    </w:p>
    <w:p w14:paraId="4F058D4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Ведется реконструкция отдельных участков водоохранных полос и русел рек в черте города. Так, по рекам Улкен Карасу всего 2,0 км и Киши Карасу - 2,5 км работы завершены. Проведены работы по стабилизации русел с креплением сечения реки Керенкулак и Ерменсай – в целом 2,9 км. Также произведена реконструкция отдельных участков русел р. Есентай протяженностью 1,8 км.</w:t>
      </w:r>
    </w:p>
    <w:p w14:paraId="2309108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году выполнены работы на участках общей протяженностью 10,3 км и сданы в эксплуатацию следующие объекты: </w:t>
      </w:r>
    </w:p>
    <w:p w14:paraId="2DCB753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1) «Реконструкция отдельных участков водоохранных полос и русел рек Улкен и Кіші Карасу в черте города Алматы» протяженность реконструируемого участка – 6,2 км (из них выполнены в 2019 году работы на участках протяженностью 1,61 км на р.Улькен Карасу, и Киши Карасу - 0,05 км);</w:t>
      </w:r>
    </w:p>
    <w:p w14:paraId="715D8477"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2) «Реконструкция участка водоохранной полосы и русла реки Есентай выше пр.Аль-Фараби до ул.Жамакаева Медеуского района г.Алматы»- протяженность реконструируемого участка – 2,07 км (из них выполнены в 2019 году работы на участках протяженностью 1,07 км);  По  линии ЧС выполнены работы на реке Тастыбулак - 1,083км; на реке Терисбулак - 2,45 км (из них расчистка -1,367 км).   Общая протяженность выполненных работ - 6,263 км, из них укреплено габионами и стабилизировано русло железобетоном 4,896 км, выполнены расчистка и расширение русла –1,367 км;</w:t>
      </w:r>
    </w:p>
    <w:p w14:paraId="2BAFCB3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Проведена механизированная очистка от наносов ила и песка на стабилизированных участках общей протяженностью 4 км.</w:t>
      </w:r>
    </w:p>
    <w:p w14:paraId="121475F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Итого, с учетом ранее проведенных работ по реконструкции русел и благоустройству водоохранных зон и полос общая протяженность отреконструированных участков составила 191 км;</w:t>
      </w:r>
    </w:p>
    <w:p w14:paraId="35FE754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3) «Инженерная защита от подтопления площадки строительства мечети на 7000 мест по ул. Момышулы, а также строительство  сбросного  коллектора диаметром 1000 мм с учетом перспективной застройки территории севернее пр. Рыскулова, западнее р. Боралдай в Алатауском районе г. Алматы», протяженность коллекторно-дренажной сети - 2,52 км; </w:t>
      </w:r>
    </w:p>
    <w:p w14:paraId="7DE5D18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4) «Водозаборные сооружения из поверхностных источников р. Керенкулак и подающий поливочный водопровод для полива Ботанического сада г. Алматы 1 очередь» протяженностью 2,9 км.                                                                                                                                                                                                                                                                                                          </w:t>
      </w:r>
    </w:p>
    <w:p w14:paraId="74A3EC6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мониторингу работ на водных объектах: проведены работы для ликвидации чрезвычайной ситуации природного характера и аварийно–восстановительных гидротехнических сооружений, расположенных по ул. Бухтарминская - около 700 м – стабилизация русла р. Малая Алматинка и 150 м укрепление дамбы на Аэропортовском озере с восточной стороны. </w:t>
      </w:r>
    </w:p>
    <w:p w14:paraId="4FB011E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rPr>
        <w:t xml:space="preserve">В соответствии с </w:t>
      </w:r>
      <w:r w:rsidRPr="00F0736F">
        <w:rPr>
          <w:rFonts w:ascii="Times New Roman" w:hAnsi="Times New Roman" w:cs="Times New Roman"/>
          <w:color w:val="000000" w:themeColor="text1"/>
        </w:rPr>
        <w:t xml:space="preserve">Дорожной картой «Комплекс мер по предупреждению и устранению паводковых угроз на 2017 – 2020 гг.», </w:t>
      </w:r>
      <w:r w:rsidRPr="00F0736F">
        <w:rPr>
          <w:rFonts w:ascii="Times New Roman" w:hAnsi="Times New Roman" w:cs="Times New Roman"/>
          <w:color w:val="000000" w:themeColor="text1"/>
          <w:lang w:val="kk-KZ"/>
        </w:rPr>
        <w:t xml:space="preserve">проведен </w:t>
      </w:r>
      <w:r w:rsidRPr="00F0736F">
        <w:rPr>
          <w:rFonts w:ascii="Times New Roman" w:hAnsi="Times New Roman" w:cs="Times New Roman"/>
          <w:color w:val="000000" w:themeColor="text1"/>
        </w:rPr>
        <w:t xml:space="preserve">капитальный ремонт 6-ти мостов </w:t>
      </w:r>
      <w:r w:rsidRPr="00F0736F">
        <w:rPr>
          <w:rFonts w:ascii="Times New Roman" w:hAnsi="Times New Roman" w:cs="Times New Roman"/>
          <w:color w:val="000000" w:themeColor="text1"/>
          <w:lang w:val="kk-KZ"/>
        </w:rPr>
        <w:t>на</w:t>
      </w:r>
      <w:r w:rsidRPr="00F0736F">
        <w:rPr>
          <w:rFonts w:ascii="Times New Roman" w:hAnsi="Times New Roman" w:cs="Times New Roman"/>
          <w:color w:val="000000" w:themeColor="text1"/>
        </w:rPr>
        <w:t xml:space="preserve"> реке Есентай.</w:t>
      </w:r>
    </w:p>
    <w:p w14:paraId="30AB2AC6"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результате обследований, проведенных Департаментом совместно с Казселезащитой, в городе выявлены оползнеопасные участки. По данным фактам Департаментом направлены рекомендации и ходатайства районным акимам, УГАСК и УЗО, проинформирована городская прокуратура.</w:t>
      </w:r>
    </w:p>
    <w:p w14:paraId="3194CAB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При поддержке Комитета способом трансферта денежных средств аппаратом акима города проведены работы по укреплению скальных откосов автодорог ГЭС-1-БАО и «Медеу-Шымбулак». Проведена реконструкция существующей плотины Мынжылки.</w:t>
      </w:r>
    </w:p>
    <w:p w14:paraId="3430BD3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Проводились превентивные работы по опорожнению моренных озер, через естественные сбросные каналы путем расчистки и углубления. Одновременно осуществлялась откачка воды по сифонным трубам диаметром в 3</w:t>
      </w:r>
      <w:r w:rsidRPr="00F0736F">
        <w:rPr>
          <w:rFonts w:ascii="Times New Roman" w:eastAsia="Calibri" w:hAnsi="Times New Roman" w:cs="Times New Roman"/>
          <w:color w:val="000000" w:themeColor="text1"/>
          <w:lang w:val="kk-KZ" w:eastAsia="en-US"/>
        </w:rPr>
        <w:t xml:space="preserve">15 </w:t>
      </w:r>
      <w:r w:rsidRPr="00F0736F">
        <w:rPr>
          <w:rFonts w:ascii="Times New Roman" w:eastAsia="Calibri" w:hAnsi="Times New Roman" w:cs="Times New Roman"/>
          <w:color w:val="000000" w:themeColor="text1"/>
          <w:lang w:eastAsia="en-US"/>
        </w:rPr>
        <w:t>мм, пятью насосами повышенной производительности.</w:t>
      </w:r>
      <w:r w:rsidRPr="00F0736F">
        <w:rPr>
          <w:rFonts w:ascii="Times New Roman" w:eastAsia="Calibri" w:hAnsi="Times New Roman" w:cs="Times New Roman"/>
          <w:color w:val="000000" w:themeColor="text1"/>
          <w:lang w:val="kk-KZ" w:eastAsia="en-US"/>
        </w:rPr>
        <w:t xml:space="preserve"> </w:t>
      </w:r>
    </w:p>
    <w:p w14:paraId="4CD6F94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 xml:space="preserve">В результате проведенных работ 4 озера опорожнены полностью, </w:t>
      </w:r>
      <w:r w:rsidRPr="00F0736F">
        <w:rPr>
          <w:rFonts w:ascii="Times New Roman" w:eastAsia="Calibri" w:hAnsi="Times New Roman" w:cs="Times New Roman"/>
          <w:color w:val="000000" w:themeColor="text1"/>
          <w:lang w:val="kk-KZ" w:eastAsia="en-US"/>
        </w:rPr>
        <w:t xml:space="preserve">на остальных </w:t>
      </w:r>
      <w:r w:rsidRPr="00F0736F">
        <w:rPr>
          <w:rFonts w:ascii="Times New Roman" w:eastAsia="Calibri" w:hAnsi="Times New Roman" w:cs="Times New Roman"/>
          <w:color w:val="000000" w:themeColor="text1"/>
          <w:lang w:eastAsia="en-US"/>
        </w:rPr>
        <w:t xml:space="preserve">озерах </w:t>
      </w:r>
      <w:r w:rsidRPr="00F0736F">
        <w:rPr>
          <w:rFonts w:ascii="Times New Roman" w:eastAsia="Calibri" w:hAnsi="Times New Roman" w:cs="Times New Roman"/>
          <w:color w:val="000000" w:themeColor="text1"/>
          <w:lang w:val="kk-KZ" w:eastAsia="en-US"/>
        </w:rPr>
        <w:t>уровень воды снижен от 2 до 9 метров. Всего</w:t>
      </w:r>
      <w:r w:rsidRPr="00F0736F">
        <w:rPr>
          <w:rFonts w:ascii="Times New Roman" w:eastAsia="Calibri" w:hAnsi="Times New Roman" w:cs="Times New Roman"/>
          <w:color w:val="000000" w:themeColor="text1"/>
          <w:lang w:eastAsia="en-US"/>
        </w:rPr>
        <w:t xml:space="preserve"> сброшено более 7,7 млн. куб. метров воды, при первоначальном суммарном объеме всех озер 1,5 млн. куб. метров. </w:t>
      </w:r>
    </w:p>
    <w:p w14:paraId="6E26425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Для оценки состояния моренных озер с начала селеопасного периода произведено 28 аэровизуальных облетов с привлечением авиации КЧС МВД РК и акимата города. </w:t>
      </w:r>
    </w:p>
    <w:p w14:paraId="4CCC78EC"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В рамках реализации государственной программы «Цифровой Казахстан» и создания «умного» города «</w:t>
      </w:r>
      <w:r w:rsidRPr="00F0736F">
        <w:rPr>
          <w:rFonts w:ascii="Times New Roman" w:eastAsia="Calibri" w:hAnsi="Times New Roman" w:cs="Times New Roman"/>
          <w:color w:val="000000" w:themeColor="text1"/>
          <w:lang w:val="en-US" w:eastAsia="en-US"/>
        </w:rPr>
        <w:t>Smart</w:t>
      </w:r>
      <w:r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val="en-US" w:eastAsia="en-US"/>
        </w:rPr>
        <w:t>city</w:t>
      </w:r>
      <w:r w:rsidRPr="00F0736F">
        <w:rPr>
          <w:rFonts w:ascii="Times New Roman" w:eastAsia="Calibri" w:hAnsi="Times New Roman" w:cs="Times New Roman"/>
          <w:color w:val="000000" w:themeColor="text1"/>
          <w:lang w:eastAsia="en-US"/>
        </w:rPr>
        <w:t>» проводилась работа по созданию автоматизированного мониторинга селевой опасности.</w:t>
      </w:r>
    </w:p>
    <w:p w14:paraId="5B47C3E2"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С</w:t>
      </w:r>
      <w:r w:rsidRPr="00F0736F">
        <w:rPr>
          <w:rFonts w:ascii="Times New Roman" w:eastAsia="Calibri" w:hAnsi="Times New Roman" w:cs="Times New Roman"/>
          <w:bCs/>
          <w:color w:val="000000" w:themeColor="text1"/>
          <w:lang w:eastAsia="en-US"/>
        </w:rPr>
        <w:t xml:space="preserve">овместно с </w:t>
      </w:r>
      <w:r w:rsidRPr="00F0736F">
        <w:rPr>
          <w:rFonts w:ascii="Times New Roman" w:eastAsia="Calibri" w:hAnsi="Times New Roman" w:cs="Times New Roman"/>
          <w:color w:val="000000" w:themeColor="text1"/>
          <w:lang w:eastAsia="en-US"/>
        </w:rPr>
        <w:t>Институтом географии разработана «Методика организации и функционирования автоматизированного мониторинга селевой опасности в бассейнах рек Киши и Улкен Алматы, Каргалы и Аксай». Внедрение цифрового мониторинга планируется осуществить в три этапа.</w:t>
      </w:r>
    </w:p>
    <w:p w14:paraId="6B32A03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Количество ГТС в городе составляет 35. Состояние всех ГТС удовлетворительное.</w:t>
      </w:r>
    </w:p>
    <w:p w14:paraId="103A875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Для всеобщей паспортизации объектов города по сейсмологической опасности КазНИИСА обследовано 7027 объектов. Все объекты в 3</w:t>
      </w:r>
      <w:r w:rsidRPr="00F0736F">
        <w:rPr>
          <w:rFonts w:ascii="Times New Roman" w:eastAsia="Calibri" w:hAnsi="Times New Roman" w:cs="Times New Roman"/>
          <w:color w:val="000000" w:themeColor="text1"/>
          <w:lang w:val="en-US" w:eastAsia="en-US"/>
        </w:rPr>
        <w:t>D</w:t>
      </w:r>
      <w:r w:rsidRPr="00F0736F">
        <w:rPr>
          <w:rFonts w:ascii="Times New Roman" w:eastAsia="Calibri" w:hAnsi="Times New Roman" w:cs="Times New Roman"/>
          <w:color w:val="000000" w:themeColor="text1"/>
          <w:lang w:eastAsia="en-US"/>
        </w:rPr>
        <w:t xml:space="preserve"> формате нанесены на гискарту города, что в дальнейшем также будет интегрироваться в систему «</w:t>
      </w:r>
      <w:r w:rsidRPr="00F0736F">
        <w:rPr>
          <w:rFonts w:ascii="Times New Roman" w:eastAsia="Calibri" w:hAnsi="Times New Roman" w:cs="Times New Roman"/>
          <w:color w:val="000000" w:themeColor="text1"/>
          <w:lang w:val="en-US" w:eastAsia="en-US"/>
        </w:rPr>
        <w:t>Smart</w:t>
      </w:r>
      <w:r w:rsidRPr="00F0736F">
        <w:rPr>
          <w:rFonts w:ascii="Times New Roman" w:eastAsia="Calibri" w:hAnsi="Times New Roman" w:cs="Times New Roman"/>
          <w:color w:val="000000" w:themeColor="text1"/>
          <w:lang w:eastAsia="en-US"/>
        </w:rPr>
        <w:t>-</w:t>
      </w:r>
      <w:r w:rsidRPr="00F0736F">
        <w:rPr>
          <w:rFonts w:ascii="Times New Roman" w:eastAsia="Calibri" w:hAnsi="Times New Roman" w:cs="Times New Roman"/>
          <w:color w:val="000000" w:themeColor="text1"/>
          <w:lang w:val="en-US" w:eastAsia="en-US"/>
        </w:rPr>
        <w:t>city</w:t>
      </w:r>
      <w:r w:rsidRPr="00F0736F">
        <w:rPr>
          <w:rFonts w:ascii="Times New Roman" w:eastAsia="Calibri" w:hAnsi="Times New Roman" w:cs="Times New Roman"/>
          <w:color w:val="000000" w:themeColor="text1"/>
          <w:lang w:eastAsia="en-US"/>
        </w:rPr>
        <w:t>».</w:t>
      </w:r>
    </w:p>
    <w:p w14:paraId="306741E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lang w:eastAsia="en-US"/>
        </w:rPr>
        <w:t>Институтом сейсмологии разработана</w:t>
      </w:r>
      <w:r w:rsidRPr="00F0736F">
        <w:rPr>
          <w:rFonts w:ascii="Times New Roman" w:eastAsia="Calibri" w:hAnsi="Times New Roman" w:cs="Times New Roman"/>
          <w:color w:val="000000" w:themeColor="text1"/>
          <w:lang w:val="kk-KZ" w:eastAsia="en-US"/>
        </w:rPr>
        <w:t xml:space="preserve"> карта сейсмического микрорайонирования территорий города Алматы, которая </w:t>
      </w:r>
      <w:r w:rsidRPr="00F0736F">
        <w:rPr>
          <w:rFonts w:ascii="Times New Roman" w:eastAsia="Calibri" w:hAnsi="Times New Roman" w:cs="Times New Roman"/>
          <w:color w:val="000000" w:themeColor="text1"/>
          <w:lang w:eastAsia="en-US"/>
        </w:rPr>
        <w:t>будет являться научно-методической основой для дальнейшей разработки и утверждения новых строительных норм и правил РК «Застройка города Алматы с учетом микросейсмозонирования (сейсмического районирования) в рамках международных стандартов Еврокод 8».</w:t>
      </w:r>
    </w:p>
    <w:p w14:paraId="04588D0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5426B89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Согласно данным, предоставленным акиматом города Алматы, в 2018 году образовано 477 тыс. т. ТБО, из них переработано 10,1%. В 2017 году объем образованных ТБО составил 467 тыс. т., из них переработано 10,01%. 100% населения охвачено услугами по сбору и вывозу ТБО. На территории города Алматы полигоны ТБО отсутствуют. </w:t>
      </w:r>
    </w:p>
    <w:p w14:paraId="6C83F5B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данным Департамента статистики г.Алматы, в 2019 году в городе Алматы всего образовано 489,9 тыс. т. коммунальных отходов, собранных специализированными предприятиями и индивидуальными предпринимателями по сбору и транспортировке отходов, число которых составило 63 единицы. Основная доля (87%) приходится на отходы домашних хозяйств, при этом 12,6% составили отходы производства (приравненные к бытовым), 0,3% - рыночные отходы, 0,1% - уличный мусор.</w:t>
      </w:r>
    </w:p>
    <w:p w14:paraId="1D7608D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Переданы на переработку сторонним организациям и на мусоросортировочный комплекс – 433 712 т., направлены на полигоны для захоронения - 56187 т.</w:t>
      </w:r>
    </w:p>
    <w:p w14:paraId="543D926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rPr>
        <w:t>В 2018 году в городе Алматы в рамках ГЧП реализован проект по строительству мусоросортировочного комплекса мощностью 550 тыс. т. в год</w:t>
      </w:r>
      <w:r w:rsidRPr="00F0736F">
        <w:rPr>
          <w:rFonts w:ascii="Times New Roman" w:hAnsi="Times New Roman" w:cs="Times New Roman"/>
          <w:color w:val="000000" w:themeColor="text1"/>
        </w:rPr>
        <w:t>, что позволило направлять для захоронения на полигоне только безопасные инертные и биоразлагаемые материалы. Отсортированные объемы ТБО частным партнером ТОО «Green Recycle» передаются по договорам 15 переработчикам (ТОО «Kazakhstan Waste Recycling» - макулатура; ТОО «Recycle Ecology», ТОО «Атамекен 4 плюс», ТОО «Kazvtorplast» - пластиковые отходы; ИП «Машат»-металл, ИП «Мурат» - стеклобой, ТОО «KWGE» - металл и ПЭТ и др.).</w:t>
      </w:r>
    </w:p>
    <w:p w14:paraId="5925FD5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2019 года на МСК </w:t>
      </w:r>
      <w:r w:rsidRPr="00F0736F">
        <w:rPr>
          <w:rFonts w:ascii="Times New Roman" w:hAnsi="Times New Roman" w:cs="Times New Roman"/>
          <w:color w:val="000000" w:themeColor="text1"/>
          <w:lang w:val="kk-KZ"/>
        </w:rPr>
        <w:t xml:space="preserve">принято 373 134 т. твердых бытовых отходов, отсортировано вторсырья – 27 439т. </w:t>
      </w:r>
    </w:p>
    <w:p w14:paraId="2173D0FD" w14:textId="77777777" w:rsidR="00AC1D5B" w:rsidRPr="00F0736F" w:rsidRDefault="00AC1D5B" w:rsidP="00AC1D5B">
      <w:pPr>
        <w:pBdr>
          <w:bottom w:val="single" w:sz="4" w:space="0"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предприятии будут извлекать до 50 тыс. т. вторичного сырья: картон, целлофан, стекло, пластик и металл, для дальнейшей переработки. На территории МСК организован участок по складированию и переработке отходов древесины, планируется организация участка для складирования строительных отходов.  В последующем на территории комплекса планируется создать дополнительные мощности для глубокой переработки вторичного сырья. Все это вкупе с внедрением комплексной системы управления отходами позволит снизить экологическую нагрузку на окружающую среду города.</w:t>
      </w:r>
    </w:p>
    <w:p w14:paraId="7325351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Данный мусоросортировочный комплекс является наглядным примером наследия ЭКСПО-2017 и реализован по принципу государственно-частного партнерства. Инвестором, с которым заключен долгосрочный контракт, вложено 5,4 млрд. тенге. В свою очередь, городом предоставлена земля и подведены все инженерные коммуникации.</w:t>
      </w:r>
    </w:p>
    <w:p w14:paraId="7573135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Введение предприятия с передовым итальянским оборудованием позволило создать 530 постоянных рабочих мест. Заключение долгосрочного контракта между администрацией города и консорциумом частных инвесторов позволяет выстроить эффективную модель работы предприятия. Одними из его пунктов являются постоянное обновление автопарка и автоматизация процессов. Закуплено 30 новых машин и внедрена система диспетчеризации маршрутов.</w:t>
      </w:r>
    </w:p>
    <w:p w14:paraId="5AB8E16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ТОО «Kazakhstan Wаste Recycling» при содействии акимата города Алматы и Оператора РОП установлены 26 пунктов по приему вторсырья (макулатуры и пластиковых отходов).</w:t>
      </w:r>
    </w:p>
    <w:p w14:paraId="01AC9B5E" w14:textId="77777777" w:rsidR="00AC1D5B" w:rsidRPr="00F0736F" w:rsidRDefault="00AC1D5B" w:rsidP="00AC1D5B">
      <w:pPr>
        <w:pBdr>
          <w:bottom w:val="single" w:sz="4" w:space="4"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С 2016 года на территории города Алматы функционирует современный завод ТОО «Алматы Стекло» по производству стеклотары мощностью 120 млн. бутылок в год. В 2017 году завод заключил договор с ТОО «Оператор РОП», благодаря чему начал закупать большие объемы стеклобоя, что повлекло за собой увеличение объема производства. Свою продукцию ТОО «Алматы Стекло» реализует не только в Казахстане, но и поставляет на экспорт в ряд стран СНГ. Предприятие имеет сертификат CT-KZ.</w:t>
      </w:r>
    </w:p>
    <w:p w14:paraId="55D1224A" w14:textId="77777777" w:rsidR="00AC1D5B" w:rsidRPr="00F0736F" w:rsidRDefault="00AC1D5B" w:rsidP="00AC1D5B">
      <w:pPr>
        <w:pBdr>
          <w:bottom w:val="single" w:sz="4" w:space="4"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ТОО «ECOWorld» (имеется Меморандум между акиматом и данной организацией по внедрению раздельного сбора ТБО)  и ТОО «TazaAlmaty» установлены около 350 сетчатых контейнеров, АО «Тартып» - 50 сетчатых контейнеров, ТОО «NSLabs» в гос.учреждениях и организациях города установил более 700 экобоксов для сбора пластиковых отходов, макулатуры и стеклотары. ТОО «Промтехноресурс» совместно с Оператором РОП установлены 100 спец. контейнеров для сбора электроотходов в учреждениях образования в рамках соц. проекта по экологическому просвещению и воспитанию.</w:t>
      </w:r>
    </w:p>
    <w:p w14:paraId="531D531E" w14:textId="77777777" w:rsidR="00AC1D5B" w:rsidRPr="00F0736F" w:rsidRDefault="00AC1D5B" w:rsidP="00AC1D5B">
      <w:pPr>
        <w:pBdr>
          <w:bottom w:val="single" w:sz="4" w:space="4" w:color="FFFFFF"/>
        </w:pBdr>
        <w:ind w:firstLine="709"/>
        <w:jc w:val="both"/>
        <w:rPr>
          <w:rFonts w:ascii="Times New Roman" w:hAnsi="Times New Roman" w:cs="Times New Roman"/>
          <w:color w:val="000000" w:themeColor="text1"/>
        </w:rPr>
      </w:pPr>
      <w:r w:rsidRPr="00F0736F">
        <w:rPr>
          <w:color w:val="000000" w:themeColor="text1"/>
        </w:rPr>
        <w:t>Состояние озеленения города и экологического туризма</w:t>
      </w:r>
    </w:p>
    <w:p w14:paraId="270A7566" w14:textId="77777777" w:rsidR="00AC1D5B" w:rsidRPr="00F0736F" w:rsidRDefault="00AC1D5B" w:rsidP="00AC1D5B">
      <w:pPr>
        <w:pBdr>
          <w:bottom w:val="single" w:sz="4" w:space="4"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Продолжается работа над сохранением зеленого фонда города. Площадь зеленых насаждений общего пользования составляет 3,5 кв м/чел, это дополнительный региональный показатель для города. В 2019 году высажено в счет гарантийных компенсационных обязательств свыше 135 тысяч саженцев.  </w:t>
      </w:r>
    </w:p>
    <w:p w14:paraId="5746992E" w14:textId="77777777" w:rsidR="00AC1D5B" w:rsidRPr="00F0736F" w:rsidRDefault="00AC1D5B" w:rsidP="00AC1D5B">
      <w:pPr>
        <w:pBdr>
          <w:bottom w:val="single" w:sz="4" w:space="4" w:color="FFFFFF"/>
        </w:pBd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Проведена реконструкция и благоустройство 2-х объектов, сквера в мкр. Айнабулак-2, парка «Южный». За счет средств инвестора ТОО «Алтын-Тараз» - благоустройство территории Центрального парка культуры и отдыха.   </w:t>
      </w:r>
    </w:p>
    <w:p w14:paraId="4A6F4C5B"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В целом, площади под цветниками составили в 2019 году 110 755 кв. м цветников, из них:  </w:t>
      </w:r>
    </w:p>
    <w:p w14:paraId="2AD12650"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цветники из луковичных – 18 953 кв. м;</w:t>
      </w:r>
    </w:p>
    <w:p w14:paraId="34B78A14"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ковровые – 9809 кв. м; </w:t>
      </w:r>
    </w:p>
    <w:p w14:paraId="0038F1E5"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цветники из однолетников – 45 240 кв. м;</w:t>
      </w:r>
    </w:p>
    <w:p w14:paraId="23A47C64"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розарии - 10 084 кв. м; </w:t>
      </w:r>
    </w:p>
    <w:p w14:paraId="7844C385"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канны - 7216 кв. м;</w:t>
      </w:r>
    </w:p>
    <w:p w14:paraId="010DC094"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многолетники – 2263 кв. м; </w:t>
      </w:r>
    </w:p>
    <w:p w14:paraId="07A1999A"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газоны – 15 800 кв. м; </w:t>
      </w:r>
    </w:p>
    <w:p w14:paraId="5D8E6663"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 xml:space="preserve"> - конструкция вертикального озеленения – 4337 шт.</w:t>
      </w:r>
    </w:p>
    <w:p w14:paraId="3AFAC73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Алматы является центром </w:t>
      </w:r>
      <w:r w:rsidRPr="00F0736F">
        <w:rPr>
          <w:rFonts w:ascii="Times New Roman" w:hAnsi="Times New Roman" w:cs="Times New Roman"/>
          <w:b/>
          <w:color w:val="000000" w:themeColor="text1"/>
        </w:rPr>
        <w:t>туристской индустрии</w:t>
      </w:r>
      <w:r w:rsidRPr="00F0736F">
        <w:rPr>
          <w:rFonts w:ascii="Times New Roman" w:hAnsi="Times New Roman" w:cs="Times New Roman"/>
          <w:color w:val="000000" w:themeColor="text1"/>
        </w:rPr>
        <w:t xml:space="preserve"> Казахстана, при этом у города есть потенциал для дальнейшего развития данного сектора. Это связано с географическим, территориальным и историческим расположением города, </w:t>
      </w:r>
      <w:r w:rsidRPr="00F0736F">
        <w:rPr>
          <w:rFonts w:ascii="Times New Roman" w:hAnsi="Times New Roman" w:cs="Times New Roman"/>
          <w:bCs/>
          <w:iCs/>
          <w:color w:val="000000" w:themeColor="text1"/>
        </w:rPr>
        <w:t>а также наличием достаточно развитой сервисной инфраструктуры.</w:t>
      </w:r>
    </w:p>
    <w:p w14:paraId="41B9195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2017 году всего обслужено местами размещения 969 861 человек (внутренние и въездные посетители), это почти пятая часть республиканского показателя – 5 279 406 человек (18,3%). </w:t>
      </w:r>
    </w:p>
    <w:p w14:paraId="750D02D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Почти каждый второй иностранный турист посещает город Алматы (всего по РК обслужено местами размещения въездных туристов – 891 911 человек, из них 353 626 чел. в Алматы 39,6%).</w:t>
      </w:r>
    </w:p>
    <w:p w14:paraId="0F326705"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Процентное соотношение въездных и внутренних туристов изменилось с 41,8%/58,2% в 2015 году на 36,5%/63,5% в 201</w:t>
      </w:r>
      <w:r w:rsidRPr="00F0736F">
        <w:rPr>
          <w:rFonts w:ascii="Times New Roman" w:hAnsi="Times New Roman" w:cs="Times New Roman"/>
          <w:color w:val="000000" w:themeColor="text1"/>
          <w:lang w:val="kk-KZ"/>
        </w:rPr>
        <w:t>7</w:t>
      </w:r>
      <w:r w:rsidRPr="00F0736F">
        <w:rPr>
          <w:rFonts w:ascii="Times New Roman" w:hAnsi="Times New Roman" w:cs="Times New Roman"/>
          <w:color w:val="000000" w:themeColor="text1"/>
        </w:rPr>
        <w:t xml:space="preserve"> году. Большая часть въездных туристов прибывает по линии делового туризма.</w:t>
      </w:r>
    </w:p>
    <w:p w14:paraId="1BA6E2C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объему оказанных услуг местами размещения (без учета услуг ресторанов) показал увеличение в 2015 - 2016 годах от 18,6 млрд. тенге до 19,7 млрд. тенге. В 2017 году данный показатель составил 22,5 млрд. тенге (объем РК – 108,4 млрд. тенге), почти пятая часть республиканского объема услуг, оказанных местами размещения (20,7%).</w:t>
      </w:r>
    </w:p>
    <w:p w14:paraId="6C572D2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eastAsia="en-US"/>
        </w:rPr>
        <w:t xml:space="preserve">Для развития </w:t>
      </w:r>
      <w:r w:rsidRPr="00F0736F">
        <w:rPr>
          <w:rFonts w:ascii="Times New Roman" w:hAnsi="Times New Roman" w:cs="Times New Roman"/>
          <w:color w:val="000000" w:themeColor="text1"/>
          <w:lang w:eastAsia="en-US"/>
        </w:rPr>
        <w:t xml:space="preserve">туристской индустрии </w:t>
      </w:r>
      <w:r w:rsidRPr="00F0736F">
        <w:rPr>
          <w:rFonts w:ascii="Times New Roman" w:hAnsi="Times New Roman" w:cs="Times New Roman"/>
          <w:color w:val="000000" w:themeColor="text1"/>
          <w:lang w:val="kk-KZ" w:eastAsia="en-US"/>
        </w:rPr>
        <w:t>р</w:t>
      </w:r>
      <w:r w:rsidRPr="00F0736F">
        <w:rPr>
          <w:rFonts w:ascii="Times New Roman" w:hAnsi="Times New Roman" w:cs="Times New Roman"/>
          <w:color w:val="000000" w:themeColor="text1"/>
          <w:lang w:eastAsia="en-US"/>
        </w:rPr>
        <w:t xml:space="preserve">азработана общая маркетинговая стратегия продвижения </w:t>
      </w:r>
      <w:r w:rsidRPr="00F0736F">
        <w:rPr>
          <w:rFonts w:ascii="Times New Roman" w:hAnsi="Times New Roman" w:cs="Times New Roman"/>
          <w:color w:val="000000" w:themeColor="text1"/>
          <w:lang w:val="kk-KZ" w:eastAsia="en-US"/>
        </w:rPr>
        <w:t>г.</w:t>
      </w:r>
      <w:r w:rsidRPr="00F0736F">
        <w:rPr>
          <w:rFonts w:ascii="Times New Roman" w:hAnsi="Times New Roman" w:cs="Times New Roman"/>
          <w:color w:val="000000" w:themeColor="text1"/>
          <w:lang w:eastAsia="en-US"/>
        </w:rPr>
        <w:t>Алматы, в рамках которой осуществлен редизайн туристского сайта - Visitalmaty.kz;</w:t>
      </w:r>
      <w:r w:rsidRPr="00F0736F">
        <w:rPr>
          <w:rFonts w:ascii="Times New Roman" w:eastAsia="Calibri" w:hAnsi="Times New Roman" w:cs="Times New Roman"/>
          <w:color w:val="000000" w:themeColor="text1"/>
          <w:lang w:eastAsia="en-US"/>
        </w:rPr>
        <w:t xml:space="preserve"> </w:t>
      </w:r>
      <w:r w:rsidRPr="00F0736F">
        <w:rPr>
          <w:rFonts w:ascii="Times New Roman" w:hAnsi="Times New Roman" w:cs="Times New Roman"/>
          <w:color w:val="000000" w:themeColor="text1"/>
          <w:lang w:eastAsia="en-US"/>
        </w:rPr>
        <w:t>запущены страницы в социальных сетях Facebook, Instagram</w:t>
      </w:r>
      <w:r w:rsidRPr="00F0736F">
        <w:rPr>
          <w:rFonts w:ascii="Times New Roman" w:eastAsia="Calibri" w:hAnsi="Times New Roman" w:cs="Times New Roman"/>
          <w:color w:val="000000" w:themeColor="text1"/>
          <w:lang w:eastAsia="en-US"/>
        </w:rPr>
        <w:t xml:space="preserve">, </w:t>
      </w:r>
      <w:r w:rsidRPr="00F0736F">
        <w:rPr>
          <w:rFonts w:ascii="Times New Roman" w:hAnsi="Times New Roman" w:cs="Times New Roman"/>
          <w:color w:val="000000" w:themeColor="text1"/>
          <w:lang w:eastAsia="en-US"/>
        </w:rPr>
        <w:t>Wechat, Twitter.</w:t>
      </w:r>
    </w:p>
    <w:p w14:paraId="676C463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 2016-2017 годы проведена кампания по продвижению Алматы на телеканале ВВС (Би-Би-Си), произведена ротация 4 видеороликов.</w:t>
      </w:r>
    </w:p>
    <w:p w14:paraId="3FCDF74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lang w:val="kk-KZ" w:eastAsia="en-US"/>
        </w:rPr>
        <w:t xml:space="preserve">Также за 2017 год проведен </w:t>
      </w:r>
      <w:r w:rsidRPr="00F0736F">
        <w:rPr>
          <w:rFonts w:ascii="Times New Roman" w:hAnsi="Times New Roman" w:cs="Times New Roman"/>
          <w:color w:val="000000" w:themeColor="text1"/>
          <w:lang w:eastAsia="en-US"/>
        </w:rPr>
        <w:t>информационный тур для ведущих зарубежных туроператоров из 9 стран,</w:t>
      </w:r>
      <w:r w:rsidRPr="00F0736F">
        <w:rPr>
          <w:rFonts w:ascii="Times New Roman" w:hAnsi="Times New Roman" w:cs="Times New Roman"/>
          <w:color w:val="000000" w:themeColor="text1"/>
          <w:lang w:val="kk-KZ" w:eastAsia="en-US"/>
        </w:rPr>
        <w:t xml:space="preserve"> </w:t>
      </w:r>
      <w:r w:rsidRPr="00F0736F">
        <w:rPr>
          <w:rFonts w:ascii="Times New Roman" w:hAnsi="Times New Roman" w:cs="Times New Roman"/>
          <w:color w:val="000000" w:themeColor="text1"/>
          <w:lang w:eastAsia="en-US"/>
        </w:rPr>
        <w:t>таких как  Китай, Польша, Турция, Россия, Индия, Азербайджан, Украина, Сингапур и Узбекистан.</w:t>
      </w:r>
    </w:p>
    <w:p w14:paraId="5B9550F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Проведена работа с телекомпанией Euronews, где ротированы ролики на тему «Almaty – the city of thousand colors» и фестиваль «Star of Asia» для программы «Metropolitans» , «Focus» и «Cult». </w:t>
      </w:r>
    </w:p>
    <w:p w14:paraId="0A4EECB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Анализ основных показателей развития туристской индустрии показывает наличие положительной динамики и позволяет сделать вывод о том, что у города Алматы хорошие перспективы роста как туристского центра.</w:t>
      </w:r>
    </w:p>
    <w:p w14:paraId="10DC070B" w14:textId="77777777" w:rsidR="00AC1D5B" w:rsidRPr="00F0736F" w:rsidRDefault="00AC1D5B" w:rsidP="00AC1D5B">
      <w:pPr>
        <w:widowControl w:val="0"/>
        <w:pBdr>
          <w:bottom w:val="single" w:sz="4" w:space="15" w:color="FFFFFF"/>
        </w:pBdr>
        <w:suppressAutoHyphens w:val="0"/>
        <w:overflowPunct/>
        <w:ind w:firstLine="709"/>
        <w:contextualSpacing/>
        <w:jc w:val="both"/>
        <w:rPr>
          <w:rFonts w:ascii="Times New Roman" w:eastAsia="Calibri" w:hAnsi="Times New Roman" w:cs="Times New Roman"/>
          <w:b/>
          <w:i/>
          <w:color w:val="000000" w:themeColor="text1"/>
          <w:kern w:val="0"/>
          <w:lang w:eastAsia="en-US" w:bidi="ar-SA"/>
        </w:rPr>
      </w:pPr>
      <w:r w:rsidRPr="00F0736F">
        <w:rPr>
          <w:rFonts w:ascii="Times New Roman" w:eastAsia="Calibri" w:hAnsi="Times New Roman" w:cs="Times New Roman"/>
          <w:b/>
          <w:i/>
          <w:color w:val="000000" w:themeColor="text1"/>
          <w:kern w:val="0"/>
          <w:lang w:eastAsia="en-US" w:bidi="ar-SA"/>
        </w:rPr>
        <w:t>Статистика по туристскому потоку города Алматы за 2018-2019 гг.</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542"/>
        <w:gridCol w:w="1745"/>
        <w:gridCol w:w="1755"/>
      </w:tblGrid>
      <w:tr w:rsidR="00F0736F" w:rsidRPr="00F0736F" w14:paraId="41A7A9E5" w14:textId="77777777" w:rsidTr="000B2B8A">
        <w:trPr>
          <w:jc w:val="center"/>
        </w:trPr>
        <w:tc>
          <w:tcPr>
            <w:tcW w:w="529" w:type="dxa"/>
            <w:tcBorders>
              <w:top w:val="single" w:sz="4" w:space="0" w:color="auto"/>
              <w:left w:val="single" w:sz="4" w:space="0" w:color="auto"/>
              <w:bottom w:val="single" w:sz="4" w:space="0" w:color="auto"/>
              <w:right w:val="single" w:sz="4" w:space="0" w:color="auto"/>
            </w:tcBorders>
          </w:tcPr>
          <w:p w14:paraId="6406ED50" w14:textId="77777777" w:rsidR="00AC1D5B" w:rsidRPr="00F0736F" w:rsidRDefault="00AC1D5B" w:rsidP="00AC1D5B">
            <w:pPr>
              <w:ind w:firstLine="18"/>
              <w:jc w:val="both"/>
              <w:rPr>
                <w:rFonts w:ascii="Times New Roman" w:eastAsia="Times New Roman" w:hAnsi="Times New Roman" w:cs="Times New Roman"/>
                <w:b/>
                <w:color w:val="000000" w:themeColor="text1"/>
                <w:sz w:val="22"/>
                <w:szCs w:val="22"/>
              </w:rPr>
            </w:pPr>
            <w:r w:rsidRPr="00F0736F">
              <w:rPr>
                <w:rFonts w:ascii="Times New Roman" w:eastAsia="Times New Roman" w:hAnsi="Times New Roman" w:cs="Times New Roman"/>
                <w:b/>
                <w:color w:val="000000" w:themeColor="text1"/>
                <w:sz w:val="22"/>
                <w:szCs w:val="22"/>
              </w:rPr>
              <w:t>№</w:t>
            </w:r>
          </w:p>
        </w:tc>
        <w:tc>
          <w:tcPr>
            <w:tcW w:w="5542" w:type="dxa"/>
            <w:tcBorders>
              <w:top w:val="single" w:sz="4" w:space="0" w:color="auto"/>
              <w:left w:val="single" w:sz="4" w:space="0" w:color="auto"/>
              <w:bottom w:val="single" w:sz="4" w:space="0" w:color="auto"/>
              <w:right w:val="single" w:sz="4" w:space="0" w:color="auto"/>
            </w:tcBorders>
            <w:hideMark/>
          </w:tcPr>
          <w:p w14:paraId="78CAF85E" w14:textId="77777777" w:rsidR="00AC1D5B" w:rsidRPr="00F0736F" w:rsidRDefault="00AC1D5B" w:rsidP="00AC1D5B">
            <w:pPr>
              <w:ind w:firstLine="18"/>
              <w:jc w:val="both"/>
              <w:rPr>
                <w:rFonts w:ascii="Times New Roman" w:hAnsi="Times New Roman" w:cs="Times New Roman"/>
                <w:b/>
                <w:color w:val="000000" w:themeColor="text1"/>
                <w:sz w:val="22"/>
                <w:szCs w:val="22"/>
              </w:rPr>
            </w:pPr>
            <w:r w:rsidRPr="00F0736F">
              <w:rPr>
                <w:rFonts w:ascii="Times New Roman" w:eastAsia="Times New Roman" w:hAnsi="Times New Roman" w:cs="Times New Roman"/>
                <w:b/>
                <w:color w:val="000000" w:themeColor="text1"/>
                <w:sz w:val="22"/>
                <w:szCs w:val="22"/>
              </w:rPr>
              <w:t>Наименование/годы</w:t>
            </w:r>
          </w:p>
        </w:tc>
        <w:tc>
          <w:tcPr>
            <w:tcW w:w="1745" w:type="dxa"/>
            <w:tcBorders>
              <w:top w:val="single" w:sz="4" w:space="0" w:color="auto"/>
              <w:left w:val="single" w:sz="4" w:space="0" w:color="auto"/>
              <w:bottom w:val="single" w:sz="4" w:space="0" w:color="auto"/>
              <w:right w:val="single" w:sz="4" w:space="0" w:color="auto"/>
            </w:tcBorders>
            <w:hideMark/>
          </w:tcPr>
          <w:p w14:paraId="1DA713FA" w14:textId="77777777" w:rsidR="00AC1D5B" w:rsidRPr="00F0736F" w:rsidRDefault="00AC1D5B" w:rsidP="00AC1D5B">
            <w:pPr>
              <w:ind w:firstLine="18"/>
              <w:jc w:val="center"/>
              <w:rPr>
                <w:rFonts w:ascii="Times New Roman" w:hAnsi="Times New Roman" w:cs="Times New Roman"/>
                <w:b/>
                <w:color w:val="000000" w:themeColor="text1"/>
                <w:sz w:val="22"/>
                <w:szCs w:val="22"/>
              </w:rPr>
            </w:pPr>
            <w:r w:rsidRPr="00F0736F">
              <w:rPr>
                <w:rFonts w:ascii="Times New Roman" w:hAnsi="Times New Roman" w:cs="Times New Roman"/>
                <w:b/>
                <w:color w:val="000000" w:themeColor="text1"/>
                <w:sz w:val="22"/>
                <w:szCs w:val="22"/>
              </w:rPr>
              <w:t>2018</w:t>
            </w:r>
          </w:p>
        </w:tc>
        <w:tc>
          <w:tcPr>
            <w:tcW w:w="1755" w:type="dxa"/>
            <w:tcBorders>
              <w:top w:val="single" w:sz="4" w:space="0" w:color="auto"/>
              <w:left w:val="single" w:sz="4" w:space="0" w:color="auto"/>
              <w:bottom w:val="single" w:sz="4" w:space="0" w:color="auto"/>
              <w:right w:val="single" w:sz="4" w:space="0" w:color="auto"/>
            </w:tcBorders>
          </w:tcPr>
          <w:p w14:paraId="2DB631F7" w14:textId="77777777" w:rsidR="00AC1D5B" w:rsidRPr="00F0736F" w:rsidRDefault="00AC1D5B" w:rsidP="00AC1D5B">
            <w:pPr>
              <w:ind w:firstLine="18"/>
              <w:jc w:val="center"/>
              <w:rPr>
                <w:rFonts w:ascii="Times New Roman" w:hAnsi="Times New Roman" w:cs="Times New Roman"/>
                <w:b/>
                <w:color w:val="000000" w:themeColor="text1"/>
                <w:sz w:val="22"/>
                <w:szCs w:val="22"/>
              </w:rPr>
            </w:pPr>
            <w:r w:rsidRPr="00F0736F">
              <w:rPr>
                <w:rFonts w:ascii="Times New Roman" w:hAnsi="Times New Roman" w:cs="Times New Roman"/>
                <w:b/>
                <w:color w:val="000000" w:themeColor="text1"/>
                <w:sz w:val="22"/>
                <w:szCs w:val="22"/>
              </w:rPr>
              <w:t>2019</w:t>
            </w:r>
          </w:p>
        </w:tc>
      </w:tr>
      <w:tr w:rsidR="00F0736F" w:rsidRPr="00F0736F" w14:paraId="5E53F8DB" w14:textId="77777777" w:rsidTr="000B2B8A">
        <w:trPr>
          <w:trHeight w:val="687"/>
          <w:jc w:val="center"/>
        </w:trPr>
        <w:tc>
          <w:tcPr>
            <w:tcW w:w="529" w:type="dxa"/>
            <w:tcBorders>
              <w:top w:val="single" w:sz="4" w:space="0" w:color="auto"/>
              <w:left w:val="single" w:sz="4" w:space="0" w:color="auto"/>
              <w:bottom w:val="single" w:sz="4" w:space="0" w:color="auto"/>
              <w:right w:val="single" w:sz="4" w:space="0" w:color="auto"/>
            </w:tcBorders>
          </w:tcPr>
          <w:p w14:paraId="582D95E0" w14:textId="77777777" w:rsidR="00AC1D5B" w:rsidRPr="00F0736F" w:rsidRDefault="00AC1D5B" w:rsidP="00AC1D5B">
            <w:pPr>
              <w:ind w:hanging="259"/>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1.</w:t>
            </w:r>
          </w:p>
        </w:tc>
        <w:tc>
          <w:tcPr>
            <w:tcW w:w="5542" w:type="dxa"/>
            <w:tcBorders>
              <w:top w:val="single" w:sz="4" w:space="0" w:color="auto"/>
              <w:left w:val="single" w:sz="4" w:space="0" w:color="auto"/>
              <w:bottom w:val="single" w:sz="4" w:space="0" w:color="auto"/>
              <w:right w:val="single" w:sz="4" w:space="0" w:color="auto"/>
            </w:tcBorders>
          </w:tcPr>
          <w:p w14:paraId="67DB8A7D"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Количество обслуженных посетителей в местах размещения (чел.)</w:t>
            </w:r>
          </w:p>
        </w:tc>
        <w:tc>
          <w:tcPr>
            <w:tcW w:w="1745" w:type="dxa"/>
            <w:tcBorders>
              <w:top w:val="single" w:sz="4" w:space="0" w:color="auto"/>
              <w:left w:val="single" w:sz="4" w:space="0" w:color="auto"/>
              <w:bottom w:val="single" w:sz="4" w:space="0" w:color="auto"/>
              <w:right w:val="single" w:sz="4" w:space="0" w:color="auto"/>
            </w:tcBorders>
            <w:vAlign w:val="center"/>
          </w:tcPr>
          <w:p w14:paraId="6C5CCEA0"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1 084 991</w:t>
            </w:r>
          </w:p>
          <w:p w14:paraId="3F6FBB93"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(+11,8%)</w:t>
            </w:r>
          </w:p>
        </w:tc>
        <w:tc>
          <w:tcPr>
            <w:tcW w:w="1755" w:type="dxa"/>
            <w:tcBorders>
              <w:top w:val="single" w:sz="4" w:space="0" w:color="auto"/>
              <w:left w:val="single" w:sz="4" w:space="0" w:color="auto"/>
              <w:bottom w:val="single" w:sz="4" w:space="0" w:color="auto"/>
              <w:right w:val="single" w:sz="4" w:space="0" w:color="auto"/>
            </w:tcBorders>
            <w:vAlign w:val="center"/>
          </w:tcPr>
          <w:p w14:paraId="3C7BBC29"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1 334 230</w:t>
            </w:r>
          </w:p>
          <w:p w14:paraId="71EE4EDA"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(+22,9%)</w:t>
            </w:r>
          </w:p>
        </w:tc>
      </w:tr>
      <w:tr w:rsidR="00F0736F" w:rsidRPr="00F0736F" w14:paraId="1A5F6391" w14:textId="77777777" w:rsidTr="000B2B8A">
        <w:trPr>
          <w:trHeight w:val="697"/>
          <w:jc w:val="center"/>
        </w:trPr>
        <w:tc>
          <w:tcPr>
            <w:tcW w:w="529" w:type="dxa"/>
            <w:tcBorders>
              <w:top w:val="single" w:sz="4" w:space="0" w:color="auto"/>
              <w:left w:val="single" w:sz="4" w:space="0" w:color="auto"/>
              <w:bottom w:val="single" w:sz="4" w:space="0" w:color="auto"/>
              <w:right w:val="single" w:sz="4" w:space="0" w:color="auto"/>
            </w:tcBorders>
          </w:tcPr>
          <w:p w14:paraId="567EC68B"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2.</w:t>
            </w:r>
          </w:p>
        </w:tc>
        <w:tc>
          <w:tcPr>
            <w:tcW w:w="5542" w:type="dxa"/>
            <w:tcBorders>
              <w:top w:val="single" w:sz="4" w:space="0" w:color="auto"/>
              <w:left w:val="single" w:sz="4" w:space="0" w:color="auto"/>
              <w:bottom w:val="single" w:sz="4" w:space="0" w:color="auto"/>
              <w:right w:val="single" w:sz="4" w:space="0" w:color="auto"/>
            </w:tcBorders>
          </w:tcPr>
          <w:p w14:paraId="5893AC4B"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Количество обслуженных посетителей местами размещения – резиденты (чел.)</w:t>
            </w:r>
          </w:p>
        </w:tc>
        <w:tc>
          <w:tcPr>
            <w:tcW w:w="1745" w:type="dxa"/>
            <w:tcBorders>
              <w:top w:val="single" w:sz="4" w:space="0" w:color="auto"/>
              <w:left w:val="single" w:sz="4" w:space="0" w:color="auto"/>
              <w:bottom w:val="single" w:sz="4" w:space="0" w:color="auto"/>
              <w:right w:val="single" w:sz="4" w:space="0" w:color="auto"/>
            </w:tcBorders>
            <w:vAlign w:val="center"/>
          </w:tcPr>
          <w:p w14:paraId="3445A55E"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719 854</w:t>
            </w:r>
          </w:p>
          <w:p w14:paraId="6EE5E51B"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(+16,8%)</w:t>
            </w:r>
          </w:p>
        </w:tc>
        <w:tc>
          <w:tcPr>
            <w:tcW w:w="1755" w:type="dxa"/>
            <w:tcBorders>
              <w:top w:val="single" w:sz="4" w:space="0" w:color="auto"/>
              <w:left w:val="single" w:sz="4" w:space="0" w:color="auto"/>
              <w:bottom w:val="single" w:sz="4" w:space="0" w:color="auto"/>
              <w:right w:val="single" w:sz="4" w:space="0" w:color="auto"/>
            </w:tcBorders>
            <w:vAlign w:val="center"/>
          </w:tcPr>
          <w:p w14:paraId="04933479"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898 531</w:t>
            </w:r>
          </w:p>
          <w:p w14:paraId="1E50BC95"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(+24,8%)</w:t>
            </w:r>
          </w:p>
        </w:tc>
      </w:tr>
      <w:tr w:rsidR="00F0736F" w:rsidRPr="00F0736F" w14:paraId="0319BEBF" w14:textId="77777777" w:rsidTr="000B2B8A">
        <w:trPr>
          <w:jc w:val="center"/>
        </w:trPr>
        <w:tc>
          <w:tcPr>
            <w:tcW w:w="529" w:type="dxa"/>
            <w:tcBorders>
              <w:top w:val="single" w:sz="4" w:space="0" w:color="auto"/>
              <w:left w:val="single" w:sz="4" w:space="0" w:color="auto"/>
              <w:bottom w:val="single" w:sz="4" w:space="0" w:color="auto"/>
              <w:right w:val="single" w:sz="4" w:space="0" w:color="auto"/>
            </w:tcBorders>
          </w:tcPr>
          <w:p w14:paraId="587B776F"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3.</w:t>
            </w:r>
          </w:p>
        </w:tc>
        <w:tc>
          <w:tcPr>
            <w:tcW w:w="5542" w:type="dxa"/>
            <w:tcBorders>
              <w:top w:val="single" w:sz="4" w:space="0" w:color="auto"/>
              <w:left w:val="single" w:sz="4" w:space="0" w:color="auto"/>
              <w:bottom w:val="single" w:sz="4" w:space="0" w:color="auto"/>
              <w:right w:val="single" w:sz="4" w:space="0" w:color="auto"/>
            </w:tcBorders>
            <w:hideMark/>
          </w:tcPr>
          <w:p w14:paraId="13A1BB4A"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Количество обслуженных посетителей местами размещения – нерезиденты (чел.)</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E9AB0D1"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365 137</w:t>
            </w:r>
          </w:p>
          <w:p w14:paraId="4F7E1ED6"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(+3,2%)</w:t>
            </w:r>
          </w:p>
        </w:tc>
        <w:tc>
          <w:tcPr>
            <w:tcW w:w="1755" w:type="dxa"/>
            <w:tcBorders>
              <w:top w:val="single" w:sz="4" w:space="0" w:color="auto"/>
              <w:left w:val="single" w:sz="4" w:space="0" w:color="auto"/>
              <w:bottom w:val="single" w:sz="4" w:space="0" w:color="auto"/>
              <w:right w:val="single" w:sz="4" w:space="0" w:color="auto"/>
            </w:tcBorders>
            <w:vAlign w:val="center"/>
          </w:tcPr>
          <w:p w14:paraId="3471DA93"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435 699</w:t>
            </w:r>
          </w:p>
          <w:p w14:paraId="0EDB0349"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(+19,3%)</w:t>
            </w:r>
          </w:p>
        </w:tc>
      </w:tr>
      <w:tr w:rsidR="00F0736F" w:rsidRPr="00F0736F" w14:paraId="7E3341C2" w14:textId="77777777" w:rsidTr="000B2B8A">
        <w:trPr>
          <w:jc w:val="center"/>
        </w:trPr>
        <w:tc>
          <w:tcPr>
            <w:tcW w:w="529" w:type="dxa"/>
            <w:tcBorders>
              <w:top w:val="single" w:sz="4" w:space="0" w:color="auto"/>
              <w:left w:val="single" w:sz="4" w:space="0" w:color="auto"/>
              <w:bottom w:val="single" w:sz="4" w:space="0" w:color="auto"/>
              <w:right w:val="single" w:sz="4" w:space="0" w:color="auto"/>
            </w:tcBorders>
          </w:tcPr>
          <w:p w14:paraId="0DB753D8"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4.</w:t>
            </w:r>
          </w:p>
        </w:tc>
        <w:tc>
          <w:tcPr>
            <w:tcW w:w="5542" w:type="dxa"/>
            <w:tcBorders>
              <w:top w:val="single" w:sz="4" w:space="0" w:color="auto"/>
              <w:left w:val="single" w:sz="4" w:space="0" w:color="auto"/>
              <w:bottom w:val="single" w:sz="4" w:space="0" w:color="auto"/>
              <w:right w:val="single" w:sz="4" w:space="0" w:color="auto"/>
            </w:tcBorders>
          </w:tcPr>
          <w:p w14:paraId="4D1850A0"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Количество мест размещения (ед.)</w:t>
            </w:r>
          </w:p>
        </w:tc>
        <w:tc>
          <w:tcPr>
            <w:tcW w:w="1745" w:type="dxa"/>
            <w:tcBorders>
              <w:top w:val="single" w:sz="4" w:space="0" w:color="auto"/>
              <w:left w:val="single" w:sz="4" w:space="0" w:color="auto"/>
              <w:bottom w:val="single" w:sz="4" w:space="0" w:color="auto"/>
              <w:right w:val="single" w:sz="4" w:space="0" w:color="auto"/>
            </w:tcBorders>
            <w:vAlign w:val="center"/>
          </w:tcPr>
          <w:p w14:paraId="38D9DBB9"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286</w:t>
            </w:r>
          </w:p>
          <w:p w14:paraId="18CF1AA2"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(+55,4%)</w:t>
            </w:r>
          </w:p>
        </w:tc>
        <w:tc>
          <w:tcPr>
            <w:tcW w:w="1755" w:type="dxa"/>
            <w:tcBorders>
              <w:top w:val="single" w:sz="4" w:space="0" w:color="auto"/>
              <w:left w:val="single" w:sz="4" w:space="0" w:color="auto"/>
              <w:bottom w:val="single" w:sz="4" w:space="0" w:color="auto"/>
              <w:right w:val="single" w:sz="4" w:space="0" w:color="auto"/>
            </w:tcBorders>
            <w:vAlign w:val="center"/>
          </w:tcPr>
          <w:p w14:paraId="5C3D64D5"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339</w:t>
            </w:r>
          </w:p>
          <w:p w14:paraId="3A52311F"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i/>
                <w:color w:val="000000" w:themeColor="text1"/>
                <w:sz w:val="22"/>
                <w:szCs w:val="22"/>
              </w:rPr>
              <w:t>(+18,5%)</w:t>
            </w:r>
          </w:p>
        </w:tc>
      </w:tr>
      <w:tr w:rsidR="00F0736F" w:rsidRPr="00F0736F" w14:paraId="492E3A26" w14:textId="77777777" w:rsidTr="000B2B8A">
        <w:trPr>
          <w:jc w:val="center"/>
        </w:trPr>
        <w:tc>
          <w:tcPr>
            <w:tcW w:w="529" w:type="dxa"/>
            <w:tcBorders>
              <w:top w:val="single" w:sz="4" w:space="0" w:color="auto"/>
              <w:left w:val="single" w:sz="4" w:space="0" w:color="auto"/>
              <w:bottom w:val="single" w:sz="4" w:space="0" w:color="auto"/>
              <w:right w:val="single" w:sz="4" w:space="0" w:color="auto"/>
            </w:tcBorders>
          </w:tcPr>
          <w:p w14:paraId="0F6EA4F8"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5.</w:t>
            </w:r>
          </w:p>
        </w:tc>
        <w:tc>
          <w:tcPr>
            <w:tcW w:w="5542" w:type="dxa"/>
            <w:tcBorders>
              <w:top w:val="single" w:sz="4" w:space="0" w:color="auto"/>
              <w:left w:val="single" w:sz="4" w:space="0" w:color="auto"/>
              <w:bottom w:val="single" w:sz="4" w:space="0" w:color="auto"/>
              <w:right w:val="single" w:sz="4" w:space="0" w:color="auto"/>
            </w:tcBorders>
          </w:tcPr>
          <w:p w14:paraId="22BB6A61"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Предоставлено койко-суток местами размещения (к/с)</w:t>
            </w:r>
          </w:p>
        </w:tc>
        <w:tc>
          <w:tcPr>
            <w:tcW w:w="1745" w:type="dxa"/>
            <w:tcBorders>
              <w:top w:val="single" w:sz="4" w:space="0" w:color="auto"/>
              <w:left w:val="single" w:sz="4" w:space="0" w:color="auto"/>
              <w:bottom w:val="single" w:sz="4" w:space="0" w:color="auto"/>
              <w:right w:val="single" w:sz="4" w:space="0" w:color="auto"/>
            </w:tcBorders>
            <w:vAlign w:val="center"/>
          </w:tcPr>
          <w:p w14:paraId="0AECCC21"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1 719 971</w:t>
            </w:r>
          </w:p>
          <w:p w14:paraId="395FCD01" w14:textId="77777777" w:rsidR="00AC1D5B" w:rsidRPr="00F0736F" w:rsidRDefault="00AC1D5B" w:rsidP="00AC1D5B">
            <w:pPr>
              <w:ind w:firstLine="52"/>
              <w:jc w:val="center"/>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(+5,6%)</w:t>
            </w:r>
          </w:p>
        </w:tc>
        <w:tc>
          <w:tcPr>
            <w:tcW w:w="1755" w:type="dxa"/>
            <w:tcBorders>
              <w:top w:val="single" w:sz="4" w:space="0" w:color="auto"/>
              <w:left w:val="single" w:sz="4" w:space="0" w:color="auto"/>
              <w:bottom w:val="single" w:sz="4" w:space="0" w:color="auto"/>
              <w:right w:val="single" w:sz="4" w:space="0" w:color="auto"/>
            </w:tcBorders>
            <w:vAlign w:val="center"/>
          </w:tcPr>
          <w:p w14:paraId="2B486FFD"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1 953 639</w:t>
            </w:r>
          </w:p>
          <w:p w14:paraId="14FD0179" w14:textId="77777777" w:rsidR="00AC1D5B" w:rsidRPr="00F0736F" w:rsidRDefault="00AC1D5B" w:rsidP="00AC1D5B">
            <w:pPr>
              <w:ind w:firstLine="52"/>
              <w:jc w:val="center"/>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(+13,5%)</w:t>
            </w:r>
          </w:p>
        </w:tc>
      </w:tr>
      <w:tr w:rsidR="00F0736F" w:rsidRPr="00F0736F" w14:paraId="3C3639D1" w14:textId="77777777" w:rsidTr="000B2B8A">
        <w:trPr>
          <w:jc w:val="center"/>
        </w:trPr>
        <w:tc>
          <w:tcPr>
            <w:tcW w:w="529" w:type="dxa"/>
            <w:tcBorders>
              <w:top w:val="single" w:sz="4" w:space="0" w:color="auto"/>
              <w:left w:val="single" w:sz="4" w:space="0" w:color="auto"/>
              <w:bottom w:val="single" w:sz="4" w:space="0" w:color="auto"/>
              <w:right w:val="single" w:sz="4" w:space="0" w:color="auto"/>
            </w:tcBorders>
          </w:tcPr>
          <w:p w14:paraId="0D79B0AE"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6.</w:t>
            </w:r>
          </w:p>
        </w:tc>
        <w:tc>
          <w:tcPr>
            <w:tcW w:w="5542" w:type="dxa"/>
            <w:tcBorders>
              <w:top w:val="single" w:sz="4" w:space="0" w:color="auto"/>
              <w:left w:val="single" w:sz="4" w:space="0" w:color="auto"/>
              <w:bottom w:val="single" w:sz="4" w:space="0" w:color="auto"/>
              <w:right w:val="single" w:sz="4" w:space="0" w:color="auto"/>
            </w:tcBorders>
          </w:tcPr>
          <w:p w14:paraId="107BB3C5"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Объем услуг, оказанный местами размещения</w:t>
            </w:r>
          </w:p>
          <w:p w14:paraId="74AC34A6" w14:textId="77777777" w:rsidR="00AC1D5B" w:rsidRPr="00F0736F" w:rsidRDefault="00AC1D5B" w:rsidP="00AC1D5B">
            <w:pPr>
              <w:ind w:firstLine="18"/>
              <w:jc w:val="both"/>
              <w:rPr>
                <w:rFonts w:ascii="Times New Roman" w:eastAsia="Times New Roman" w:hAnsi="Times New Roman" w:cs="Times New Roman"/>
                <w:color w:val="000000" w:themeColor="text1"/>
                <w:sz w:val="22"/>
                <w:szCs w:val="22"/>
              </w:rPr>
            </w:pPr>
            <w:r w:rsidRPr="00F0736F">
              <w:rPr>
                <w:rFonts w:ascii="Times New Roman" w:eastAsia="Times New Roman" w:hAnsi="Times New Roman" w:cs="Times New Roman"/>
                <w:color w:val="000000" w:themeColor="text1"/>
                <w:sz w:val="22"/>
                <w:szCs w:val="22"/>
              </w:rPr>
              <w:t>(тыс. тг.)</w:t>
            </w:r>
          </w:p>
        </w:tc>
        <w:tc>
          <w:tcPr>
            <w:tcW w:w="1745" w:type="dxa"/>
            <w:tcBorders>
              <w:top w:val="single" w:sz="4" w:space="0" w:color="auto"/>
              <w:left w:val="single" w:sz="4" w:space="0" w:color="auto"/>
              <w:bottom w:val="single" w:sz="4" w:space="0" w:color="auto"/>
              <w:right w:val="single" w:sz="4" w:space="0" w:color="auto"/>
            </w:tcBorders>
            <w:vAlign w:val="center"/>
          </w:tcPr>
          <w:p w14:paraId="0D6CCB54"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25 710 759,7</w:t>
            </w:r>
          </w:p>
          <w:p w14:paraId="21C11548" w14:textId="77777777" w:rsidR="00AC1D5B" w:rsidRPr="00F0736F" w:rsidRDefault="00AC1D5B" w:rsidP="00AC1D5B">
            <w:pPr>
              <w:ind w:firstLine="52"/>
              <w:jc w:val="center"/>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(+14,3%)</w:t>
            </w:r>
          </w:p>
        </w:tc>
        <w:tc>
          <w:tcPr>
            <w:tcW w:w="1755" w:type="dxa"/>
            <w:tcBorders>
              <w:top w:val="single" w:sz="4" w:space="0" w:color="auto"/>
              <w:left w:val="single" w:sz="4" w:space="0" w:color="auto"/>
              <w:bottom w:val="single" w:sz="4" w:space="0" w:color="auto"/>
              <w:right w:val="single" w:sz="4" w:space="0" w:color="auto"/>
            </w:tcBorders>
            <w:vAlign w:val="center"/>
          </w:tcPr>
          <w:p w14:paraId="075A34BD" w14:textId="77777777" w:rsidR="00AC1D5B" w:rsidRPr="00F0736F" w:rsidRDefault="00AC1D5B" w:rsidP="00AC1D5B">
            <w:pPr>
              <w:ind w:firstLine="52"/>
              <w:jc w:val="center"/>
              <w:rPr>
                <w:rFonts w:ascii="Times New Roman" w:hAnsi="Times New Roman" w:cs="Times New Roman"/>
                <w:color w:val="000000" w:themeColor="text1"/>
                <w:sz w:val="22"/>
                <w:szCs w:val="22"/>
              </w:rPr>
            </w:pPr>
            <w:r w:rsidRPr="00F0736F">
              <w:rPr>
                <w:rFonts w:ascii="Times New Roman" w:hAnsi="Times New Roman" w:cs="Times New Roman"/>
                <w:color w:val="000000" w:themeColor="text1"/>
                <w:sz w:val="22"/>
                <w:szCs w:val="22"/>
              </w:rPr>
              <w:t>32 293 595,3</w:t>
            </w:r>
          </w:p>
          <w:p w14:paraId="2AA5F860" w14:textId="77777777" w:rsidR="00AC1D5B" w:rsidRPr="00F0736F" w:rsidRDefault="00AC1D5B" w:rsidP="00AC1D5B">
            <w:pPr>
              <w:ind w:firstLine="52"/>
              <w:jc w:val="center"/>
              <w:rPr>
                <w:rFonts w:ascii="Times New Roman" w:hAnsi="Times New Roman" w:cs="Times New Roman"/>
                <w:i/>
                <w:color w:val="000000" w:themeColor="text1"/>
                <w:sz w:val="22"/>
                <w:szCs w:val="22"/>
              </w:rPr>
            </w:pPr>
            <w:r w:rsidRPr="00F0736F">
              <w:rPr>
                <w:rFonts w:ascii="Times New Roman" w:hAnsi="Times New Roman" w:cs="Times New Roman"/>
                <w:i/>
                <w:color w:val="000000" w:themeColor="text1"/>
                <w:sz w:val="22"/>
                <w:szCs w:val="22"/>
              </w:rPr>
              <w:t>(+25,6%)</w:t>
            </w:r>
          </w:p>
        </w:tc>
      </w:tr>
    </w:tbl>
    <w:p w14:paraId="0754D096" w14:textId="77777777" w:rsidR="00AC1D5B" w:rsidRPr="00F0736F" w:rsidRDefault="00AC1D5B" w:rsidP="00AC1D5B">
      <w:pPr>
        <w:ind w:firstLine="709"/>
        <w:jc w:val="both"/>
        <w:rPr>
          <w:rFonts w:ascii="Times New Roman" w:hAnsi="Times New Roman" w:cs="Times New Roman"/>
          <w:color w:val="000000" w:themeColor="text1"/>
          <w:sz w:val="22"/>
          <w:szCs w:val="22"/>
        </w:rPr>
      </w:pPr>
      <w:r w:rsidRPr="00F0736F">
        <w:rPr>
          <w:rFonts w:ascii="Times New Roman" w:hAnsi="Times New Roman" w:cs="Times New Roman"/>
          <w:i/>
          <w:iCs/>
          <w:color w:val="000000" w:themeColor="text1"/>
          <w:sz w:val="22"/>
          <w:szCs w:val="22"/>
        </w:rPr>
        <w:t>Источник: Основные показатели за 2018-2019 годы Комитета по статистике МНЭ РК.</w:t>
      </w:r>
    </w:p>
    <w:p w14:paraId="5BD2ACCF" w14:textId="77777777" w:rsidR="00AC1D5B" w:rsidRPr="00F0736F" w:rsidRDefault="00AC1D5B" w:rsidP="00AC1D5B">
      <w:pPr>
        <w:ind w:firstLine="709"/>
        <w:contextualSpacing/>
        <w:jc w:val="both"/>
        <w:rPr>
          <w:rFonts w:ascii="Times New Roman" w:hAnsi="Times New Roman" w:cs="Times New Roman"/>
          <w:b/>
          <w:color w:val="000000" w:themeColor="text1"/>
        </w:rPr>
      </w:pPr>
    </w:p>
    <w:p w14:paraId="3C3C6262" w14:textId="77777777" w:rsidR="00AC1D5B" w:rsidRPr="00F0736F" w:rsidRDefault="00AC1D5B" w:rsidP="00AC1D5B">
      <w:pPr>
        <w:ind w:firstLine="709"/>
        <w:contextualSpacing/>
        <w:jc w:val="both"/>
        <w:rPr>
          <w:rFonts w:ascii="Times New Roman" w:hAnsi="Times New Roman" w:cs="Times New Roman"/>
          <w:color w:val="000000" w:themeColor="text1"/>
        </w:rPr>
      </w:pPr>
      <w:r w:rsidRPr="00F0736F">
        <w:rPr>
          <w:rFonts w:ascii="Times New Roman" w:hAnsi="Times New Roman" w:cs="Times New Roman"/>
          <w:b/>
          <w:color w:val="000000" w:themeColor="text1"/>
        </w:rPr>
        <w:t>Маркетинговое продвижение</w:t>
      </w:r>
    </w:p>
    <w:p w14:paraId="739713A1"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shd w:val="clear" w:color="auto" w:fill="FFFFFF"/>
        </w:rPr>
      </w:pPr>
      <w:r w:rsidRPr="00F0736F">
        <w:rPr>
          <w:rFonts w:ascii="Times New Roman" w:hAnsi="Times New Roman" w:cs="Times New Roman"/>
          <w:color w:val="000000" w:themeColor="text1"/>
        </w:rPr>
        <w:t>В рамках маркетингового продвижения в 2018 году были проведены 2 инфотура для зарубежных туроператоров, принято участие на 7 международных выставках по туризму</w:t>
      </w:r>
      <w:r w:rsidRPr="00F0736F">
        <w:rPr>
          <w:rFonts w:ascii="Times New Roman" w:hAnsi="Times New Roman" w:cs="Times New Roman"/>
          <w:color w:val="000000" w:themeColor="text1"/>
          <w:shd w:val="clear" w:color="auto" w:fill="FFFFFF"/>
        </w:rPr>
        <w:t>.</w:t>
      </w:r>
    </w:p>
    <w:p w14:paraId="05D8F304"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Также в 2018 году международной профессиональной континентальной велокомандой «AppleTeam», которая представляет город Алматы, принято участие в 9 международных гонках, под эгидой Всемирной федерации велоспорта </w:t>
      </w:r>
      <w:r w:rsidRPr="00F0736F">
        <w:rPr>
          <w:rFonts w:ascii="Times New Roman" w:hAnsi="Times New Roman" w:cs="Times New Roman"/>
          <w:i/>
          <w:color w:val="000000" w:themeColor="text1"/>
        </w:rPr>
        <w:t>(в Турции, Украине, Словакии, Румынии, Латвии, Литве, Эстонии, Венгрии)</w:t>
      </w:r>
      <w:r w:rsidRPr="00F0736F">
        <w:rPr>
          <w:rFonts w:ascii="Times New Roman" w:hAnsi="Times New Roman" w:cs="Times New Roman"/>
          <w:color w:val="000000" w:themeColor="text1"/>
        </w:rPr>
        <w:t xml:space="preserve">. </w:t>
      </w:r>
    </w:p>
    <w:p w14:paraId="6EEF86BD"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С целью развития инновационных проектов в туризме проведен проект «AlmatyTravelLab». Это серия из пяти хакатонов, направленных на развитие туристического потенциала через цифровые инструменты. Таким образом, были проведены 5 хакатонов в рамках серий выставок AlmatyTravelLab: «Stopover», «Городские прогулки», «Горные маршруты», «TravelData», «KokZhailauChallenge».</w:t>
      </w:r>
    </w:p>
    <w:p w14:paraId="7610F9E4"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hAnsi="Times New Roman" w:cs="Times New Roman"/>
          <w:color w:val="000000" w:themeColor="text1"/>
        </w:rPr>
        <w:t>Кроме того, для развития событийного туризма в 2018 году проведен второй сезон крупнейшего в Центральной Азии недели моды «AlmatySauvageFashionWeekend 2018» с участием международных брендов. В рамках мероприятия лучшие бренды Европы представили свои коллекции в Казахстане с традиционным выходом дизайнеров.</w:t>
      </w:r>
    </w:p>
    <w:p w14:paraId="044F9C23"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целях развития внутреннего туризма проведена рекламная кампания в интернете «Я и ты – на выходные в Алматы!» в таких городах, как Нур-Султан, Караганда, Павлодар, Шымкент, Усть-Каменогорск, Актобе и Атырау. Общий охват аудитории от проведения данной рекламной кампании в социальных сетях составил 9 млн. просмотров.</w:t>
      </w:r>
    </w:p>
    <w:p w14:paraId="7D25AB60"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Для повышения уровня информирования туристов о городе Алматы ежегодно разрабатывается и распространяется печатно-полиграфическая продукция о городе, как чек-лист «Алматы 72», информационно-туристская карта города Алматы, брошюра «WelcometoAlmaty», 100 впечатлений.</w:t>
      </w:r>
    </w:p>
    <w:p w14:paraId="292C78B7"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Также для удобства туристов разработана карта AlmatyPass, дающая возможность посетить основные достопримечательности, получить скидки в 7 гостиницах и 2 хостелах, 11 ресторанах и 6 объектах развлечения, пользоваться общественным транспортом неограниченное количество раз.</w:t>
      </w:r>
    </w:p>
    <w:p w14:paraId="2A1FBB41"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hAnsi="Times New Roman" w:cs="Times New Roman"/>
          <w:b/>
          <w:color w:val="000000" w:themeColor="text1"/>
        </w:rPr>
        <w:t>Развитие туристской инфраструктуры</w:t>
      </w:r>
    </w:p>
    <w:p w14:paraId="1E5F7DFD"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bCs/>
          <w:color w:val="000000" w:themeColor="text1"/>
        </w:rPr>
        <w:t xml:space="preserve">В ноябре 2018 года в спорткомплексе «Балуан Шолак» создан туристский хаб, в котором расположены туристские операторы, агентства по недвижимости, ремесленный центр, зоны отдыха для туристов и т.д. </w:t>
      </w:r>
    </w:p>
    <w:p w14:paraId="5071106D"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bCs/>
          <w:color w:val="000000" w:themeColor="text1"/>
        </w:rPr>
        <w:t xml:space="preserve">Завершена работа по благоустройству </w:t>
      </w:r>
      <w:r w:rsidRPr="00F0736F">
        <w:rPr>
          <w:rFonts w:ascii="Times New Roman" w:hAnsi="Times New Roman" w:cs="Times New Roman"/>
          <w:b/>
          <w:bCs/>
          <w:color w:val="000000" w:themeColor="text1"/>
        </w:rPr>
        <w:t xml:space="preserve">8 туристских объектов </w:t>
      </w:r>
      <w:r w:rsidRPr="00F0736F">
        <w:rPr>
          <w:rFonts w:ascii="Times New Roman" w:hAnsi="Times New Roman" w:cs="Times New Roman"/>
          <w:bCs/>
          <w:color w:val="000000" w:themeColor="text1"/>
        </w:rPr>
        <w:t>(</w:t>
      </w:r>
      <w:r w:rsidRPr="00F0736F">
        <w:rPr>
          <w:rFonts w:ascii="Times New Roman" w:hAnsi="Times New Roman" w:cs="Times New Roman"/>
          <w:bCs/>
          <w:i/>
          <w:color w:val="000000" w:themeColor="text1"/>
        </w:rPr>
        <w:t>Медео, Кок-тобе, Парк им.Первого Президента, Роща Баума, ул.Панфилова (уг. ул. Айтекеби), Госцирк, Музей им.Кастеева, Музей Алматы, Терренкур, Зеленый базар, Музей им.Ыхласа, Центральный госмузей),</w:t>
      </w:r>
      <w:r w:rsidRPr="00F0736F">
        <w:rPr>
          <w:rFonts w:ascii="Times New Roman" w:hAnsi="Times New Roman" w:cs="Times New Roman"/>
          <w:bCs/>
          <w:color w:val="000000" w:themeColor="text1"/>
        </w:rPr>
        <w:t>установлены скамейки с урнами, велопарковки, общественные туалеты, инфощиты, вазоны, болларды.</w:t>
      </w:r>
    </w:p>
    <w:p w14:paraId="1C90044F"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color w:val="000000" w:themeColor="text1"/>
        </w:rPr>
      </w:pPr>
      <w:r w:rsidRPr="00F0736F">
        <w:rPr>
          <w:rFonts w:ascii="Times New Roman" w:eastAsia="Times New Roman" w:hAnsi="Times New Roman" w:cs="Times New Roman"/>
          <w:color w:val="000000" w:themeColor="text1"/>
        </w:rPr>
        <w:t xml:space="preserve">В целях развития новых туристских маршрутов акиматом завершена работа по благоустройству </w:t>
      </w:r>
      <w:r w:rsidRPr="00F0736F">
        <w:rPr>
          <w:rFonts w:ascii="Times New Roman" w:eastAsia="Times New Roman" w:hAnsi="Times New Roman" w:cs="Times New Roman"/>
          <w:b/>
          <w:color w:val="000000" w:themeColor="text1"/>
        </w:rPr>
        <w:t>9 туристских маршрутов и троп.</w:t>
      </w:r>
    </w:p>
    <w:p w14:paraId="5C0214F4"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Для развития культурного и этнографического туризма презентован археологический комплекс </w:t>
      </w:r>
      <w:r w:rsidRPr="00F0736F">
        <w:rPr>
          <w:rFonts w:ascii="Times New Roman" w:hAnsi="Times New Roman" w:cs="Times New Roman"/>
          <w:b/>
          <w:color w:val="000000" w:themeColor="text1"/>
        </w:rPr>
        <w:t>«Боролдайские Сакские Курганы»</w:t>
      </w:r>
      <w:r w:rsidRPr="00F0736F">
        <w:rPr>
          <w:rFonts w:ascii="Times New Roman" w:hAnsi="Times New Roman" w:cs="Times New Roman"/>
          <w:color w:val="000000" w:themeColor="text1"/>
        </w:rPr>
        <w:t xml:space="preserve"> организованный в рамках программы по модернизации общественного сознания «Болашаққа бағдар: Рухани Жаңғыру». </w:t>
      </w:r>
    </w:p>
    <w:p w14:paraId="56EAAEB4"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color w:val="000000" w:themeColor="text1"/>
          <w:u w:val="single"/>
        </w:rPr>
      </w:pPr>
      <w:r w:rsidRPr="00F0736F">
        <w:rPr>
          <w:rFonts w:ascii="Times New Roman" w:eastAsia="Times New Roman" w:hAnsi="Times New Roman" w:cs="Times New Roman"/>
          <w:color w:val="000000" w:themeColor="text1"/>
        </w:rPr>
        <w:t xml:space="preserve">Кроме того, для комфортного пребывания туристов размещены </w:t>
      </w:r>
      <w:r w:rsidRPr="00F0736F">
        <w:rPr>
          <w:rFonts w:ascii="Times New Roman" w:eastAsia="Times New Roman" w:hAnsi="Times New Roman" w:cs="Times New Roman"/>
          <w:b/>
          <w:color w:val="000000" w:themeColor="text1"/>
        </w:rPr>
        <w:t>1560 памяток</w:t>
      </w:r>
      <w:r w:rsidRPr="00F0736F">
        <w:rPr>
          <w:rFonts w:ascii="Times New Roman" w:eastAsia="Times New Roman" w:hAnsi="Times New Roman" w:cs="Times New Roman"/>
          <w:color w:val="000000" w:themeColor="text1"/>
        </w:rPr>
        <w:t xml:space="preserve"> по способам оплаты </w:t>
      </w:r>
      <w:r w:rsidRPr="00F0736F">
        <w:rPr>
          <w:rFonts w:ascii="Times New Roman" w:hAnsi="Times New Roman" w:cs="Times New Roman"/>
          <w:color w:val="000000" w:themeColor="text1"/>
        </w:rPr>
        <w:t xml:space="preserve">в автобусах, а также памятки по достопримечательностям в количестве </w:t>
      </w:r>
      <w:r w:rsidRPr="00F0736F">
        <w:rPr>
          <w:rFonts w:ascii="Times New Roman" w:hAnsi="Times New Roman" w:cs="Times New Roman"/>
          <w:b/>
          <w:color w:val="000000" w:themeColor="text1"/>
        </w:rPr>
        <w:t>2400 ед</w:t>
      </w:r>
      <w:r w:rsidRPr="00F0736F">
        <w:rPr>
          <w:rFonts w:ascii="Times New Roman" w:eastAsia="Times New Roman" w:hAnsi="Times New Roman" w:cs="Times New Roman"/>
          <w:b/>
          <w:color w:val="000000" w:themeColor="text1"/>
        </w:rPr>
        <w:t>.</w:t>
      </w:r>
    </w:p>
    <w:p w14:paraId="043D15F9"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color w:val="000000" w:themeColor="text1"/>
        </w:rPr>
      </w:pPr>
      <w:r w:rsidRPr="00F0736F">
        <w:rPr>
          <w:rFonts w:ascii="Times New Roman" w:eastAsia="Times New Roman" w:hAnsi="Times New Roman" w:cs="Times New Roman"/>
          <w:b/>
          <w:color w:val="000000" w:themeColor="text1"/>
        </w:rPr>
        <w:t xml:space="preserve">Социальный туризм </w:t>
      </w:r>
    </w:p>
    <w:p w14:paraId="3680981F"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hAnsi="Times New Roman" w:cs="Times New Roman"/>
          <w:color w:val="000000" w:themeColor="text1"/>
        </w:rPr>
        <w:t>В целях развития социального туризма организована обзорная экскурсия по городу Алматы для 30 детей участников проекта «Ауыл Кошбасшылары», разработанного в рамках государственной программы «Рухани Жангыру».</w:t>
      </w:r>
    </w:p>
    <w:p w14:paraId="7E58AC9B"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В рамках празднования 20-летия столицы организована тематическая экскурсия для детей в город Нур-Султан (Астана) с посещением главных его достопримечательностей. В мероприятии приняли участие 90 детей из малообеспеченных и многодетных семей.</w:t>
      </w:r>
    </w:p>
    <w:p w14:paraId="2AE2C439"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Также в рамках реализации Дорожной карты «Активное долголетие» проведены 15 экскурсий по достопримечательностям города Алматы для 225 человек пенсионного возраста. </w:t>
      </w:r>
    </w:p>
    <w:p w14:paraId="588E99BE"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color w:val="000000" w:themeColor="text1"/>
        </w:rPr>
      </w:pPr>
      <w:r w:rsidRPr="00F0736F">
        <w:rPr>
          <w:rFonts w:ascii="Times New Roman" w:eastAsia="Times New Roman" w:hAnsi="Times New Roman" w:cs="Times New Roman"/>
          <w:b/>
          <w:color w:val="000000" w:themeColor="text1"/>
        </w:rPr>
        <w:t>Кадровый потенциал</w:t>
      </w:r>
    </w:p>
    <w:p w14:paraId="71AD0276"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 xml:space="preserve">В целях развития кадрового потенциала в туризме проведены тренинги для </w:t>
      </w:r>
      <w:r w:rsidRPr="00F0736F">
        <w:rPr>
          <w:rFonts w:ascii="Times New Roman" w:eastAsia="Times New Roman" w:hAnsi="Times New Roman" w:cs="Times New Roman"/>
          <w:bCs/>
          <w:color w:val="000000" w:themeColor="text1"/>
        </w:rPr>
        <w:t>200 сотрудников</w:t>
      </w:r>
      <w:r w:rsidRPr="00F0736F">
        <w:rPr>
          <w:rFonts w:ascii="Times New Roman" w:eastAsia="Times New Roman" w:hAnsi="Times New Roman" w:cs="Times New Roman"/>
          <w:color w:val="000000" w:themeColor="text1"/>
        </w:rPr>
        <w:t xml:space="preserve"> автовокзала «Сайран», железнодорожных вокзалов «Алматы – 1», «Алматы - 2» и работников «Иле-Алатауского национального парка».</w:t>
      </w:r>
    </w:p>
    <w:p w14:paraId="15444D0D"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bCs/>
          <w:color w:val="000000" w:themeColor="text1"/>
        </w:rPr>
      </w:pPr>
      <w:r w:rsidRPr="00F0736F">
        <w:rPr>
          <w:rFonts w:ascii="Times New Roman" w:hAnsi="Times New Roman" w:cs="Times New Roman"/>
          <w:b/>
          <w:bCs/>
          <w:color w:val="000000" w:themeColor="text1"/>
        </w:rPr>
        <w:t>Маркетинговое продвижение</w:t>
      </w:r>
    </w:p>
    <w:p w14:paraId="784C99A7"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Для увеличения притока иностранных туристов и упоминаемости города на международном уровне продолжается системная работа по продвижению города Алматы. </w:t>
      </w:r>
    </w:p>
    <w:p w14:paraId="2DAF82C5"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color w:val="000000" w:themeColor="text1"/>
        </w:rPr>
      </w:pPr>
      <w:r w:rsidRPr="00F0736F">
        <w:rPr>
          <w:rFonts w:ascii="Times New Roman" w:hAnsi="Times New Roman" w:cs="Times New Roman"/>
          <w:color w:val="000000" w:themeColor="text1"/>
        </w:rPr>
        <w:t xml:space="preserve">Так, в 2019 году были проведены </w:t>
      </w:r>
      <w:r w:rsidRPr="00F0736F">
        <w:rPr>
          <w:rFonts w:ascii="Times New Roman" w:hAnsi="Times New Roman" w:cs="Times New Roman"/>
          <w:b/>
          <w:color w:val="000000" w:themeColor="text1"/>
        </w:rPr>
        <w:t>2</w:t>
      </w:r>
      <w:r w:rsidRPr="00F0736F">
        <w:rPr>
          <w:rFonts w:ascii="Times New Roman" w:hAnsi="Times New Roman" w:cs="Times New Roman"/>
          <w:color w:val="000000" w:themeColor="text1"/>
        </w:rPr>
        <w:t xml:space="preserve"> инфотура для 40 зарубежных туроператоров и </w:t>
      </w:r>
      <w:r w:rsidRPr="00F0736F">
        <w:rPr>
          <w:rFonts w:ascii="Times New Roman" w:hAnsi="Times New Roman" w:cs="Times New Roman"/>
          <w:b/>
          <w:color w:val="000000" w:themeColor="text1"/>
        </w:rPr>
        <w:t>2</w:t>
      </w:r>
      <w:r w:rsidRPr="00F0736F">
        <w:rPr>
          <w:rFonts w:ascii="Times New Roman" w:hAnsi="Times New Roman" w:cs="Times New Roman"/>
          <w:color w:val="000000" w:themeColor="text1"/>
        </w:rPr>
        <w:t xml:space="preserve"> пресс-тура для 40 представителей зарубежных СМИ, принято участие на </w:t>
      </w:r>
      <w:r w:rsidRPr="00F0736F">
        <w:rPr>
          <w:rFonts w:ascii="Times New Roman" w:hAnsi="Times New Roman" w:cs="Times New Roman"/>
          <w:bCs/>
          <w:color w:val="000000" w:themeColor="text1"/>
        </w:rPr>
        <w:t>9 международных выставках по туризму и 3 конференциях с общим охватом более 300 тыс. участников</w:t>
      </w:r>
      <w:r w:rsidRPr="00F0736F">
        <w:rPr>
          <w:rFonts w:ascii="Times New Roman" w:hAnsi="Times New Roman" w:cs="Times New Roman"/>
          <w:b/>
          <w:color w:val="000000" w:themeColor="text1"/>
        </w:rPr>
        <w:t>.</w:t>
      </w:r>
    </w:p>
    <w:p w14:paraId="41389702"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i/>
          <w:color w:val="000000" w:themeColor="text1"/>
        </w:rPr>
      </w:pPr>
      <w:r w:rsidRPr="00F0736F">
        <w:rPr>
          <w:rFonts w:ascii="Times New Roman" w:hAnsi="Times New Roman" w:cs="Times New Roman"/>
          <w:color w:val="000000" w:themeColor="text1"/>
        </w:rPr>
        <w:t xml:space="preserve">Для повышения уровня узнаваемости города в 2019 году была оказана поддержка Алматинской велокоманде «AppleTeam», которая приняла участие в </w:t>
      </w:r>
      <w:r w:rsidRPr="00F0736F">
        <w:rPr>
          <w:rFonts w:ascii="Times New Roman" w:hAnsi="Times New Roman" w:cs="Times New Roman"/>
          <w:b/>
          <w:color w:val="000000" w:themeColor="text1"/>
        </w:rPr>
        <w:t>11</w:t>
      </w:r>
      <w:r w:rsidRPr="00F0736F">
        <w:rPr>
          <w:rFonts w:ascii="Times New Roman" w:hAnsi="Times New Roman" w:cs="Times New Roman"/>
          <w:color w:val="000000" w:themeColor="text1"/>
        </w:rPr>
        <w:t xml:space="preserve"> международных велосипедных гонках по всему миру с нанесением логотипа «VisitAlmaty» на экипировках спортсменов </w:t>
      </w:r>
      <w:r w:rsidRPr="00F0736F">
        <w:rPr>
          <w:rFonts w:ascii="Times New Roman" w:hAnsi="Times New Roman" w:cs="Times New Roman"/>
          <w:i/>
          <w:color w:val="000000" w:themeColor="text1"/>
        </w:rPr>
        <w:t>(в Грузии, Турции, Венгрии, России, Словакии, Румынии, Польше и Казахстане).</w:t>
      </w:r>
    </w:p>
    <w:p w14:paraId="33060098"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Cs/>
          <w:color w:val="000000" w:themeColor="text1"/>
        </w:rPr>
      </w:pPr>
      <w:r w:rsidRPr="00F0736F">
        <w:rPr>
          <w:rFonts w:ascii="Times New Roman" w:hAnsi="Times New Roman" w:cs="Times New Roman"/>
          <w:color w:val="000000" w:themeColor="text1"/>
        </w:rPr>
        <w:t xml:space="preserve">Проведена рекламная кампания «Зимняя сказка Алматы» посредством брендирования внешней части Аэроэкспресса по маршруту аэропорт Домодедово – Москва с охватом </w:t>
      </w:r>
      <w:r w:rsidRPr="00F0736F">
        <w:rPr>
          <w:rFonts w:ascii="Times New Roman" w:hAnsi="Times New Roman" w:cs="Times New Roman"/>
          <w:bCs/>
          <w:color w:val="000000" w:themeColor="text1"/>
        </w:rPr>
        <w:t>3,6 млн. чел.</w:t>
      </w:r>
    </w:p>
    <w:p w14:paraId="08518B08"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Cs/>
          <w:color w:val="000000" w:themeColor="text1"/>
        </w:rPr>
      </w:pPr>
      <w:r w:rsidRPr="00F0736F">
        <w:rPr>
          <w:rFonts w:ascii="Times New Roman" w:hAnsi="Times New Roman" w:cs="Times New Roman"/>
          <w:color w:val="000000" w:themeColor="text1"/>
        </w:rPr>
        <w:t xml:space="preserve">Кроме того, в июне 2019 года был организован первый в Казахстане полет на вингсьютах с RedBull, в рамках которого отснят рекламный видеоролик о городе Алматы с охватом более </w:t>
      </w:r>
      <w:r w:rsidRPr="00F0736F">
        <w:rPr>
          <w:rFonts w:ascii="Times New Roman" w:hAnsi="Times New Roman" w:cs="Times New Roman"/>
          <w:bCs/>
          <w:color w:val="000000" w:themeColor="text1"/>
        </w:rPr>
        <w:t xml:space="preserve">11 млн. чел. </w:t>
      </w:r>
    </w:p>
    <w:p w14:paraId="3B4F7425"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bCs/>
          <w:color w:val="000000" w:themeColor="text1"/>
        </w:rPr>
        <w:t>Для повышения</w:t>
      </w:r>
      <w:r w:rsidRPr="00F0736F">
        <w:rPr>
          <w:rFonts w:ascii="Times New Roman" w:hAnsi="Times New Roman" w:cs="Times New Roman"/>
          <w:color w:val="000000" w:themeColor="text1"/>
        </w:rPr>
        <w:t xml:space="preserve"> узнаваемости города, как туристской дестинации на российском рынке туристских услуг, с 2016 года ведется активная работа с российской интернет-платформой Profi.Travel, на которой зарегистрировано более </w:t>
      </w:r>
      <w:r w:rsidRPr="00F0736F">
        <w:rPr>
          <w:rFonts w:ascii="Times New Roman" w:hAnsi="Times New Roman" w:cs="Times New Roman"/>
          <w:bCs/>
          <w:color w:val="000000" w:themeColor="text1"/>
        </w:rPr>
        <w:t>150 тыс.</w:t>
      </w:r>
      <w:r w:rsidRPr="00F0736F">
        <w:rPr>
          <w:rFonts w:ascii="Times New Roman" w:hAnsi="Times New Roman" w:cs="Times New Roman"/>
          <w:color w:val="000000" w:themeColor="text1"/>
        </w:rPr>
        <w:t xml:space="preserve"> профессионалов российского туристского рынка. </w:t>
      </w:r>
    </w:p>
    <w:p w14:paraId="722778CB"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целях продвижения бренда города Алматы в социальных сетях отснято более </w:t>
      </w:r>
      <w:r w:rsidRPr="00F0736F">
        <w:rPr>
          <w:rFonts w:ascii="Times New Roman" w:hAnsi="Times New Roman" w:cs="Times New Roman"/>
          <w:bCs/>
          <w:color w:val="000000" w:themeColor="text1"/>
        </w:rPr>
        <w:t>100</w:t>
      </w:r>
      <w:r w:rsidRPr="00F0736F">
        <w:rPr>
          <w:rFonts w:ascii="Times New Roman" w:hAnsi="Times New Roman" w:cs="Times New Roman"/>
          <w:b/>
          <w:color w:val="000000" w:themeColor="text1"/>
        </w:rPr>
        <w:t xml:space="preserve"> </w:t>
      </w:r>
      <w:r w:rsidRPr="00F0736F">
        <w:rPr>
          <w:rFonts w:ascii="Times New Roman" w:hAnsi="Times New Roman" w:cs="Times New Roman"/>
          <w:color w:val="000000" w:themeColor="text1"/>
        </w:rPr>
        <w:t xml:space="preserve">имиджевых видеоматериалов и 3D открыток о привлекательности туристского бренда и жизни в Алматы. </w:t>
      </w:r>
    </w:p>
    <w:p w14:paraId="6F51FD47"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Вместе с тем, для удобства туристов разработаны </w:t>
      </w:r>
      <w:r w:rsidRPr="00F0736F">
        <w:rPr>
          <w:rFonts w:ascii="Times New Roman" w:hAnsi="Times New Roman" w:cs="Times New Roman"/>
          <w:bCs/>
          <w:color w:val="000000" w:themeColor="text1"/>
        </w:rPr>
        <w:t xml:space="preserve">30 </w:t>
      </w:r>
      <w:r w:rsidRPr="00F0736F">
        <w:rPr>
          <w:rFonts w:ascii="Times New Roman" w:hAnsi="Times New Roman" w:cs="Times New Roman"/>
          <w:color w:val="000000" w:themeColor="text1"/>
        </w:rPr>
        <w:t>туристских маршрутов по городу и горной местности Алматы и подготовлены 19 типовых туристских продуктов.</w:t>
      </w:r>
    </w:p>
    <w:p w14:paraId="376E7E9C"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Разработанные маршруты охватывают уникальные архитектурные здания города и представляют все основные виды туризма представленные на рынке города, такие как: этно, эко-, детско-юношеский, культурный, агро-, гастрономический и др.</w:t>
      </w:r>
    </w:p>
    <w:p w14:paraId="24FBFD37"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Также подготовлен пакет туриста для раздачи гостям города, включающий в себя карту города, карточки с маршрутами и др.</w:t>
      </w:r>
    </w:p>
    <w:p w14:paraId="722DF8F3"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color w:val="000000" w:themeColor="text1"/>
        </w:rPr>
      </w:pPr>
      <w:r w:rsidRPr="00F0736F">
        <w:rPr>
          <w:rFonts w:ascii="Times New Roman" w:eastAsia="Times New Roman" w:hAnsi="Times New Roman" w:cs="Times New Roman"/>
          <w:color w:val="000000" w:themeColor="text1"/>
        </w:rPr>
        <w:t xml:space="preserve">В сентябре </w:t>
      </w:r>
      <w:r w:rsidRPr="00F0736F">
        <w:rPr>
          <w:rFonts w:ascii="Times New Roman" w:hAnsi="Times New Roman" w:cs="Times New Roman"/>
          <w:color w:val="000000" w:themeColor="text1"/>
          <w:shd w:val="clear" w:color="auto" w:fill="FFFFFF"/>
        </w:rPr>
        <w:t>2019 года</w:t>
      </w:r>
      <w:r w:rsidRPr="00F0736F">
        <w:rPr>
          <w:rFonts w:ascii="Times New Roman" w:eastAsia="Times New Roman" w:hAnsi="Times New Roman" w:cs="Times New Roman"/>
          <w:color w:val="000000" w:themeColor="text1"/>
        </w:rPr>
        <w:t xml:space="preserve"> в целях </w:t>
      </w:r>
      <w:r w:rsidRPr="00F0736F">
        <w:rPr>
          <w:rFonts w:ascii="Times New Roman" w:hAnsi="Times New Roman" w:cs="Times New Roman"/>
          <w:color w:val="000000" w:themeColor="text1"/>
        </w:rPr>
        <w:t xml:space="preserve">создания сувениров, отражающих национальную идентичность казахского народа, проведён </w:t>
      </w:r>
      <w:r w:rsidRPr="00F0736F">
        <w:rPr>
          <w:rFonts w:ascii="Times New Roman" w:hAnsi="Times New Roman" w:cs="Times New Roman"/>
          <w:bCs/>
          <w:color w:val="000000" w:themeColor="text1"/>
        </w:rPr>
        <w:t>конкурс ремесленной сувенирной продукции под брендом Алматы c участием 50 ремесленников РК</w:t>
      </w:r>
      <w:r w:rsidRPr="00F0736F">
        <w:rPr>
          <w:rFonts w:ascii="Times New Roman" w:hAnsi="Times New Roman" w:cs="Times New Roman"/>
          <w:b/>
          <w:color w:val="000000" w:themeColor="text1"/>
        </w:rPr>
        <w:t>.</w:t>
      </w:r>
    </w:p>
    <w:p w14:paraId="68B4778A"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bCs/>
          <w:color w:val="000000" w:themeColor="text1"/>
          <w:shd w:val="clear" w:color="auto" w:fill="FFFFFF"/>
        </w:rPr>
      </w:pPr>
      <w:r w:rsidRPr="00F0736F">
        <w:rPr>
          <w:rFonts w:ascii="Times New Roman" w:eastAsia="Times New Roman" w:hAnsi="Times New Roman" w:cs="Times New Roman"/>
          <w:b/>
          <w:bCs/>
          <w:color w:val="000000" w:themeColor="text1"/>
          <w:shd w:val="clear" w:color="auto" w:fill="FFFFFF"/>
        </w:rPr>
        <w:t>Туристская инфраструктура</w:t>
      </w:r>
    </w:p>
    <w:p w14:paraId="6E5ACD4F"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color w:val="000000" w:themeColor="text1"/>
        </w:rPr>
      </w:pPr>
      <w:r w:rsidRPr="00F0736F">
        <w:rPr>
          <w:rFonts w:ascii="Times New Roman" w:hAnsi="Times New Roman" w:cs="Times New Roman"/>
          <w:color w:val="000000" w:themeColor="text1"/>
        </w:rPr>
        <w:t xml:space="preserve">Для повышения информированности туристов в 2019 году были открыты 2 визит-центра. Так, на сегодня в городе функционирует 8 точек информирования туристов, где за 2019 год консультацию получили более </w:t>
      </w:r>
      <w:r w:rsidRPr="00F0736F">
        <w:rPr>
          <w:rFonts w:ascii="Times New Roman" w:hAnsi="Times New Roman" w:cs="Times New Roman"/>
          <w:bCs/>
          <w:color w:val="000000" w:themeColor="text1"/>
        </w:rPr>
        <w:t>32,9 тыс. туристов</w:t>
      </w:r>
      <w:r w:rsidRPr="00F0736F">
        <w:rPr>
          <w:rFonts w:ascii="Times New Roman" w:hAnsi="Times New Roman" w:cs="Times New Roman"/>
          <w:b/>
          <w:color w:val="000000" w:themeColor="text1"/>
        </w:rPr>
        <w:t>.</w:t>
      </w:r>
    </w:p>
    <w:p w14:paraId="2C834A49"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shd w:val="clear" w:color="auto" w:fill="FFFFFF"/>
        </w:rPr>
      </w:pPr>
      <w:r w:rsidRPr="00F0736F">
        <w:rPr>
          <w:rFonts w:ascii="Times New Roman" w:hAnsi="Times New Roman" w:cs="Times New Roman"/>
          <w:color w:val="000000" w:themeColor="text1"/>
        </w:rPr>
        <w:t>В целях развития горного туризма</w:t>
      </w:r>
      <w:r w:rsidRPr="00F0736F">
        <w:rPr>
          <w:rFonts w:ascii="Times New Roman" w:eastAsia="Times New Roman" w:hAnsi="Times New Roman" w:cs="Times New Roman"/>
          <w:color w:val="000000" w:themeColor="text1"/>
          <w:shd w:val="clear" w:color="auto" w:fill="FFFFFF"/>
        </w:rPr>
        <w:t xml:space="preserve"> в июне </w:t>
      </w:r>
      <w:r w:rsidRPr="00F0736F">
        <w:rPr>
          <w:rFonts w:ascii="Times New Roman" w:hAnsi="Times New Roman" w:cs="Times New Roman"/>
          <w:color w:val="000000" w:themeColor="text1"/>
          <w:shd w:val="clear" w:color="auto" w:fill="FFFFFF"/>
        </w:rPr>
        <w:t>2019 года</w:t>
      </w:r>
      <w:r w:rsidRPr="00F0736F">
        <w:rPr>
          <w:rFonts w:ascii="Times New Roman" w:eastAsia="Times New Roman" w:hAnsi="Times New Roman" w:cs="Times New Roman"/>
          <w:color w:val="000000" w:themeColor="text1"/>
          <w:shd w:val="clear" w:color="auto" w:fill="FFFFFF"/>
        </w:rPr>
        <w:t xml:space="preserve"> база ЦСКА была передана из баланса </w:t>
      </w:r>
      <w:r w:rsidRPr="00F0736F">
        <w:rPr>
          <w:rFonts w:ascii="Times New Roman" w:eastAsia="Times New Roman" w:hAnsi="Times New Roman" w:cs="Times New Roman"/>
          <w:bCs/>
          <w:color w:val="000000" w:themeColor="text1"/>
          <w:shd w:val="clear" w:color="auto" w:fill="FFFFFF"/>
        </w:rPr>
        <w:t xml:space="preserve">Министерства обороны РК </w:t>
      </w:r>
      <w:r w:rsidRPr="00F0736F">
        <w:rPr>
          <w:rFonts w:ascii="Times New Roman" w:eastAsia="Times New Roman" w:hAnsi="Times New Roman" w:cs="Times New Roman"/>
          <w:color w:val="000000" w:themeColor="text1"/>
          <w:shd w:val="clear" w:color="auto" w:fill="FFFFFF"/>
        </w:rPr>
        <w:t>в комсобственность акимата.</w:t>
      </w:r>
    </w:p>
    <w:p w14:paraId="43C58C4A"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color w:val="000000" w:themeColor="text1"/>
        </w:rPr>
      </w:pPr>
      <w:r w:rsidRPr="00F0736F">
        <w:rPr>
          <w:rFonts w:ascii="Times New Roman" w:hAnsi="Times New Roman" w:cs="Times New Roman"/>
          <w:color w:val="000000" w:themeColor="text1"/>
        </w:rPr>
        <w:t xml:space="preserve">В августе </w:t>
      </w:r>
      <w:r w:rsidRPr="00F0736F">
        <w:rPr>
          <w:rFonts w:ascii="Times New Roman" w:hAnsi="Times New Roman" w:cs="Times New Roman"/>
          <w:color w:val="000000" w:themeColor="text1"/>
          <w:shd w:val="clear" w:color="auto" w:fill="FFFFFF"/>
        </w:rPr>
        <w:t>2019 года</w:t>
      </w:r>
      <w:r w:rsidRPr="00F0736F">
        <w:rPr>
          <w:rFonts w:ascii="Times New Roman" w:hAnsi="Times New Roman" w:cs="Times New Roman"/>
          <w:color w:val="000000" w:themeColor="text1"/>
        </w:rPr>
        <w:t xml:space="preserve"> проведено международное горное мероприятие – AlmatyMountFest с общим охватом </w:t>
      </w:r>
      <w:r w:rsidRPr="00F0736F">
        <w:rPr>
          <w:rFonts w:ascii="Times New Roman" w:hAnsi="Times New Roman" w:cs="Times New Roman"/>
          <w:bCs/>
          <w:color w:val="000000" w:themeColor="text1"/>
        </w:rPr>
        <w:t>более 15 тыс. чел</w:t>
      </w:r>
      <w:r w:rsidRPr="00F0736F">
        <w:rPr>
          <w:rFonts w:ascii="Times New Roman" w:hAnsi="Times New Roman" w:cs="Times New Roman"/>
          <w:b/>
          <w:color w:val="000000" w:themeColor="text1"/>
        </w:rPr>
        <w:t>.</w:t>
      </w:r>
    </w:p>
    <w:p w14:paraId="0CA3CE73"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rPr>
      </w:pPr>
      <w:r w:rsidRPr="00F0736F">
        <w:rPr>
          <w:rFonts w:ascii="Times New Roman" w:eastAsia="Times New Roman" w:hAnsi="Times New Roman" w:cs="Times New Roman"/>
          <w:color w:val="000000" w:themeColor="text1"/>
          <w:shd w:val="clear" w:color="auto" w:fill="FFFFFF"/>
        </w:rPr>
        <w:t>Кроме того, благоустроено 10 горных троп и о</w:t>
      </w:r>
      <w:r w:rsidRPr="00F0736F">
        <w:rPr>
          <w:rFonts w:ascii="Times New Roman" w:hAnsi="Times New Roman" w:cs="Times New Roman"/>
          <w:color w:val="000000" w:themeColor="text1"/>
        </w:rPr>
        <w:t>цифровано более 1000 км.горных маршрутов.</w:t>
      </w:r>
    </w:p>
    <w:p w14:paraId="0333C3E9"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shd w:val="clear" w:color="auto" w:fill="FFFFFF"/>
        </w:rPr>
      </w:pPr>
      <w:r w:rsidRPr="00F0736F">
        <w:rPr>
          <w:rFonts w:ascii="Times New Roman" w:eastAsia="Times New Roman" w:hAnsi="Times New Roman" w:cs="Times New Roman"/>
          <w:color w:val="000000" w:themeColor="text1"/>
          <w:shd w:val="clear" w:color="auto" w:fill="FFFFFF"/>
        </w:rPr>
        <w:t xml:space="preserve">Совместно с Федерацией альпинизма и скалолазания РК разработана книга-путеводитель </w:t>
      </w:r>
      <w:r w:rsidRPr="00F0736F">
        <w:rPr>
          <w:rFonts w:ascii="Times New Roman" w:eastAsia="Times New Roman" w:hAnsi="Times New Roman" w:cs="Times New Roman"/>
          <w:bCs/>
          <w:color w:val="000000" w:themeColor="text1"/>
          <w:shd w:val="clear" w:color="auto" w:fill="FFFFFF"/>
        </w:rPr>
        <w:t>«Тропы Алатау»</w:t>
      </w:r>
      <w:r w:rsidRPr="00F0736F">
        <w:rPr>
          <w:rFonts w:ascii="Times New Roman" w:eastAsia="Times New Roman" w:hAnsi="Times New Roman" w:cs="Times New Roman"/>
          <w:color w:val="000000" w:themeColor="text1"/>
          <w:shd w:val="clear" w:color="auto" w:fill="FFFFFF"/>
        </w:rPr>
        <w:t xml:space="preserve"> для любителей активного отдыха в горах.</w:t>
      </w:r>
    </w:p>
    <w:p w14:paraId="73EF629C"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shd w:val="clear" w:color="auto" w:fill="FFFFFF"/>
        </w:rPr>
      </w:pPr>
      <w:r w:rsidRPr="00F0736F">
        <w:rPr>
          <w:rFonts w:ascii="Times New Roman" w:eastAsia="Times New Roman" w:hAnsi="Times New Roman" w:cs="Times New Roman"/>
          <w:color w:val="000000" w:themeColor="text1"/>
          <w:shd w:val="clear" w:color="auto" w:fill="FFFFFF"/>
        </w:rPr>
        <w:t>Также, частным инвестором завершено благоустройство туристской тропы в ущелье «Проходное» и термального источника возле санатория «Алма-Арасан». За 4 месяца построено 6 переходных мостов, отреставрирована 1 лестница, организованы смотровая и ворк-аут площадки.</w:t>
      </w:r>
    </w:p>
    <w:p w14:paraId="41A6F7E1"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Cs/>
          <w:color w:val="000000" w:themeColor="text1"/>
        </w:rPr>
      </w:pPr>
      <w:r w:rsidRPr="00F0736F">
        <w:rPr>
          <w:rFonts w:ascii="Times New Roman" w:hAnsi="Times New Roman" w:cs="Times New Roman"/>
          <w:color w:val="000000" w:themeColor="text1"/>
        </w:rPr>
        <w:t xml:space="preserve">Для развития экскурсионных услуг в </w:t>
      </w:r>
      <w:r w:rsidRPr="00F0736F">
        <w:rPr>
          <w:rFonts w:ascii="Times New Roman" w:hAnsi="Times New Roman" w:cs="Times New Roman"/>
          <w:color w:val="000000" w:themeColor="text1"/>
          <w:shd w:val="clear" w:color="auto" w:fill="FFFFFF"/>
        </w:rPr>
        <w:t xml:space="preserve">2019 году </w:t>
      </w:r>
      <w:r w:rsidRPr="00F0736F">
        <w:rPr>
          <w:rFonts w:ascii="Times New Roman" w:hAnsi="Times New Roman" w:cs="Times New Roman"/>
          <w:color w:val="000000" w:themeColor="text1"/>
        </w:rPr>
        <w:t xml:space="preserve">запущены </w:t>
      </w:r>
      <w:r w:rsidRPr="00F0736F">
        <w:rPr>
          <w:rFonts w:ascii="Times New Roman" w:hAnsi="Times New Roman" w:cs="Times New Roman"/>
          <w:bCs/>
          <w:color w:val="000000" w:themeColor="text1"/>
        </w:rPr>
        <w:t>автобусы от спорткомплекса Балуан Шолак до ГК «Oi-QaragaiLesnayaSkazka» и «SkiParkPioneer» и</w:t>
      </w:r>
      <w:r w:rsidRPr="00F0736F">
        <w:rPr>
          <w:rFonts w:ascii="Times New Roman" w:hAnsi="Times New Roman" w:cs="Times New Roman"/>
          <w:bCs/>
          <w:color w:val="000000" w:themeColor="text1"/>
          <w:shd w:val="clear" w:color="auto" w:fill="FFFFFF"/>
        </w:rPr>
        <w:t xml:space="preserve"> экспресс маршрут до начала туристской тропы в ущелье «Проходное».</w:t>
      </w:r>
    </w:p>
    <w:p w14:paraId="3D805139"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color w:val="000000" w:themeColor="text1"/>
        </w:rPr>
      </w:pPr>
      <w:r w:rsidRPr="00F0736F">
        <w:rPr>
          <w:rFonts w:ascii="Times New Roman" w:hAnsi="Times New Roman" w:cs="Times New Roman"/>
          <w:b/>
          <w:color w:val="000000" w:themeColor="text1"/>
        </w:rPr>
        <w:t>Социальный туризм</w:t>
      </w:r>
    </w:p>
    <w:p w14:paraId="7EB8D36A"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Cs/>
          <w:color w:val="000000" w:themeColor="text1"/>
        </w:rPr>
      </w:pPr>
      <w:r w:rsidRPr="00F0736F">
        <w:rPr>
          <w:rFonts w:ascii="Times New Roman" w:eastAsia="Times New Roman" w:hAnsi="Times New Roman" w:cs="Times New Roman"/>
          <w:color w:val="000000" w:themeColor="text1"/>
        </w:rPr>
        <w:t xml:space="preserve">С целью развития социального туризма в мае </w:t>
      </w:r>
      <w:r w:rsidRPr="00F0736F">
        <w:rPr>
          <w:rFonts w:ascii="Times New Roman" w:hAnsi="Times New Roman" w:cs="Times New Roman"/>
          <w:color w:val="000000" w:themeColor="text1"/>
          <w:shd w:val="clear" w:color="auto" w:fill="FFFFFF"/>
        </w:rPr>
        <w:t>2019 года</w:t>
      </w:r>
      <w:r w:rsidRPr="00F0736F">
        <w:rPr>
          <w:rFonts w:ascii="Times New Roman" w:eastAsia="Times New Roman" w:hAnsi="Times New Roman" w:cs="Times New Roman"/>
          <w:color w:val="000000" w:themeColor="text1"/>
        </w:rPr>
        <w:t xml:space="preserve"> проведена экскурсия для </w:t>
      </w:r>
      <w:r w:rsidRPr="00F0736F">
        <w:rPr>
          <w:rFonts w:ascii="Times New Roman" w:eastAsia="Times New Roman" w:hAnsi="Times New Roman" w:cs="Times New Roman"/>
          <w:bCs/>
          <w:color w:val="000000" w:themeColor="text1"/>
        </w:rPr>
        <w:t>250 детей инвалидов и из малообеспеченных семей города Алматы.</w:t>
      </w:r>
    </w:p>
    <w:p w14:paraId="1393964D"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Cs/>
          <w:color w:val="000000" w:themeColor="text1"/>
        </w:rPr>
      </w:pPr>
      <w:r w:rsidRPr="00F0736F">
        <w:rPr>
          <w:rFonts w:ascii="Times New Roman" w:eastAsia="Times New Roman" w:hAnsi="Times New Roman" w:cs="Times New Roman"/>
          <w:color w:val="000000" w:themeColor="text1"/>
        </w:rPr>
        <w:t xml:space="preserve">Также в </w:t>
      </w:r>
      <w:r w:rsidRPr="00F0736F">
        <w:rPr>
          <w:rFonts w:ascii="Times New Roman" w:hAnsi="Times New Roman" w:cs="Times New Roman"/>
          <w:color w:val="000000" w:themeColor="text1"/>
        </w:rPr>
        <w:t xml:space="preserve">июне проведена аналогичная экскурсия для </w:t>
      </w:r>
      <w:r w:rsidRPr="00F0736F">
        <w:rPr>
          <w:rFonts w:ascii="Times New Roman" w:eastAsia="Times New Roman" w:hAnsi="Times New Roman" w:cs="Times New Roman"/>
          <w:color w:val="000000" w:themeColor="text1"/>
        </w:rPr>
        <w:t xml:space="preserve">взрослых инвалидов в городе Алматы и алматинской агломерации с общим охватом </w:t>
      </w:r>
      <w:r w:rsidRPr="00F0736F">
        <w:rPr>
          <w:rFonts w:ascii="Times New Roman" w:eastAsia="Times New Roman" w:hAnsi="Times New Roman" w:cs="Times New Roman"/>
          <w:bCs/>
          <w:color w:val="000000" w:themeColor="text1"/>
        </w:rPr>
        <w:t>100 чел.</w:t>
      </w:r>
    </w:p>
    <w:p w14:paraId="1FF9C724"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color w:val="000000" w:themeColor="text1"/>
        </w:rPr>
      </w:pPr>
      <w:r w:rsidRPr="00F0736F">
        <w:rPr>
          <w:rFonts w:ascii="Times New Roman" w:eastAsia="Times New Roman" w:hAnsi="Times New Roman" w:cs="Times New Roman"/>
          <w:color w:val="000000" w:themeColor="text1"/>
        </w:rPr>
        <w:t>Экскурсионно-познавательная программа двух вышеназванных мероприятий включала в себя посещение Духовно-культурного центра «Анаға құрмет», Музея почитания матери, Мемориального комплекса «Батыр бабалар» и историко-культурного комплекса «Атамекен». Для 350 человек предоставлены транспорт, питание, сопровождение кареты скорой помощи, привлечены гиды и волонтеры.</w:t>
      </w:r>
    </w:p>
    <w:p w14:paraId="4C596846"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
          <w:color w:val="000000" w:themeColor="text1"/>
        </w:rPr>
      </w:pPr>
      <w:r w:rsidRPr="00F0736F">
        <w:rPr>
          <w:rFonts w:ascii="Times New Roman" w:eastAsia="Times New Roman" w:hAnsi="Times New Roman" w:cs="Times New Roman"/>
          <w:b/>
          <w:color w:val="000000" w:themeColor="text1"/>
        </w:rPr>
        <w:t>Развитие кадрового потенциала</w:t>
      </w:r>
    </w:p>
    <w:p w14:paraId="1D02281D"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
          <w:bCs/>
          <w:color w:val="000000" w:themeColor="text1"/>
        </w:rPr>
      </w:pPr>
      <w:r w:rsidRPr="00F0736F">
        <w:rPr>
          <w:rFonts w:ascii="Times New Roman" w:hAnsi="Times New Roman" w:cs="Times New Roman"/>
          <w:color w:val="000000" w:themeColor="text1"/>
        </w:rPr>
        <w:t xml:space="preserve">В августе </w:t>
      </w:r>
      <w:r w:rsidRPr="00F0736F">
        <w:rPr>
          <w:rFonts w:ascii="Times New Roman" w:hAnsi="Times New Roman" w:cs="Times New Roman"/>
          <w:color w:val="000000" w:themeColor="text1"/>
          <w:shd w:val="clear" w:color="auto" w:fill="FFFFFF"/>
        </w:rPr>
        <w:t>2019 года</w:t>
      </w:r>
      <w:r w:rsidRPr="00F0736F">
        <w:rPr>
          <w:rFonts w:ascii="Times New Roman" w:hAnsi="Times New Roman" w:cs="Times New Roman"/>
          <w:color w:val="000000" w:themeColor="text1"/>
        </w:rPr>
        <w:t xml:space="preserve"> в целях развития кадрового потенциала в туризме организованы тренинги по фасилитации для 100 сотрудников аэропорта города Алматы.</w:t>
      </w:r>
      <w:r w:rsidRPr="00F0736F">
        <w:rPr>
          <w:rFonts w:ascii="Times New Roman" w:hAnsi="Times New Roman" w:cs="Times New Roman"/>
          <w:b/>
          <w:bCs/>
          <w:color w:val="000000" w:themeColor="text1"/>
        </w:rPr>
        <w:t xml:space="preserve"> </w:t>
      </w:r>
    </w:p>
    <w:p w14:paraId="76C99C7A"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shd w:val="clear" w:color="auto" w:fill="FFFFFF"/>
        </w:rPr>
      </w:pPr>
      <w:r w:rsidRPr="00F0736F">
        <w:rPr>
          <w:rFonts w:ascii="Times New Roman" w:hAnsi="Times New Roman" w:cs="Times New Roman"/>
          <w:color w:val="000000" w:themeColor="text1"/>
          <w:shd w:val="clear" w:color="auto" w:fill="FFFFFF"/>
        </w:rPr>
        <w:t xml:space="preserve">В марте 2019 года проведен семинар по подготовке </w:t>
      </w:r>
      <w:r w:rsidRPr="00F0736F">
        <w:rPr>
          <w:rFonts w:ascii="Times New Roman" w:hAnsi="Times New Roman" w:cs="Times New Roman"/>
          <w:bCs/>
          <w:color w:val="000000" w:themeColor="text1"/>
          <w:shd w:val="clear" w:color="auto" w:fill="FFFFFF"/>
        </w:rPr>
        <w:t>40 инструкторов</w:t>
      </w:r>
      <w:r w:rsidRPr="00F0736F">
        <w:rPr>
          <w:rFonts w:ascii="Times New Roman" w:hAnsi="Times New Roman" w:cs="Times New Roman"/>
          <w:color w:val="000000" w:themeColor="text1"/>
          <w:shd w:val="clear" w:color="auto" w:fill="FFFFFF"/>
        </w:rPr>
        <w:t xml:space="preserve"> адаптивного катания на горных лыжах и сноуборде. </w:t>
      </w:r>
    </w:p>
    <w:p w14:paraId="2F84DA26"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Cs/>
          <w:color w:val="000000" w:themeColor="text1"/>
        </w:rPr>
      </w:pPr>
      <w:r w:rsidRPr="00F0736F">
        <w:rPr>
          <w:rFonts w:ascii="Times New Roman" w:hAnsi="Times New Roman" w:cs="Times New Roman"/>
          <w:color w:val="000000" w:themeColor="text1"/>
        </w:rPr>
        <w:t xml:space="preserve">С апреля по май </w:t>
      </w:r>
      <w:r w:rsidRPr="00F0736F">
        <w:rPr>
          <w:rFonts w:ascii="Times New Roman" w:hAnsi="Times New Roman" w:cs="Times New Roman"/>
          <w:color w:val="000000" w:themeColor="text1"/>
          <w:shd w:val="clear" w:color="auto" w:fill="FFFFFF"/>
        </w:rPr>
        <w:t>2019 года</w:t>
      </w:r>
      <w:r w:rsidRPr="00F0736F">
        <w:rPr>
          <w:rFonts w:ascii="Times New Roman" w:hAnsi="Times New Roman" w:cs="Times New Roman"/>
          <w:color w:val="000000" w:themeColor="text1"/>
        </w:rPr>
        <w:t xml:space="preserve"> проведены </w:t>
      </w:r>
      <w:r w:rsidRPr="00F0736F">
        <w:rPr>
          <w:rFonts w:ascii="Times New Roman" w:hAnsi="Times New Roman" w:cs="Times New Roman"/>
          <w:bCs/>
          <w:color w:val="000000" w:themeColor="text1"/>
        </w:rPr>
        <w:t>выездные лекции по развитию туризма в городе Алматы для 300 студентов факультетов «Туризм» вузов города Алматы.</w:t>
      </w:r>
    </w:p>
    <w:p w14:paraId="16B1B7F4"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color w:val="000000" w:themeColor="text1"/>
          <w:shd w:val="clear" w:color="auto" w:fill="FFFFFF"/>
        </w:rPr>
      </w:pPr>
      <w:r w:rsidRPr="00F0736F">
        <w:rPr>
          <w:rFonts w:ascii="Times New Roman" w:hAnsi="Times New Roman" w:cs="Times New Roman"/>
          <w:color w:val="000000" w:themeColor="text1"/>
          <w:shd w:val="clear" w:color="auto" w:fill="FFFFFF"/>
        </w:rPr>
        <w:t xml:space="preserve">В июне проведен 4-й Международный гостиничный форум для 130 профессионалов гостиничного бизнеса. </w:t>
      </w:r>
    </w:p>
    <w:p w14:paraId="3AEABE71" w14:textId="77777777" w:rsidR="00AC1D5B" w:rsidRPr="00F0736F" w:rsidRDefault="00AC1D5B" w:rsidP="00AC1D5B">
      <w:pPr>
        <w:widowControl w:val="0"/>
        <w:pBdr>
          <w:bottom w:val="single" w:sz="4" w:space="31" w:color="FFFFFF"/>
        </w:pBdr>
        <w:ind w:firstLine="709"/>
        <w:contextualSpacing/>
        <w:jc w:val="both"/>
        <w:rPr>
          <w:rFonts w:ascii="Times New Roman" w:eastAsia="Times New Roman" w:hAnsi="Times New Roman" w:cs="Times New Roman"/>
          <w:bCs/>
          <w:color w:val="000000" w:themeColor="text1"/>
        </w:rPr>
      </w:pPr>
      <w:r w:rsidRPr="00F0736F">
        <w:rPr>
          <w:rFonts w:ascii="Times New Roman" w:eastAsia="Times New Roman" w:hAnsi="Times New Roman" w:cs="Times New Roman"/>
          <w:color w:val="000000" w:themeColor="text1"/>
        </w:rPr>
        <w:t xml:space="preserve">В августе </w:t>
      </w:r>
      <w:r w:rsidRPr="00F0736F">
        <w:rPr>
          <w:rFonts w:ascii="Times New Roman" w:hAnsi="Times New Roman" w:cs="Times New Roman"/>
          <w:color w:val="000000" w:themeColor="text1"/>
          <w:shd w:val="clear" w:color="auto" w:fill="FFFFFF"/>
        </w:rPr>
        <w:t>2019 года</w:t>
      </w:r>
      <w:r w:rsidRPr="00F0736F">
        <w:rPr>
          <w:rFonts w:ascii="Times New Roman" w:eastAsia="Times New Roman" w:hAnsi="Times New Roman" w:cs="Times New Roman"/>
          <w:color w:val="000000" w:themeColor="text1"/>
        </w:rPr>
        <w:t xml:space="preserve"> проведен семинар-тренинг по обучению </w:t>
      </w:r>
      <w:r w:rsidRPr="00F0736F">
        <w:rPr>
          <w:rFonts w:ascii="Times New Roman" w:eastAsia="Times New Roman" w:hAnsi="Times New Roman" w:cs="Times New Roman"/>
          <w:bCs/>
          <w:color w:val="000000" w:themeColor="text1"/>
        </w:rPr>
        <w:t xml:space="preserve">100 гидов, экскурсоводов, инструкторов туризма города Алматы. </w:t>
      </w:r>
    </w:p>
    <w:p w14:paraId="5A98D4BC" w14:textId="77777777" w:rsidR="00AC1D5B" w:rsidRPr="00F0736F" w:rsidRDefault="00AC1D5B" w:rsidP="00AC1D5B">
      <w:pPr>
        <w:widowControl w:val="0"/>
        <w:pBdr>
          <w:bottom w:val="single" w:sz="4" w:space="31" w:color="FFFFFF"/>
        </w:pBdr>
        <w:ind w:firstLine="709"/>
        <w:contextualSpacing/>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Следует отметить, что также разработаны учебные пособия для гидов по истории города Алматы по 7 направлениям: сакский период, период средневековья, казахское ханство, верненский период, советский период, независимый Казахстан, сакральный Казахстан.</w:t>
      </w:r>
    </w:p>
    <w:p w14:paraId="3426086A" w14:textId="77777777" w:rsidR="00AC1D5B" w:rsidRPr="007272FB" w:rsidRDefault="00AC1D5B" w:rsidP="007272FB">
      <w:pPr>
        <w:pStyle w:val="2"/>
        <w:ind w:firstLine="709"/>
        <w:rPr>
          <w:rFonts w:ascii="Times New Roman" w:eastAsia="Times New Roman" w:hAnsi="Times New Roman" w:cs="Times New Roman"/>
          <w:color w:val="000000" w:themeColor="text1"/>
          <w:sz w:val="24"/>
          <w:szCs w:val="24"/>
        </w:rPr>
      </w:pPr>
      <w:bookmarkStart w:id="62" w:name="_Toc57818751"/>
      <w:r w:rsidRPr="007272FB">
        <w:rPr>
          <w:rFonts w:ascii="Times New Roman" w:eastAsia="Times New Roman" w:hAnsi="Times New Roman" w:cs="Times New Roman"/>
          <w:color w:val="000000" w:themeColor="text1"/>
          <w:sz w:val="24"/>
          <w:szCs w:val="24"/>
        </w:rPr>
        <w:t>2.17. Город Шымкент</w:t>
      </w:r>
      <w:bookmarkEnd w:id="62"/>
    </w:p>
    <w:p w14:paraId="321D955D" w14:textId="77777777" w:rsidR="00AC1D5B" w:rsidRPr="00F0736F" w:rsidRDefault="00AC1D5B" w:rsidP="00AC1D5B">
      <w:pPr>
        <w:ind w:firstLine="709"/>
        <w:jc w:val="both"/>
        <w:rPr>
          <w:rFonts w:ascii="Times New Roman" w:hAnsi="Times New Roman" w:cs="Times New Roman"/>
          <w:color w:val="000000" w:themeColor="text1"/>
        </w:rPr>
      </w:pPr>
    </w:p>
    <w:p w14:paraId="33F7D5DF"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 xml:space="preserve">Территория, население и ВРП города. Диверсификация экономики. </w:t>
      </w:r>
    </w:p>
    <w:p w14:paraId="45D4919F" w14:textId="77777777" w:rsidR="00AC1D5B" w:rsidRPr="00F0736F" w:rsidRDefault="00AC1D5B" w:rsidP="00AC1D5B">
      <w:pPr>
        <w:ind w:firstLine="709"/>
        <w:jc w:val="both"/>
        <w:rPr>
          <w:color w:val="000000" w:themeColor="text1"/>
          <w:lang w:val="kk-KZ"/>
        </w:rPr>
      </w:pPr>
      <w:r w:rsidRPr="00F0736F">
        <w:rPr>
          <w:rFonts w:ascii="Times New Roman" w:hAnsi="Times New Roman" w:cs="Times New Roman"/>
          <w:color w:val="000000" w:themeColor="text1"/>
        </w:rPr>
        <w:t xml:space="preserve">Территория города Шымкент составляет 116 280 </w:t>
      </w:r>
      <w:r w:rsidRPr="00F0736F">
        <w:rPr>
          <w:rFonts w:ascii="Times New Roman" w:hAnsi="Times New Roman" w:cs="Times New Roman"/>
          <w:bCs/>
          <w:color w:val="000000" w:themeColor="text1"/>
        </w:rPr>
        <w:t>га, н</w:t>
      </w:r>
      <w:r w:rsidRPr="00F0736F">
        <w:rPr>
          <w:rFonts w:ascii="Times New Roman" w:hAnsi="Times New Roman" w:cs="Times New Roman"/>
          <w:color w:val="000000" w:themeColor="text1"/>
        </w:rPr>
        <w:t>аселение города в 2018 году - 1009,2 тыс. человек, на конец 2019 года — 1038,2 тыс. человек. В состав агломерации входят город Арысь, Байдибекский, Тулькубасский, Казыгуртский, Толебийский, Ордабасинский, Сайрамский и Сарыагашский районы. Численность агломерационной зоны составляет около 1,6 млн. человек. ВРП области в 2019 году составило 2203,0 млрд. тенге, на душу населения — 2152,1 тыс. тенге. ИФО — 103,8%.</w:t>
      </w:r>
    </w:p>
    <w:p w14:paraId="06E350C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Наиболее важное значение в экономике города имеет </w:t>
      </w:r>
      <w:r w:rsidRPr="00F0736F">
        <w:rPr>
          <w:rFonts w:ascii="Times New Roman" w:hAnsi="Times New Roman" w:cs="Times New Roman"/>
          <w:b/>
          <w:color w:val="000000" w:themeColor="text1"/>
        </w:rPr>
        <w:t>промышленный сектор</w:t>
      </w:r>
      <w:r w:rsidRPr="00F0736F">
        <w:rPr>
          <w:rFonts w:ascii="Times New Roman" w:hAnsi="Times New Roman" w:cs="Times New Roman"/>
          <w:color w:val="000000" w:themeColor="text1"/>
        </w:rPr>
        <w:t xml:space="preserve">. Из числа работающего населения города доля работающих в этой сфере составляет 7,3%, составляющая доля в валовом продукте – 20,0%. </w:t>
      </w:r>
    </w:p>
    <w:p w14:paraId="599F088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объём промышленного производства в 2018 году составил 492,3 млрд. тенге, в 2019 году — 579,6 млрд. тенге. В промышленности города Шымкент основную долю занимает обрабатывающая промышленность с объемом в 2018 году – 422,3 млрд. тенге, в 2019 году — 497,4 млрд. тенге.</w:t>
      </w:r>
    </w:p>
    <w:p w14:paraId="4518321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городе функционирует 63 крупных и средних предприятия. Из них 21 предприятие производит продукцию на экспорт</w:t>
      </w:r>
      <w:r w:rsidRPr="00F0736F">
        <w:rPr>
          <w:rFonts w:ascii="Times New Roman" w:hAnsi="Times New Roman" w:cs="Times New Roman"/>
          <w:color w:val="000000" w:themeColor="text1"/>
          <w:vertAlign w:val="superscript"/>
        </w:rPr>
        <w:footnoteReference w:id="170"/>
      </w:r>
      <w:r w:rsidRPr="00F0736F">
        <w:rPr>
          <w:rFonts w:ascii="Times New Roman" w:hAnsi="Times New Roman" w:cs="Times New Roman"/>
          <w:color w:val="000000" w:themeColor="text1"/>
        </w:rPr>
        <w:t xml:space="preserve">. </w:t>
      </w:r>
    </w:p>
    <w:p w14:paraId="4C47460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2015 - 2017 годы реализовано 25 проектов на сумму 119,5 млрд. тенге, создано 1925 рабочих мест. B 2019 году реализовано 26 проектов, создано 375 рабочих мест.</w:t>
      </w:r>
    </w:p>
    <w:p w14:paraId="6557071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валовой объем продукции </w:t>
      </w:r>
      <w:r w:rsidRPr="00F0736F">
        <w:rPr>
          <w:rFonts w:ascii="Times New Roman" w:hAnsi="Times New Roman" w:cs="Times New Roman"/>
          <w:b/>
          <w:color w:val="000000" w:themeColor="text1"/>
        </w:rPr>
        <w:t>сельского хозяйства</w:t>
      </w:r>
      <w:r w:rsidRPr="00F0736F">
        <w:rPr>
          <w:rFonts w:ascii="Times New Roman" w:hAnsi="Times New Roman" w:cs="Times New Roman"/>
          <w:color w:val="000000" w:themeColor="text1"/>
        </w:rPr>
        <w:t xml:space="preserve"> составил 25,7 млрд. тенге в 2018 году, в 2019 году — 31,2 млрд. тенге, с преимуществом животноводства (61,5%).</w:t>
      </w:r>
    </w:p>
    <w:p w14:paraId="56B7B0D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Земли сельхозназначения составляют 63 тыс. га, или 54% от общего земельного фонда. В предстоящем будущем быстрые темпы городского строительства приведут в целом к уменьшению земель сельхозназначения. В этом случае для города будет приемлемо и эффективно развитие переработки сельхопродукции и импортозамещение.</w:t>
      </w:r>
    </w:p>
    <w:p w14:paraId="6007AD0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городе имеется 10 тыс. га поливных земель. В 2018 году освоено 95% поливных земель (9,5 тыс. га). В 2018 году собрано в среднем 11,9 тыс. т. зерновых культур, 40 тыс. т. овощей, 1,5 тыс. т. – бахчевых, 9,0 тыс. т. – картофеля. В 2018 году посажено 115 га интенсивных садов (АПК «Алма бау бақшалары» – 50,0 га, «Оңтүстік бау бақшалары» – 50,0 га, ТОО «Керемет-Сапа» – 15,0 га). Капельное орошение дополнительно введено на 300 га, общая площадь составила 1680 га. Теплицы дополнительно построены на 9 га, общая площадь составила 168 га. За счет этих теплиц собрана порядка 15 тыс. т. овощей. Кроме того, последние три года ведутся работы по использованию земель новыми технологиями. В 2018 году внедрена технология глубокого рыхления на 4,5 тыс. га. </w:t>
      </w:r>
    </w:p>
    <w:p w14:paraId="2186A51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2018 году дополнительно создано 47 малых откормочных площадок и 37 семейных молочных ферм. По программе «Сыбаға» закуплено 123 голов маточного поголовья, в породном преобразовании участвует 1292 головы маточного поголовья КРС, доля маточного поголовья в общей численности составила 3,7%. По программе «Алтын асық» закуплено 518 голов мелкого рогатого скота, в породном преобразовании участвуют 2,5 тыс. голов, доля маточного поголовья в общей численности составила 2,3%. В рамках программы «Кулан» приобретено 110 голов лошадей.  На 1 января 2019 года создано 58 новых кооперативов. </w:t>
      </w:r>
    </w:p>
    <w:p w14:paraId="457917C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Развитие энергетики, в том числе возобновляемой энергетики, и обеспечение населения энергией.</w:t>
      </w:r>
    </w:p>
    <w:p w14:paraId="51915F97"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 xml:space="preserve">Электроснабжение. </w:t>
      </w:r>
      <w:r w:rsidRPr="00F0736F">
        <w:rPr>
          <w:rFonts w:ascii="Times New Roman" w:hAnsi="Times New Roman" w:cs="Times New Roman"/>
          <w:color w:val="000000" w:themeColor="text1"/>
        </w:rPr>
        <w:t xml:space="preserve">В целях обеспечения качественным электроснабжением в 2018 году велось строительство 10 проектов, завершено - 6 объектов. В результате уровень охвата составил 91,2%.   </w:t>
      </w:r>
    </w:p>
    <w:p w14:paraId="510D163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58,3% электричества вырабатывается в городе через АО «3-Энергоорталык», а остальные 41,7% - из других источников или зависимы от внешних источников. Это, в свою очередь, отражается на высокой стоимости поставки электроэнергии, то есть оказывает отрицательное влияние на тарифную политику.</w:t>
      </w:r>
    </w:p>
    <w:p w14:paraId="7E195D0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Как показал анализ, ежедневный уровень потребления электроэнергии в городе Шымкент в зимнее время составляет 196 МВт/час. Из них уровень потребления населения 63,3%, предприятий – 36,7%. В летний период уровень потребления электроэнергии составляет 146 МВт/час, из них уровень потребления населения 61,7%, предприятий – 38,3%. </w:t>
      </w:r>
    </w:p>
    <w:p w14:paraId="2E1369E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городе имеется всего 36 подстанций с разными уровнями мощностей, среди них на балансе «КЕГОК» - 2 подстанции, на балансе «Онтустик Жарык Транзит» - 30 подстанций, в частном владении – 4 подстанции. </w:t>
      </w:r>
    </w:p>
    <w:p w14:paraId="39D1B2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Протяженность электролиний – 3914 км, из них на балансе «Онтустик Жарык Транзит» - 1795,1 км, или 46%, в коммунальной собственности - 823,6 км, или 21%, в частной собственности – 1295,4 км, или 33%. Уровень износа электролиний – 53,8%, или 2105,0 км.</w:t>
      </w:r>
    </w:p>
    <w:p w14:paraId="3CB524A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настоящее время частные трансформаторы и электросистемы не соответствуют государственным стандартам. Наряду с этим, при неблагоприятных погодных условиях учащаются аварийные ситуации и присутствует низкое качество электричества. 26 микрорайонов (788,6 тыс. человек - 88,3% населения) обеспечены соответствующими государственным стандартам электролиниями, а остальные 55 микрорайонов (107,5 тыс. человек – 11,7% населения)имеют некачественные сети электроснабжения, в которых необходимо провести соответствующие государственным стандартам электролинии.</w:t>
      </w:r>
    </w:p>
    <w:p w14:paraId="0C4D0134"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szCs w:val="28"/>
          <w:lang w:val="kk-KZ"/>
        </w:rPr>
        <w:t xml:space="preserve">Возобновляемые источники. </w:t>
      </w:r>
      <w:r w:rsidRPr="00F0736F">
        <w:rPr>
          <w:rFonts w:ascii="Times New Roman" w:hAnsi="Times New Roman" w:cs="Times New Roman"/>
          <w:color w:val="000000" w:themeColor="text1"/>
          <w:szCs w:val="28"/>
          <w:lang w:val="kk-KZ"/>
        </w:rPr>
        <w:t xml:space="preserve">Установлена биогазовая установка. выработка электроэнергии составляет 400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szCs w:val="28"/>
          <w:lang w:val="kk-KZ"/>
        </w:rPr>
        <w:t>. Окупаемость - 7 лет.</w:t>
      </w:r>
    </w:p>
    <w:p w14:paraId="0133E12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Установлены геотермальные тепловые насосы. Эксплуатационный расход электроэнергии в водозаборном сооружении Акбай-Карасу составил – 500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szCs w:val="28"/>
          <w:lang w:val="kk-KZ"/>
        </w:rPr>
        <w:t xml:space="preserve">. После установки данных насосов расход электроэнергии снизился до 100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szCs w:val="28"/>
          <w:lang w:val="kk-KZ"/>
        </w:rPr>
        <w:t>. Окупаемость - 6 лет.</w:t>
      </w:r>
    </w:p>
    <w:p w14:paraId="3E50CCD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В головном здании ТОО «Водные ресурсы-Маркетинг» и на водозаборе Акбай-Карасу установлены солнечные электрические батареи, генерирующие электричество. Окупаемость - 5 лет. Общая выработка электроэнергии - 200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szCs w:val="28"/>
          <w:lang w:val="kk-KZ"/>
        </w:rPr>
        <w:t>.</w:t>
      </w:r>
    </w:p>
    <w:p w14:paraId="3CD0094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 xml:space="preserve">На канализационных очистных сооружениях (КОС) установлена малая ГЭС. Выработка электроэнергии - 200 </w:t>
      </w:r>
      <w:r w:rsidRPr="00F0736F">
        <w:rPr>
          <w:rFonts w:ascii="Times New Roman" w:hAnsi="Times New Roman" w:cs="Times New Roman"/>
          <w:color w:val="000000" w:themeColor="text1"/>
        </w:rPr>
        <w:t>кВт*ч</w:t>
      </w:r>
      <w:r w:rsidRPr="00F0736F">
        <w:rPr>
          <w:rFonts w:ascii="Times New Roman" w:hAnsi="Times New Roman" w:cs="Times New Roman"/>
          <w:color w:val="000000" w:themeColor="text1"/>
          <w:szCs w:val="28"/>
          <w:lang w:val="kk-KZ"/>
        </w:rPr>
        <w:t>. Окупаемость - 6 лет.</w:t>
      </w:r>
    </w:p>
    <w:p w14:paraId="14001F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Cs w:val="28"/>
          <w:lang w:val="kk-KZ"/>
        </w:rPr>
        <w:t>Кроме того, Управлением энергетики и коммунального хозяйства города будет установлено сооружение по биодоступу сточных вод мощностью 500 м</w:t>
      </w:r>
      <w:r w:rsidRPr="00F0736F">
        <w:rPr>
          <w:rFonts w:ascii="Times New Roman" w:hAnsi="Times New Roman" w:cs="Times New Roman"/>
          <w:color w:val="000000" w:themeColor="text1"/>
          <w:szCs w:val="28"/>
          <w:vertAlign w:val="superscript"/>
          <w:lang w:val="kk-KZ"/>
        </w:rPr>
        <w:t>3</w:t>
      </w:r>
      <w:r w:rsidRPr="00F0736F">
        <w:rPr>
          <w:rFonts w:ascii="Times New Roman" w:hAnsi="Times New Roman" w:cs="Times New Roman"/>
          <w:color w:val="000000" w:themeColor="text1"/>
          <w:szCs w:val="28"/>
          <w:lang w:val="kk-KZ"/>
        </w:rPr>
        <w:t>/сутки с целью обеспечения жителей перекрестного жилого массива системой канализации и предотвращения загрязнения реки Бадам на этой территории.</w:t>
      </w:r>
    </w:p>
    <w:p w14:paraId="63C5CC10"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Теплоснабжение.</w:t>
      </w:r>
      <w:r w:rsidRPr="00F0736F">
        <w:rPr>
          <w:rFonts w:ascii="Times New Roman" w:hAnsi="Times New Roman" w:cs="Times New Roman"/>
          <w:color w:val="000000" w:themeColor="text1"/>
        </w:rPr>
        <w:t xml:space="preserve"> 373 бюджетные учреждения города и 1848 многоэтажных жилых домов обеспечены теплом. Согласно графику на 203 малых котельных (до 100 Гкал/час) проведен капитальный и текущий ремонт. На 33,8 км тепловых сетей города проведен текущий ремонт.</w:t>
      </w:r>
    </w:p>
    <w:p w14:paraId="36327C1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Население города снабжается теплом из 7 отопительных котлов. 89% жилого фонда многоэтажных жилых домов города отапливаются через «АО 3-Энергоорталык», остальные 11,0 процентов – через частные котельные.</w:t>
      </w:r>
    </w:p>
    <w:p w14:paraId="49CF8F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Из 346 социальных объектов в городе 53,2% снабжены централизованным отоплением, остальные 46,8% малыми котельными. Малые котельные в сущности, работают на жидком топливе или на угле.</w:t>
      </w:r>
    </w:p>
    <w:p w14:paraId="3ABAE8A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По данным Комитета по статистике, общая протяженность тепловых сетей составляет 208,1 км, из них ветхие — 41,4 км (19,9%), все они нуждаются в замене. </w:t>
      </w:r>
    </w:p>
    <w:p w14:paraId="2F7C25A9"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По газоснабжению</w:t>
      </w:r>
      <w:r w:rsidRPr="00F0736F">
        <w:rPr>
          <w:rFonts w:ascii="Times New Roman" w:hAnsi="Times New Roman" w:cs="Times New Roman"/>
          <w:color w:val="000000" w:themeColor="text1"/>
        </w:rPr>
        <w:t xml:space="preserve"> в 2018 году велось строительство 3 проектов, уровень охвата составил 92%.</w:t>
      </w:r>
    </w:p>
    <w:p w14:paraId="48BD99D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Жителям города природный газ поставляется и распределяется АО ЮКПФ «КазТрансГаз Аймак». Количество абонентов – 147 341, из них ВПД (высотные панельные дома) – 74 992, частный сектор – 72 349. </w:t>
      </w:r>
    </w:p>
    <w:p w14:paraId="2CC29D1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Протяженность линий транспортировки газа – 3973,6 км. Из них в промежутке 2010 - 2015 годов 1620,69 км или 40,79% газопроводов модернизированы. В 2018 году уровень износа газопроводов составлял 49,9%.</w:t>
      </w:r>
    </w:p>
    <w:p w14:paraId="4111AE6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Город, в основном, обеспечивается газом из 2-х источников и 2 источника поставлены в резерв. Следовательно, город имеет хорошие возможности по модернизации газопроводов. </w:t>
      </w:r>
    </w:p>
    <w:p w14:paraId="5E5DB6C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Среднегодовое потребление газа 190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/час. В зимний период 57,9% природного газа используют жители города, 32,9% «ТЭЦ-3», остальные 9,2% – предприятия, в летний период 17,5% природного газа используют жители города, 61,9% «ТЭЦ-3», остальные 21,6% – предприятия.</w:t>
      </w:r>
    </w:p>
    <w:p w14:paraId="4C3AFEE9"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Энергосбережение.</w:t>
      </w:r>
      <w:r w:rsidRPr="00F0736F">
        <w:rPr>
          <w:rFonts w:ascii="Times New Roman" w:hAnsi="Times New Roman" w:cs="Times New Roman"/>
          <w:color w:val="000000" w:themeColor="text1"/>
        </w:rPr>
        <w:t xml:space="preserve"> По городу имеется 38874 источника света. В парках и скверах имеется 22 207 штук светоотражающих источников, 14 009 штук установлены на 175 улицах и 2658 многоэтажных жилых домах. В 2017-2018 годах на 89 улицах было заменено 11 565 штук светодиодных энергосберегающих ламп, в настоящее время количество светодиодных светильников составило 13 396.</w:t>
      </w:r>
    </w:p>
    <w:p w14:paraId="0E521713"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водоснабжения и канализации, обеспечение населения централизованным водоснабжением и водоотведением.</w:t>
      </w:r>
    </w:p>
    <w:p w14:paraId="7E4BF2FD"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Водоснабжение.</w:t>
      </w:r>
      <w:r w:rsidRPr="00F0736F">
        <w:rPr>
          <w:rFonts w:ascii="Times New Roman" w:hAnsi="Times New Roman" w:cs="Times New Roman"/>
          <w:color w:val="000000" w:themeColor="text1"/>
        </w:rPr>
        <w:t xml:space="preserve"> В целях обеспечения питьевой водой в 2018 году велось строительство 9 проектов. В результате численность населения, охваченная централизованным водоснабжением, выросла с 92% до 93% (таблица 2.17.1.).</w:t>
      </w:r>
    </w:p>
    <w:p w14:paraId="42B5D1D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Население города Шымкент обеспечивается питьевой водой из следующих водных источников:</w:t>
      </w:r>
    </w:p>
    <w:p w14:paraId="5440F2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1. Комеш-булак - 73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w:t>
      </w:r>
    </w:p>
    <w:p w14:paraId="5A96F7C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2. Акбай-Карасу - 206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w:t>
      </w:r>
    </w:p>
    <w:p w14:paraId="6CAD0BF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3. Тассай-2 - 35тыс.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w:t>
      </w:r>
    </w:p>
    <w:p w14:paraId="45B1388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4. Тассай-1 - 30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w:t>
      </w:r>
    </w:p>
    <w:p w14:paraId="3AD1A02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5. Бадам-Сайрамский водовод - 80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/сутки.</w:t>
      </w:r>
    </w:p>
    <w:p w14:paraId="16FACD18" w14:textId="77777777" w:rsidR="00AC1D5B" w:rsidRPr="00F0736F" w:rsidRDefault="00AC1D5B" w:rsidP="00AC1D5B">
      <w:pPr>
        <w:ind w:firstLine="709"/>
        <w:jc w:val="both"/>
        <w:rPr>
          <w:color w:val="000000" w:themeColor="text1"/>
        </w:rPr>
      </w:pPr>
      <w:r w:rsidRPr="00F0736F">
        <w:rPr>
          <w:rFonts w:ascii="Times New Roman" w:hAnsi="Times New Roman" w:cs="Times New Roman"/>
          <w:bCs/>
          <w:color w:val="000000" w:themeColor="text1"/>
        </w:rPr>
        <w:t>Всего: 424 тыс. м</w:t>
      </w:r>
      <w:r w:rsidRPr="00F0736F">
        <w:rPr>
          <w:rFonts w:ascii="Times New Roman" w:hAnsi="Times New Roman" w:cs="Times New Roman"/>
          <w:bCs/>
          <w:color w:val="000000" w:themeColor="text1"/>
          <w:vertAlign w:val="superscript"/>
        </w:rPr>
        <w:t>3</w:t>
      </w:r>
      <w:r w:rsidRPr="00F0736F">
        <w:rPr>
          <w:rFonts w:ascii="Times New Roman" w:hAnsi="Times New Roman" w:cs="Times New Roman"/>
          <w:bCs/>
          <w:color w:val="000000" w:themeColor="text1"/>
        </w:rPr>
        <w:t>/сутки.</w:t>
      </w:r>
    </w:p>
    <w:p w14:paraId="2E9AD707" w14:textId="77777777" w:rsidR="00AC1D5B" w:rsidRPr="00F0736F" w:rsidRDefault="00AC1D5B" w:rsidP="00AC1D5B">
      <w:pPr>
        <w:ind w:firstLine="709"/>
        <w:jc w:val="both"/>
        <w:rPr>
          <w:rFonts w:ascii="Times New Roman" w:hAnsi="Times New Roman" w:cs="Times New Roman"/>
          <w:color w:val="000000" w:themeColor="text1"/>
        </w:rPr>
      </w:pPr>
    </w:p>
    <w:p w14:paraId="0538020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Таблица 2.17.1. Уровень обеспеченности централизованной питьевой водой города Шымкент </w:t>
      </w:r>
    </w:p>
    <w:p w14:paraId="50B3BD1C" w14:textId="77777777" w:rsidR="00AC1D5B" w:rsidRPr="00F0736F" w:rsidRDefault="00AC1D5B" w:rsidP="00AC1D5B">
      <w:pPr>
        <w:ind w:firstLine="709"/>
        <w:jc w:val="both"/>
        <w:rPr>
          <w:rFonts w:ascii="Times New Roman" w:hAnsi="Times New Roman" w:cs="Times New Roman"/>
          <w:color w:val="000000" w:themeColor="text1"/>
        </w:rPr>
      </w:pPr>
    </w:p>
    <w:tbl>
      <w:tblPr>
        <w:tblW w:w="9781" w:type="dxa"/>
        <w:tblInd w:w="108" w:type="dxa"/>
        <w:tblLayout w:type="fixed"/>
        <w:tblLook w:val="0000" w:firstRow="0" w:lastRow="0" w:firstColumn="0" w:lastColumn="0" w:noHBand="0" w:noVBand="0"/>
      </w:tblPr>
      <w:tblGrid>
        <w:gridCol w:w="1418"/>
        <w:gridCol w:w="1276"/>
        <w:gridCol w:w="1486"/>
        <w:gridCol w:w="1418"/>
        <w:gridCol w:w="1530"/>
        <w:gridCol w:w="1245"/>
        <w:gridCol w:w="1408"/>
      </w:tblGrid>
      <w:tr w:rsidR="00F0736F" w:rsidRPr="00F0736F" w14:paraId="316D8EE4" w14:textId="77777777" w:rsidTr="000B2B8A">
        <w:tc>
          <w:tcPr>
            <w:tcW w:w="1418" w:type="dxa"/>
            <w:vMerge w:val="restart"/>
            <w:tcBorders>
              <w:top w:val="single" w:sz="4" w:space="0" w:color="000000"/>
              <w:left w:val="single" w:sz="4" w:space="0" w:color="000000"/>
              <w:bottom w:val="single" w:sz="4" w:space="0" w:color="000000"/>
            </w:tcBorders>
            <w:shd w:val="clear" w:color="auto" w:fill="auto"/>
          </w:tcPr>
          <w:p w14:paraId="1A6AB5D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Город</w:t>
            </w:r>
          </w:p>
        </w:tc>
        <w:tc>
          <w:tcPr>
            <w:tcW w:w="2762" w:type="dxa"/>
            <w:gridSpan w:val="2"/>
            <w:vMerge w:val="restart"/>
            <w:tcBorders>
              <w:top w:val="single" w:sz="4" w:space="0" w:color="000000"/>
              <w:left w:val="single" w:sz="4" w:space="0" w:color="000000"/>
              <w:bottom w:val="single" w:sz="4" w:space="0" w:color="000000"/>
            </w:tcBorders>
            <w:shd w:val="clear" w:color="auto" w:fill="auto"/>
          </w:tcPr>
          <w:p w14:paraId="0ACEA45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Населенные пункты</w:t>
            </w:r>
          </w:p>
        </w:tc>
        <w:tc>
          <w:tcPr>
            <w:tcW w:w="5601" w:type="dxa"/>
            <w:gridSpan w:val="4"/>
            <w:tcBorders>
              <w:top w:val="single" w:sz="4" w:space="0" w:color="000000"/>
              <w:left w:val="single" w:sz="4" w:space="0" w:color="000000"/>
              <w:bottom w:val="single" w:sz="4" w:space="0" w:color="000000"/>
              <w:right w:val="single" w:sz="4" w:space="0" w:color="000000"/>
            </w:tcBorders>
            <w:shd w:val="clear" w:color="auto" w:fill="auto"/>
          </w:tcPr>
          <w:p w14:paraId="3483700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Круглосуточная обеспеченность водой</w:t>
            </w:r>
          </w:p>
        </w:tc>
      </w:tr>
      <w:tr w:rsidR="00F0736F" w:rsidRPr="00F0736F" w14:paraId="6AEA0316" w14:textId="77777777" w:rsidTr="000B2B8A">
        <w:trPr>
          <w:trHeight w:val="263"/>
        </w:trPr>
        <w:tc>
          <w:tcPr>
            <w:tcW w:w="1418" w:type="dxa"/>
            <w:vMerge/>
            <w:tcBorders>
              <w:top w:val="single" w:sz="4" w:space="0" w:color="000000"/>
              <w:left w:val="single" w:sz="4" w:space="0" w:color="000000"/>
              <w:bottom w:val="single" w:sz="4" w:space="0" w:color="000000"/>
            </w:tcBorders>
            <w:shd w:val="clear" w:color="auto" w:fill="auto"/>
          </w:tcPr>
          <w:p w14:paraId="530F8C35"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2762" w:type="dxa"/>
            <w:gridSpan w:val="2"/>
            <w:vMerge/>
            <w:tcBorders>
              <w:top w:val="single" w:sz="4" w:space="0" w:color="000000"/>
              <w:left w:val="single" w:sz="4" w:space="0" w:color="000000"/>
              <w:bottom w:val="single" w:sz="4" w:space="0" w:color="000000"/>
            </w:tcBorders>
            <w:shd w:val="clear" w:color="auto" w:fill="auto"/>
          </w:tcPr>
          <w:p w14:paraId="16829CC1"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2948" w:type="dxa"/>
            <w:gridSpan w:val="2"/>
            <w:tcBorders>
              <w:top w:val="single" w:sz="4" w:space="0" w:color="000000"/>
              <w:left w:val="single" w:sz="4" w:space="0" w:color="000000"/>
              <w:bottom w:val="single" w:sz="4" w:space="0" w:color="000000"/>
            </w:tcBorders>
            <w:shd w:val="clear" w:color="auto" w:fill="auto"/>
          </w:tcPr>
          <w:p w14:paraId="2BC4673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24 часа</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tcPr>
          <w:p w14:paraId="28B961C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Скважина</w:t>
            </w:r>
          </w:p>
        </w:tc>
      </w:tr>
      <w:tr w:rsidR="00F0736F" w:rsidRPr="00F0736F" w14:paraId="72A6AC30" w14:textId="77777777" w:rsidTr="000B2B8A">
        <w:trPr>
          <w:trHeight w:val="441"/>
        </w:trPr>
        <w:tc>
          <w:tcPr>
            <w:tcW w:w="1418" w:type="dxa"/>
            <w:vMerge/>
            <w:tcBorders>
              <w:top w:val="single" w:sz="4" w:space="0" w:color="000000"/>
              <w:left w:val="single" w:sz="4" w:space="0" w:color="000000"/>
              <w:bottom w:val="single" w:sz="4" w:space="0" w:color="000000"/>
            </w:tcBorders>
            <w:shd w:val="clear" w:color="auto" w:fill="auto"/>
          </w:tcPr>
          <w:p w14:paraId="2E85485F"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276" w:type="dxa"/>
            <w:tcBorders>
              <w:top w:val="single" w:sz="4" w:space="0" w:color="000000"/>
              <w:left w:val="single" w:sz="4" w:space="0" w:color="000000"/>
              <w:bottom w:val="single" w:sz="4" w:space="0" w:color="000000"/>
            </w:tcBorders>
            <w:shd w:val="clear" w:color="auto" w:fill="auto"/>
          </w:tcPr>
          <w:p w14:paraId="4A36353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w:t>
            </w:r>
          </w:p>
        </w:tc>
        <w:tc>
          <w:tcPr>
            <w:tcW w:w="1486" w:type="dxa"/>
            <w:tcBorders>
              <w:top w:val="single" w:sz="4" w:space="0" w:color="000000"/>
              <w:left w:val="single" w:sz="4" w:space="0" w:color="000000"/>
              <w:bottom w:val="single" w:sz="4" w:space="0" w:color="000000"/>
            </w:tcBorders>
            <w:shd w:val="clear" w:color="auto" w:fill="auto"/>
          </w:tcPr>
          <w:p w14:paraId="1CA42426"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c>
          <w:tcPr>
            <w:tcW w:w="1418" w:type="dxa"/>
            <w:tcBorders>
              <w:top w:val="single" w:sz="4" w:space="0" w:color="000000"/>
              <w:left w:val="single" w:sz="4" w:space="0" w:color="000000"/>
              <w:bottom w:val="single" w:sz="4" w:space="0" w:color="000000"/>
            </w:tcBorders>
            <w:shd w:val="clear" w:color="auto" w:fill="auto"/>
          </w:tcPr>
          <w:p w14:paraId="600B7CE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 мкр.</w:t>
            </w:r>
          </w:p>
        </w:tc>
        <w:tc>
          <w:tcPr>
            <w:tcW w:w="1530" w:type="dxa"/>
            <w:tcBorders>
              <w:top w:val="single" w:sz="4" w:space="0" w:color="000000"/>
              <w:left w:val="single" w:sz="4" w:space="0" w:color="000000"/>
              <w:bottom w:val="single" w:sz="4" w:space="0" w:color="000000"/>
            </w:tcBorders>
            <w:shd w:val="clear" w:color="auto" w:fill="auto"/>
          </w:tcPr>
          <w:p w14:paraId="33C28A9F"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c>
          <w:tcPr>
            <w:tcW w:w="1245" w:type="dxa"/>
            <w:tcBorders>
              <w:top w:val="single" w:sz="4" w:space="0" w:color="000000"/>
              <w:left w:val="single" w:sz="4" w:space="0" w:color="000000"/>
              <w:bottom w:val="single" w:sz="4" w:space="0" w:color="000000"/>
            </w:tcBorders>
            <w:shd w:val="clear" w:color="auto" w:fill="auto"/>
          </w:tcPr>
          <w:p w14:paraId="494CC92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 мкр.</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1CDE3B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r>
      <w:tr w:rsidR="00F0736F" w:rsidRPr="00F0736F" w14:paraId="42F37BB0" w14:textId="77777777" w:rsidTr="000B2B8A">
        <w:trPr>
          <w:trHeight w:val="305"/>
        </w:trPr>
        <w:tc>
          <w:tcPr>
            <w:tcW w:w="1418" w:type="dxa"/>
            <w:tcBorders>
              <w:top w:val="single" w:sz="4" w:space="0" w:color="000000"/>
              <w:left w:val="single" w:sz="4" w:space="0" w:color="000000"/>
              <w:bottom w:val="single" w:sz="4" w:space="0" w:color="000000"/>
            </w:tcBorders>
            <w:shd w:val="clear" w:color="auto" w:fill="auto"/>
          </w:tcPr>
          <w:p w14:paraId="7F28A82B"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Шымкент</w:t>
            </w:r>
          </w:p>
        </w:tc>
        <w:tc>
          <w:tcPr>
            <w:tcW w:w="1276" w:type="dxa"/>
            <w:tcBorders>
              <w:top w:val="single" w:sz="4" w:space="0" w:color="000000"/>
              <w:left w:val="single" w:sz="4" w:space="0" w:color="000000"/>
              <w:bottom w:val="single" w:sz="4" w:space="0" w:color="000000"/>
            </w:tcBorders>
            <w:shd w:val="clear" w:color="auto" w:fill="auto"/>
          </w:tcPr>
          <w:p w14:paraId="55C867D7" w14:textId="77777777" w:rsidR="00AC1D5B" w:rsidRPr="00F0736F" w:rsidRDefault="00AC1D5B" w:rsidP="00AC1D5B">
            <w:pPr>
              <w:ind w:hanging="80"/>
              <w:jc w:val="center"/>
              <w:rPr>
                <w:color w:val="000000" w:themeColor="text1"/>
              </w:rPr>
            </w:pPr>
            <w:r w:rsidRPr="00F0736F">
              <w:rPr>
                <w:rFonts w:ascii="Times New Roman" w:hAnsi="Times New Roman" w:cs="Times New Roman"/>
                <w:color w:val="000000" w:themeColor="text1"/>
                <w:sz w:val="20"/>
                <w:szCs w:val="20"/>
              </w:rPr>
              <w:t>81</w:t>
            </w:r>
          </w:p>
        </w:tc>
        <w:tc>
          <w:tcPr>
            <w:tcW w:w="1486" w:type="dxa"/>
            <w:tcBorders>
              <w:top w:val="single" w:sz="4" w:space="0" w:color="000000"/>
              <w:left w:val="single" w:sz="4" w:space="0" w:color="000000"/>
              <w:bottom w:val="single" w:sz="4" w:space="0" w:color="000000"/>
            </w:tcBorders>
            <w:shd w:val="clear" w:color="auto" w:fill="auto"/>
          </w:tcPr>
          <w:p w14:paraId="04448471" w14:textId="77777777" w:rsidR="00AC1D5B" w:rsidRPr="00F0736F" w:rsidRDefault="00AC1D5B" w:rsidP="00AC1D5B">
            <w:pPr>
              <w:ind w:hanging="80"/>
              <w:jc w:val="center"/>
              <w:rPr>
                <w:color w:val="000000" w:themeColor="text1"/>
              </w:rPr>
            </w:pPr>
            <w:r w:rsidRPr="00F0736F">
              <w:rPr>
                <w:rFonts w:ascii="Times New Roman" w:hAnsi="Times New Roman" w:cs="Times New Roman"/>
                <w:color w:val="000000" w:themeColor="text1"/>
                <w:sz w:val="20"/>
                <w:szCs w:val="20"/>
              </w:rPr>
              <w:t>896,1</w:t>
            </w:r>
          </w:p>
        </w:tc>
        <w:tc>
          <w:tcPr>
            <w:tcW w:w="1418" w:type="dxa"/>
            <w:tcBorders>
              <w:top w:val="single" w:sz="4" w:space="0" w:color="000000"/>
              <w:left w:val="single" w:sz="4" w:space="0" w:color="000000"/>
              <w:bottom w:val="single" w:sz="4" w:space="0" w:color="000000"/>
            </w:tcBorders>
            <w:shd w:val="clear" w:color="auto" w:fill="auto"/>
          </w:tcPr>
          <w:p w14:paraId="539994A7" w14:textId="77777777" w:rsidR="00AC1D5B" w:rsidRPr="00F0736F" w:rsidRDefault="00AC1D5B" w:rsidP="00AC1D5B">
            <w:pPr>
              <w:ind w:hanging="80"/>
              <w:jc w:val="center"/>
              <w:rPr>
                <w:color w:val="000000" w:themeColor="text1"/>
              </w:rPr>
            </w:pPr>
            <w:r w:rsidRPr="00F0736F">
              <w:rPr>
                <w:rFonts w:ascii="Times New Roman" w:hAnsi="Times New Roman" w:cs="Times New Roman"/>
                <w:color w:val="000000" w:themeColor="text1"/>
                <w:sz w:val="20"/>
                <w:szCs w:val="20"/>
              </w:rPr>
              <w:t>68</w:t>
            </w:r>
          </w:p>
        </w:tc>
        <w:tc>
          <w:tcPr>
            <w:tcW w:w="1530" w:type="dxa"/>
            <w:tcBorders>
              <w:top w:val="single" w:sz="4" w:space="0" w:color="000000"/>
              <w:left w:val="single" w:sz="4" w:space="0" w:color="000000"/>
              <w:bottom w:val="single" w:sz="4" w:space="0" w:color="000000"/>
            </w:tcBorders>
            <w:shd w:val="clear" w:color="auto" w:fill="auto"/>
          </w:tcPr>
          <w:p w14:paraId="45E8ADF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824,5</w:t>
            </w:r>
            <w:r w:rsidRPr="00F0736F">
              <w:rPr>
                <w:rFonts w:ascii="Times New Roman" w:eastAsia="Times New Roman" w:hAnsi="Times New Roman" w:cs="Times New Roman"/>
                <w:color w:val="000000" w:themeColor="text1"/>
                <w:sz w:val="20"/>
                <w:szCs w:val="20"/>
              </w:rPr>
              <w:t xml:space="preserve"> </w:t>
            </w:r>
            <w:r w:rsidRPr="00F0736F">
              <w:rPr>
                <w:rFonts w:ascii="Times New Roman" w:hAnsi="Times New Roman" w:cs="Times New Roman"/>
                <w:color w:val="000000" w:themeColor="text1"/>
                <w:sz w:val="20"/>
                <w:szCs w:val="20"/>
              </w:rPr>
              <w:t>(92,0%)</w:t>
            </w:r>
          </w:p>
        </w:tc>
        <w:tc>
          <w:tcPr>
            <w:tcW w:w="1245" w:type="dxa"/>
            <w:tcBorders>
              <w:top w:val="single" w:sz="4" w:space="0" w:color="000000"/>
              <w:left w:val="single" w:sz="4" w:space="0" w:color="000000"/>
              <w:bottom w:val="single" w:sz="4" w:space="0" w:color="000000"/>
            </w:tcBorders>
            <w:shd w:val="clear" w:color="auto" w:fill="auto"/>
          </w:tcPr>
          <w:p w14:paraId="0A66109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13</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0897CF2C"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71,6 (7,9%)</w:t>
            </w:r>
          </w:p>
        </w:tc>
      </w:tr>
    </w:tbl>
    <w:p w14:paraId="11DCEB54" w14:textId="77777777" w:rsidR="00AC1D5B" w:rsidRPr="00F0736F" w:rsidRDefault="00AC1D5B" w:rsidP="00AC1D5B">
      <w:pPr>
        <w:ind w:firstLine="709"/>
        <w:jc w:val="both"/>
        <w:rPr>
          <w:i/>
          <w:iCs/>
          <w:color w:val="000000" w:themeColor="text1"/>
          <w:sz w:val="22"/>
          <w:szCs w:val="22"/>
        </w:rPr>
      </w:pPr>
      <w:r w:rsidRPr="00F0736F">
        <w:rPr>
          <w:rFonts w:ascii="Times New Roman" w:hAnsi="Times New Roman" w:cs="Times New Roman"/>
          <w:i/>
          <w:iCs/>
          <w:color w:val="000000" w:themeColor="text1"/>
          <w:sz w:val="22"/>
          <w:szCs w:val="22"/>
        </w:rPr>
        <w:t>Источник: сведения МИО</w:t>
      </w:r>
    </w:p>
    <w:p w14:paraId="633CA791" w14:textId="77777777" w:rsidR="00AC1D5B" w:rsidRPr="00F0736F" w:rsidRDefault="00AC1D5B" w:rsidP="00AC1D5B">
      <w:pPr>
        <w:ind w:firstLine="709"/>
        <w:jc w:val="both"/>
        <w:rPr>
          <w:rFonts w:ascii="Times New Roman" w:hAnsi="Times New Roman" w:cs="Times New Roman"/>
          <w:color w:val="000000" w:themeColor="text1"/>
        </w:rPr>
      </w:pPr>
    </w:p>
    <w:p w14:paraId="28F54C6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2017 году протяженность систем водоснабжения, по данным акимата города, составляла 3542,6 км. Из них на балансе ТОО «Водные ресурсы-маркетинг» 1827,47 км, в коммунальной собственности акимата города – 1735,6 км. Уровень износа систем водоснабжения составляет 37,9%, все устаревшие трубы состоят на балансе ТОО «Водные ресурсы-маркетинг» (таблица 2.17.2.). </w:t>
      </w:r>
    </w:p>
    <w:p w14:paraId="6580E661" w14:textId="77777777" w:rsidR="00AC1D5B" w:rsidRPr="00F0736F" w:rsidRDefault="00AC1D5B" w:rsidP="00AC1D5B">
      <w:pPr>
        <w:ind w:firstLine="709"/>
        <w:jc w:val="both"/>
        <w:rPr>
          <w:rFonts w:ascii="Times New Roman" w:hAnsi="Times New Roman" w:cs="Times New Roman"/>
          <w:color w:val="000000" w:themeColor="text1"/>
        </w:rPr>
      </w:pPr>
    </w:p>
    <w:p w14:paraId="1D1304B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2.17.2. Анализ уровня износа водопроводных труб в городе</w:t>
      </w:r>
    </w:p>
    <w:p w14:paraId="7DA87C0D"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1971"/>
        <w:gridCol w:w="1602"/>
        <w:gridCol w:w="1430"/>
        <w:gridCol w:w="1520"/>
        <w:gridCol w:w="1492"/>
        <w:gridCol w:w="1685"/>
      </w:tblGrid>
      <w:tr w:rsidR="00F0736F" w:rsidRPr="00F0736F" w14:paraId="2776B7E6" w14:textId="77777777" w:rsidTr="000B2B8A">
        <w:tc>
          <w:tcPr>
            <w:tcW w:w="1971" w:type="dxa"/>
            <w:vMerge w:val="restart"/>
            <w:tcBorders>
              <w:top w:val="single" w:sz="4" w:space="0" w:color="000000"/>
              <w:left w:val="single" w:sz="4" w:space="0" w:color="000000"/>
              <w:bottom w:val="single" w:sz="4" w:space="0" w:color="000000"/>
            </w:tcBorders>
            <w:shd w:val="clear" w:color="auto" w:fill="auto"/>
          </w:tcPr>
          <w:p w14:paraId="43ABF8EE"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602" w:type="dxa"/>
            <w:vMerge w:val="restart"/>
            <w:tcBorders>
              <w:top w:val="single" w:sz="4" w:space="0" w:color="000000"/>
              <w:left w:val="single" w:sz="4" w:space="0" w:color="000000"/>
              <w:bottom w:val="single" w:sz="4" w:space="0" w:color="000000"/>
            </w:tcBorders>
            <w:shd w:val="clear" w:color="auto" w:fill="auto"/>
            <w:vAlign w:val="center"/>
          </w:tcPr>
          <w:p w14:paraId="3779A631"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Протяженность, км</w:t>
            </w:r>
          </w:p>
        </w:tc>
        <w:tc>
          <w:tcPr>
            <w:tcW w:w="612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E9769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 том числе:</w:t>
            </w:r>
          </w:p>
        </w:tc>
      </w:tr>
      <w:tr w:rsidR="00F0736F" w:rsidRPr="00F0736F" w14:paraId="1DBAEC93" w14:textId="77777777" w:rsidTr="000B2B8A">
        <w:trPr>
          <w:trHeight w:val="356"/>
        </w:trPr>
        <w:tc>
          <w:tcPr>
            <w:tcW w:w="1971" w:type="dxa"/>
            <w:vMerge/>
            <w:tcBorders>
              <w:top w:val="single" w:sz="4" w:space="0" w:color="000000"/>
              <w:left w:val="single" w:sz="4" w:space="0" w:color="000000"/>
              <w:bottom w:val="single" w:sz="4" w:space="0" w:color="000000"/>
            </w:tcBorders>
            <w:shd w:val="clear" w:color="auto" w:fill="auto"/>
          </w:tcPr>
          <w:p w14:paraId="1079CBDF"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602" w:type="dxa"/>
            <w:vMerge/>
            <w:tcBorders>
              <w:top w:val="single" w:sz="4" w:space="0" w:color="000000"/>
              <w:left w:val="single" w:sz="4" w:space="0" w:color="000000"/>
              <w:bottom w:val="single" w:sz="4" w:space="0" w:color="000000"/>
            </w:tcBorders>
            <w:shd w:val="clear" w:color="auto" w:fill="auto"/>
            <w:vAlign w:val="center"/>
          </w:tcPr>
          <w:p w14:paraId="2B8EF145"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2950" w:type="dxa"/>
            <w:gridSpan w:val="2"/>
            <w:tcBorders>
              <w:top w:val="single" w:sz="4" w:space="0" w:color="000000"/>
              <w:left w:val="single" w:sz="4" w:space="0" w:color="000000"/>
              <w:bottom w:val="single" w:sz="4" w:space="0" w:color="000000"/>
            </w:tcBorders>
            <w:shd w:val="clear" w:color="auto" w:fill="auto"/>
            <w:vAlign w:val="center"/>
          </w:tcPr>
          <w:p w14:paraId="25CAB3F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На балансе ТОО «Водные ресурсы-маркетинг»</w:t>
            </w:r>
          </w:p>
        </w:tc>
        <w:tc>
          <w:tcPr>
            <w:tcW w:w="3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65F0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На балансе коммунальной собственности</w:t>
            </w:r>
          </w:p>
        </w:tc>
      </w:tr>
      <w:tr w:rsidR="00F0736F" w:rsidRPr="00F0736F" w14:paraId="20A593BB" w14:textId="77777777" w:rsidTr="000B2B8A">
        <w:tc>
          <w:tcPr>
            <w:tcW w:w="1971" w:type="dxa"/>
            <w:vMerge/>
            <w:tcBorders>
              <w:top w:val="single" w:sz="4" w:space="0" w:color="000000"/>
              <w:left w:val="single" w:sz="4" w:space="0" w:color="000000"/>
              <w:bottom w:val="single" w:sz="4" w:space="0" w:color="000000"/>
            </w:tcBorders>
            <w:shd w:val="clear" w:color="auto" w:fill="auto"/>
          </w:tcPr>
          <w:p w14:paraId="2712862A"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602" w:type="dxa"/>
            <w:vMerge/>
            <w:tcBorders>
              <w:top w:val="single" w:sz="4" w:space="0" w:color="000000"/>
              <w:left w:val="single" w:sz="4" w:space="0" w:color="000000"/>
              <w:bottom w:val="single" w:sz="4" w:space="0" w:color="000000"/>
            </w:tcBorders>
            <w:shd w:val="clear" w:color="auto" w:fill="auto"/>
            <w:vAlign w:val="center"/>
          </w:tcPr>
          <w:p w14:paraId="0CB1CD08"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1430" w:type="dxa"/>
            <w:tcBorders>
              <w:top w:val="single" w:sz="4" w:space="0" w:color="000000"/>
              <w:left w:val="single" w:sz="4" w:space="0" w:color="000000"/>
              <w:bottom w:val="single" w:sz="4" w:space="0" w:color="000000"/>
            </w:tcBorders>
            <w:shd w:val="clear" w:color="auto" w:fill="auto"/>
            <w:vAlign w:val="center"/>
          </w:tcPr>
          <w:p w14:paraId="1C13623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км</w:t>
            </w:r>
          </w:p>
        </w:tc>
        <w:tc>
          <w:tcPr>
            <w:tcW w:w="1520" w:type="dxa"/>
            <w:tcBorders>
              <w:top w:val="single" w:sz="4" w:space="0" w:color="000000"/>
              <w:left w:val="single" w:sz="4" w:space="0" w:color="000000"/>
              <w:bottom w:val="single" w:sz="4" w:space="0" w:color="000000"/>
            </w:tcBorders>
            <w:shd w:val="clear" w:color="auto" w:fill="auto"/>
            <w:vAlign w:val="center"/>
          </w:tcPr>
          <w:p w14:paraId="2EAC3F5C"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износ, %</w:t>
            </w:r>
          </w:p>
        </w:tc>
        <w:tc>
          <w:tcPr>
            <w:tcW w:w="1492" w:type="dxa"/>
            <w:tcBorders>
              <w:top w:val="single" w:sz="4" w:space="0" w:color="000000"/>
              <w:left w:val="single" w:sz="4" w:space="0" w:color="000000"/>
              <w:bottom w:val="single" w:sz="4" w:space="0" w:color="000000"/>
            </w:tcBorders>
            <w:shd w:val="clear" w:color="auto" w:fill="auto"/>
            <w:vAlign w:val="center"/>
          </w:tcPr>
          <w:p w14:paraId="210782A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км</w:t>
            </w:r>
          </w:p>
        </w:tc>
        <w:tc>
          <w:tcPr>
            <w:tcW w:w="1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C903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износ, %</w:t>
            </w:r>
          </w:p>
        </w:tc>
      </w:tr>
      <w:tr w:rsidR="00F0736F" w:rsidRPr="00F0736F" w14:paraId="6F6D5492" w14:textId="77777777" w:rsidTr="000B2B8A">
        <w:tc>
          <w:tcPr>
            <w:tcW w:w="1971" w:type="dxa"/>
            <w:tcBorders>
              <w:top w:val="single" w:sz="4" w:space="0" w:color="000000"/>
              <w:left w:val="single" w:sz="4" w:space="0" w:color="000000"/>
              <w:bottom w:val="single" w:sz="4" w:space="0" w:color="000000"/>
            </w:tcBorders>
            <w:shd w:val="clear" w:color="auto" w:fill="auto"/>
          </w:tcPr>
          <w:p w14:paraId="0B21292E"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Магистральные сети</w:t>
            </w:r>
          </w:p>
        </w:tc>
        <w:tc>
          <w:tcPr>
            <w:tcW w:w="1602" w:type="dxa"/>
            <w:tcBorders>
              <w:top w:val="single" w:sz="4" w:space="0" w:color="000000"/>
              <w:left w:val="single" w:sz="4" w:space="0" w:color="000000"/>
              <w:bottom w:val="single" w:sz="4" w:space="0" w:color="000000"/>
            </w:tcBorders>
            <w:shd w:val="clear" w:color="auto" w:fill="auto"/>
          </w:tcPr>
          <w:p w14:paraId="12357EB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382,2</w:t>
            </w:r>
          </w:p>
        </w:tc>
        <w:tc>
          <w:tcPr>
            <w:tcW w:w="1430" w:type="dxa"/>
            <w:tcBorders>
              <w:top w:val="single" w:sz="4" w:space="0" w:color="000000"/>
              <w:left w:val="single" w:sz="4" w:space="0" w:color="000000"/>
              <w:bottom w:val="single" w:sz="4" w:space="0" w:color="000000"/>
            </w:tcBorders>
            <w:shd w:val="clear" w:color="auto" w:fill="auto"/>
          </w:tcPr>
          <w:p w14:paraId="2949E98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331</w:t>
            </w:r>
          </w:p>
        </w:tc>
        <w:tc>
          <w:tcPr>
            <w:tcW w:w="1520" w:type="dxa"/>
            <w:tcBorders>
              <w:top w:val="single" w:sz="4" w:space="0" w:color="000000"/>
              <w:left w:val="single" w:sz="4" w:space="0" w:color="000000"/>
              <w:bottom w:val="single" w:sz="4" w:space="0" w:color="000000"/>
            </w:tcBorders>
            <w:shd w:val="clear" w:color="auto" w:fill="auto"/>
          </w:tcPr>
          <w:p w14:paraId="13908D6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61,5</w:t>
            </w:r>
          </w:p>
        </w:tc>
        <w:tc>
          <w:tcPr>
            <w:tcW w:w="1492" w:type="dxa"/>
            <w:tcBorders>
              <w:top w:val="single" w:sz="4" w:space="0" w:color="000000"/>
              <w:left w:val="single" w:sz="4" w:space="0" w:color="000000"/>
              <w:bottom w:val="single" w:sz="4" w:space="0" w:color="000000"/>
            </w:tcBorders>
            <w:shd w:val="clear" w:color="auto" w:fill="auto"/>
          </w:tcPr>
          <w:p w14:paraId="2B8C719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71,7</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14:paraId="45EEA64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0</w:t>
            </w:r>
          </w:p>
        </w:tc>
      </w:tr>
      <w:tr w:rsidR="00F0736F" w:rsidRPr="00F0736F" w14:paraId="02E2CBCB" w14:textId="77777777" w:rsidTr="000B2B8A">
        <w:tc>
          <w:tcPr>
            <w:tcW w:w="1971" w:type="dxa"/>
            <w:tcBorders>
              <w:top w:val="single" w:sz="4" w:space="0" w:color="000000"/>
              <w:left w:val="single" w:sz="4" w:space="0" w:color="000000"/>
              <w:bottom w:val="single" w:sz="4" w:space="0" w:color="000000"/>
            </w:tcBorders>
            <w:shd w:val="clear" w:color="auto" w:fill="auto"/>
          </w:tcPr>
          <w:p w14:paraId="50524506"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Внутриквартальные сети</w:t>
            </w:r>
          </w:p>
        </w:tc>
        <w:tc>
          <w:tcPr>
            <w:tcW w:w="1602" w:type="dxa"/>
            <w:tcBorders>
              <w:top w:val="single" w:sz="4" w:space="0" w:color="000000"/>
              <w:left w:val="single" w:sz="4" w:space="0" w:color="000000"/>
              <w:bottom w:val="single" w:sz="4" w:space="0" w:color="000000"/>
            </w:tcBorders>
            <w:shd w:val="clear" w:color="auto" w:fill="auto"/>
          </w:tcPr>
          <w:p w14:paraId="7F2EC4E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3160,4</w:t>
            </w:r>
          </w:p>
        </w:tc>
        <w:tc>
          <w:tcPr>
            <w:tcW w:w="1430" w:type="dxa"/>
            <w:tcBorders>
              <w:top w:val="single" w:sz="4" w:space="0" w:color="000000"/>
              <w:left w:val="single" w:sz="4" w:space="0" w:color="000000"/>
              <w:bottom w:val="single" w:sz="4" w:space="0" w:color="000000"/>
            </w:tcBorders>
            <w:shd w:val="clear" w:color="auto" w:fill="auto"/>
          </w:tcPr>
          <w:p w14:paraId="4043D37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1496,47</w:t>
            </w:r>
          </w:p>
        </w:tc>
        <w:tc>
          <w:tcPr>
            <w:tcW w:w="1520" w:type="dxa"/>
            <w:tcBorders>
              <w:top w:val="single" w:sz="4" w:space="0" w:color="000000"/>
              <w:left w:val="single" w:sz="4" w:space="0" w:color="000000"/>
              <w:bottom w:val="single" w:sz="4" w:space="0" w:color="000000"/>
            </w:tcBorders>
            <w:shd w:val="clear" w:color="auto" w:fill="auto"/>
          </w:tcPr>
          <w:p w14:paraId="0513588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40</w:t>
            </w:r>
          </w:p>
        </w:tc>
        <w:tc>
          <w:tcPr>
            <w:tcW w:w="1492" w:type="dxa"/>
            <w:tcBorders>
              <w:top w:val="single" w:sz="4" w:space="0" w:color="000000"/>
              <w:left w:val="single" w:sz="4" w:space="0" w:color="000000"/>
              <w:bottom w:val="single" w:sz="4" w:space="0" w:color="000000"/>
            </w:tcBorders>
            <w:shd w:val="clear" w:color="auto" w:fill="auto"/>
          </w:tcPr>
          <w:p w14:paraId="523777D9"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1663,9</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14:paraId="34FDAD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0</w:t>
            </w:r>
          </w:p>
        </w:tc>
      </w:tr>
      <w:tr w:rsidR="00F0736F" w:rsidRPr="00F0736F" w14:paraId="7C7F67B7" w14:textId="77777777" w:rsidTr="000B2B8A">
        <w:tc>
          <w:tcPr>
            <w:tcW w:w="1971" w:type="dxa"/>
            <w:tcBorders>
              <w:top w:val="single" w:sz="4" w:space="0" w:color="000000"/>
              <w:left w:val="single" w:sz="4" w:space="0" w:color="000000"/>
              <w:bottom w:val="single" w:sz="4" w:space="0" w:color="000000"/>
            </w:tcBorders>
            <w:shd w:val="clear" w:color="auto" w:fill="auto"/>
          </w:tcPr>
          <w:p w14:paraId="51B0E8B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Всего:</w:t>
            </w:r>
          </w:p>
        </w:tc>
        <w:tc>
          <w:tcPr>
            <w:tcW w:w="1602" w:type="dxa"/>
            <w:tcBorders>
              <w:top w:val="single" w:sz="4" w:space="0" w:color="000000"/>
              <w:left w:val="single" w:sz="4" w:space="0" w:color="000000"/>
              <w:bottom w:val="single" w:sz="4" w:space="0" w:color="000000"/>
            </w:tcBorders>
            <w:shd w:val="clear" w:color="auto" w:fill="auto"/>
          </w:tcPr>
          <w:p w14:paraId="0ADC704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3542,6</w:t>
            </w:r>
          </w:p>
        </w:tc>
        <w:tc>
          <w:tcPr>
            <w:tcW w:w="1430" w:type="dxa"/>
            <w:tcBorders>
              <w:top w:val="single" w:sz="4" w:space="0" w:color="000000"/>
              <w:left w:val="single" w:sz="4" w:space="0" w:color="000000"/>
              <w:bottom w:val="single" w:sz="4" w:space="0" w:color="000000"/>
            </w:tcBorders>
            <w:shd w:val="clear" w:color="auto" w:fill="auto"/>
          </w:tcPr>
          <w:p w14:paraId="45CC1C5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1827,47</w:t>
            </w:r>
          </w:p>
        </w:tc>
        <w:tc>
          <w:tcPr>
            <w:tcW w:w="1520" w:type="dxa"/>
            <w:tcBorders>
              <w:top w:val="single" w:sz="4" w:space="0" w:color="000000"/>
              <w:left w:val="single" w:sz="4" w:space="0" w:color="000000"/>
              <w:bottom w:val="single" w:sz="4" w:space="0" w:color="000000"/>
            </w:tcBorders>
            <w:shd w:val="clear" w:color="auto" w:fill="auto"/>
          </w:tcPr>
          <w:p w14:paraId="42676F6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37,9</w:t>
            </w:r>
          </w:p>
        </w:tc>
        <w:tc>
          <w:tcPr>
            <w:tcW w:w="1492" w:type="dxa"/>
            <w:tcBorders>
              <w:top w:val="single" w:sz="4" w:space="0" w:color="000000"/>
              <w:left w:val="single" w:sz="4" w:space="0" w:color="000000"/>
              <w:bottom w:val="single" w:sz="4" w:space="0" w:color="000000"/>
            </w:tcBorders>
            <w:shd w:val="clear" w:color="auto" w:fill="auto"/>
          </w:tcPr>
          <w:p w14:paraId="15296E54"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1735,6</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14:paraId="717A50E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0</w:t>
            </w:r>
          </w:p>
        </w:tc>
      </w:tr>
    </w:tbl>
    <w:p w14:paraId="3EBACC98" w14:textId="77777777" w:rsidR="00AC1D5B" w:rsidRPr="00F0736F" w:rsidRDefault="00AC1D5B" w:rsidP="00AC1D5B">
      <w:pPr>
        <w:ind w:firstLine="709"/>
        <w:jc w:val="both"/>
        <w:rPr>
          <w:i/>
          <w:iCs/>
          <w:color w:val="000000" w:themeColor="text1"/>
          <w:sz w:val="22"/>
          <w:szCs w:val="22"/>
        </w:rPr>
      </w:pPr>
      <w:r w:rsidRPr="00F0736F">
        <w:rPr>
          <w:rFonts w:ascii="Times New Roman" w:hAnsi="Times New Roman" w:cs="Times New Roman"/>
          <w:i/>
          <w:iCs/>
          <w:color w:val="000000" w:themeColor="text1"/>
          <w:sz w:val="22"/>
          <w:szCs w:val="22"/>
        </w:rPr>
        <w:t>Источник: сведения МИО</w:t>
      </w:r>
    </w:p>
    <w:p w14:paraId="1F47B977" w14:textId="77777777" w:rsidR="00AC1D5B" w:rsidRPr="00F0736F" w:rsidRDefault="00AC1D5B" w:rsidP="00AC1D5B">
      <w:pPr>
        <w:ind w:firstLine="709"/>
        <w:jc w:val="both"/>
        <w:rPr>
          <w:rFonts w:ascii="Times New Roman" w:hAnsi="Times New Roman" w:cs="Times New Roman"/>
          <w:color w:val="000000" w:themeColor="text1"/>
        </w:rPr>
      </w:pPr>
    </w:p>
    <w:p w14:paraId="1DA2C05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протяженность водопроводных сетей в 2018 году, по данным акимата города, составляет 4782,2 км, в том числе в собственности ТОО «Водные ресурсы-Маркетинг» - 1882,2 км, в коммунальной собственности - 2900 км.</w:t>
      </w:r>
    </w:p>
    <w:p w14:paraId="07B935E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реализовано 8 проектов водоснабжения, 4 объекта завершены и сданы в эксплуатацию. B результате 2620 домов с численностью 18,6 тыс. человек подключено к водоснабжению, уровень обеспеченности составит 94,7%, или 944 тыс. человек.</w:t>
      </w:r>
    </w:p>
    <w:p w14:paraId="67559B2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по данным Комитета по статистике МНЭ РК, общая протяженность водопроводных сетей составила 4054,4 км, из них требует замены 1045,8 км.</w:t>
      </w:r>
    </w:p>
    <w:p w14:paraId="5A2E4F3B"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Водоотведение.</w:t>
      </w:r>
      <w:r w:rsidRPr="00F0736F">
        <w:rPr>
          <w:rFonts w:ascii="Times New Roman" w:hAnsi="Times New Roman" w:cs="Times New Roman"/>
          <w:color w:val="000000" w:themeColor="text1"/>
        </w:rPr>
        <w:t xml:space="preserve"> На территории города имеется 1 канализационно-очистное сооружение (КОС) мощностью 150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/сут (в собственности ТОО «Водные ресурсы-Маркетинг»).  </w:t>
      </w:r>
    </w:p>
    <w:p w14:paraId="3DA2746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Общая протяженность канализационных сетей, по данным акимата города, составляет 838,98 км (в том числе, в собственности ТОО «Водные ресурсы-Маркетинг» - 453,4 км, в коммунальной собственности - 385,58 км). Все коллекторы систем изношены. </w:t>
      </w:r>
    </w:p>
    <w:p w14:paraId="1C57A74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Канализационные системы охватывают только центральную часть города. Канализационная система 5-ти населенных пунктов, присоединенных к городу согласно Генеральному плану, в 2018 году бездействовали ввиду изношенности, сточные воды стекают в реки.</w:t>
      </w:r>
    </w:p>
    <w:p w14:paraId="69B9E45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сетями канализаций обеспечены центральная часть города и 41% потребителей (таблица 2.17.3.).</w:t>
      </w:r>
    </w:p>
    <w:p w14:paraId="1B793C91" w14:textId="77777777" w:rsidR="00AC1D5B" w:rsidRPr="00F0736F" w:rsidRDefault="00AC1D5B" w:rsidP="00AC1D5B">
      <w:pPr>
        <w:ind w:firstLine="709"/>
        <w:jc w:val="both"/>
        <w:rPr>
          <w:rFonts w:ascii="Times New Roman" w:hAnsi="Times New Roman" w:cs="Times New Roman"/>
          <w:color w:val="000000" w:themeColor="text1"/>
        </w:rPr>
      </w:pPr>
    </w:p>
    <w:p w14:paraId="1515362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Таблица 2.17.3. Обеспеченность населения водоотведением.</w:t>
      </w:r>
    </w:p>
    <w:p w14:paraId="69CC62B1" w14:textId="77777777" w:rsidR="00AC1D5B" w:rsidRPr="00F0736F" w:rsidRDefault="00AC1D5B" w:rsidP="00AC1D5B">
      <w:pPr>
        <w:ind w:firstLine="709"/>
        <w:jc w:val="both"/>
        <w:rPr>
          <w:rFonts w:ascii="Times New Roman" w:hAnsi="Times New Roman" w:cs="Times New Roman"/>
          <w:color w:val="000000" w:themeColor="text1"/>
        </w:rPr>
      </w:pPr>
    </w:p>
    <w:tbl>
      <w:tblPr>
        <w:tblW w:w="0" w:type="auto"/>
        <w:tblInd w:w="108" w:type="dxa"/>
        <w:tblLayout w:type="fixed"/>
        <w:tblLook w:val="0000" w:firstRow="0" w:lastRow="0" w:firstColumn="0" w:lastColumn="0" w:noHBand="0" w:noVBand="0"/>
      </w:tblPr>
      <w:tblGrid>
        <w:gridCol w:w="1950"/>
        <w:gridCol w:w="975"/>
        <w:gridCol w:w="1269"/>
        <w:gridCol w:w="18"/>
        <w:gridCol w:w="1398"/>
        <w:gridCol w:w="1281"/>
        <w:gridCol w:w="1406"/>
        <w:gridCol w:w="1525"/>
      </w:tblGrid>
      <w:tr w:rsidR="00F0736F" w:rsidRPr="00F0736F" w14:paraId="491C9DDF" w14:textId="77777777" w:rsidTr="000B2B8A">
        <w:trPr>
          <w:trHeight w:val="361"/>
        </w:trPr>
        <w:tc>
          <w:tcPr>
            <w:tcW w:w="1950" w:type="dxa"/>
            <w:vMerge w:val="restart"/>
            <w:tcBorders>
              <w:top w:val="single" w:sz="4" w:space="0" w:color="000000"/>
              <w:left w:val="single" w:sz="4" w:space="0" w:color="000000"/>
              <w:bottom w:val="single" w:sz="4" w:space="0" w:color="000000"/>
            </w:tcBorders>
            <w:shd w:val="clear" w:color="auto" w:fill="auto"/>
          </w:tcPr>
          <w:p w14:paraId="60F3144A"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p w14:paraId="685E3B9D"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Наименование</w:t>
            </w:r>
          </w:p>
        </w:tc>
        <w:tc>
          <w:tcPr>
            <w:tcW w:w="2262" w:type="dxa"/>
            <w:gridSpan w:val="3"/>
            <w:tcBorders>
              <w:top w:val="single" w:sz="4" w:space="0" w:color="000000"/>
              <w:left w:val="single" w:sz="4" w:space="0" w:color="000000"/>
              <w:bottom w:val="single" w:sz="4" w:space="0" w:color="000000"/>
            </w:tcBorders>
            <w:shd w:val="clear" w:color="auto" w:fill="auto"/>
          </w:tcPr>
          <w:p w14:paraId="0221E2F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Насел. пункты</w:t>
            </w:r>
          </w:p>
        </w:tc>
        <w:tc>
          <w:tcPr>
            <w:tcW w:w="5608" w:type="dxa"/>
            <w:gridSpan w:val="4"/>
            <w:tcBorders>
              <w:top w:val="single" w:sz="4" w:space="0" w:color="000000"/>
              <w:left w:val="single" w:sz="4" w:space="0" w:color="000000"/>
              <w:bottom w:val="single" w:sz="4" w:space="0" w:color="000000"/>
              <w:right w:val="single" w:sz="4" w:space="0" w:color="000000"/>
            </w:tcBorders>
            <w:shd w:val="clear" w:color="auto" w:fill="auto"/>
          </w:tcPr>
          <w:p w14:paraId="690D951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z w:val="20"/>
                <w:szCs w:val="20"/>
              </w:rPr>
              <w:t>Обеспеченность канализацией</w:t>
            </w:r>
          </w:p>
        </w:tc>
      </w:tr>
      <w:tr w:rsidR="00F0736F" w:rsidRPr="00F0736F" w14:paraId="4C311B52" w14:textId="77777777" w:rsidTr="000B2B8A">
        <w:trPr>
          <w:trHeight w:val="268"/>
        </w:trPr>
        <w:tc>
          <w:tcPr>
            <w:tcW w:w="1950" w:type="dxa"/>
            <w:vMerge/>
            <w:tcBorders>
              <w:top w:val="single" w:sz="4" w:space="0" w:color="000000"/>
              <w:left w:val="single" w:sz="4" w:space="0" w:color="000000"/>
              <w:bottom w:val="single" w:sz="4" w:space="0" w:color="000000"/>
            </w:tcBorders>
            <w:shd w:val="clear" w:color="auto" w:fill="auto"/>
          </w:tcPr>
          <w:p w14:paraId="69E145AE"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975" w:type="dxa"/>
            <w:vMerge w:val="restart"/>
            <w:tcBorders>
              <w:top w:val="single" w:sz="4" w:space="0" w:color="000000"/>
              <w:left w:val="single" w:sz="4" w:space="0" w:color="000000"/>
              <w:bottom w:val="single" w:sz="4" w:space="0" w:color="000000"/>
            </w:tcBorders>
            <w:shd w:val="clear" w:color="auto" w:fill="auto"/>
          </w:tcPr>
          <w:p w14:paraId="023B23F8"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w:t>
            </w:r>
          </w:p>
        </w:tc>
        <w:tc>
          <w:tcPr>
            <w:tcW w:w="1269" w:type="dxa"/>
            <w:vMerge w:val="restart"/>
            <w:tcBorders>
              <w:top w:val="single" w:sz="4" w:space="0" w:color="000000"/>
              <w:left w:val="single" w:sz="4" w:space="0" w:color="000000"/>
              <w:bottom w:val="single" w:sz="4" w:space="0" w:color="000000"/>
            </w:tcBorders>
            <w:shd w:val="clear" w:color="auto" w:fill="auto"/>
          </w:tcPr>
          <w:p w14:paraId="31DF88F5"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c>
          <w:tcPr>
            <w:tcW w:w="2697" w:type="dxa"/>
            <w:gridSpan w:val="3"/>
            <w:tcBorders>
              <w:top w:val="single" w:sz="4" w:space="0" w:color="000000"/>
              <w:left w:val="single" w:sz="4" w:space="0" w:color="000000"/>
              <w:bottom w:val="single" w:sz="4" w:space="0" w:color="000000"/>
            </w:tcBorders>
            <w:shd w:val="clear" w:color="auto" w:fill="auto"/>
          </w:tcPr>
          <w:p w14:paraId="6795EAC2"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t>на половину</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Pr>
          <w:p w14:paraId="7D5BF774" w14:textId="77777777" w:rsidR="00AC1D5B" w:rsidRPr="00F0736F" w:rsidRDefault="00AC1D5B" w:rsidP="00AC1D5B">
            <w:pPr>
              <w:ind w:firstLine="709"/>
              <w:jc w:val="center"/>
              <w:rPr>
                <w:color w:val="000000" w:themeColor="text1"/>
              </w:rPr>
            </w:pPr>
            <w:r w:rsidRPr="00F0736F">
              <w:rPr>
                <w:rFonts w:ascii="Times New Roman" w:hAnsi="Times New Roman" w:cs="Times New Roman"/>
                <w:color w:val="000000" w:themeColor="text1"/>
                <w:sz w:val="20"/>
                <w:szCs w:val="20"/>
              </w:rPr>
              <w:t>полностью</w:t>
            </w:r>
          </w:p>
        </w:tc>
      </w:tr>
      <w:tr w:rsidR="00F0736F" w:rsidRPr="00F0736F" w14:paraId="01C2A61F" w14:textId="77777777" w:rsidTr="000B2B8A">
        <w:trPr>
          <w:trHeight w:val="528"/>
        </w:trPr>
        <w:tc>
          <w:tcPr>
            <w:tcW w:w="1950" w:type="dxa"/>
            <w:vMerge/>
            <w:tcBorders>
              <w:top w:val="single" w:sz="4" w:space="0" w:color="000000"/>
              <w:left w:val="single" w:sz="4" w:space="0" w:color="000000"/>
              <w:bottom w:val="single" w:sz="4" w:space="0" w:color="000000"/>
            </w:tcBorders>
            <w:shd w:val="clear" w:color="auto" w:fill="auto"/>
          </w:tcPr>
          <w:p w14:paraId="12F1EE23" w14:textId="77777777" w:rsidR="00AC1D5B" w:rsidRPr="00F0736F" w:rsidRDefault="00AC1D5B" w:rsidP="00AC1D5B">
            <w:pPr>
              <w:snapToGrid w:val="0"/>
              <w:ind w:firstLine="709"/>
              <w:jc w:val="both"/>
              <w:rPr>
                <w:rFonts w:ascii="Times New Roman" w:hAnsi="Times New Roman" w:cs="Times New Roman"/>
                <w:color w:val="000000" w:themeColor="text1"/>
                <w:sz w:val="20"/>
                <w:szCs w:val="20"/>
              </w:rPr>
            </w:pPr>
          </w:p>
        </w:tc>
        <w:tc>
          <w:tcPr>
            <w:tcW w:w="975" w:type="dxa"/>
            <w:vMerge/>
            <w:tcBorders>
              <w:top w:val="single" w:sz="4" w:space="0" w:color="000000"/>
              <w:left w:val="single" w:sz="4" w:space="0" w:color="000000"/>
              <w:bottom w:val="single" w:sz="4" w:space="0" w:color="000000"/>
            </w:tcBorders>
            <w:shd w:val="clear" w:color="auto" w:fill="auto"/>
          </w:tcPr>
          <w:p w14:paraId="664963EB"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tc>
        <w:tc>
          <w:tcPr>
            <w:tcW w:w="1269" w:type="dxa"/>
            <w:vMerge/>
            <w:tcBorders>
              <w:top w:val="single" w:sz="4" w:space="0" w:color="000000"/>
              <w:left w:val="single" w:sz="4" w:space="0" w:color="000000"/>
              <w:bottom w:val="single" w:sz="4" w:space="0" w:color="000000"/>
            </w:tcBorders>
            <w:shd w:val="clear" w:color="auto" w:fill="auto"/>
          </w:tcPr>
          <w:p w14:paraId="288B18D9" w14:textId="77777777" w:rsidR="00AC1D5B" w:rsidRPr="00F0736F" w:rsidRDefault="00AC1D5B" w:rsidP="00AC1D5B">
            <w:pPr>
              <w:snapToGrid w:val="0"/>
              <w:ind w:firstLine="709"/>
              <w:jc w:val="center"/>
              <w:rPr>
                <w:rFonts w:ascii="Times New Roman" w:hAnsi="Times New Roman" w:cs="Times New Roman"/>
                <w:color w:val="000000" w:themeColor="text1"/>
                <w:sz w:val="20"/>
                <w:szCs w:val="20"/>
              </w:rPr>
            </w:pPr>
          </w:p>
        </w:tc>
        <w:tc>
          <w:tcPr>
            <w:tcW w:w="1416" w:type="dxa"/>
            <w:gridSpan w:val="2"/>
            <w:tcBorders>
              <w:top w:val="single" w:sz="4" w:space="0" w:color="000000"/>
              <w:left w:val="single" w:sz="4" w:space="0" w:color="000000"/>
              <w:bottom w:val="single" w:sz="4" w:space="0" w:color="000000"/>
            </w:tcBorders>
            <w:shd w:val="clear" w:color="auto" w:fill="auto"/>
          </w:tcPr>
          <w:p w14:paraId="7B44F49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 насел. пунктов</w:t>
            </w:r>
          </w:p>
        </w:tc>
        <w:tc>
          <w:tcPr>
            <w:tcW w:w="1279" w:type="dxa"/>
            <w:tcBorders>
              <w:top w:val="single" w:sz="4" w:space="0" w:color="000000"/>
              <w:left w:val="single" w:sz="4" w:space="0" w:color="000000"/>
              <w:bottom w:val="single" w:sz="4" w:space="0" w:color="000000"/>
            </w:tcBorders>
            <w:shd w:val="clear" w:color="auto" w:fill="auto"/>
          </w:tcPr>
          <w:p w14:paraId="1F67B100"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c>
          <w:tcPr>
            <w:tcW w:w="1406" w:type="dxa"/>
            <w:tcBorders>
              <w:top w:val="single" w:sz="4" w:space="0" w:color="000000"/>
              <w:left w:val="single" w:sz="4" w:space="0" w:color="000000"/>
              <w:bottom w:val="single" w:sz="4" w:space="0" w:color="000000"/>
            </w:tcBorders>
            <w:shd w:val="clear" w:color="auto" w:fill="auto"/>
          </w:tcPr>
          <w:p w14:paraId="67FE21BE"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Кол-во насел. пунктов</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1B61609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Население (тыс. чел)</w:t>
            </w:r>
          </w:p>
        </w:tc>
      </w:tr>
      <w:tr w:rsidR="00AC1D5B" w:rsidRPr="00F0736F" w14:paraId="73099D1E" w14:textId="77777777" w:rsidTr="000B2B8A">
        <w:trPr>
          <w:trHeight w:val="401"/>
        </w:trPr>
        <w:tc>
          <w:tcPr>
            <w:tcW w:w="1950" w:type="dxa"/>
            <w:tcBorders>
              <w:top w:val="single" w:sz="4" w:space="0" w:color="000000"/>
              <w:left w:val="single" w:sz="4" w:space="0" w:color="000000"/>
              <w:bottom w:val="single" w:sz="4" w:space="0" w:color="000000"/>
            </w:tcBorders>
            <w:shd w:val="clear" w:color="auto" w:fill="auto"/>
          </w:tcPr>
          <w:p w14:paraId="236BA803" w14:textId="77777777" w:rsidR="00AC1D5B" w:rsidRPr="00F0736F" w:rsidRDefault="00AC1D5B" w:rsidP="00AC1D5B">
            <w:pPr>
              <w:jc w:val="both"/>
              <w:rPr>
                <w:color w:val="000000" w:themeColor="text1"/>
              </w:rPr>
            </w:pPr>
            <w:r w:rsidRPr="00F0736F">
              <w:rPr>
                <w:rFonts w:ascii="Times New Roman" w:hAnsi="Times New Roman" w:cs="Times New Roman"/>
                <w:color w:val="000000" w:themeColor="text1"/>
                <w:sz w:val="20"/>
                <w:szCs w:val="20"/>
              </w:rPr>
              <w:t>Шымкент</w:t>
            </w:r>
          </w:p>
        </w:tc>
        <w:tc>
          <w:tcPr>
            <w:tcW w:w="975" w:type="dxa"/>
            <w:tcBorders>
              <w:top w:val="single" w:sz="4" w:space="0" w:color="000000"/>
              <w:left w:val="single" w:sz="4" w:space="0" w:color="000000"/>
              <w:bottom w:val="single" w:sz="4" w:space="0" w:color="000000"/>
            </w:tcBorders>
            <w:shd w:val="clear" w:color="auto" w:fill="auto"/>
          </w:tcPr>
          <w:p w14:paraId="7419502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81</w:t>
            </w:r>
          </w:p>
        </w:tc>
        <w:tc>
          <w:tcPr>
            <w:tcW w:w="1269" w:type="dxa"/>
            <w:tcBorders>
              <w:top w:val="single" w:sz="4" w:space="0" w:color="000000"/>
              <w:left w:val="single" w:sz="4" w:space="0" w:color="000000"/>
              <w:bottom w:val="single" w:sz="4" w:space="0" w:color="000000"/>
            </w:tcBorders>
            <w:shd w:val="clear" w:color="auto" w:fill="auto"/>
          </w:tcPr>
          <w:p w14:paraId="0A241F6B"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896,1</w:t>
            </w:r>
          </w:p>
        </w:tc>
        <w:tc>
          <w:tcPr>
            <w:tcW w:w="1416" w:type="dxa"/>
            <w:gridSpan w:val="2"/>
            <w:tcBorders>
              <w:top w:val="single" w:sz="4" w:space="0" w:color="000000"/>
              <w:left w:val="single" w:sz="4" w:space="0" w:color="000000"/>
              <w:bottom w:val="single" w:sz="4" w:space="0" w:color="000000"/>
            </w:tcBorders>
            <w:shd w:val="clear" w:color="auto" w:fill="auto"/>
          </w:tcPr>
          <w:p w14:paraId="26D5F11D" w14:textId="77777777" w:rsidR="00AC1D5B" w:rsidRPr="00F0736F" w:rsidRDefault="00AC1D5B" w:rsidP="00AC1D5B">
            <w:pPr>
              <w:ind w:hanging="167"/>
              <w:jc w:val="center"/>
              <w:rPr>
                <w:color w:val="000000" w:themeColor="text1"/>
              </w:rPr>
            </w:pPr>
            <w:r w:rsidRPr="00F0736F">
              <w:rPr>
                <w:rFonts w:ascii="Times New Roman" w:hAnsi="Times New Roman" w:cs="Times New Roman"/>
                <w:color w:val="000000" w:themeColor="text1"/>
                <w:sz w:val="20"/>
                <w:szCs w:val="20"/>
              </w:rPr>
              <w:t>24</w:t>
            </w:r>
          </w:p>
        </w:tc>
        <w:tc>
          <w:tcPr>
            <w:tcW w:w="1279" w:type="dxa"/>
            <w:tcBorders>
              <w:top w:val="single" w:sz="4" w:space="0" w:color="000000"/>
              <w:left w:val="single" w:sz="4" w:space="0" w:color="000000"/>
              <w:bottom w:val="single" w:sz="4" w:space="0" w:color="000000"/>
            </w:tcBorders>
            <w:shd w:val="clear" w:color="auto" w:fill="auto"/>
          </w:tcPr>
          <w:p w14:paraId="788FA393"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376,4 (41%)</w:t>
            </w:r>
          </w:p>
        </w:tc>
        <w:tc>
          <w:tcPr>
            <w:tcW w:w="1406" w:type="dxa"/>
            <w:tcBorders>
              <w:top w:val="single" w:sz="4" w:space="0" w:color="000000"/>
              <w:left w:val="single" w:sz="4" w:space="0" w:color="000000"/>
              <w:bottom w:val="single" w:sz="4" w:space="0" w:color="000000"/>
            </w:tcBorders>
            <w:shd w:val="clear" w:color="auto" w:fill="auto"/>
          </w:tcPr>
          <w:p w14:paraId="39832787"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57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779039E2" w14:textId="77777777" w:rsidR="00AC1D5B" w:rsidRPr="00F0736F" w:rsidRDefault="00AC1D5B" w:rsidP="00AC1D5B">
            <w:pPr>
              <w:jc w:val="center"/>
              <w:rPr>
                <w:color w:val="000000" w:themeColor="text1"/>
              </w:rPr>
            </w:pPr>
            <w:r w:rsidRPr="00F0736F">
              <w:rPr>
                <w:rFonts w:ascii="Times New Roman" w:hAnsi="Times New Roman" w:cs="Times New Roman"/>
                <w:color w:val="000000" w:themeColor="text1"/>
                <w:sz w:val="20"/>
                <w:szCs w:val="20"/>
              </w:rPr>
              <w:t>519,8 (58,0%)</w:t>
            </w:r>
          </w:p>
        </w:tc>
      </w:tr>
    </w:tbl>
    <w:p w14:paraId="52DD7837" w14:textId="77777777" w:rsidR="00AC1D5B" w:rsidRPr="00F0736F" w:rsidRDefault="00AC1D5B" w:rsidP="00AC1D5B">
      <w:pPr>
        <w:ind w:firstLine="709"/>
        <w:jc w:val="both"/>
        <w:rPr>
          <w:rFonts w:ascii="Times New Roman" w:hAnsi="Times New Roman" w:cs="Times New Roman"/>
          <w:color w:val="000000" w:themeColor="text1"/>
        </w:rPr>
      </w:pPr>
    </w:p>
    <w:p w14:paraId="1559BA9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начало 2019 года уровень обеспеченности канализационной системой города Шымкент составляет 49,1%, то есть 496,4 тыс. человек. </w:t>
      </w:r>
    </w:p>
    <w:p w14:paraId="2E58CA5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Согласно генеральному плану на территории города дополнительно предусмотрено строительство 2 канализационных очистных сооружений (КТИ) (1 КТИ – мощностью 60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 2 КТИ – мощностью 150 тыс.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/сут).</w:t>
      </w:r>
    </w:p>
    <w:p w14:paraId="1F57330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данным Комитета по статистике МНЭ РК, общая протяженность сетей водоотведения в 2019 году составила 882,5 км. из них нуждается в замене 381,7 км.</w:t>
      </w:r>
    </w:p>
    <w:p w14:paraId="6F4CD7E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Отвод ливневых вод по г.Шымкент производятся открытым способом в сторону рек, каналов и пригородным оврагам. Общая протяженность ирригационных сетей составляет 488 км. Из них 23%, то есть 112,2 км, изношены и требует ремонта. </w:t>
      </w:r>
    </w:p>
    <w:p w14:paraId="72037C47"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окружающей среды, сокращение объемов загрязнения воздуха и воды.</w:t>
      </w:r>
    </w:p>
    <w:p w14:paraId="0AC3950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Наблюдения за состоянием </w:t>
      </w:r>
      <w:r w:rsidRPr="00F0736F">
        <w:rPr>
          <w:rFonts w:ascii="Times New Roman" w:hAnsi="Times New Roman" w:cs="Times New Roman"/>
          <w:b/>
          <w:color w:val="000000" w:themeColor="text1"/>
        </w:rPr>
        <w:t>атмосферного воздуха</w:t>
      </w:r>
      <w:r w:rsidRPr="00F0736F">
        <w:rPr>
          <w:rFonts w:ascii="Times New Roman" w:hAnsi="Times New Roman" w:cs="Times New Roman"/>
          <w:color w:val="000000" w:themeColor="text1"/>
        </w:rPr>
        <w:t xml:space="preserve"> велись на 6 стационарных постах.</w:t>
      </w:r>
    </w:p>
    <w:p w14:paraId="0C38C9F2"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За 2017 год</w:t>
      </w:r>
      <w:r w:rsidRPr="00F0736F">
        <w:rPr>
          <w:rFonts w:ascii="Times New Roman" w:hAnsi="Times New Roman" w:cs="Times New Roman"/>
          <w:color w:val="000000" w:themeColor="text1"/>
        </w:rPr>
        <w:t>, по данным стационарной сети наблюдений, уровень загрязнения атмосферного воздуха города Шымкент оценивался как высокий. ИЗА составляет 10 (высокий уровень). СИ=</w:t>
      </w:r>
      <w:r w:rsidRPr="00F0736F">
        <w:rPr>
          <w:rFonts w:ascii="Times New Roman" w:hAnsi="Times New Roman" w:cs="Times New Roman"/>
          <w:color w:val="000000" w:themeColor="text1"/>
          <w:lang w:val="kk-KZ"/>
        </w:rPr>
        <w:t xml:space="preserve">10 (высокий уровень) и </w:t>
      </w:r>
      <w:r w:rsidRPr="00F0736F">
        <w:rPr>
          <w:rFonts w:ascii="Times New Roman" w:hAnsi="Times New Roman" w:cs="Times New Roman"/>
          <w:color w:val="000000" w:themeColor="text1"/>
        </w:rPr>
        <w:t xml:space="preserve">НП равный </w:t>
      </w:r>
      <w:r w:rsidRPr="00F0736F">
        <w:rPr>
          <w:rFonts w:ascii="Times New Roman" w:hAnsi="Times New Roman" w:cs="Times New Roman"/>
          <w:color w:val="000000" w:themeColor="text1"/>
          <w:lang w:val="kk-KZ"/>
        </w:rPr>
        <w:t xml:space="preserve">4% (повышенный уровень). </w:t>
      </w:r>
      <w:r w:rsidRPr="00F0736F">
        <w:rPr>
          <w:rFonts w:ascii="Times New Roman" w:hAnsi="Times New Roman" w:cs="Times New Roman"/>
          <w:color w:val="000000" w:themeColor="text1"/>
        </w:rPr>
        <w:t xml:space="preserve"> </w:t>
      </w:r>
    </w:p>
    <w:p w14:paraId="79A7F651" w14:textId="77777777" w:rsidR="00AC1D5B" w:rsidRPr="00F0736F" w:rsidRDefault="00AC1D5B" w:rsidP="00AC1D5B">
      <w:pPr>
        <w:ind w:firstLine="709"/>
        <w:jc w:val="both"/>
        <w:rPr>
          <w:color w:val="000000" w:themeColor="text1"/>
        </w:rPr>
      </w:pPr>
      <w:r w:rsidRPr="00F0736F">
        <w:rPr>
          <w:rFonts w:ascii="Times New Roman" w:hAnsi="Times New Roman" w:cs="Times New Roman"/>
          <w:b/>
          <w:color w:val="000000" w:themeColor="text1"/>
        </w:rPr>
        <w:t>За 2018 год</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города Шымкент оценивался повышенным, он определялся значением ИЗА = 5 (повышенный уровень), СИ = 4 (повышенный уровень) и НП =11% (повышенный уровень.  </w:t>
      </w:r>
    </w:p>
    <w:p w14:paraId="3BA1847A"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color w:val="000000" w:themeColor="text1"/>
        </w:rPr>
        <w:t>За 2019 год,</w:t>
      </w:r>
      <w:r w:rsidRPr="00F0736F">
        <w:rPr>
          <w:rFonts w:ascii="Times New Roman" w:hAnsi="Times New Roman" w:cs="Times New Roman"/>
          <w:color w:val="000000" w:themeColor="text1"/>
        </w:rPr>
        <w:t xml:space="preserve"> по данным стационарной сети наблюдений, уровень загрязнения атмосферного воздуха города Шымкент</w:t>
      </w:r>
      <w:r w:rsidRPr="00F0736F">
        <w:rPr>
          <w:rFonts w:ascii="Times New Roman" w:hAnsi="Times New Roman" w:cs="Times New Roman"/>
          <w:b/>
          <w:bCs/>
          <w:color w:val="000000" w:themeColor="text1"/>
        </w:rPr>
        <w:t xml:space="preserve"> </w:t>
      </w:r>
      <w:r w:rsidRPr="00F0736F">
        <w:rPr>
          <w:rFonts w:ascii="Times New Roman" w:hAnsi="Times New Roman" w:cs="Times New Roman"/>
          <w:color w:val="000000" w:themeColor="text1"/>
        </w:rPr>
        <w:t xml:space="preserve">оценивался как высокий, он определялся значением ИЗА=7 (высокий уровень), СИ=4,2 (повышенный уровень) и НП=1% (повышенный уровень).  </w:t>
      </w:r>
    </w:p>
    <w:p w14:paraId="3E640A5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промышленности города Шымкент быстро развиваются нефтяная, строительная, текстильная, химическая сферы, производство прочих минеральных продуктов, резины и пластмассы, машиностроение, производство металлических изделий и энергетика. Это, в свою очередь, приводит к негативным изменениям атмосферного воздуха города.</w:t>
      </w:r>
    </w:p>
    <w:p w14:paraId="1EECC90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городу Шымкент объём всех загрязняющих веществ, выброшенных в атмосферу, до 2012 года ежегодно увеличивался в среднем на 10,7%.</w:t>
      </w:r>
    </w:p>
    <w:p w14:paraId="7CE7DD5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2013 года объём загрязнения снизился, одной из причин тому является закрытие в 2012 году завода «Южполиметалл», оказывавшего отрицательное влияние на экологическое состояние города и здоровье населения.</w:t>
      </w:r>
    </w:p>
    <w:p w14:paraId="6623325D"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Однако в индустриальной зоне города число производств ежегодно растёт. В связи с увеличением границ города в 2014 году на территорию города перешли крупные предприятия по производству цемента, хлопка и ткани Сайрамского района: ТОО «Стандарт цемент», ТОО «Хлопкопром целлюлоза», ТОО «Окси текстиль», то есть с 2015 году вероятность увеличения загрязнения увеличилась. В 2019 году общие выбросы загрязняющих веществ по городу составили 29,8 тыс. т..</w:t>
      </w:r>
    </w:p>
    <w:p w14:paraId="6F4FF90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Одним из негативных факторов, влияющих на загрязнение атмосферного воздуха, являются потоки транспорта, 60% выхлопных вредных веществ в атмосферу приходится на автотранспорт. Число зарегистрированного автотранспорта в городе Шымкент ежегодно в среднем растёт на 25%. Помимо этого, ежедневно по городу передвигается автотранспорт из других районов, областей и городов. Эта проблема существует во всех крупных городах, в связи с этим на сегодняшний день большое внимание в стране уделяется вопросу внедрения международных Евро стандартов для перевозочного транспорта.</w:t>
      </w:r>
    </w:p>
    <w:p w14:paraId="6A11097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Для сокращения выбросов от транспорта в 2017 году из 372 микроавтобусов, 218 были переведены на газ (пропан). ТОО «Гринбус» в Шымкенте приобрело 200 новых автобусов (метан) в 2015 году и обслуживает городские маршруты. В 2017 году компания приобрела дополнительно 100 единиц транспорта на газовом топливе. Планируется перевести 1000 (36,5%) из 2650 автобусов на газ.</w:t>
      </w:r>
    </w:p>
    <w:p w14:paraId="2AA5BDC7"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Управление отходами производства и потребления и переработка отходов.</w:t>
      </w:r>
    </w:p>
    <w:p w14:paraId="336E4C11"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b/>
          <w:color w:val="000000" w:themeColor="text1"/>
          <w:lang w:eastAsia="en-US"/>
        </w:rPr>
        <w:t xml:space="preserve">Общая информация по ТБО. </w:t>
      </w:r>
      <w:r w:rsidRPr="00F0736F">
        <w:rPr>
          <w:rFonts w:ascii="Times New Roman" w:eastAsia="Calibri" w:hAnsi="Times New Roman" w:cs="Times New Roman"/>
          <w:color w:val="000000" w:themeColor="text1"/>
          <w:lang w:eastAsia="en-US"/>
        </w:rPr>
        <w:t>По городу Шымкент разработан комплекс мер на 2018-2022 годы по утилизации и переработке твердых бытовых отходов в соответствии с современными требованиями с широким привлечением субъектов малого и среднего бизнеса и утвержден постановлением акимата города Шымкент №112 от 25.08.2018 года. Комплексом мер предусмотрены мероприятия по развитию инфраструктуры раздельного сбора, сортировки, переработки, утилизации и захоронения ТБО. Кроме того, управлением разработана и утверждена комплексная программа по снижению загрязнения окружающей среды города Шымкент на 2018-2022 годы.</w:t>
      </w:r>
    </w:p>
    <w:p w14:paraId="2968FAAC" w14:textId="77777777" w:rsidR="00AC1D5B" w:rsidRPr="00F0736F" w:rsidRDefault="00AC1D5B" w:rsidP="00AC1D5B">
      <w:pPr>
        <w:ind w:firstLine="709"/>
        <w:jc w:val="both"/>
        <w:rPr>
          <w:strike/>
          <w:color w:val="000000" w:themeColor="text1"/>
        </w:rPr>
      </w:pPr>
      <w:r w:rsidRPr="00F0736F">
        <w:rPr>
          <w:rFonts w:ascii="Times New Roman" w:hAnsi="Times New Roman" w:cs="Times New Roman"/>
          <w:color w:val="000000" w:themeColor="text1"/>
        </w:rPr>
        <w:t>Согласно данным, предоставленным акиматом города Шымкент, в 2018 году образовано 216,2 тыс. т. ТБО, из них переработано 18,1%, в 2019 году – 22,7%.</w:t>
      </w:r>
    </w:p>
    <w:p w14:paraId="3B6571CD" w14:textId="77777777" w:rsidR="00AC1D5B" w:rsidRPr="00F0736F" w:rsidRDefault="00AC1D5B" w:rsidP="00AC1D5B">
      <w:pPr>
        <w:ind w:firstLine="709"/>
        <w:jc w:val="both"/>
        <w:rPr>
          <w:rFonts w:ascii="Times New Roman" w:hAnsi="Times New Roman" w:cs="Times New Roman"/>
          <w:color w:val="000000" w:themeColor="text1"/>
          <w:lang w:val="kk-KZ"/>
        </w:rPr>
      </w:pPr>
      <w:r w:rsidRPr="00F0736F">
        <w:rPr>
          <w:rFonts w:ascii="Times New Roman" w:hAnsi="Times New Roman" w:cs="Times New Roman"/>
          <w:color w:val="000000" w:themeColor="text1"/>
        </w:rPr>
        <w:t xml:space="preserve">Полигон твердых бытовых отходов и мусоросортировочный комплекс Актас-1 в Шымкенте был запущен в марте 2015 года. На полигон ежедневно поступает 550-600 т. ТБО. </w:t>
      </w:r>
      <w:r w:rsidRPr="00F0736F">
        <w:rPr>
          <w:rFonts w:ascii="Times New Roman" w:hAnsi="Times New Roman" w:cs="Times New Roman"/>
          <w:color w:val="000000" w:themeColor="text1"/>
          <w:lang w:val="kk-KZ"/>
        </w:rPr>
        <w:t xml:space="preserve">Комплекс передан в собственность </w:t>
      </w:r>
      <w:r w:rsidRPr="00F0736F">
        <w:rPr>
          <w:rFonts w:ascii="Times New Roman" w:hAnsi="Times New Roman" w:cs="Times New Roman"/>
          <w:color w:val="000000" w:themeColor="text1"/>
        </w:rPr>
        <w:t>ТОО «Гринлайн»</w:t>
      </w:r>
      <w:r w:rsidRPr="00F0736F">
        <w:rPr>
          <w:rFonts w:ascii="Times New Roman" w:hAnsi="Times New Roman" w:cs="Times New Roman"/>
          <w:color w:val="000000" w:themeColor="text1"/>
          <w:lang w:val="kk-KZ"/>
        </w:rPr>
        <w:t>, В целях увеличения количества ежегодно образующихся, утилизируемых и перерабатываемых отходов, ведется сортировка и переработка всех видов отходов, подлежащих вторичной переработке.</w:t>
      </w:r>
    </w:p>
    <w:p w14:paraId="3DCB8CBB"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Среди сортированных отходов ПЭТ-бутылки и пластмассы перерабатываются для производства гибкого сырья. </w:t>
      </w:r>
    </w:p>
    <w:p w14:paraId="44E2B1C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95% населения охвачено услугами по сбору и вывозу ТБО.</w:t>
      </w:r>
    </w:p>
    <w:p w14:paraId="47CC1DC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 территории города оборудованы 470 контейнерных площадок, где установлены 2039 мусорных контейнеров. Транспортировкой твердых бытовых отходов занимаются 10 специальных учреждений:</w:t>
      </w:r>
    </w:p>
    <w:p w14:paraId="7CA025E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1) в Абайском районе на 112 контейнерных площадках установлено 485 контейнеров для ТБО. Вывоз ТБО в благоустроенных и частных домах района осуществляется ТОО «СпецАвтоТранспорт».</w:t>
      </w:r>
    </w:p>
    <w:p w14:paraId="26D9EB80"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2) в Аль-Фарабийском районе на 192 контейнерных площадках установлено 658 контейнеров для ТБО. Вывоз ТБО в благоустроенных и отдельно стоящих домах осуществляется ТОО «СпецАвтоТранспорт», ТОО «ОрионНовТех», ТОО «Бек Асыл Сервис» </w:t>
      </w:r>
    </w:p>
    <w:p w14:paraId="112C6159"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3) в Енбекшинском районе на 107 контейнерных площадках установлено 680 контейнеров для ТБО. Вывоз ТБО в благоустроенных и отдельно стоящих домах осуществляется ТОО «СпецАвтоТранспорт», ИП «Вейсалидзе Л.Н.», ТОО «Нур Олжа».</w:t>
      </w:r>
    </w:p>
    <w:p w14:paraId="6E9F509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4) в Каратауском районе на 59 контейнерных площадках установлено 216 контейнеров для ТБО. Вывоз ТБО в благоустроенных и отдельно стоящих домах осуществляется ТОО «ЭкоСпецТранс», ТОО «ШымкентСпецКомплекс», ТОО «Жан&amp;Мейір», ИП «Вейсалидзе Л.Н.», ИП «КайнарБулак», ИП «Чистый город».</w:t>
      </w:r>
    </w:p>
    <w:p w14:paraId="70E4D3ED"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Вывоз ТБО с контейнерных площадок благоустроенных домов осуществляяется два раза в день, а индивидуальных домов - один раз в неделю.</w:t>
      </w:r>
    </w:p>
    <w:p w14:paraId="15A3282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Акимы районов и отраслевые специалисты проводят разъяснительную работу с населением по вывозу мусора на специально отведенных территориях и согласно графику.</w:t>
      </w:r>
    </w:p>
    <w:p w14:paraId="2F48402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Активно внедряется раздельный сбор вторичных ресурсов. В городе Шымкент для раздельного сбора пластиковых отходов установлены 70 сетчатых контейнеров. Для сбора ртутьсодержащих ламп и приборов установлены 2049 контейнеров, для сбора отходов пластика и полиэтилена – 100 контейнеров. Также ИП «Тутеев» установил 100 дополнительных контейнеров для раздельного сбора на мусорных площадках.</w:t>
      </w:r>
    </w:p>
    <w:p w14:paraId="01D1E5C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2019 году дополнительно планируется установка 300 контейнеров для раздельного сбора отходов, ведутся переговоры с частными инвесторами.</w:t>
      </w:r>
    </w:p>
    <w:p w14:paraId="6C697D7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ТОО «Green Tehnology Industries» занимается переработкой ПЭТ-отходов с производством штапельного волокна с мощностью 100 тыс. т./год, также предприятием установлено 300 ед. контейнеров для раздельного сбора ТБО.</w:t>
      </w:r>
    </w:p>
    <w:p w14:paraId="25FF9E4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2018 г. введен в эксплуатацию завод по переработке отработанных масел методом регенерации с производством моторных масел и смазочных материалов ТОО «HillCorparation» мощностью 28 тыс. т./год.</w:t>
      </w:r>
    </w:p>
    <w:p w14:paraId="5A678BAA" w14:textId="77777777" w:rsidR="00AC1D5B" w:rsidRPr="00F0736F" w:rsidRDefault="00AC1D5B" w:rsidP="00AC1D5B">
      <w:pPr>
        <w:ind w:firstLine="709"/>
        <w:jc w:val="both"/>
        <w:rPr>
          <w:color w:val="000000" w:themeColor="text1"/>
        </w:rPr>
      </w:pPr>
      <w:r w:rsidRPr="00F0736F">
        <w:rPr>
          <w:rFonts w:ascii="Times New Roman" w:hAnsi="Times New Roman" w:cs="Times New Roman"/>
          <w:b/>
          <w:bCs/>
          <w:i/>
          <w:iCs/>
          <w:color w:val="000000" w:themeColor="text1"/>
        </w:rPr>
        <w:t>Состояние озеленения города и экологического туризма</w:t>
      </w:r>
    </w:p>
    <w:p w14:paraId="5165E75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городе проведены работы по посадке и уходу за </w:t>
      </w:r>
      <w:r w:rsidRPr="00F0736F">
        <w:rPr>
          <w:rFonts w:ascii="Times New Roman" w:hAnsi="Times New Roman" w:cs="Times New Roman"/>
          <w:b/>
          <w:color w:val="000000" w:themeColor="text1"/>
        </w:rPr>
        <w:t>зелеными насаждениями</w:t>
      </w:r>
      <w:r w:rsidRPr="00F0736F">
        <w:rPr>
          <w:rFonts w:ascii="Times New Roman" w:hAnsi="Times New Roman" w:cs="Times New Roman"/>
          <w:color w:val="000000" w:themeColor="text1"/>
        </w:rPr>
        <w:t>. На улицах посажено 57 574 штук саженцев деревьев (в том числе хвойных – 17 327 штук, лиственных – 40 247 штук), в ущельях более 80 тысяч.</w:t>
      </w:r>
    </w:p>
    <w:p w14:paraId="4D69456E"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ГККП «Шымкентский государственный дендрологический парк» осенью 2018 года проведена посевная работа на площади 0,87 га с соблюдением агротехнических требований. Кроме того, в питомники были посажены 97 саженцев сосны обыкновенной, 570 саженцев обыкновенных, 850 саженцев личинок бурых, 560 саженцев берез смарагд (колоновидный) и 242 саженца Тянь-шаньского можжевельника. Завезено и засыпано в специально отведенные для посева на территорию парка 500 днищ саксаула. Проведена совместная работа с РГП «Институт ботаники и фитоинтропии» г. Алматы, с целью реализации научных проектов, заключены договоры. Из Ботанического сада завезено 28 видов древесно-кустарниковых пород. В октябре месяце 2018 года при поддержке компании «TOYOTA CENTER» на территории парка было посажено 10 саженцев сосен, 8 саженцев смарагд, а также при поддержке ТОО «SEKURITI» посажено 2 сосны стрикта, 2 сосны смарагд, а также 30 саженцев сосен, под спонсорство частных граждан.</w:t>
      </w:r>
    </w:p>
    <w:p w14:paraId="5A996FB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lang w:val="kk-KZ"/>
        </w:rPr>
        <w:t xml:space="preserve">В городе Шымкент 97 </w:t>
      </w:r>
      <w:r w:rsidRPr="00F0736F">
        <w:rPr>
          <w:rFonts w:ascii="Times New Roman" w:hAnsi="Times New Roman" w:cs="Times New Roman"/>
          <w:b/>
          <w:color w:val="000000" w:themeColor="text1"/>
          <w:lang w:val="kk-KZ"/>
        </w:rPr>
        <w:t>туристских организаций</w:t>
      </w:r>
      <w:r w:rsidRPr="00F0736F">
        <w:rPr>
          <w:rFonts w:ascii="Times New Roman" w:hAnsi="Times New Roman" w:cs="Times New Roman"/>
          <w:color w:val="000000" w:themeColor="text1"/>
          <w:lang w:val="kk-KZ"/>
        </w:rPr>
        <w:t xml:space="preserve"> и туристских агентств </w:t>
      </w:r>
      <w:r w:rsidRPr="00F0736F">
        <w:rPr>
          <w:rFonts w:ascii="Times New Roman" w:hAnsi="Times New Roman" w:cs="Times New Roman"/>
          <w:color w:val="000000" w:themeColor="text1"/>
        </w:rPr>
        <w:t>оказывают туристические услуги</w:t>
      </w:r>
      <w:r w:rsidRPr="00F0736F">
        <w:rPr>
          <w:rFonts w:ascii="Times New Roman" w:hAnsi="Times New Roman" w:cs="Times New Roman"/>
          <w:color w:val="000000" w:themeColor="text1"/>
          <w:lang w:val="kk-KZ"/>
        </w:rPr>
        <w:t>, в том числе 10 занимаются туроператорской деятельностью, 87 турагенты.</w:t>
      </w:r>
      <w:r w:rsidRPr="00F0736F">
        <w:rPr>
          <w:rFonts w:ascii="Times New Roman" w:hAnsi="Times New Roman" w:cs="Times New Roman"/>
          <w:color w:val="000000" w:themeColor="text1"/>
        </w:rPr>
        <w:t xml:space="preserve"> Маршруты туризма в городе охватывают </w:t>
      </w:r>
      <w:r w:rsidRPr="00F0736F">
        <w:rPr>
          <w:rFonts w:ascii="Times New Roman" w:hAnsi="Times New Roman" w:cs="Times New Roman"/>
          <w:color w:val="000000" w:themeColor="text1"/>
          <w:lang w:val="kk-KZ"/>
        </w:rPr>
        <w:t>культурно-</w:t>
      </w:r>
      <w:r w:rsidRPr="00F0736F">
        <w:rPr>
          <w:rFonts w:ascii="Times New Roman" w:hAnsi="Times New Roman" w:cs="Times New Roman"/>
          <w:color w:val="000000" w:themeColor="text1"/>
        </w:rPr>
        <w:t xml:space="preserve">исторические, </w:t>
      </w:r>
      <w:r w:rsidRPr="00F0736F">
        <w:rPr>
          <w:rFonts w:ascii="Times New Roman" w:hAnsi="Times New Roman" w:cs="Times New Roman"/>
          <w:color w:val="000000" w:themeColor="text1"/>
          <w:lang w:val="kk-KZ"/>
        </w:rPr>
        <w:t>развлекательный и событийный туризм. Кроме этого</w:t>
      </w:r>
      <w:r w:rsidRPr="00F0736F">
        <w:rPr>
          <w:rFonts w:ascii="Times New Roman" w:hAnsi="Times New Roman" w:cs="Times New Roman"/>
          <w:color w:val="000000" w:themeColor="text1"/>
        </w:rPr>
        <w:t>, имеются предложения в части</w:t>
      </w:r>
      <w:r w:rsidRPr="00F0736F">
        <w:rPr>
          <w:rFonts w:ascii="Times New Roman" w:hAnsi="Times New Roman" w:cs="Times New Roman"/>
          <w:color w:val="000000" w:themeColor="text1"/>
          <w:lang w:val="kk-KZ"/>
        </w:rPr>
        <w:t xml:space="preserve"> турмаршрутов в соседние регионы Казахстана и Узбекистана. </w:t>
      </w:r>
    </w:p>
    <w:p w14:paraId="4B5FA8C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городе имеется высокий потенциал для дальнейшего развития туризма. Растет количество гостиниц различных категорий, мест отдыха, парков, развлекательных центров и туристических мест. Наряду с ростом количества гостиниц, наблюдалось значительное улучшение сервиса гостиниц посредством взаимной конкуренции. </w:t>
      </w:r>
    </w:p>
    <w:p w14:paraId="2FD9D5D2"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 последние годы в городе хорошо развиты историко-познавательный и деловой туризм. А также наблюдается рост в экскурсионно-экологических и развлекательных направлениях.</w:t>
      </w:r>
    </w:p>
    <w:p w14:paraId="52ECADBB" w14:textId="77777777" w:rsidR="00AC1D5B" w:rsidRPr="00F0736F" w:rsidRDefault="00AC1D5B" w:rsidP="00AC1D5B">
      <w:pPr>
        <w:ind w:firstLine="709"/>
        <w:jc w:val="both"/>
        <w:rPr>
          <w:rFonts w:ascii="Times New Roman" w:hAnsi="Times New Roman" w:cs="Times New Roman"/>
          <w:color w:val="000000" w:themeColor="text1"/>
        </w:rPr>
      </w:pPr>
    </w:p>
    <w:p w14:paraId="091B9435" w14:textId="77777777" w:rsidR="00DD1B97" w:rsidRPr="00F0736F" w:rsidRDefault="00DD1B97" w:rsidP="008727D9">
      <w:pPr>
        <w:ind w:firstLine="709"/>
        <w:jc w:val="both"/>
        <w:rPr>
          <w:rFonts w:ascii="Times New Roman" w:hAnsi="Times New Roman" w:cs="Times New Roman"/>
          <w:color w:val="000000" w:themeColor="text1"/>
        </w:rPr>
      </w:pPr>
    </w:p>
    <w:p w14:paraId="02117147" w14:textId="77777777" w:rsidR="00DD1B97" w:rsidRPr="00F0736F" w:rsidRDefault="00DD1B97" w:rsidP="008727D9">
      <w:pPr>
        <w:ind w:firstLine="709"/>
        <w:jc w:val="both"/>
        <w:rPr>
          <w:rFonts w:ascii="Times New Roman" w:hAnsi="Times New Roman" w:cs="Times New Roman"/>
          <w:color w:val="000000" w:themeColor="text1"/>
        </w:rPr>
      </w:pPr>
    </w:p>
    <w:p w14:paraId="7B5FE4C9" w14:textId="77777777" w:rsidR="00AC1D5B" w:rsidRPr="007272FB" w:rsidRDefault="00AC1D5B" w:rsidP="007272FB">
      <w:pPr>
        <w:pStyle w:val="1"/>
        <w:ind w:firstLine="709"/>
        <w:rPr>
          <w:color w:val="000000" w:themeColor="text1"/>
          <w:sz w:val="24"/>
          <w:szCs w:val="24"/>
        </w:rPr>
      </w:pPr>
      <w:bookmarkStart w:id="63" w:name="_Toc57818752"/>
      <w:r w:rsidRPr="007272FB">
        <w:rPr>
          <w:rFonts w:ascii="Times New Roman" w:hAnsi="Times New Roman" w:cs="Times New Roman"/>
          <w:color w:val="000000" w:themeColor="text1"/>
          <w:sz w:val="24"/>
          <w:szCs w:val="24"/>
        </w:rPr>
        <w:t>Краткое резюме (заключение)</w:t>
      </w:r>
      <w:bookmarkEnd w:id="63"/>
    </w:p>
    <w:p w14:paraId="28D8F206" w14:textId="77777777" w:rsidR="00AC1D5B" w:rsidRPr="00F0736F" w:rsidRDefault="00AC1D5B" w:rsidP="00AC1D5B">
      <w:pPr>
        <w:ind w:firstLine="709"/>
        <w:jc w:val="both"/>
        <w:rPr>
          <w:rFonts w:ascii="Times New Roman" w:hAnsi="Times New Roman" w:cs="Times New Roman"/>
          <w:color w:val="000000" w:themeColor="text1"/>
        </w:rPr>
      </w:pPr>
    </w:p>
    <w:p w14:paraId="25C9A586" w14:textId="77777777" w:rsidR="00AC1D5B" w:rsidRPr="00F0736F" w:rsidRDefault="00AC1D5B" w:rsidP="00AC1D5B">
      <w:pPr>
        <w:ind w:firstLine="709"/>
        <w:jc w:val="both"/>
        <w:rPr>
          <w:rFonts w:ascii="Times New Roman" w:hAnsi="Times New Roman" w:cs="Times New Roman"/>
          <w:bCs/>
          <w:color w:val="000000" w:themeColor="text1"/>
        </w:rPr>
      </w:pPr>
      <w:r w:rsidRPr="00F0736F">
        <w:rPr>
          <w:rFonts w:ascii="Times New Roman" w:hAnsi="Times New Roman" w:cs="Times New Roman"/>
          <w:bCs/>
          <w:color w:val="000000" w:themeColor="text1"/>
        </w:rPr>
        <w:t>Анализ реализации Концепции по переходу Республики Казахстан к «зеленой экономике» в 2017</w:t>
      </w:r>
      <w:r w:rsidRPr="00F0736F">
        <w:rPr>
          <w:rFonts w:ascii="Times New Roman" w:hAnsi="Times New Roman" w:cs="Times New Roman"/>
          <w:bCs/>
          <w:color w:val="000000" w:themeColor="text1"/>
          <w:lang w:val="kk-KZ"/>
        </w:rPr>
        <w:t>-</w:t>
      </w:r>
      <w:r w:rsidRPr="00F0736F">
        <w:rPr>
          <w:rFonts w:ascii="Times New Roman" w:hAnsi="Times New Roman" w:cs="Times New Roman"/>
          <w:bCs/>
          <w:color w:val="000000" w:themeColor="text1"/>
        </w:rPr>
        <w:t>2019 годах подтвердил важность и правильность определенных Концепцией направлений, достижимость установленных показателей и возможность ускорения движения к устойчивому развитию Республики Казахстан, в соответствии с Повесткой дня в области устойчивого развития на период до 2030 года, принятой Генеральной Ассамблеей ООН 25 сентября 2015 года. Высока вероятность достижения всех целевых показателей в установленные сроки.</w:t>
      </w:r>
    </w:p>
    <w:p w14:paraId="43DFDB3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bCs/>
          <w:color w:val="000000" w:themeColor="text1"/>
        </w:rPr>
        <w:t xml:space="preserve"> </w:t>
      </w:r>
      <w:r w:rsidRPr="00F0736F">
        <w:rPr>
          <w:rFonts w:ascii="Times New Roman" w:hAnsi="Times New Roman" w:cs="Times New Roman"/>
          <w:color w:val="000000" w:themeColor="text1"/>
        </w:rPr>
        <w:t>В 2017</w:t>
      </w:r>
      <w:r w:rsidRPr="00F0736F">
        <w:rPr>
          <w:rFonts w:ascii="Times New Roman" w:hAnsi="Times New Roman" w:cs="Times New Roman"/>
          <w:color w:val="000000" w:themeColor="text1"/>
          <w:lang w:val="kk-KZ"/>
        </w:rPr>
        <w:t>-</w:t>
      </w:r>
      <w:r w:rsidRPr="00F0736F">
        <w:rPr>
          <w:rFonts w:ascii="Times New Roman" w:hAnsi="Times New Roman" w:cs="Times New Roman"/>
          <w:color w:val="000000" w:themeColor="text1"/>
        </w:rPr>
        <w:t xml:space="preserve">2019 </w:t>
      </w:r>
      <w:r w:rsidRPr="00F0736F">
        <w:rPr>
          <w:rFonts w:ascii="Times New Roman" w:hAnsi="Times New Roman" w:cs="Times New Roman"/>
          <w:color w:val="000000" w:themeColor="text1"/>
          <w:lang w:val="kk-KZ"/>
        </w:rPr>
        <w:t xml:space="preserve">годах </w:t>
      </w:r>
      <w:r w:rsidRPr="00F0736F">
        <w:rPr>
          <w:rFonts w:ascii="Times New Roman" w:hAnsi="Times New Roman" w:cs="Times New Roman"/>
          <w:color w:val="000000" w:themeColor="text1"/>
        </w:rPr>
        <w:t>достигнуты следующие результаты по основным показателям.</w:t>
      </w:r>
    </w:p>
    <w:p w14:paraId="7DEAEA5B" w14:textId="77777777" w:rsidR="00AC1D5B" w:rsidRPr="00F0736F" w:rsidRDefault="00AC1D5B" w:rsidP="00AC1D5B">
      <w:pPr>
        <w:ind w:firstLine="709"/>
        <w:jc w:val="both"/>
        <w:rPr>
          <w:rFonts w:ascii="Times New Roman" w:eastAsia="Times New Roman" w:hAnsi="Times New Roman" w:cs="Times New Roman"/>
          <w:bCs/>
          <w:color w:val="000000" w:themeColor="text1"/>
        </w:rPr>
      </w:pPr>
      <w:r w:rsidRPr="00F0736F">
        <w:rPr>
          <w:rFonts w:ascii="Times New Roman" w:eastAsia="Times New Roman" w:hAnsi="Times New Roman" w:cs="Times New Roman"/>
          <w:bCs/>
          <w:color w:val="000000" w:themeColor="text1"/>
        </w:rPr>
        <w:t>Учитывая естественную неравномерность распределения водных ресурсов по регионам страны и высокую зависимость от водных ресурсов, формируемых за ее пределами, Казахстан уделяет большое внимание политике управления водными ресурсами. Основные направления такой политики обозначаются на самом высоком политическом уровне и впоследствии находят отражение в стратегических программных документах и водном законодательстве.</w:t>
      </w:r>
    </w:p>
    <w:p w14:paraId="382DA98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Times New Roman" w:hAnsi="Times New Roman" w:cs="Times New Roman"/>
          <w:bCs/>
          <w:color w:val="000000" w:themeColor="text1"/>
        </w:rPr>
        <w:t>В стратегических документах установлены четкие целевые ориентиры для водного сектора в отношении повышения эффективности водопользования, расширения повторного и оборотного использования воды, наращивания мощностей для накопления запасов воды путем строительства новых водохранилищ и расширения охвата населения системами водоснабжения и канализации.</w:t>
      </w:r>
      <w:r w:rsidRPr="00F0736F">
        <w:rPr>
          <w:rFonts w:eastAsia="Times New Roman" w:cs="Times New Roman"/>
          <w:bCs/>
          <w:color w:val="000000" w:themeColor="text1"/>
          <w:sz w:val="28"/>
          <w:szCs w:val="28"/>
        </w:rPr>
        <w:t xml:space="preserve"> </w:t>
      </w:r>
      <w:r w:rsidRPr="00F0736F">
        <w:rPr>
          <w:rFonts w:ascii="Times New Roman" w:hAnsi="Times New Roman" w:cs="Times New Roman"/>
          <w:color w:val="000000" w:themeColor="text1"/>
        </w:rPr>
        <w:t xml:space="preserve"> </w:t>
      </w:r>
    </w:p>
    <w:p w14:paraId="4ACDA5A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Концепцией по переходу к «зеленой экономике» установлены </w:t>
      </w:r>
      <w:r w:rsidRPr="008448D8">
        <w:rPr>
          <w:rFonts w:ascii="Times New Roman" w:hAnsi="Times New Roman" w:cs="Times New Roman"/>
          <w:color w:val="000000" w:themeColor="text1"/>
        </w:rPr>
        <w:t>цели по обеспечению стабильным водоснабжением населения (в 2020 году) и сельского хозяйства</w:t>
      </w:r>
      <w:r w:rsidRPr="00F0736F">
        <w:rPr>
          <w:rFonts w:ascii="Times New Roman" w:hAnsi="Times New Roman" w:cs="Times New Roman"/>
          <w:color w:val="000000" w:themeColor="text1"/>
        </w:rPr>
        <w:t xml:space="preserve"> (в 2040 году), а к 2050 году необходимо решить все проблемы с водными ресурсами. </w:t>
      </w:r>
    </w:p>
    <w:p w14:paraId="4E58593F"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На уровне бассейнов проблема дефицита водных ресурсов в целом должна быть решена к 2025 году, а по каждому бассейну в отдельности — к 2030 году.  </w:t>
      </w:r>
    </w:p>
    <w:p w14:paraId="2E64A978"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Доля водопользователей, имеющих постоянный доступ к системе центрального водоснабжения, изменилась в городах с 55% в 2013 году до 93,8% в 2017 году и до </w:t>
      </w:r>
      <w:r w:rsidRPr="00F0736F">
        <w:rPr>
          <w:rFonts w:ascii="Times New Roman" w:hAnsi="Times New Roman" w:cs="Times New Roman"/>
          <w:color w:val="000000" w:themeColor="text1"/>
          <w:lang w:val="kk-KZ"/>
        </w:rPr>
        <w:t>97,0</w:t>
      </w:r>
      <w:r w:rsidRPr="00F0736F">
        <w:rPr>
          <w:rFonts w:ascii="Times New Roman" w:hAnsi="Times New Roman" w:cs="Times New Roman"/>
          <w:color w:val="000000" w:themeColor="text1"/>
        </w:rPr>
        <w:t xml:space="preserve">% в 2019 году, в сельских населенных пунктах увеличилась с 11% в 2013 году до 57,4% в 2017 году и до </w:t>
      </w:r>
      <w:r w:rsidRPr="00F0736F">
        <w:rPr>
          <w:rFonts w:ascii="Times New Roman" w:hAnsi="Times New Roman" w:cs="Times New Roman"/>
          <w:color w:val="000000" w:themeColor="text1"/>
          <w:lang w:val="kk-KZ"/>
        </w:rPr>
        <w:t>62,0</w:t>
      </w:r>
      <w:r w:rsidRPr="00F0736F">
        <w:rPr>
          <w:rFonts w:ascii="Times New Roman" w:hAnsi="Times New Roman" w:cs="Times New Roman"/>
          <w:color w:val="000000" w:themeColor="text1"/>
        </w:rPr>
        <w:t xml:space="preserve">% в 2019 году. По итогам 2020 года планируется обеспечить доступ  к услугам водоснабжения:  в городах – 97,5%, в селах – </w:t>
      </w:r>
      <w:r w:rsidRPr="00F0736F">
        <w:rPr>
          <w:rFonts w:ascii="Times New Roman" w:hAnsi="Times New Roman" w:cs="Times New Roman"/>
          <w:color w:val="000000" w:themeColor="text1"/>
          <w:lang w:val="kk-KZ"/>
        </w:rPr>
        <w:t>86,4</w:t>
      </w:r>
      <w:r w:rsidRPr="00F0736F">
        <w:rPr>
          <w:rFonts w:ascii="Times New Roman" w:hAnsi="Times New Roman" w:cs="Times New Roman"/>
          <w:color w:val="000000" w:themeColor="text1"/>
        </w:rPr>
        <w:t>%.</w:t>
      </w:r>
    </w:p>
    <w:p w14:paraId="66C6236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Доля населения, имеющего доступ к системам водоотведения, увеличилась в городах с менее 50% в 2013 году до 88</w:t>
      </w:r>
      <w:r w:rsidRPr="00F0736F">
        <w:rPr>
          <w:rFonts w:ascii="Times New Roman" w:hAnsi="Times New Roman" w:cs="Times New Roman"/>
          <w:color w:val="000000" w:themeColor="text1"/>
          <w:lang w:val="kk-KZ"/>
        </w:rPr>
        <w:t>,0</w:t>
      </w:r>
      <w:r w:rsidRPr="00F0736F">
        <w:rPr>
          <w:rFonts w:ascii="Times New Roman" w:hAnsi="Times New Roman" w:cs="Times New Roman"/>
          <w:color w:val="000000" w:themeColor="text1"/>
        </w:rPr>
        <w:t xml:space="preserve">% в 2017 году, но затем снизилась до 70,5% в 2019 году (снижение произошло за счет присоединения к Алматы и Шымкенту ряда населенных пунктов), в сельских населенных пунктах увеличилось с 11% в 2013 году до более 20% в 2017 году, но затем снизилась до 8,8% в 2019 году. </w:t>
      </w:r>
    </w:p>
    <w:p w14:paraId="5A4A0DB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увеличением численности населения и постепенным экономическим подъемом потребность в воде будет увеличиваться.</w:t>
      </w:r>
    </w:p>
    <w:p w14:paraId="65FC649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 перспективу водообеспечение отраслей экономики будет осуществляться на 84% за счет поверхностных речных вод, остальной объем – за счет подземных и шахтно-рудничных, морских, озерных и сточных вод.</w:t>
      </w:r>
    </w:p>
    <w:p w14:paraId="1EABE985" w14:textId="77777777" w:rsidR="00AC1D5B" w:rsidRPr="00F0736F" w:rsidRDefault="00AC1D5B" w:rsidP="00AC1D5B">
      <w:pPr>
        <w:ind w:firstLine="709"/>
        <w:jc w:val="both"/>
        <w:rPr>
          <w:color w:val="000000" w:themeColor="text1"/>
        </w:rPr>
      </w:pPr>
      <w:r w:rsidRPr="00F0736F">
        <w:rPr>
          <w:rFonts w:ascii="Times New Roman" w:eastAsia="SimSun" w:hAnsi="Times New Roman" w:cs="Times New Roman"/>
          <w:bCs/>
          <w:color w:val="000000" w:themeColor="text1"/>
        </w:rPr>
        <w:t>С целью управления предложением и спросом на воду при регулировании использования и охране водных ресурсов установлены долгосрочные лимиты водопользования, которые по республике составляют в целом 28,3 км</w:t>
      </w:r>
      <w:r w:rsidRPr="00F0736F">
        <w:rPr>
          <w:rFonts w:ascii="Times New Roman" w:eastAsia="SimSun" w:hAnsi="Times New Roman" w:cs="Times New Roman"/>
          <w:bCs/>
          <w:color w:val="000000" w:themeColor="text1"/>
          <w:vertAlign w:val="superscript"/>
        </w:rPr>
        <w:t>3</w:t>
      </w:r>
      <w:r w:rsidRPr="00F0736F">
        <w:rPr>
          <w:rFonts w:ascii="Times New Roman" w:eastAsia="SimSun" w:hAnsi="Times New Roman" w:cs="Times New Roman"/>
          <w:bCs/>
          <w:color w:val="000000" w:themeColor="text1"/>
        </w:rPr>
        <w:t xml:space="preserve"> ежегодно. Данные объемы возможного использования водных ресурсов определены с учетом недопущения деградации водных систем.</w:t>
      </w:r>
    </w:p>
    <w:p w14:paraId="442A660A"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В качестве мер водосбережения введены положения по нормированию водопользования. Разработаны укрупненные нормы водопотребления для отдельных отраслей экономики, которые предназначены для решения задач по планированию использования водных ресурсов в разрезе страны. На основании укрупненных норм водопотребления водопользователи разрабатывают удельные нормы водопотребления, на основании которых им выдается разрешение на использование водных ресурсов. </w:t>
      </w:r>
    </w:p>
    <w:p w14:paraId="2999557E" w14:textId="77777777" w:rsidR="00AC1D5B" w:rsidRPr="00F0736F" w:rsidRDefault="00AC1D5B" w:rsidP="00AC1D5B">
      <w:pPr>
        <w:ind w:firstLine="709"/>
        <w:jc w:val="both"/>
        <w:rPr>
          <w:rFonts w:ascii="Times New Roman" w:hAnsi="Times New Roman" w:cs="Times New Roman"/>
          <w:color w:val="000000" w:themeColor="text1"/>
        </w:rPr>
      </w:pPr>
    </w:p>
    <w:p w14:paraId="7A717DAA" w14:textId="77777777" w:rsidR="00AC1D5B" w:rsidRPr="00F0736F" w:rsidRDefault="00AC1D5B" w:rsidP="00AC1D5B">
      <w:pPr>
        <w:ind w:firstLine="709"/>
        <w:jc w:val="both"/>
        <w:rPr>
          <w:color w:val="000000" w:themeColor="text1"/>
        </w:rPr>
      </w:pPr>
      <w:r w:rsidRPr="00F0736F">
        <w:rPr>
          <w:rFonts w:ascii="Times New Roman" w:eastAsia="Times New Roman" w:hAnsi="Times New Roman" w:cs="Times New Roman"/>
          <w:color w:val="000000" w:themeColor="text1"/>
          <w:lang w:eastAsia="ru-RU"/>
        </w:rPr>
        <w:t>Концепция по переходу к «зеленой экономике» ставит перед сельским хозяйством Казахстана амбициозные цели: в 2020 году - достижение увеличения производительности труда в 3 раза, повышение урожайности пшеницы до 1,4 т/га, снижение затрат воды на орошение до 450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/т.</w:t>
      </w:r>
    </w:p>
    <w:p w14:paraId="6EEEDA1E"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Общая производительность труда в сельском хозяйстве увеличилась в 2016 году почти в 2,3 раза к уровню 2012 года, в 2017 году в 2,83 раза, в 2018 году – в 3,39 раза, а в 2019 году — в 4,03 раза.</w:t>
      </w:r>
    </w:p>
    <w:p w14:paraId="5C32985F"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Урожайность пшеницы снизилась в 2017 году до 1,24т/га, в 2018 году до 1,23 т/га, а в неблагоприятный 2019 год снизилась до 1,01 т/га. Более урожайным год оказался для сахарной свеклы (рост урожайности на 6,3%), хлопка (на 1,3%), картофеля (на 2,8%), овощей открытого грунта (на 1,3%).</w:t>
      </w:r>
    </w:p>
    <w:p w14:paraId="1C0C6EDF" w14:textId="77777777" w:rsidR="00AC1D5B" w:rsidRPr="008448D8" w:rsidRDefault="00AC1D5B" w:rsidP="00AC1D5B">
      <w:pPr>
        <w:ind w:firstLine="709"/>
        <w:jc w:val="both"/>
        <w:rPr>
          <w:rFonts w:ascii="Times New Roman" w:eastAsia="Times New Roman" w:hAnsi="Times New Roman" w:cs="Times New Roman"/>
          <w:bCs/>
          <w:iCs/>
          <w:color w:val="000000" w:themeColor="text1"/>
          <w:spacing w:val="2"/>
          <w:lang w:eastAsia="ru-RU"/>
        </w:rPr>
      </w:pPr>
      <w:r w:rsidRPr="008448D8">
        <w:rPr>
          <w:rFonts w:ascii="Times New Roman" w:eastAsia="Times New Roman" w:hAnsi="Times New Roman" w:cs="Times New Roman"/>
          <w:bCs/>
          <w:iCs/>
          <w:color w:val="000000" w:themeColor="text1"/>
          <w:spacing w:val="2"/>
          <w:lang w:eastAsia="ru-RU"/>
        </w:rPr>
        <w:t xml:space="preserve">Вместе с тем, производительность труда в сельском хозяйстве далеко отстает от других секторов экономики, а урожайность основных культур несопоставима с показателями развитых государств </w:t>
      </w:r>
      <w:r w:rsidRPr="008448D8">
        <w:rPr>
          <w:rFonts w:ascii="Times New Roman" w:eastAsia="MS Mincho" w:hAnsi="Times New Roman" w:cs="Times New Roman"/>
          <w:bCs/>
          <w:iCs/>
          <w:color w:val="000000" w:themeColor="text1"/>
          <w:spacing w:val="2"/>
          <w:lang w:eastAsia="ja-JP"/>
        </w:rPr>
        <w:t>(например, урожайность пшеницы в 2015 г. составляла 1,33 т/га при среднемировом показателе 3,75 т/га)</w:t>
      </w:r>
      <w:r w:rsidRPr="008448D8">
        <w:rPr>
          <w:rFonts w:ascii="Times New Roman" w:eastAsia="MS Mincho" w:hAnsi="Times New Roman" w:cs="Times New Roman"/>
          <w:bCs/>
          <w:iCs/>
          <w:color w:val="000000" w:themeColor="text1"/>
          <w:spacing w:val="2"/>
          <w:vertAlign w:val="superscript"/>
          <w:lang w:eastAsia="ja-JP"/>
        </w:rPr>
        <w:footnoteReference w:id="171"/>
      </w:r>
      <w:r w:rsidRPr="008448D8">
        <w:rPr>
          <w:rFonts w:ascii="Times New Roman" w:eastAsia="Times New Roman" w:hAnsi="Times New Roman" w:cs="Times New Roman"/>
          <w:bCs/>
          <w:iCs/>
          <w:color w:val="000000" w:themeColor="text1"/>
          <w:spacing w:val="2"/>
          <w:lang w:eastAsia="ru-RU"/>
        </w:rPr>
        <w:t>. Кроме того, сельское хозяйство является наиболее водоемким сектором, к тому же с наибольшими потерями воды при ее транспортировке и использовании. В результате сельское хозяйство в Казахстане является непривлекательным для инвестиций и испытывает трудности с финансированием, что еще более усугубляет имеющиеся проблемы.</w:t>
      </w:r>
    </w:p>
    <w:p w14:paraId="24062C3E" w14:textId="77777777" w:rsidR="00AC1D5B" w:rsidRPr="00F0736F" w:rsidRDefault="00AC1D5B" w:rsidP="00AC1D5B">
      <w:pPr>
        <w:widowControl w:val="0"/>
        <w:ind w:firstLine="709"/>
        <w:jc w:val="both"/>
        <w:rPr>
          <w:rFonts w:ascii="Arial" w:eastAsia="SimSun" w:hAnsi="Arial" w:cs="Arial"/>
          <w:bCs/>
          <w:color w:val="000000" w:themeColor="text1"/>
          <w:sz w:val="28"/>
          <w:szCs w:val="28"/>
        </w:rPr>
      </w:pPr>
      <w:r w:rsidRPr="008448D8">
        <w:rPr>
          <w:rFonts w:ascii="Times New Roman" w:eastAsia="Times New Roman" w:hAnsi="Times New Roman" w:cs="Times New Roman"/>
          <w:iCs/>
          <w:color w:val="000000" w:themeColor="text1"/>
          <w:lang w:eastAsia="ru-RU"/>
        </w:rPr>
        <w:t>Расход воды на орошение в 2018</w:t>
      </w:r>
      <w:r w:rsidRPr="00F0736F">
        <w:rPr>
          <w:rFonts w:ascii="Times New Roman" w:eastAsia="Times New Roman" w:hAnsi="Times New Roman" w:cs="Times New Roman"/>
          <w:color w:val="000000" w:themeColor="text1"/>
          <w:lang w:eastAsia="ru-RU"/>
        </w:rPr>
        <w:t xml:space="preserve"> году составил 8209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на га, что не превышает плановых значений 8223 м</w:t>
      </w:r>
      <w:r w:rsidRPr="00F0736F">
        <w:rPr>
          <w:rFonts w:ascii="Times New Roman" w:eastAsia="Times New Roman" w:hAnsi="Times New Roman" w:cs="Times New Roman"/>
          <w:color w:val="000000" w:themeColor="text1"/>
          <w:vertAlign w:val="superscript"/>
          <w:lang w:eastAsia="ru-RU"/>
        </w:rPr>
        <w:t>3</w:t>
      </w:r>
      <w:r w:rsidRPr="00F0736F">
        <w:rPr>
          <w:rFonts w:ascii="Times New Roman" w:eastAsia="Times New Roman" w:hAnsi="Times New Roman" w:cs="Times New Roman"/>
          <w:color w:val="000000" w:themeColor="text1"/>
          <w:lang w:eastAsia="ru-RU"/>
        </w:rPr>
        <w:t xml:space="preserve"> на га</w:t>
      </w:r>
      <w:r w:rsidRPr="00F0736F">
        <w:rPr>
          <w:rFonts w:ascii="Times New Roman" w:eastAsia="Times New Roman" w:hAnsi="Times New Roman" w:cs="Times New Roman"/>
          <w:bCs/>
          <w:iCs/>
          <w:color w:val="000000" w:themeColor="text1"/>
          <w:spacing w:val="2"/>
          <w:sz w:val="20"/>
          <w:szCs w:val="28"/>
          <w:lang w:eastAsia="ru-RU"/>
        </w:rPr>
        <w:t xml:space="preserve">. </w:t>
      </w:r>
      <w:r w:rsidRPr="00F0736F">
        <w:rPr>
          <w:rFonts w:ascii="Times New Roman" w:eastAsia="Times New Roman" w:hAnsi="Times New Roman" w:cs="Times New Roman"/>
          <w:bCs/>
          <w:iCs/>
          <w:color w:val="000000" w:themeColor="text1"/>
          <w:spacing w:val="2"/>
          <w:sz w:val="20"/>
          <w:lang w:eastAsia="ru-RU"/>
        </w:rPr>
        <w:t>Решение задачи снижения потребления водных и иных ресурсов</w:t>
      </w:r>
      <w:r w:rsidRPr="00F0736F">
        <w:rPr>
          <w:rFonts w:ascii="Times New Roman" w:eastAsia="Times New Roman" w:hAnsi="Times New Roman" w:cs="Times New Roman"/>
          <w:b/>
          <w:bCs/>
          <w:iCs/>
          <w:color w:val="000000" w:themeColor="text1"/>
          <w:spacing w:val="2"/>
          <w:sz w:val="20"/>
          <w:lang w:eastAsia="ru-RU"/>
        </w:rPr>
        <w:t xml:space="preserve"> </w:t>
      </w:r>
      <w:r w:rsidRPr="00F0736F">
        <w:rPr>
          <w:rFonts w:ascii="Times New Roman" w:eastAsia="Times New Roman" w:hAnsi="Times New Roman" w:cs="Times New Roman"/>
          <w:bCs/>
          <w:iCs/>
          <w:color w:val="000000" w:themeColor="text1"/>
          <w:spacing w:val="2"/>
          <w:sz w:val="20"/>
          <w:lang w:eastAsia="ru-RU"/>
        </w:rPr>
        <w:t xml:space="preserve">осуществляется посредством внедрения водо- и ресурсосберегающих технологий на большей части сельхозугодий. </w:t>
      </w:r>
      <w:r w:rsidRPr="00F0736F">
        <w:rPr>
          <w:rFonts w:ascii="Times New Roman" w:eastAsia="SimSun" w:hAnsi="Times New Roman" w:cs="Times New Roman"/>
          <w:bCs/>
          <w:color w:val="000000" w:themeColor="text1"/>
        </w:rPr>
        <w:t xml:space="preserve"> </w:t>
      </w:r>
    </w:p>
    <w:p w14:paraId="1BDC0817"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Общая площадь орошаемых земель в РК в 1991 году составляла 2379,5 тыс га, в 2000 году - 2228,3 тыс. га, в 2017 году - 2181,0 тыс. га, в 2018 году - 2203,1</w:t>
      </w:r>
      <w:r w:rsidRPr="00F0736F">
        <w:rPr>
          <w:rFonts w:ascii="Times New Roman" w:hAnsi="Times New Roman" w:cs="Times New Roman"/>
          <w:color w:val="000000" w:themeColor="text1"/>
          <w:vertAlign w:val="superscript"/>
        </w:rPr>
        <w:footnoteReference w:id="172"/>
      </w:r>
      <w:r w:rsidRPr="00F0736F">
        <w:rPr>
          <w:rFonts w:ascii="Times New Roman" w:hAnsi="Times New Roman" w:cs="Times New Roman"/>
          <w:color w:val="000000" w:themeColor="text1"/>
        </w:rPr>
        <w:t xml:space="preserve">. Рассматривая динамику площадей орошаемых земель за 1991 - 2017 годы, прослеживается тенденция сокращения площадей орошаемых земель в наибольшей степени в Алматинской, Атырауской, Жамбылской, Кызылординской, Актюбинской, Восточно-Казахстанской, Павлодарской и Северо-Казахстанской областях. Одновременно отмечается ежегодный прирост орошаемых земель в Южно-Казахстанской (ныне Туркестанской) области. </w:t>
      </w:r>
    </w:p>
    <w:p w14:paraId="632F0B5B"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spacing w:val="2"/>
          <w:lang w:eastAsia="ru-RU"/>
        </w:rPr>
        <w:t xml:space="preserve">Стратегия «Казахстан-2050» и Концепция по переходу Республики Казахстан к «зеленой экономике» ставят амбициозные цели достижения доли </w:t>
      </w:r>
      <w:r w:rsidRPr="00F0736F">
        <w:rPr>
          <w:rFonts w:ascii="Times New Roman" w:hAnsi="Times New Roman" w:cs="Times New Roman"/>
          <w:b/>
          <w:bCs/>
          <w:color w:val="000000" w:themeColor="text1"/>
          <w:spacing w:val="2"/>
          <w:lang w:eastAsia="ru-RU"/>
        </w:rPr>
        <w:t>возобновляемых источников</w:t>
      </w:r>
      <w:r w:rsidRPr="00F0736F">
        <w:rPr>
          <w:rFonts w:ascii="Times New Roman" w:hAnsi="Times New Roman" w:cs="Times New Roman"/>
          <w:color w:val="000000" w:themeColor="text1"/>
          <w:spacing w:val="2"/>
          <w:lang w:eastAsia="ru-RU"/>
        </w:rPr>
        <w:t xml:space="preserve"> энергии 3% к 2020 году, 10% к 2030 году и 50% к 2050 году от общего производства электроэнергии.  </w:t>
      </w:r>
    </w:p>
    <w:p w14:paraId="1ED39A52"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rPr>
        <w:t xml:space="preserve">Доля ВИЭ в общем объеме производства электроэнергии составила в 2018 году 1,3%. Это было обеспечено 67 действующими объектами ВИЭ суммарной мощностью 531 МВт (ГЭС – 200,25; ВЭС – 121,45; СЭС – 209; биогазовая установка – 0,35). Выработка электроэнергии объектами ВИЭ составила 1,35 млрд. </w:t>
      </w:r>
      <w:r w:rsidRPr="00F0736F">
        <w:rPr>
          <w:rFonts w:ascii="Times New Roman" w:hAnsi="Times New Roman" w:cs="Times New Roman"/>
          <w:color w:val="000000" w:themeColor="text1"/>
        </w:rPr>
        <w:t>кВт.ч</w:t>
      </w:r>
      <w:r w:rsidRPr="00F0736F">
        <w:rPr>
          <w:rFonts w:ascii="Times New Roman" w:eastAsia="Calibri" w:hAnsi="Times New Roman" w:cs="Times New Roman"/>
          <w:color w:val="000000" w:themeColor="text1"/>
        </w:rPr>
        <w:t xml:space="preserve"> (115% к 2017 году).</w:t>
      </w:r>
    </w:p>
    <w:p w14:paraId="36D403B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w:t>
      </w:r>
      <w:r w:rsidRPr="00F0736F">
        <w:rPr>
          <w:rFonts w:ascii="Times New Roman" w:eastAsia="Calibri" w:hAnsi="Times New Roman" w:cs="Times New Roman"/>
          <w:color w:val="000000" w:themeColor="text1"/>
        </w:rPr>
        <w:t xml:space="preserve"> 2019 году</w:t>
      </w:r>
      <w:r w:rsidRPr="00F0736F">
        <w:rPr>
          <w:rFonts w:ascii="Times New Roman" w:eastAsia="Calibri" w:hAnsi="Times New Roman" w:cs="Times New Roman"/>
          <w:b/>
          <w:bCs/>
          <w:color w:val="000000" w:themeColor="text1"/>
        </w:rPr>
        <w:t xml:space="preserve"> </w:t>
      </w:r>
      <w:r w:rsidRPr="00F0736F">
        <w:rPr>
          <w:rFonts w:ascii="Times New Roman" w:eastAsia="Calibri" w:hAnsi="Times New Roman" w:cs="Times New Roman"/>
          <w:color w:val="000000" w:themeColor="text1"/>
        </w:rPr>
        <w:t>выработано 2,4 млрд. кВт.ч «зеленой» энергии с ростом на 77,8% в сравнении с 2018 годом. Доля ВИЭ в общем объеме производства электроэнергии – 2,3%. В 2019 году в эксплуатацию был введен 21 объект ВИЭ. По проектам ВИЭ общий объем привлеченных инвестиций составил 613 млн. долл. США, а общее количество объектов ВИЭ составило 90 с суммарной мощностью 1050,1 МВт.</w:t>
      </w:r>
    </w:p>
    <w:p w14:paraId="7E9F9211"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2018-2019 гг. успешно проведены первые международные аукционные торги для проектов ВИЭ суммарной мощностью 1205 МВт. </w:t>
      </w:r>
      <w:r w:rsidRPr="00F0736F">
        <w:rPr>
          <w:rFonts w:ascii="Times New Roman" w:hAnsi="Times New Roman" w:cs="Times New Roman"/>
          <w:color w:val="000000" w:themeColor="text1"/>
          <w:lang w:val="kk-KZ"/>
        </w:rPr>
        <w:t xml:space="preserve">В торгах приняли участие 138 компаний из 12 стран: Казахстан, Китай, Россия, Турция, </w:t>
      </w:r>
      <w:r w:rsidRPr="00F0736F">
        <w:rPr>
          <w:rFonts w:ascii="Times New Roman" w:hAnsi="Times New Roman" w:cs="Times New Roman"/>
          <w:color w:val="000000" w:themeColor="text1"/>
        </w:rPr>
        <w:t xml:space="preserve">Германия, </w:t>
      </w:r>
      <w:r w:rsidRPr="00F0736F">
        <w:rPr>
          <w:rFonts w:ascii="Times New Roman" w:hAnsi="Times New Roman" w:cs="Times New Roman"/>
          <w:color w:val="000000" w:themeColor="text1"/>
          <w:lang w:val="kk-KZ"/>
        </w:rPr>
        <w:t>Франция, Болгария, Италия, ОАЭ, Нидерланды,</w:t>
      </w:r>
      <w:r w:rsidRPr="00F0736F">
        <w:rPr>
          <w:rFonts w:ascii="Times New Roman" w:hAnsi="Times New Roman" w:cs="Times New Roman"/>
          <w:color w:val="000000" w:themeColor="text1"/>
        </w:rPr>
        <w:t xml:space="preserve"> Малайзия, Испания</w:t>
      </w:r>
      <w:r w:rsidRPr="00F0736F">
        <w:rPr>
          <w:rFonts w:ascii="Times New Roman" w:hAnsi="Times New Roman" w:cs="Times New Roman"/>
          <w:color w:val="000000" w:themeColor="text1"/>
          <w:lang w:val="kk-KZ"/>
        </w:rPr>
        <w:t xml:space="preserve">. </w:t>
      </w:r>
      <w:r w:rsidRPr="00F0736F">
        <w:rPr>
          <w:rFonts w:ascii="Times New Roman" w:hAnsi="Times New Roman" w:cs="Times New Roman"/>
          <w:color w:val="000000" w:themeColor="text1"/>
        </w:rPr>
        <w:t xml:space="preserve">Участниками аукционных торгов на выставленные 1205 МВт было предложено заявок на реализацию проектов установленной мощностью 3893,52 МВт, что превысило спрос в 3,2 раза. </w:t>
      </w:r>
      <w:r w:rsidRPr="00F0736F">
        <w:rPr>
          <w:rFonts w:ascii="Times New Roman" w:hAnsi="Times New Roman" w:cs="Times New Roman"/>
          <w:color w:val="000000" w:themeColor="text1"/>
          <w:lang w:val="kk-KZ"/>
        </w:rPr>
        <w:t xml:space="preserve">На данных торгах </w:t>
      </w:r>
      <w:r w:rsidRPr="00F0736F">
        <w:rPr>
          <w:rFonts w:ascii="Times New Roman" w:hAnsi="Times New Roman" w:cs="Times New Roman"/>
          <w:color w:val="000000" w:themeColor="text1"/>
        </w:rPr>
        <w:t xml:space="preserve">произошло снижение тарифов на ветровые электрические станции (ВЭС) в среднем по заявкам участников аукциона на 10,6%, малые гидроэлектростанции (ГЭС) на 14,5%, солнечные электрические станции (СЭС) на 34,7%. Так, при проведении </w:t>
      </w:r>
      <w:r w:rsidRPr="00F0736F">
        <w:rPr>
          <w:rFonts w:ascii="Times New Roman" w:eastAsia="Calibri" w:hAnsi="Times New Roman" w:cs="Times New Roman"/>
          <w:color w:val="000000" w:themeColor="text1"/>
        </w:rPr>
        <w:t>аукциона по выбору инвестора для строительства солнечной электростанции установленной мощностью 50 МВт вблизи поселка Шаульдер Туркестанской области победителем аукционных торгов стала компания ТОО «Arm Wind» с ценой 12,49 тг/кВт.ч, что примерно составляет 3,2 цента доллара США. Данный тариф является рекордно низким тарифом на рынке солнечной энергетики в Казахстане.</w:t>
      </w:r>
    </w:p>
    <w:p w14:paraId="4AB3896A"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По итогам аукционных торгов 30 компаний подписали контракты с единым закупщиком электроэнергии ВИЭ (РФЦ) на 15 лет на суммарную мощность 804,3 МВт и 12 компаний на стадии подписания контрактов с РФЦ на суммарную мощность 162,89 МВт.</w:t>
      </w:r>
    </w:p>
    <w:p w14:paraId="64AB8F6E" w14:textId="77777777" w:rsidR="00AC1D5B" w:rsidRPr="00F0736F" w:rsidRDefault="00AC1D5B" w:rsidP="00AC1D5B">
      <w:pPr>
        <w:ind w:firstLine="709"/>
        <w:jc w:val="both"/>
        <w:rPr>
          <w:rFonts w:ascii="Times New Roman" w:eastAsia="Calibri" w:hAnsi="Times New Roman" w:cs="Times New Roman"/>
          <w:color w:val="000000" w:themeColor="text1"/>
        </w:rPr>
      </w:pPr>
      <w:r w:rsidRPr="00F0736F">
        <w:rPr>
          <w:rFonts w:ascii="Times New Roman" w:eastAsia="Times New Roman" w:hAnsi="Times New Roman" w:cs="Times New Roman"/>
          <w:color w:val="000000" w:themeColor="text1"/>
        </w:rPr>
        <w:t>Активно ведется газификация страны. Так по итогам 2018 года уровень газификации населения достиг 49,68% (около 9 млн. человек), а до 2020 года планировалось перейти 50% рубеж по уровню газификации. Фактически о</w:t>
      </w:r>
      <w:r w:rsidRPr="00F0736F">
        <w:rPr>
          <w:rFonts w:ascii="Times New Roman" w:eastAsia="Calibri" w:hAnsi="Times New Roman" w:cs="Times New Roman"/>
          <w:color w:val="000000" w:themeColor="text1"/>
        </w:rPr>
        <w:t>бщий уровень газификации страны в 2019 году составил 51,47% (9,5 млн. человек) от общей численности населения.</w:t>
      </w:r>
    </w:p>
    <w:p w14:paraId="24AA6CB1" w14:textId="77777777" w:rsidR="00AC1D5B" w:rsidRPr="00F0736F" w:rsidRDefault="00AC1D5B" w:rsidP="00AC1D5B">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Концепцией поставлена задача по газификации Акмолинской и Карагандинской областей в 2020 году, северные и восточные области к 2030 году.</w:t>
      </w:r>
    </w:p>
    <w:p w14:paraId="39189433"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Наибольший уровень газификации населения достигнут в Мангистауской, Атырауской областях и г. Алматы (почти 100%). Полностью остаются негазифицированными СКО, Карагандинская, Акмолинская, Павлодарская области и г. Нур-Султан.</w:t>
      </w:r>
    </w:p>
    <w:p w14:paraId="7EFA3074" w14:textId="77777777" w:rsidR="00AC1D5B" w:rsidRPr="008448D8" w:rsidRDefault="00AC1D5B" w:rsidP="00AC1D5B">
      <w:pPr>
        <w:ind w:firstLine="709"/>
        <w:jc w:val="both"/>
        <w:rPr>
          <w:iCs/>
          <w:color w:val="000000" w:themeColor="text1"/>
        </w:rPr>
      </w:pPr>
      <w:r w:rsidRPr="008448D8">
        <w:rPr>
          <w:rFonts w:ascii="Times New Roman" w:eastAsia="Calibri" w:hAnsi="Times New Roman" w:cs="Times New Roman"/>
          <w:iCs/>
          <w:color w:val="000000" w:themeColor="text1"/>
          <w:lang w:val="kk-KZ"/>
        </w:rPr>
        <w:t>Концепцией по переходу Республики Казахстан к «зеленой экономике» предусмотрено доведение доли переработки отходов до 40% к 2030 году, 50% - к 2050 году, покрытие населения вывозом ТБО в 2030 году -100%, санитарное хранение мусора к 2030 году -95%.</w:t>
      </w:r>
    </w:p>
    <w:p w14:paraId="5F21E0BA" w14:textId="77777777" w:rsidR="00AC1D5B" w:rsidRPr="00F0736F" w:rsidRDefault="00AC1D5B" w:rsidP="00AC1D5B">
      <w:pPr>
        <w:suppressAutoHyphens w:val="0"/>
        <w:overflowPunct/>
        <w:jc w:val="both"/>
        <w:rPr>
          <w:rFonts w:ascii="Times New Roman" w:eastAsia="Calibri" w:hAnsi="Times New Roman" w:cs="Times New Roman"/>
          <w:color w:val="000000" w:themeColor="text1"/>
          <w:shd w:val="clear" w:color="auto" w:fill="FFFFFF"/>
          <w:lang w:bidi="ar-SA"/>
        </w:rPr>
      </w:pPr>
      <w:r w:rsidRPr="00F0736F">
        <w:rPr>
          <w:rFonts w:ascii="Times New Roman" w:eastAsia="Calibri" w:hAnsi="Times New Roman" w:cs="Times New Roman"/>
          <w:color w:val="000000" w:themeColor="text1"/>
          <w:sz w:val="22"/>
          <w:szCs w:val="22"/>
          <w:lang w:bidi="ar-SA"/>
        </w:rPr>
        <w:t xml:space="preserve"> </w:t>
      </w:r>
      <w:r w:rsidRPr="00F0736F">
        <w:rPr>
          <w:rFonts w:ascii="Times New Roman" w:eastAsia="Calibri" w:hAnsi="Times New Roman" w:cs="Times New Roman"/>
          <w:color w:val="000000" w:themeColor="text1"/>
          <w:sz w:val="22"/>
          <w:szCs w:val="22"/>
          <w:lang w:bidi="ar-SA"/>
        </w:rPr>
        <w:tab/>
      </w:r>
      <w:r w:rsidRPr="00F0736F">
        <w:rPr>
          <w:rFonts w:ascii="Times New Roman" w:eastAsia="Calibri" w:hAnsi="Times New Roman" w:cs="Times New Roman"/>
          <w:color w:val="000000" w:themeColor="text1"/>
          <w:lang w:bidi="ar-SA"/>
        </w:rPr>
        <w:t>Промышленные предприятия в Казахстане прилагают значительные усилия по повышению переработки и повторному использованию промышленных отходов.</w:t>
      </w:r>
      <w:r w:rsidRPr="00F0736F">
        <w:rPr>
          <w:rFonts w:ascii="Times New Roman" w:eastAsia="Calibri" w:hAnsi="Times New Roman" w:cs="Times New Roman"/>
          <w:color w:val="000000" w:themeColor="text1"/>
          <w:shd w:val="clear" w:color="auto" w:fill="FFFFFF"/>
          <w:lang w:bidi="ar-SA"/>
        </w:rPr>
        <w:t xml:space="preserve"> </w:t>
      </w:r>
      <w:r w:rsidRPr="00F0736F">
        <w:rPr>
          <w:rFonts w:ascii="Times New Roman" w:eastAsia="Calibri" w:hAnsi="Times New Roman" w:cs="Times New Roman"/>
          <w:color w:val="000000" w:themeColor="text1"/>
          <w:lang w:bidi="ar-SA"/>
        </w:rPr>
        <w:t xml:space="preserve">Доля переработанных и утилизированных </w:t>
      </w:r>
      <w:r w:rsidRPr="00F0736F">
        <w:rPr>
          <w:rFonts w:ascii="Times New Roman" w:eastAsia="Calibri" w:hAnsi="Times New Roman" w:cs="Times New Roman"/>
          <w:b/>
          <w:color w:val="000000" w:themeColor="text1"/>
          <w:lang w:bidi="ar-SA"/>
        </w:rPr>
        <w:t>промышленных</w:t>
      </w:r>
      <w:r w:rsidRPr="00F0736F">
        <w:rPr>
          <w:rFonts w:ascii="Times New Roman" w:eastAsia="Calibri" w:hAnsi="Times New Roman" w:cs="Times New Roman"/>
          <w:color w:val="000000" w:themeColor="text1"/>
          <w:lang w:bidi="ar-SA"/>
        </w:rPr>
        <w:t xml:space="preserve"> </w:t>
      </w:r>
      <w:r w:rsidRPr="00F0736F">
        <w:rPr>
          <w:rFonts w:ascii="Times New Roman" w:eastAsia="Calibri" w:hAnsi="Times New Roman" w:cs="Times New Roman"/>
          <w:b/>
          <w:bCs/>
          <w:color w:val="000000" w:themeColor="text1"/>
          <w:lang w:bidi="ar-SA"/>
        </w:rPr>
        <w:t xml:space="preserve">отходов </w:t>
      </w:r>
      <w:r w:rsidRPr="00F0736F">
        <w:rPr>
          <w:rFonts w:ascii="Times New Roman" w:eastAsia="Calibri" w:hAnsi="Times New Roman" w:cs="Times New Roman"/>
          <w:color w:val="000000" w:themeColor="text1"/>
          <w:lang w:bidi="ar-SA"/>
        </w:rPr>
        <w:t xml:space="preserve">ежегодно увеличивается и составила в 2017 году 30,9%, в 2018 году – 32,2%, а в 2019 году – 34%  к их образованию </w:t>
      </w:r>
      <w:r w:rsidRPr="00F0736F">
        <w:rPr>
          <w:rFonts w:ascii="Times New Roman" w:eastAsia="Calibri" w:hAnsi="Times New Roman" w:cs="Times New Roman"/>
          <w:color w:val="000000" w:themeColor="text1"/>
          <w:sz w:val="22"/>
          <w:szCs w:val="22"/>
          <w:lang w:bidi="ar-SA"/>
        </w:rPr>
        <w:t xml:space="preserve">при целевом показателе 40% к 2030 году, но разброс цифр по областям очень значительный. </w:t>
      </w:r>
      <w:r w:rsidRPr="00F0736F">
        <w:rPr>
          <w:rFonts w:ascii="Times New Roman" w:eastAsia="Times New Roman" w:hAnsi="Times New Roman" w:cs="Times New Roman"/>
          <w:color w:val="000000" w:themeColor="text1"/>
          <w:sz w:val="22"/>
          <w:szCs w:val="22"/>
          <w:lang w:val="kk-KZ" w:bidi="ar-SA"/>
        </w:rPr>
        <w:t xml:space="preserve">К примеру, </w:t>
      </w:r>
      <w:r w:rsidRPr="00F0736F">
        <w:rPr>
          <w:rFonts w:ascii="Times New Roman" w:eastAsia="Calibri" w:hAnsi="Times New Roman" w:cs="Times New Roman"/>
          <w:color w:val="000000" w:themeColor="text1"/>
          <w:sz w:val="22"/>
          <w:szCs w:val="22"/>
          <w:lang w:bidi="ar-SA"/>
        </w:rPr>
        <w:t>в Восточно-Казахстанской области доля переработки промышленных отходов в 2019 году составила 74,55%, в Атырауской - 62,41%, в Западно-Казахстанской – 33,45%, в Кызылординской – 22,5%, в Жамбылской 13,89%, в Актюбинской области – 13,35%.</w:t>
      </w:r>
      <w:r w:rsidRPr="00F0736F">
        <w:rPr>
          <w:rFonts w:ascii="Times New Roman" w:eastAsia="Calibri" w:hAnsi="Times New Roman" w:cs="Times New Roman"/>
          <w:color w:val="000000" w:themeColor="text1"/>
          <w:shd w:val="clear" w:color="auto" w:fill="FFFFFF"/>
          <w:lang w:bidi="ar-SA"/>
        </w:rPr>
        <w:t xml:space="preserve"> Остальной объем размещается на хвостохранилищах и полигонах.</w:t>
      </w:r>
    </w:p>
    <w:p w14:paraId="31B732E3" w14:textId="77777777" w:rsidR="00AC1D5B" w:rsidRPr="00F0736F" w:rsidRDefault="00AC1D5B" w:rsidP="00AC1D5B">
      <w:pP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shd w:val="clear" w:color="auto" w:fill="FFFFFF"/>
        </w:rPr>
        <w:t xml:space="preserve">Основными источниками образования и накопления промышленных отходов являются горнодобывающая, металлургическая, нефтегазодобывающая, теплоэнергетическая отрасли. Промышленные отходы представлены вскрышными породами, хвостами дробления и обогащения руды, металлургическими шлаками, золой и золошлаками, отходами нефтедобычи и нефтепереработки (нефтешламы, буровые шламы, кислые гудроны, газовые конденсаты.). </w:t>
      </w:r>
      <w:r w:rsidRPr="00F0736F">
        <w:rPr>
          <w:rFonts w:ascii="Times New Roman" w:hAnsi="Times New Roman" w:cs="Times New Roman"/>
          <w:color w:val="000000" w:themeColor="text1"/>
        </w:rPr>
        <w:t xml:space="preserve">Данные виды отходов относятся к основным и крупнот.ажным промышленным отходам. </w:t>
      </w:r>
    </w:p>
    <w:p w14:paraId="5C27F6D8" w14:textId="77777777" w:rsidR="00AC1D5B" w:rsidRPr="00F0736F" w:rsidRDefault="00AC1D5B" w:rsidP="00AC1D5B">
      <w:pPr>
        <w:suppressAutoHyphens w:val="0"/>
        <w:overflowPunct/>
        <w:ind w:firstLine="709"/>
        <w:jc w:val="both"/>
        <w:rPr>
          <w:rFonts w:ascii="Times New Roman" w:eastAsia="Calibri" w:hAnsi="Times New Roman" w:cs="Times New Roman"/>
          <w:color w:val="000000" w:themeColor="text1"/>
          <w:lang w:bidi="ar-SA"/>
        </w:rPr>
      </w:pPr>
      <w:r w:rsidRPr="00F0736F">
        <w:rPr>
          <w:rFonts w:ascii="Times New Roman" w:eastAsia="Calibri" w:hAnsi="Times New Roman" w:cs="Times New Roman"/>
          <w:color w:val="000000" w:themeColor="text1"/>
          <w:lang w:bidi="ar-SA"/>
        </w:rPr>
        <w:t>Порядка 30-35% от объема образуемых промышленных отходов являются опасными, причем о</w:t>
      </w:r>
      <w:r w:rsidRPr="00F0736F">
        <w:rPr>
          <w:rFonts w:ascii="Times New Roman" w:eastAsia="Times New Roman" w:hAnsi="Times New Roman" w:cs="Times New Roman"/>
          <w:bCs/>
          <w:color w:val="000000" w:themeColor="text1"/>
          <w:spacing w:val="2"/>
          <w:lang w:eastAsia="ru-RU" w:bidi="ar-SA"/>
        </w:rPr>
        <w:t xml:space="preserve">сновной приходится на горнодобывающую промышленность и разработку карьеров. </w:t>
      </w:r>
      <w:r w:rsidRPr="00F0736F">
        <w:rPr>
          <w:rFonts w:ascii="Times New Roman" w:eastAsia="Calibri" w:hAnsi="Times New Roman" w:cs="Times New Roman"/>
          <w:color w:val="000000" w:themeColor="text1"/>
          <w:lang w:bidi="ar-SA"/>
        </w:rPr>
        <w:t>П</w:t>
      </w:r>
      <w:r w:rsidRPr="00F0736F">
        <w:rPr>
          <w:rFonts w:ascii="Times New Roman" w:eastAsia="Times New Roman" w:hAnsi="Times New Roman" w:cs="Times New Roman"/>
          <w:bCs/>
          <w:color w:val="000000" w:themeColor="text1"/>
          <w:spacing w:val="2"/>
          <w:lang w:eastAsia="ru-RU" w:bidi="ar-SA"/>
        </w:rPr>
        <w:t xml:space="preserve">о данным Комитета по статистике, в 2017 году общее количество образованных </w:t>
      </w:r>
      <w:r w:rsidRPr="00F0736F">
        <w:rPr>
          <w:rFonts w:ascii="Times New Roman" w:eastAsia="Times New Roman" w:hAnsi="Times New Roman" w:cs="Times New Roman"/>
          <w:b/>
          <w:bCs/>
          <w:color w:val="000000" w:themeColor="text1"/>
          <w:spacing w:val="2"/>
          <w:lang w:eastAsia="ru-RU" w:bidi="ar-SA"/>
        </w:rPr>
        <w:t>опасных отходов</w:t>
      </w:r>
      <w:r w:rsidRPr="00F0736F">
        <w:rPr>
          <w:rFonts w:ascii="Times New Roman" w:eastAsia="Times New Roman" w:hAnsi="Times New Roman" w:cs="Times New Roman"/>
          <w:bCs/>
          <w:color w:val="000000" w:themeColor="text1"/>
          <w:spacing w:val="2"/>
          <w:lang w:eastAsia="ru-RU" w:bidi="ar-SA"/>
        </w:rPr>
        <w:t xml:space="preserve"> составило 126,9 млн. т., в 2018 году - </w:t>
      </w:r>
      <w:r w:rsidRPr="00F0736F">
        <w:rPr>
          <w:rFonts w:ascii="Times New Roman" w:eastAsia="Times New Roman" w:hAnsi="Times New Roman" w:cs="Times New Roman"/>
          <w:color w:val="000000" w:themeColor="text1"/>
          <w:lang w:eastAsia="ru-RU" w:bidi="ar-SA"/>
        </w:rPr>
        <w:t>149,96 млн. т.,</w:t>
      </w:r>
      <w:r w:rsidRPr="00F0736F">
        <w:rPr>
          <w:rFonts w:ascii="Times New Roman" w:eastAsia="Times New Roman" w:hAnsi="Times New Roman" w:cs="Times New Roman"/>
          <w:bCs/>
          <w:color w:val="000000" w:themeColor="text1"/>
          <w:spacing w:val="2"/>
          <w:lang w:eastAsia="ru-RU" w:bidi="ar-SA"/>
        </w:rPr>
        <w:t xml:space="preserve"> в 2019 году – 180,5 </w:t>
      </w:r>
      <w:r w:rsidRPr="00F0736F">
        <w:rPr>
          <w:rFonts w:ascii="Times New Roman" w:eastAsia="Times New Roman" w:hAnsi="Times New Roman" w:cs="Times New Roman"/>
          <w:color w:val="000000" w:themeColor="text1"/>
          <w:lang w:eastAsia="ru-RU" w:bidi="ar-SA"/>
        </w:rPr>
        <w:t xml:space="preserve">млн. т.. </w:t>
      </w:r>
    </w:p>
    <w:p w14:paraId="0435A825"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 </w:t>
      </w:r>
      <w:r w:rsidRPr="00F0736F">
        <w:rPr>
          <w:rFonts w:ascii="Times New Roman" w:eastAsia="Times New Roman" w:hAnsi="Times New Roman" w:cs="Times New Roman"/>
          <w:color w:val="000000" w:themeColor="text1"/>
        </w:rPr>
        <w:t xml:space="preserve">Доля </w:t>
      </w:r>
      <w:r w:rsidRPr="00F0736F">
        <w:rPr>
          <w:rFonts w:ascii="Times New Roman" w:eastAsia="Times New Roman" w:hAnsi="Times New Roman" w:cs="Times New Roman"/>
          <w:bCs/>
          <w:color w:val="000000" w:themeColor="text1"/>
        </w:rPr>
        <w:t xml:space="preserve">переработки и утилизации </w:t>
      </w:r>
      <w:r w:rsidRPr="00F0736F">
        <w:rPr>
          <w:rFonts w:ascii="Times New Roman" w:eastAsia="Times New Roman" w:hAnsi="Times New Roman" w:cs="Times New Roman"/>
          <w:color w:val="000000" w:themeColor="text1"/>
        </w:rPr>
        <w:t>ТБО к их образованию в 2019 году составила 14,9% (в 2018 году - 11,51%, в 2017 году — 9,05%).</w:t>
      </w:r>
      <w:r w:rsidRPr="00F0736F">
        <w:rPr>
          <w:rFonts w:ascii="Times New Roman" w:eastAsia="Calibri" w:hAnsi="Times New Roman" w:cs="Times New Roman"/>
          <w:color w:val="000000" w:themeColor="text1"/>
        </w:rPr>
        <w:t xml:space="preserve"> </w:t>
      </w:r>
    </w:p>
    <w:p w14:paraId="19804798"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Услугами по сбору и вывозу отходов в 2019 году обеспечены 72% населения страны, (в 2018 году – 72%, а в 2017 году – 68%).</w:t>
      </w:r>
    </w:p>
    <w:p w14:paraId="694755E0"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По итогам 2019 года по республике из действовавших 3292 полигонов и свалок  экологическим требованиям соответствовали 18,26%, в 2018 году из 3520 полигонов и свалок узаконены 623 (17,7%), а в 2017 году из 3817 – 611 (16%). </w:t>
      </w:r>
    </w:p>
    <w:p w14:paraId="70B67366" w14:textId="77777777" w:rsidR="00AC1D5B" w:rsidRPr="00F0736F" w:rsidRDefault="00AC1D5B" w:rsidP="00AC1D5B">
      <w:pPr>
        <w:pBdr>
          <w:top w:val="none" w:sz="0" w:space="0" w:color="000000"/>
          <w:left w:val="none" w:sz="0" w:space="0" w:color="000000"/>
          <w:bottom w:val="single" w:sz="4" w:space="9" w:color="FFFFFF"/>
          <w:right w:val="none" w:sz="0" w:space="0" w:color="000000"/>
        </w:pBdr>
        <w:ind w:firstLine="709"/>
        <w:contextualSpacing/>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2019 году наименьшая доля полигонов, соответствующих экологическим нормам отмечены в Западно-Казахстанской (0,96% от общего количества полигонов и свалок - 208) Павлодарской (1,49% от общего количества полигонов и свалок – 336), Кызылординской (2,76% от 145 полигонов и свалок), Актюбинской (3,28% от 366 полигонов и свалок), Северо-Казахстанской (7,71% от 458 полигонов и свалок) и Алматинской (4,15% от 313 полигонов и свалок) областях. Полигоны в Нур-Султане (1 полигон), Шымкенте (1 полигон) и Жамбылской области (162 полигона) соответствуют экологическим нормам. Совершенствуется обращение с медицинскими и радиоактивными отходами, а также с отходами, содержащими СОЗ. Внедрение расширенных обязательств производителей (импортеров) с 2016 года способствовало дальнейшему развитию инфраструктуры раздельного сбора и переработки ТБО. За 2016-2019 годы в рамках РОП в регионах установлены 2321 контейнер для сбора ртутных ламп, 8905 контейнеров для раздельного сбора, 150 контейнеров для электрооборудования, создано 104 пункта приема вторсырья. Таким образом, по итогам 2019 года по республике из 204 городов и районов раздельный сбор на разных этапах внедрен в 51, а сортировка – в 30 населенных пунктах. </w:t>
      </w:r>
    </w:p>
    <w:p w14:paraId="22760804" w14:textId="2682413C" w:rsidR="00AC1D5B" w:rsidRPr="00F0736F" w:rsidRDefault="00AC1D5B" w:rsidP="00AC1D5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8448D8">
        <w:rPr>
          <w:rFonts w:ascii="Times New Roman" w:eastAsia="Calibri" w:hAnsi="Times New Roman" w:cs="Times New Roman"/>
          <w:bCs/>
          <w:iCs/>
          <w:color w:val="000000" w:themeColor="text1"/>
          <w:kern w:val="0"/>
          <w:lang w:eastAsia="en-US" w:bidi="ar-SA"/>
        </w:rPr>
        <w:t>Концепция по переходу Республики Казахстан к «зеленой экономике» предусматривает достижение к 2030 году Европейского уровня по выбросам оксидов серы и</w:t>
      </w:r>
      <w:r w:rsidRPr="00F0736F">
        <w:rPr>
          <w:rFonts w:ascii="Times New Roman" w:eastAsia="Calibri" w:hAnsi="Times New Roman" w:cs="Times New Roman"/>
          <w:color w:val="000000" w:themeColor="text1"/>
          <w:kern w:val="0"/>
          <w:lang w:eastAsia="en-US" w:bidi="ar-SA"/>
        </w:rPr>
        <w:t xml:space="preserve"> азота в окружающую среду.</w:t>
      </w:r>
    </w:p>
    <w:p w14:paraId="251E53F3" w14:textId="77777777" w:rsidR="00AC1D5B" w:rsidRPr="00F0736F" w:rsidRDefault="00AC1D5B" w:rsidP="00AC1D5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По данным Комитета по статистике, в республике ежегодно увеличивается количество выбросов указанных загрязняющих веществ в атмосферу, так:</w:t>
      </w:r>
    </w:p>
    <w:p w14:paraId="17876A98" w14:textId="77777777" w:rsidR="00AC1D5B" w:rsidRPr="00F0736F" w:rsidRDefault="00AC1D5B" w:rsidP="00AC1D5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твердые вещества – с 475,7 тыс. т. в 2017 году до 507,7 тыс т. в 2019 году (увеличение на 7%);</w:t>
      </w:r>
    </w:p>
    <w:p w14:paraId="4111107A" w14:textId="77777777" w:rsidR="00AC1D5B" w:rsidRPr="00F0736F" w:rsidRDefault="00AC1D5B" w:rsidP="00AC1D5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сернистый ангидрид – с 786,4 тыс. т. в 2017 году до 885,7 тыс. т. в 2019 году (увеличение на 12%);</w:t>
      </w:r>
    </w:p>
    <w:p w14:paraId="46B1E832" w14:textId="77777777" w:rsidR="00AC1D5B" w:rsidRPr="00F0736F" w:rsidRDefault="00AC1D5B" w:rsidP="00AC1D5B">
      <w:pPr>
        <w:suppressAutoHyphens w:val="0"/>
        <w:overflowPunct/>
        <w:ind w:firstLine="709"/>
        <w:contextualSpacing/>
        <w:jc w:val="both"/>
        <w:rPr>
          <w:rFonts w:ascii="Times New Roman" w:eastAsia="Calibri" w:hAnsi="Times New Roman" w:cs="Times New Roman"/>
          <w:color w:val="000000" w:themeColor="text1"/>
          <w:kern w:val="0"/>
          <w:lang w:eastAsia="en-US" w:bidi="ar-SA"/>
        </w:rPr>
      </w:pPr>
      <w:r w:rsidRPr="00F0736F">
        <w:rPr>
          <w:rFonts w:ascii="Times New Roman" w:eastAsia="Calibri" w:hAnsi="Times New Roman" w:cs="Times New Roman"/>
          <w:color w:val="000000" w:themeColor="text1"/>
          <w:kern w:val="0"/>
          <w:lang w:eastAsia="en-US" w:bidi="ar-SA"/>
        </w:rPr>
        <w:t>окислы азота – 264,7 тыс. т. в 2017 году до 314 тыс т. в 2019году (увеличение на 18%).</w:t>
      </w:r>
    </w:p>
    <w:p w14:paraId="322591C5" w14:textId="77777777" w:rsidR="00AC1D5B" w:rsidRPr="00F0736F" w:rsidRDefault="00AC1D5B" w:rsidP="00AC1D5B">
      <w:pPr>
        <w:ind w:firstLine="709"/>
        <w:jc w:val="both"/>
        <w:rPr>
          <w:rFonts w:ascii="Times New Roman" w:hAnsi="Times New Roman" w:cs="Times New Roman"/>
          <w:color w:val="000000" w:themeColor="text1"/>
        </w:rPr>
      </w:pPr>
    </w:p>
    <w:p w14:paraId="6655F09B" w14:textId="77777777" w:rsidR="00AC1D5B" w:rsidRPr="00F0736F" w:rsidRDefault="00AC1D5B" w:rsidP="00AC1D5B">
      <w:pPr>
        <w:ind w:firstLine="709"/>
        <w:jc w:val="both"/>
        <w:rPr>
          <w:rFonts w:ascii="Times New Roman" w:eastAsia="Times New Roman" w:hAnsi="Times New Roman" w:cs="Times New Roman"/>
          <w:color w:val="000000" w:themeColor="text1"/>
          <w:lang w:eastAsia="ru-RU"/>
        </w:rPr>
      </w:pPr>
      <w:r w:rsidRPr="00F0736F">
        <w:rPr>
          <w:rFonts w:ascii="Times New Roman" w:eastAsia="Times New Roman" w:hAnsi="Times New Roman" w:cs="Times New Roman"/>
          <w:color w:val="000000" w:themeColor="text1"/>
          <w:lang w:eastAsia="ru-RU"/>
        </w:rPr>
        <w:t>Объем выданных лимитов (нормативных выбросов)</w:t>
      </w:r>
      <w:r w:rsidRPr="00F0736F">
        <w:rPr>
          <w:rFonts w:ascii="Times New Roman" w:eastAsia="Times New Roman" w:hAnsi="Times New Roman" w:cs="Times New Roman"/>
          <w:b/>
          <w:color w:val="000000" w:themeColor="text1"/>
          <w:lang w:eastAsia="ru-RU"/>
        </w:rPr>
        <w:t xml:space="preserve"> </w:t>
      </w:r>
      <w:r w:rsidRPr="00F0736F">
        <w:rPr>
          <w:rFonts w:ascii="Times New Roman" w:eastAsia="Times New Roman" w:hAnsi="Times New Roman" w:cs="Times New Roman"/>
          <w:color w:val="000000" w:themeColor="text1"/>
          <w:lang w:eastAsia="ru-RU"/>
        </w:rPr>
        <w:t>загрязняющих веществ в атмосферный воздух снизился с 4,5 млн. т. в 2016 году до 4,2 млн. т. в 2017 году и до 4,1 млн. т. в 2019 году. Объем фактических выбросов загрязняющих веществ в атмосферный воздух от стационарных источников в 2017 году составил 2352 тыс. т. и их уровень по сравнению с предыдущим годом увеличился на 4,2%, в 2018 году - 2516 тыс. т. (увеличился на 6,97%), в 2019 году - 2483,1 тыс. т. (уменьшился на 2,76%). При этом, на долю Карагандинской и Павлодарской областей приходится 52% от общего объема валовых эмиссий за 2019 год.</w:t>
      </w:r>
    </w:p>
    <w:p w14:paraId="09FC5370"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По статистическим данным, из общего объема выброшенных в атмосферный воздух загрязняющих веществ в 2017 году 79,8% составили газообразные и жидкие вещества, 20,2% - твердые. В 2018 году - 79,2% составили газообразные и жидкие вещества, 20,8% - твердые. В 2019 году - 79,6% составили газообразные и жидкие вещества, 20,4% - твердые.</w:t>
      </w:r>
    </w:p>
    <w:p w14:paraId="30199D18"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Объем сжигаемого попутного газа снизился с 4 млрд.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xml:space="preserve"> в 90-х годах до 900 млн. 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vertAlign w:val="superscript"/>
        </w:rPr>
        <w:t xml:space="preserve"> </w:t>
      </w:r>
    </w:p>
    <w:p w14:paraId="61AC7E67" w14:textId="77777777" w:rsidR="00AC1D5B" w:rsidRPr="00F0736F" w:rsidRDefault="00AC1D5B" w:rsidP="00AC1D5B">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С 2018 года в Казахстане запрещен ввоз автомобилей ниже стандарта Евро 4. С целью предотвращения выбросов от автомобильного транспорта введен стандарт Евро-5 для производителей моторного топлива, в результате чего выбросы транспорта должны сократиться более чем на 50%.</w:t>
      </w:r>
    </w:p>
    <w:p w14:paraId="317A29B5"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Несмотря на все принятые меры, количество зарегистрированных в Казахстане автомобилей возрастом более 10 лет за 2019 год выросло на 2,1%, до 2,6 млн (составляют 68% от общего числа зарегистированных автомобилей). Самая высокая концентрация старых легковых автомобилей наблюдается в Алматинской области — 79,4% от всех легковых автомобилей в регионе, следом идут Жамбылская (78,9%) и Павлодарская (78,2%) области.  </w:t>
      </w:r>
    </w:p>
    <w:p w14:paraId="369EDAFF" w14:textId="77777777" w:rsidR="00AC1D5B" w:rsidRPr="00F0736F" w:rsidRDefault="00AC1D5B" w:rsidP="00AC1D5B">
      <w:pPr>
        <w:ind w:firstLine="709"/>
        <w:jc w:val="both"/>
        <w:rPr>
          <w:rFonts w:ascii="Calibri" w:hAnsi="Calibri"/>
          <w:color w:val="000000" w:themeColor="text1"/>
        </w:rPr>
      </w:pPr>
      <w:r w:rsidRPr="00F0736F">
        <w:rPr>
          <w:rFonts w:ascii="Times New Roman" w:hAnsi="Times New Roman" w:cs="Times New Roman"/>
          <w:color w:val="000000" w:themeColor="text1"/>
        </w:rPr>
        <w:t xml:space="preserve">Проведенный мониторинг перевода общественного транспорта на </w:t>
      </w:r>
      <w:r w:rsidRPr="00F0736F">
        <w:rPr>
          <w:rFonts w:ascii="Times New Roman" w:hAnsi="Times New Roman" w:cs="Times New Roman"/>
          <w:b/>
          <w:bCs/>
          <w:color w:val="000000" w:themeColor="text1"/>
        </w:rPr>
        <w:t>газовое топливо</w:t>
      </w:r>
      <w:r w:rsidRPr="00F0736F">
        <w:rPr>
          <w:rFonts w:ascii="Times New Roman" w:hAnsi="Times New Roman" w:cs="Times New Roman"/>
          <w:color w:val="000000" w:themeColor="text1"/>
        </w:rPr>
        <w:t xml:space="preserve"> в крупных городах страны показал, что наиболее успешно данное мероприятие прошло г. Алматы, Южно-Казахстанская, Западно-Казахстанская, Мангистауская, Кызылординская, Жамбылская, Актюбинская области. </w:t>
      </w:r>
    </w:p>
    <w:p w14:paraId="0744451A" w14:textId="77777777" w:rsidR="00AC1D5B" w:rsidRPr="00F0736F" w:rsidRDefault="00AC1D5B" w:rsidP="00AC1D5B">
      <w:pPr>
        <w:ind w:firstLine="709"/>
        <w:jc w:val="both"/>
        <w:rPr>
          <w:rFonts w:ascii="Times New Roman" w:eastAsia="Times New Roman" w:hAnsi="Times New Roman" w:cs="Times New Roman"/>
          <w:color w:val="000000" w:themeColor="text1"/>
          <w:spacing w:val="2"/>
          <w:lang w:eastAsia="ru-RU"/>
        </w:rPr>
      </w:pPr>
      <w:r w:rsidRPr="00F0736F">
        <w:rPr>
          <w:rFonts w:ascii="Times New Roman" w:eastAsia="Times New Roman" w:hAnsi="Times New Roman" w:cs="Times New Roman"/>
          <w:color w:val="000000" w:themeColor="text1"/>
          <w:spacing w:val="2"/>
          <w:lang w:eastAsia="ru-RU"/>
        </w:rPr>
        <w:t xml:space="preserve">С 2018 года ведется разработка </w:t>
      </w:r>
      <w:r w:rsidRPr="00F0736F">
        <w:rPr>
          <w:rFonts w:ascii="Times New Roman" w:eastAsia="Times New Roman" w:hAnsi="Times New Roman" w:cs="Times New Roman"/>
          <w:bCs/>
          <w:color w:val="000000" w:themeColor="text1"/>
          <w:spacing w:val="2"/>
          <w:lang w:eastAsia="ru-RU"/>
        </w:rPr>
        <w:t>нового Экологического кодекса</w:t>
      </w:r>
      <w:r w:rsidRPr="00F0736F">
        <w:rPr>
          <w:rFonts w:ascii="Times New Roman" w:eastAsia="Times New Roman" w:hAnsi="Times New Roman" w:cs="Times New Roman"/>
          <w:color w:val="000000" w:themeColor="text1"/>
          <w:spacing w:val="2"/>
          <w:lang w:eastAsia="ru-RU"/>
        </w:rPr>
        <w:t>, принятие планируется в 2021 году. Основные направления реформ включают: внедрение природоохранных стандартов и экономических механизмов в области экологического регулирования; пересмотр действующей системы оценки воздействия на окружающую среду (ОВОС); внедрение стратегической экологической оценки (СЭО); улучшение регулирования реализации принципа «загрязнитель платит»; практическое внедрение комплексных экологических разрешений; усиление процедуры государственного экологического контроля.</w:t>
      </w:r>
    </w:p>
    <w:p w14:paraId="611BAF77" w14:textId="77777777" w:rsidR="00AC1D5B" w:rsidRPr="00F0736F" w:rsidRDefault="00AC1D5B" w:rsidP="00AC1D5B">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 xml:space="preserve">Казахстан является стороной Рамочной конвенции ООН об изменении климата (РКИК ООН), Киотского протокола к ней и Парижского соглашения, которое сменяет Киотский протокол с 2021 года. </w:t>
      </w:r>
    </w:p>
    <w:p w14:paraId="7E274AD5" w14:textId="77777777" w:rsidR="00AC1D5B" w:rsidRPr="00F0736F" w:rsidRDefault="00AC1D5B" w:rsidP="00AC1D5B">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В рамках Киотского протокола Казахстан принял обязательство к 2020 году удержать выбросы парниковых газов (ПГ) без учета эмиссий и поглощений в секторе ЗИЗЛХ</w:t>
      </w:r>
      <w:r w:rsidRPr="00F0736F">
        <w:rPr>
          <w:rFonts w:eastAsia="SimSun"/>
          <w:bCs/>
          <w:color w:val="000000" w:themeColor="text1"/>
          <w:vertAlign w:val="superscript"/>
        </w:rPr>
        <w:footnoteReference w:id="173"/>
      </w:r>
      <w:r w:rsidRPr="00F0736F">
        <w:rPr>
          <w:rFonts w:eastAsia="SimSun"/>
          <w:bCs/>
          <w:color w:val="000000" w:themeColor="text1"/>
        </w:rPr>
        <w:t xml:space="preserve"> </w:t>
      </w:r>
      <w:r w:rsidRPr="00F0736F">
        <w:rPr>
          <w:rFonts w:ascii="Times New Roman" w:hAnsi="Times New Roman" w:cs="Times New Roman"/>
          <w:bCs/>
          <w:iCs/>
          <w:color w:val="000000" w:themeColor="text1"/>
        </w:rPr>
        <w:t xml:space="preserve"> на уровне 95% от выбросов базового 1990 года.</w:t>
      </w:r>
    </w:p>
    <w:p w14:paraId="446ECF14" w14:textId="77777777" w:rsidR="00AC1D5B" w:rsidRPr="00F0736F" w:rsidRDefault="00AC1D5B" w:rsidP="00AC1D5B">
      <w:pPr>
        <w:ind w:firstLine="709"/>
        <w:jc w:val="both"/>
        <w:rPr>
          <w:rFonts w:ascii="Times New Roman" w:hAnsi="Times New Roman" w:cs="Times New Roman"/>
          <w:bCs/>
          <w:iCs/>
          <w:color w:val="000000" w:themeColor="text1"/>
        </w:rPr>
      </w:pPr>
      <w:r w:rsidRPr="00F0736F">
        <w:rPr>
          <w:rFonts w:ascii="Times New Roman" w:hAnsi="Times New Roman" w:cs="Times New Roman"/>
          <w:bCs/>
          <w:iCs/>
          <w:color w:val="000000" w:themeColor="text1"/>
        </w:rPr>
        <w:t>В рамках Парижского соглашения в 2015 году Казахстан представил Секретариату РКИК ООН свой предполагаемый ОНУВ (определяемый на национальном уровне вклад), выразив готовность к 2030 году сократить выбросы ПГ на 15% от уровня 1990 года, а при условии получения внешней помощи (в виде передачи новых технологий) и благоприятной экономической ситуации – довести показатель до «-25%».</w:t>
      </w:r>
    </w:p>
    <w:p w14:paraId="6A0B1C49"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Общие национальные выбросы парниковых газов в 1990 году без учета ЗИЗЛХ составили 401,9 млн. т.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 в 2018 году – 396,6 млн. т.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 (то есть были ниже уровня 1990 года на 1,3%). Нетто-эмиссии ПГ (с учетом ЗИЗЛХ) в 1990 году составили 386,3 млн. т.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 а в 2018 году – 401 885,9 тыс. т. СО</w:t>
      </w:r>
      <w:r w:rsidRPr="00F0736F">
        <w:rPr>
          <w:rFonts w:ascii="Times New Roman" w:hAnsi="Times New Roman" w:cs="Times New Roman"/>
          <w:color w:val="000000" w:themeColor="text1"/>
          <w:vertAlign w:val="subscript"/>
        </w:rPr>
        <w:t>2</w:t>
      </w:r>
      <w:r w:rsidRPr="00F0736F">
        <w:rPr>
          <w:rFonts w:ascii="Times New Roman" w:hAnsi="Times New Roman" w:cs="Times New Roman"/>
          <w:color w:val="000000" w:themeColor="text1"/>
        </w:rPr>
        <w:t>-экв -экв. (то есть уже превысили уровень 1990 года на 4,05%).</w:t>
      </w:r>
    </w:p>
    <w:p w14:paraId="47491D8C"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С 1 января 2018 года стартовал новый этап функционирования системы торговли квотами на выбросы парниковых газов. При разработке Национального плана на 2018 - 2020 годы, помимо исторического метода, использовался метод применения удельных коэффициентов выбросов парниковых газов. При этом метод квотирования выбирают сами предприятия.</w:t>
      </w:r>
    </w:p>
    <w:p w14:paraId="5AFF5574"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 xml:space="preserve">В рамках грантового проекта «Поддержка Зеленой экономики в Казахстане и Центральной Азии для низкоуглеродного развития экономики» Федерального министерства окружающей среды, охраны природы, строительства и безопасности ядерных реакторов Германии Министерство энергетики РК в сотрудничестве с проектом </w:t>
      </w:r>
      <w:r w:rsidRPr="00F0736F">
        <w:rPr>
          <w:rFonts w:ascii="Times New Roman" w:hAnsi="Times New Roman" w:cs="Times New Roman"/>
          <w:color w:val="000000" w:themeColor="text1"/>
          <w:lang w:val="en-US"/>
        </w:rPr>
        <w:t>GIZ</w:t>
      </w:r>
      <w:r w:rsidRPr="00F0736F">
        <w:rPr>
          <w:rFonts w:ascii="Times New Roman" w:hAnsi="Times New Roman" w:cs="Times New Roman"/>
          <w:color w:val="000000" w:themeColor="text1"/>
        </w:rPr>
        <w:t xml:space="preserve"> (Германское общество по международному сотрудничеству) запланировали разработку Стратегии низкоуглеродного развития Республики Казахстан до 2050 года. </w:t>
      </w:r>
    </w:p>
    <w:p w14:paraId="107E3BEE" w14:textId="77777777" w:rsidR="00AC1D5B" w:rsidRPr="00F0736F" w:rsidRDefault="00AC1D5B" w:rsidP="00AC1D5B">
      <w:pPr>
        <w:ind w:firstLine="709"/>
        <w:jc w:val="both"/>
        <w:rPr>
          <w:color w:val="000000" w:themeColor="text1"/>
        </w:rPr>
      </w:pPr>
      <w:r w:rsidRPr="00F0736F">
        <w:rPr>
          <w:rFonts w:ascii="Times New Roman" w:eastAsia="Calibri" w:hAnsi="Times New Roman" w:cs="Times New Roman"/>
          <w:color w:val="000000" w:themeColor="text1"/>
          <w:lang w:eastAsia="ru-RU"/>
        </w:rPr>
        <w:t>Концепцией по переходу Республики Казахстан к «зеленой экономике»</w:t>
      </w:r>
      <w:r w:rsidRPr="00F0736F">
        <w:rPr>
          <w:rFonts w:ascii="Times New Roman" w:eastAsia="Calibri" w:hAnsi="Times New Roman" w:cs="Times New Roman"/>
          <w:i/>
          <w:color w:val="000000" w:themeColor="text1"/>
          <w:lang w:eastAsia="ru-RU"/>
        </w:rPr>
        <w:t xml:space="preserve"> в качестве </w:t>
      </w:r>
      <w:r w:rsidRPr="00F0736F">
        <w:rPr>
          <w:rFonts w:ascii="Times New Roman" w:eastAsia="Calibri" w:hAnsi="Times New Roman" w:cs="Times New Roman"/>
          <w:color w:val="000000" w:themeColor="text1"/>
          <w:lang w:eastAsia="ru-RU"/>
        </w:rPr>
        <w:t>одной из основных ставится цель «Сохранение, рациональное использование и воспроизводство рыбных, лесных ресурсов, ресурсов животного мира, объектов природно-заповедного фонда».</w:t>
      </w:r>
      <w:r w:rsidRPr="00F0736F">
        <w:rPr>
          <w:rFonts w:ascii="Times New Roman" w:eastAsia="Calibri" w:hAnsi="Times New Roman" w:cs="Times New Roman"/>
          <w:b/>
          <w:bCs/>
          <w:color w:val="000000" w:themeColor="text1"/>
          <w:lang w:eastAsia="ru-RU"/>
        </w:rPr>
        <w:t xml:space="preserve"> </w:t>
      </w:r>
      <w:r w:rsidRPr="00F0736F">
        <w:rPr>
          <w:rFonts w:ascii="Times New Roman" w:eastAsia="Calibri" w:hAnsi="Times New Roman" w:cs="Times New Roman"/>
          <w:color w:val="000000" w:themeColor="text1"/>
          <w:lang w:eastAsia="ru-RU"/>
        </w:rPr>
        <w:t xml:space="preserve"> </w:t>
      </w:r>
    </w:p>
    <w:p w14:paraId="55CDC571"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Приоритетными направлениями лесного хозяйства являются: лесоустройство на территории государственного лесного фонда, авиационные работы по охране и защите лесного фонда, воспроизводство лесов и лесоразведение, искусственное разведение объектов растительного мира, лесохозяйственное проектирование. </w:t>
      </w:r>
    </w:p>
    <w:p w14:paraId="521C71CB" w14:textId="32F34086"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 xml:space="preserve">Основным целевым показателем в сфере лесного хозяйства является увеличение лесистости республики до </w:t>
      </w:r>
      <w:r w:rsidR="008C0CA5" w:rsidRPr="008C0CA5">
        <w:rPr>
          <w:rFonts w:ascii="Times New Roman" w:hAnsi="Times New Roman" w:cs="Times New Roman"/>
          <w:color w:val="000000" w:themeColor="text1"/>
        </w:rPr>
        <w:t>4.</w:t>
      </w:r>
      <w:r w:rsidR="008C0CA5" w:rsidRPr="00995BD5">
        <w:rPr>
          <w:rFonts w:ascii="Times New Roman" w:hAnsi="Times New Roman" w:cs="Times New Roman"/>
          <w:color w:val="000000" w:themeColor="text1"/>
        </w:rPr>
        <w:t>8</w:t>
      </w:r>
      <w:r w:rsidRPr="00F0736F">
        <w:rPr>
          <w:rFonts w:ascii="Times New Roman" w:hAnsi="Times New Roman" w:cs="Times New Roman"/>
          <w:color w:val="000000" w:themeColor="text1"/>
        </w:rPr>
        <w:t xml:space="preserve">%. </w:t>
      </w:r>
      <w:r w:rsidRPr="00F0736F">
        <w:rPr>
          <w:rFonts w:ascii="Times New Roman" w:hAnsi="Times New Roman" w:cs="Times New Roman"/>
          <w:color w:val="000000" w:themeColor="text1"/>
          <w:lang w:val="kk-KZ"/>
        </w:rPr>
        <w:t>По итогам 2019 года площадь лесного фонда составила 30,0 млн</w:t>
      </w:r>
      <w:r w:rsidRPr="00F0736F">
        <w:rPr>
          <w:rFonts w:ascii="Times New Roman" w:hAnsi="Times New Roman" w:cs="Times New Roman"/>
          <w:color w:val="000000" w:themeColor="text1"/>
        </w:rPr>
        <w:t>.</w:t>
      </w:r>
      <w:r w:rsidRPr="00F0736F">
        <w:rPr>
          <w:rFonts w:ascii="Times New Roman" w:hAnsi="Times New Roman" w:cs="Times New Roman"/>
          <w:color w:val="000000" w:themeColor="text1"/>
          <w:lang w:val="kk-KZ"/>
        </w:rPr>
        <w:t xml:space="preserve"> га (</w:t>
      </w:r>
      <w:r w:rsidRPr="00F0736F">
        <w:rPr>
          <w:rFonts w:ascii="Times New Roman" w:hAnsi="Times New Roman" w:cs="Times New Roman"/>
          <w:color w:val="000000" w:themeColor="text1"/>
        </w:rPr>
        <w:t>4,8% от территории страны</w:t>
      </w:r>
      <w:r w:rsidRPr="00F0736F">
        <w:rPr>
          <w:rFonts w:ascii="Times New Roman" w:hAnsi="Times New Roman" w:cs="Times New Roman"/>
          <w:color w:val="000000" w:themeColor="text1"/>
          <w:lang w:val="kk-KZ"/>
        </w:rPr>
        <w:t>), увеличившись по сравнению с 2010 годом на</w:t>
      </w:r>
      <w:r w:rsidRPr="00F0736F">
        <w:rPr>
          <w:rFonts w:ascii="Times New Roman" w:hAnsi="Times New Roman" w:cs="Times New Roman"/>
          <w:color w:val="000000" w:themeColor="text1"/>
        </w:rPr>
        <w:t xml:space="preserve"> 1,3 млн га. В 2017 году площадь лесного фонда составила 29,8 млн.га, а в 2018 году – 30,04 млн.га. </w:t>
      </w:r>
    </w:p>
    <w:p w14:paraId="2846483F" w14:textId="77777777" w:rsidR="00AC1D5B" w:rsidRPr="00F0736F" w:rsidRDefault="00AC1D5B" w:rsidP="00AC1D5B">
      <w:pPr>
        <w:ind w:firstLine="709"/>
        <w:jc w:val="both"/>
        <w:rPr>
          <w:rFonts w:ascii="Times New Roman" w:eastAsia="Calibri" w:hAnsi="Times New Roman" w:cs="Times New Roman"/>
          <w:color w:val="000000" w:themeColor="text1"/>
        </w:rPr>
      </w:pPr>
      <w:r w:rsidRPr="00F0736F">
        <w:rPr>
          <w:rFonts w:ascii="Times New Roman" w:eastAsia="Calibri" w:hAnsi="Times New Roman" w:cs="Times New Roman"/>
          <w:color w:val="000000" w:themeColor="text1"/>
        </w:rPr>
        <w:t xml:space="preserve">Наибольшие площади лесных земель сосредоточены в Кызылординской (6,7 млн. га), Алматинской (5,4 млн. га), Жамбылской (4,4 млн. га), Восточно-Казахстанской (3,8  млн. га) и Туркестанской (3,4 млн. га) областях. </w:t>
      </w:r>
      <w:r w:rsidRPr="00F0736F">
        <w:rPr>
          <w:rFonts w:ascii="Times New Roman" w:hAnsi="Times New Roman" w:cs="Times New Roman"/>
          <w:color w:val="000000" w:themeColor="text1"/>
        </w:rPr>
        <w:t>При этом позиции показателя лесистости территории несколько смещены. В частности, в Жамбылской области самая высокая лесистость территории – 15,9%, далее идут Туркестанская – 14,2%, Кызылординская – 13,9%, Алматинская – 9,4% области.</w:t>
      </w:r>
    </w:p>
    <w:p w14:paraId="2B4E6803" w14:textId="77777777" w:rsidR="00AC1D5B" w:rsidRPr="00F0736F" w:rsidRDefault="00AC1D5B" w:rsidP="00AC1D5B">
      <w:pPr>
        <w:ind w:firstLine="709"/>
        <w:jc w:val="both"/>
        <w:rPr>
          <w:rFonts w:ascii="Times New Roman" w:eastAsia="Calibri" w:hAnsi="Times New Roman" w:cs="Times New Roman"/>
          <w:color w:val="000000" w:themeColor="text1"/>
        </w:rPr>
      </w:pPr>
      <w:r w:rsidRPr="00F0736F">
        <w:rPr>
          <w:rFonts w:ascii="Times New Roman" w:hAnsi="Times New Roman" w:cs="Times New Roman"/>
          <w:color w:val="000000" w:themeColor="text1"/>
        </w:rPr>
        <w:t>В 2013-2018 годах в Казахстане в результате осуществления эффективных мер достигнуты стабилизация численности редких и находящихся под угрозой исчезновения видов диких копытных животных в ареалах их обитания (тугайный благородный олень, кулан, джейран, архар) и положительная динамика численности популяции сайгаков и охотничьих видов животных, к примеру в</w:t>
      </w:r>
      <w:r w:rsidRPr="00F0736F">
        <w:rPr>
          <w:rFonts w:ascii="Times New Roman" w:eastAsia="Calibri" w:hAnsi="Times New Roman" w:cs="Times New Roman"/>
          <w:color w:val="000000" w:themeColor="text1"/>
        </w:rPr>
        <w:t xml:space="preserve"> 2019 году по результатам авиаучета общая численность сайгаков в Казахстане составила 334 400 особей, в т.ч. уральская популяция 217 000 особей, бетпакдалинская 111 500 особей и устюртская 5 900 особей.</w:t>
      </w:r>
    </w:p>
    <w:p w14:paraId="79F90DBC" w14:textId="399CDFAD" w:rsidR="00AC1D5B" w:rsidRPr="00F0736F" w:rsidRDefault="00AC1D5B" w:rsidP="00AC1D5B">
      <w:pPr>
        <w:ind w:firstLine="567"/>
        <w:jc w:val="both"/>
        <w:rPr>
          <w:color w:val="000000" w:themeColor="text1"/>
        </w:rPr>
      </w:pPr>
      <w:r w:rsidRPr="00F0736F">
        <w:rPr>
          <w:rFonts w:ascii="Times New Roman" w:eastAsia="Calibri" w:hAnsi="Times New Roman" w:cs="Times New Roman"/>
          <w:color w:val="000000" w:themeColor="text1"/>
        </w:rPr>
        <w:t xml:space="preserve">В Казахстане создана обширная сеть особо охраняемых природных территорий, доля которых составляет </w:t>
      </w:r>
      <w:r w:rsidR="004B1ADF">
        <w:rPr>
          <w:rFonts w:ascii="Times New Roman" w:eastAsia="Calibri" w:hAnsi="Times New Roman" w:cs="Times New Roman"/>
          <w:color w:val="000000" w:themeColor="text1"/>
        </w:rPr>
        <w:t>10</w:t>
      </w:r>
      <w:r w:rsidRPr="00F0736F">
        <w:rPr>
          <w:rFonts w:ascii="Times New Roman" w:eastAsia="Calibri" w:hAnsi="Times New Roman" w:cs="Times New Roman"/>
          <w:color w:val="000000" w:themeColor="text1"/>
        </w:rPr>
        <w:t xml:space="preserve">%.  При этом ставится цель развития функциональной экологической сети (включая недавнее создание первых экологических коридоров, связывающих особо охраняемые природные территории).  </w:t>
      </w:r>
      <w:r w:rsidRPr="00F0736F">
        <w:rPr>
          <w:rFonts w:ascii="Times New Roman" w:hAnsi="Times New Roman" w:cs="Times New Roman"/>
          <w:color w:val="000000" w:themeColor="text1"/>
        </w:rPr>
        <w:t>В настоящее время в Казахстане имеется уже 10 особо охраняемых природных территорий Казахстана, имеющих международный статус биосферного резервата ЮНЕСКО: Коргалжынский заповедник (2012), Алакольский заповедник (2013), государственный природный резерват «Акжайык» (2014), Катон-Карагайский государственный национальный природный парк (2014), Аксу-Жабаглинский заповедник (2015), Барсакельмесский заповедник (2016), Каратауский заповедник (2017), Алтын-Эмельский государственный национальный природный парк (2017), Чарынский и Жонгарский национальные природные парки (2018). В 2017 году был создан первый в Азии трансграничный биосферный резерват Большой Алтай на основе двух национальных биосферных резерватов из Казахстана (Катон-Карагай БР) и России (Катунский БР).</w:t>
      </w:r>
    </w:p>
    <w:p w14:paraId="6290CC8C" w14:textId="77777777" w:rsidR="00AC1D5B" w:rsidRPr="00F0736F" w:rsidRDefault="00AC1D5B" w:rsidP="00AC1D5B">
      <w:pPr>
        <w:ind w:firstLine="567"/>
        <w:jc w:val="both"/>
        <w:rPr>
          <w:color w:val="000000" w:themeColor="text1"/>
        </w:rPr>
      </w:pPr>
      <w:r w:rsidRPr="00F0736F">
        <w:rPr>
          <w:rFonts w:ascii="Times New Roman" w:hAnsi="Times New Roman" w:cs="Times New Roman"/>
          <w:color w:val="000000" w:themeColor="text1"/>
        </w:rPr>
        <w:t xml:space="preserve">В 2019 году от Казахстана в ЮНЕСКО поданы заявки по включению ещё двух ООПТ во Всемирную сеть биосферных резерватов ЮНЕСКО – Западно-Алтайский и Алматинский заповедники (http://www.kazmab.kz).  </w:t>
      </w:r>
    </w:p>
    <w:p w14:paraId="6803FC63" w14:textId="77777777" w:rsidR="00AC1D5B" w:rsidRPr="00F0736F" w:rsidRDefault="00AC1D5B" w:rsidP="00AC1D5B">
      <w:pPr>
        <w:ind w:firstLine="709"/>
        <w:jc w:val="both"/>
        <w:rPr>
          <w:rFonts w:ascii="Times New Roman" w:hAnsi="Times New Roman" w:cs="Times New Roman"/>
          <w:color w:val="000000" w:themeColor="text1"/>
        </w:rPr>
      </w:pPr>
      <w:r w:rsidRPr="00F0736F">
        <w:rPr>
          <w:rFonts w:ascii="Times New Roman" w:eastAsia="Calibri" w:hAnsi="Times New Roman" w:cs="Times New Roman"/>
          <w:color w:val="000000" w:themeColor="text1"/>
        </w:rPr>
        <w:t xml:space="preserve"> Вместе с тем, существующая сеть особо охраняемых природных территорий не обеспечивает достаточный охват ни всех основных типов естественных экосистем, представленных в Казахстане, ни мест обитания всех важных находящихся под угрозой вымирания диких биологических видов.</w:t>
      </w:r>
    </w:p>
    <w:p w14:paraId="3116375D" w14:textId="77777777" w:rsidR="00AC1D5B" w:rsidRPr="008448D8" w:rsidRDefault="00AC1D5B" w:rsidP="00AC1D5B">
      <w:pPr>
        <w:ind w:firstLine="709"/>
        <w:jc w:val="both"/>
        <w:rPr>
          <w:rFonts w:ascii="Times New Roman" w:eastAsia="Calibri" w:hAnsi="Times New Roman" w:cs="Times New Roman"/>
          <w:color w:val="000000" w:themeColor="text1"/>
          <w:spacing w:val="2"/>
          <w:lang w:eastAsia="ru-RU"/>
        </w:rPr>
      </w:pPr>
      <w:r w:rsidRPr="008448D8">
        <w:rPr>
          <w:rFonts w:ascii="Times New Roman" w:eastAsia="Calibri" w:hAnsi="Times New Roman" w:cs="Times New Roman"/>
          <w:color w:val="000000" w:themeColor="text1"/>
          <w:spacing w:val="2"/>
          <w:lang w:eastAsia="ru-RU"/>
        </w:rPr>
        <w:t>В области сохранения рыбных ресурсов Концепция намечает сохранение рыбных ресурсов и других водных животных, в том числе: ценных видов, являющихся объектами рыболовства - 52 вида рыб, а также редких и находящихся под угрозой исчезновения видов - 18 видов рыб</w:t>
      </w:r>
      <w:r w:rsidRPr="008448D8">
        <w:rPr>
          <w:rFonts w:ascii="Times New Roman" w:eastAsia="Calibri" w:hAnsi="Times New Roman" w:cs="Times New Roman"/>
          <w:color w:val="000000" w:themeColor="text1"/>
          <w:spacing w:val="2"/>
          <w:vertAlign w:val="superscript"/>
          <w:lang w:eastAsia="ru-RU"/>
        </w:rPr>
        <w:footnoteReference w:id="174"/>
      </w:r>
      <w:r w:rsidRPr="008448D8">
        <w:rPr>
          <w:rFonts w:ascii="Times New Roman" w:eastAsia="Calibri" w:hAnsi="Times New Roman" w:cs="Times New Roman"/>
          <w:color w:val="000000" w:themeColor="text1"/>
          <w:spacing w:val="2"/>
          <w:lang w:eastAsia="ru-RU"/>
        </w:rPr>
        <w:t>.</w:t>
      </w:r>
    </w:p>
    <w:p w14:paraId="3C56A6CE" w14:textId="77777777" w:rsidR="00AC1D5B" w:rsidRPr="008448D8" w:rsidRDefault="00AC1D5B" w:rsidP="00AC1D5B">
      <w:pPr>
        <w:ind w:firstLine="709"/>
        <w:jc w:val="both"/>
        <w:rPr>
          <w:rFonts w:ascii="Trebuchet MS" w:hAnsi="Trebuchet MS" w:cs="Trebuchet MS"/>
          <w:color w:val="000000" w:themeColor="text1"/>
          <w:sz w:val="20"/>
        </w:rPr>
      </w:pPr>
      <w:r w:rsidRPr="008448D8">
        <w:rPr>
          <w:rFonts w:ascii="Times New Roman" w:hAnsi="Times New Roman" w:cs="Times New Roman"/>
          <w:color w:val="000000" w:themeColor="text1"/>
        </w:rPr>
        <w:t>В Казахстане динамично развивается рыбоводство – за последние 7 лет объем выращенной рыбы увеличился в 9 раз с 800 т. до более 7 тыс. т.. Выращиванием рыбы в стране занимаются 180 рыбоводных хозяйств, где занято более 1 тыс. человек.</w:t>
      </w:r>
    </w:p>
    <w:p w14:paraId="6349F344" w14:textId="77777777" w:rsidR="00AC1D5B" w:rsidRPr="00F0736F" w:rsidRDefault="00AC1D5B" w:rsidP="00AC1D5B">
      <w:pPr>
        <w:ind w:firstLine="709"/>
        <w:jc w:val="both"/>
        <w:rPr>
          <w:rFonts w:ascii="Times New Roman" w:eastAsia="Times New Roman" w:hAnsi="Times New Roman" w:cs="Times New Roman"/>
          <w:bCs/>
          <w:color w:val="000000" w:themeColor="text1"/>
          <w:lang w:eastAsia="ru-RU" w:bidi="ar-SA"/>
        </w:rPr>
      </w:pPr>
      <w:r w:rsidRPr="008448D8">
        <w:rPr>
          <w:rFonts w:ascii="Times New Roman" w:eastAsia="Times New Roman" w:hAnsi="Times New Roman" w:cs="Times New Roman"/>
          <w:color w:val="000000" w:themeColor="text1"/>
          <w:lang w:eastAsia="ru-RU" w:bidi="ar-SA"/>
        </w:rPr>
        <w:t>Основу рыбного хозяйства страны составляет рыбохозяйственный фонд водоемов, в состав которого входят акватории Каспийского</w:t>
      </w:r>
      <w:r w:rsidRPr="00F0736F">
        <w:rPr>
          <w:rFonts w:ascii="Times New Roman" w:eastAsia="Times New Roman" w:hAnsi="Times New Roman" w:cs="Times New Roman"/>
          <w:bCs/>
          <w:color w:val="000000" w:themeColor="text1"/>
          <w:lang w:eastAsia="ru-RU" w:bidi="ar-SA"/>
        </w:rPr>
        <w:t xml:space="preserve"> и Аральского морей, озера Балхаш, Зайсан, Бухтарминское, Капшагайское, Шардаринское водохранилища, Алакольская система озер и другие водоемы общей площадью свыше 3 млн. га и в которых обитают более 70 видов рыб, в том числе наиболее ценные в коммерческом отношении (осетровые, судак, сазан, белый амур, толстолобик и др.). Кроме того, в водоемах имеются интродуцированные виды рыб (пелядь, сиг и др.), также имеющие высокую коммерческую ценность.</w:t>
      </w:r>
    </w:p>
    <w:p w14:paraId="27066E04"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Промысловое рыболовство в РК осуществляют свыше 1 тыс. субъектов рыбного хозяйства, за которыми закреплено 1646 рыбохозяйственных водоемов и их участков. В отрасли занято 11 тыс. человек. Основными промысловыми регионами являются Атырауская – 13,1 тыс. т. (29,2%), Восточно-Казахстанская – 8,2 тыс. т. (18,3%), Кызылординская – 7,4 тыс. т. (16,4%), Алматинская – 6,6 тыс. т. (14,6%), Мангистауская – 2,3 тыс. т. (5,2%) и Туркестанская области – 2 тыс. т. (4,5%).</w:t>
      </w:r>
    </w:p>
    <w:p w14:paraId="3CB76206" w14:textId="77777777" w:rsidR="00AC1D5B" w:rsidRPr="00F0736F" w:rsidRDefault="00AC1D5B" w:rsidP="00AC1D5B">
      <w:pPr>
        <w:ind w:firstLine="709"/>
        <w:jc w:val="both"/>
        <w:rPr>
          <w:color w:val="000000" w:themeColor="text1"/>
        </w:rPr>
      </w:pPr>
      <w:r w:rsidRPr="00F0736F">
        <w:rPr>
          <w:rFonts w:ascii="Times New Roman" w:hAnsi="Times New Roman" w:cs="Times New Roman"/>
          <w:color w:val="000000" w:themeColor="text1"/>
        </w:rPr>
        <w:t>Выполнение целевых показателей Концепции по переходу к «зеленой экономике» намечается в строго установленные сроки и показывает не только положительные тренды продвижения Казахстана на пути к устойчивому развитию, но и необходимость ускорения движения в данном направлении и корректировки работы в соответствии с современными международными реалиями и новыми международными документами.</w:t>
      </w:r>
    </w:p>
    <w:p w14:paraId="62386076" w14:textId="77777777" w:rsidR="00AC1D5B" w:rsidRPr="00F0736F" w:rsidRDefault="00AC1D5B" w:rsidP="00AC1D5B">
      <w:pPr>
        <w:rPr>
          <w:color w:val="000000" w:themeColor="text1"/>
        </w:rPr>
      </w:pPr>
    </w:p>
    <w:p w14:paraId="723350DC" w14:textId="77777777" w:rsidR="00DD1B97" w:rsidRPr="00F0736F" w:rsidRDefault="00DD1B97" w:rsidP="00AC1D5B">
      <w:pPr>
        <w:jc w:val="both"/>
        <w:rPr>
          <w:rFonts w:ascii="Times New Roman" w:hAnsi="Times New Roman" w:cs="Times New Roman"/>
          <w:color w:val="000000" w:themeColor="text1"/>
        </w:rPr>
      </w:pPr>
    </w:p>
    <w:p w14:paraId="35B1FE3D" w14:textId="15079B29" w:rsidR="007272FB" w:rsidRDefault="007272FB">
      <w:pPr>
        <w:suppressAutoHyphens w:val="0"/>
        <w:overflowPunct/>
        <w:rPr>
          <w:rFonts w:ascii="Times New Roman" w:hAnsi="Times New Roman" w:cs="Times New Roman"/>
          <w:color w:val="000000" w:themeColor="text1"/>
        </w:rPr>
      </w:pPr>
      <w:r>
        <w:rPr>
          <w:rFonts w:ascii="Times New Roman" w:hAnsi="Times New Roman" w:cs="Times New Roman"/>
          <w:color w:val="000000" w:themeColor="text1"/>
        </w:rPr>
        <w:br w:type="page"/>
      </w:r>
    </w:p>
    <w:p w14:paraId="437FD27F" w14:textId="77777777" w:rsidR="00F674A4" w:rsidRPr="007272FB" w:rsidRDefault="00F674A4" w:rsidP="007272FB">
      <w:pPr>
        <w:pStyle w:val="1"/>
        <w:ind w:firstLine="709"/>
        <w:rPr>
          <w:rFonts w:ascii="Times New Roman" w:hAnsi="Times New Roman" w:cs="Times New Roman"/>
          <w:color w:val="000000" w:themeColor="text1"/>
          <w:sz w:val="24"/>
          <w:szCs w:val="24"/>
        </w:rPr>
      </w:pPr>
      <w:bookmarkStart w:id="64" w:name="_Toc57818753"/>
      <w:r w:rsidRPr="007272FB">
        <w:rPr>
          <w:rFonts w:ascii="Times New Roman" w:hAnsi="Times New Roman" w:cs="Times New Roman"/>
          <w:color w:val="000000" w:themeColor="text1"/>
          <w:sz w:val="24"/>
          <w:szCs w:val="24"/>
        </w:rPr>
        <w:t>Список сокращений</w:t>
      </w:r>
      <w:bookmarkEnd w:id="64"/>
    </w:p>
    <w:p w14:paraId="19BB3A24" w14:textId="77777777" w:rsidR="00F674A4" w:rsidRPr="00F0736F" w:rsidRDefault="00F674A4" w:rsidP="008727D9">
      <w:pPr>
        <w:ind w:firstLine="709"/>
        <w:jc w:val="both"/>
        <w:rPr>
          <w:rFonts w:ascii="Times New Roman" w:hAnsi="Times New Roman" w:cs="Times New Roman"/>
          <w:color w:val="000000" w:themeColor="text1"/>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tblCellMar>
        <w:tblLook w:val="0000" w:firstRow="0" w:lastRow="0" w:firstColumn="0" w:lastColumn="0" w:noHBand="0" w:noVBand="0"/>
      </w:tblPr>
      <w:tblGrid>
        <w:gridCol w:w="3110"/>
        <w:gridCol w:w="6521"/>
      </w:tblGrid>
      <w:tr w:rsidR="00F0736F" w:rsidRPr="008448D8" w14:paraId="77959DCE" w14:textId="77777777" w:rsidTr="00E53A31">
        <w:trPr>
          <w:trHeight w:val="300"/>
        </w:trPr>
        <w:tc>
          <w:tcPr>
            <w:tcW w:w="3110" w:type="dxa"/>
            <w:shd w:val="clear" w:color="auto" w:fill="FFFFFF"/>
          </w:tcPr>
          <w:p w14:paraId="3EB22F0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GIZ</w:t>
            </w:r>
          </w:p>
        </w:tc>
        <w:tc>
          <w:tcPr>
            <w:tcW w:w="6521" w:type="dxa"/>
            <w:shd w:val="clear" w:color="auto" w:fill="FFFFFF"/>
          </w:tcPr>
          <w:p w14:paraId="54C3D37F" w14:textId="77777777" w:rsidR="00F674A4" w:rsidRPr="00F0736F" w:rsidRDefault="00F674A4" w:rsidP="008727D9">
            <w:pPr>
              <w:ind w:firstLine="709"/>
              <w:jc w:val="both"/>
              <w:rPr>
                <w:color w:val="000000" w:themeColor="text1"/>
                <w:lang w:val="en-US"/>
              </w:rPr>
            </w:pPr>
            <w:r w:rsidRPr="00F0736F">
              <w:rPr>
                <w:rFonts w:ascii="Times New Roman" w:hAnsi="Times New Roman" w:cs="Times New Roman"/>
                <w:color w:val="000000" w:themeColor="text1"/>
                <w:lang w:val="en-US"/>
              </w:rPr>
              <w:t>Deutsche Gesellschaft fuer Internationale Zusammenarbeit  GmbH</w:t>
            </w:r>
          </w:p>
        </w:tc>
      </w:tr>
      <w:tr w:rsidR="00F0736F" w:rsidRPr="00F0736F" w14:paraId="320950DA" w14:textId="77777777" w:rsidTr="00E53A31">
        <w:trPr>
          <w:trHeight w:val="300"/>
        </w:trPr>
        <w:tc>
          <w:tcPr>
            <w:tcW w:w="3110" w:type="dxa"/>
            <w:shd w:val="clear" w:color="auto" w:fill="FFFFFF"/>
          </w:tcPr>
          <w:p w14:paraId="41D3CC8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АБР        </w:t>
            </w:r>
          </w:p>
        </w:tc>
        <w:tc>
          <w:tcPr>
            <w:tcW w:w="6521" w:type="dxa"/>
            <w:shd w:val="clear" w:color="auto" w:fill="FFFFFF"/>
          </w:tcPr>
          <w:p w14:paraId="755AA8C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Азиатский банк развития</w:t>
            </w:r>
          </w:p>
        </w:tc>
      </w:tr>
      <w:tr w:rsidR="00F0736F" w:rsidRPr="00F0736F" w14:paraId="3FB00761" w14:textId="77777777" w:rsidTr="00E53A31">
        <w:trPr>
          <w:trHeight w:val="300"/>
        </w:trPr>
        <w:tc>
          <w:tcPr>
            <w:tcW w:w="3110" w:type="dxa"/>
            <w:shd w:val="clear" w:color="auto" w:fill="FFFFFF"/>
          </w:tcPr>
          <w:p w14:paraId="2A6F998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АНПЗ</w:t>
            </w:r>
          </w:p>
        </w:tc>
        <w:tc>
          <w:tcPr>
            <w:tcW w:w="6521" w:type="dxa"/>
            <w:shd w:val="clear" w:color="auto" w:fill="FFFFFF"/>
          </w:tcPr>
          <w:p w14:paraId="1661C42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Атырауский нефтеперерабатывающий завод</w:t>
            </w:r>
          </w:p>
        </w:tc>
      </w:tr>
      <w:tr w:rsidR="00F0736F" w:rsidRPr="00F0736F" w14:paraId="253138BA" w14:textId="77777777" w:rsidTr="00E53A31">
        <w:trPr>
          <w:trHeight w:val="300"/>
        </w:trPr>
        <w:tc>
          <w:tcPr>
            <w:tcW w:w="3110" w:type="dxa"/>
            <w:shd w:val="clear" w:color="auto" w:fill="FFFFFF"/>
          </w:tcPr>
          <w:p w14:paraId="5F17F8F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АО</w:t>
            </w:r>
          </w:p>
        </w:tc>
        <w:tc>
          <w:tcPr>
            <w:tcW w:w="6521" w:type="dxa"/>
            <w:shd w:val="clear" w:color="auto" w:fill="FFFFFF"/>
          </w:tcPr>
          <w:p w14:paraId="35B6143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акционерное общество</w:t>
            </w:r>
          </w:p>
        </w:tc>
      </w:tr>
      <w:tr w:rsidR="00F0736F" w:rsidRPr="00F0736F" w14:paraId="60DDF2F4" w14:textId="77777777" w:rsidTr="00E53A31">
        <w:trPr>
          <w:trHeight w:val="300"/>
        </w:trPr>
        <w:tc>
          <w:tcPr>
            <w:tcW w:w="3110" w:type="dxa"/>
            <w:shd w:val="clear" w:color="auto" w:fill="FFFFFF"/>
          </w:tcPr>
          <w:p w14:paraId="6C59EF6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АПК</w:t>
            </w:r>
          </w:p>
        </w:tc>
        <w:tc>
          <w:tcPr>
            <w:tcW w:w="6521" w:type="dxa"/>
            <w:shd w:val="clear" w:color="auto" w:fill="FFFFFF"/>
          </w:tcPr>
          <w:p w14:paraId="5141B58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агропромышленный комплекс</w:t>
            </w:r>
          </w:p>
        </w:tc>
      </w:tr>
      <w:tr w:rsidR="00F0736F" w:rsidRPr="00F0736F" w14:paraId="6A8A87AF" w14:textId="77777777" w:rsidTr="00E53A31">
        <w:trPr>
          <w:trHeight w:val="300"/>
        </w:trPr>
        <w:tc>
          <w:tcPr>
            <w:tcW w:w="3110" w:type="dxa"/>
            <w:shd w:val="clear" w:color="auto" w:fill="FFFFFF"/>
          </w:tcPr>
          <w:p w14:paraId="3DBE5E9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БС</w:t>
            </w:r>
          </w:p>
        </w:tc>
        <w:tc>
          <w:tcPr>
            <w:tcW w:w="6521" w:type="dxa"/>
            <w:shd w:val="clear" w:color="auto" w:fill="FFFFFF"/>
          </w:tcPr>
          <w:p w14:paraId="4B3FD2E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Балтийская система</w:t>
            </w:r>
          </w:p>
        </w:tc>
      </w:tr>
      <w:tr w:rsidR="00F0736F" w:rsidRPr="00F0736F" w14:paraId="2121C73F" w14:textId="77777777" w:rsidTr="00E53A31">
        <w:tc>
          <w:tcPr>
            <w:tcW w:w="3110" w:type="dxa"/>
            <w:shd w:val="clear" w:color="auto" w:fill="FFFFFF"/>
          </w:tcPr>
          <w:p w14:paraId="5F84456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ВОЗ</w:t>
            </w:r>
          </w:p>
        </w:tc>
        <w:tc>
          <w:tcPr>
            <w:tcW w:w="6521" w:type="dxa"/>
            <w:shd w:val="clear" w:color="auto" w:fill="FFFFFF"/>
          </w:tcPr>
          <w:p w14:paraId="706656E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Всемирная организация здоровья</w:t>
            </w:r>
          </w:p>
        </w:tc>
      </w:tr>
      <w:tr w:rsidR="00F0736F" w:rsidRPr="00F0736F" w14:paraId="650C4660" w14:textId="77777777" w:rsidTr="00E53A31">
        <w:tc>
          <w:tcPr>
            <w:tcW w:w="3110" w:type="dxa"/>
            <w:shd w:val="clear" w:color="auto" w:fill="FFFFFF"/>
          </w:tcPr>
          <w:p w14:paraId="27E58D3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ВЭС</w:t>
            </w:r>
          </w:p>
        </w:tc>
        <w:tc>
          <w:tcPr>
            <w:tcW w:w="6521" w:type="dxa"/>
            <w:shd w:val="clear" w:color="auto" w:fill="FFFFFF"/>
          </w:tcPr>
          <w:p w14:paraId="2C6620F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ветряная электростанция</w:t>
            </w:r>
          </w:p>
        </w:tc>
      </w:tr>
      <w:tr w:rsidR="00F0736F" w:rsidRPr="00F0736F" w14:paraId="27BE5EDE" w14:textId="77777777" w:rsidTr="00E53A31">
        <w:tc>
          <w:tcPr>
            <w:tcW w:w="3110" w:type="dxa"/>
            <w:shd w:val="clear" w:color="auto" w:fill="FFFFFF"/>
          </w:tcPr>
          <w:p w14:paraId="22F4C11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ЕАЭС</w:t>
            </w:r>
          </w:p>
        </w:tc>
        <w:tc>
          <w:tcPr>
            <w:tcW w:w="6521" w:type="dxa"/>
            <w:shd w:val="clear" w:color="auto" w:fill="FFFFFF"/>
          </w:tcPr>
          <w:p w14:paraId="22A1797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Евразийский экономический союз</w:t>
            </w:r>
          </w:p>
        </w:tc>
      </w:tr>
      <w:tr w:rsidR="00F0736F" w:rsidRPr="00F0736F" w14:paraId="760E8972" w14:textId="77777777" w:rsidTr="00E53A31">
        <w:tc>
          <w:tcPr>
            <w:tcW w:w="3110" w:type="dxa"/>
            <w:shd w:val="clear" w:color="auto" w:fill="FFFFFF"/>
          </w:tcPr>
          <w:p w14:paraId="4D4A35C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ЕБРР</w:t>
            </w:r>
          </w:p>
        </w:tc>
        <w:tc>
          <w:tcPr>
            <w:tcW w:w="6521" w:type="dxa"/>
            <w:shd w:val="clear" w:color="auto" w:fill="FFFFFF"/>
          </w:tcPr>
          <w:p w14:paraId="32FEDA6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Евразийский банк развития и реконструкции</w:t>
            </w:r>
          </w:p>
        </w:tc>
      </w:tr>
      <w:tr w:rsidR="00F0736F" w:rsidRPr="00F0736F" w14:paraId="5113EF10" w14:textId="77777777" w:rsidTr="00E53A31">
        <w:tc>
          <w:tcPr>
            <w:tcW w:w="3110" w:type="dxa"/>
            <w:shd w:val="clear" w:color="auto" w:fill="FFFFFF"/>
          </w:tcPr>
          <w:p w14:paraId="26BBD24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ЕС</w:t>
            </w:r>
          </w:p>
        </w:tc>
        <w:tc>
          <w:tcPr>
            <w:tcW w:w="6521" w:type="dxa"/>
            <w:shd w:val="clear" w:color="auto" w:fill="FFFFFF"/>
          </w:tcPr>
          <w:p w14:paraId="0E7F9F6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Европейский Союз</w:t>
            </w:r>
          </w:p>
        </w:tc>
      </w:tr>
      <w:tr w:rsidR="00F0736F" w:rsidRPr="00F0736F" w14:paraId="7EDE5EA9" w14:textId="77777777" w:rsidTr="00E53A31">
        <w:tc>
          <w:tcPr>
            <w:tcW w:w="3110" w:type="dxa"/>
            <w:shd w:val="clear" w:color="auto" w:fill="FFFFFF"/>
          </w:tcPr>
          <w:p w14:paraId="04C72A2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ЕЭК ООН</w:t>
            </w:r>
          </w:p>
        </w:tc>
        <w:tc>
          <w:tcPr>
            <w:tcW w:w="6521" w:type="dxa"/>
            <w:shd w:val="clear" w:color="auto" w:fill="FFFFFF"/>
          </w:tcPr>
          <w:p w14:paraId="67A9F9B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Европейская экономическая комиссия ООН</w:t>
            </w:r>
          </w:p>
        </w:tc>
      </w:tr>
      <w:tr w:rsidR="00F0736F" w:rsidRPr="00F0736F" w14:paraId="5D50ADF9" w14:textId="77777777" w:rsidTr="00E53A31">
        <w:tc>
          <w:tcPr>
            <w:tcW w:w="3110" w:type="dxa"/>
            <w:shd w:val="clear" w:color="auto" w:fill="FFFFFF"/>
          </w:tcPr>
          <w:p w14:paraId="33E2708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ЕЭС</w:t>
            </w:r>
          </w:p>
        </w:tc>
        <w:tc>
          <w:tcPr>
            <w:tcW w:w="6521" w:type="dxa"/>
            <w:shd w:val="clear" w:color="auto" w:fill="FFFFFF"/>
          </w:tcPr>
          <w:p w14:paraId="1103E40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Единая энергетическая система</w:t>
            </w:r>
          </w:p>
        </w:tc>
      </w:tr>
      <w:tr w:rsidR="00F0736F" w:rsidRPr="00F0736F" w14:paraId="0B3CF2B6" w14:textId="77777777" w:rsidTr="00E53A31">
        <w:tc>
          <w:tcPr>
            <w:tcW w:w="3110" w:type="dxa"/>
            <w:shd w:val="clear" w:color="auto" w:fill="FFFFFF"/>
          </w:tcPr>
          <w:p w14:paraId="7B2F0ED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ВВП</w:t>
            </w:r>
          </w:p>
        </w:tc>
        <w:tc>
          <w:tcPr>
            <w:tcW w:w="6521" w:type="dxa"/>
            <w:shd w:val="clear" w:color="auto" w:fill="FFFFFF"/>
          </w:tcPr>
          <w:p w14:paraId="5758F85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lang w:val="kk-KZ"/>
              </w:rPr>
              <w:t xml:space="preserve">валовый </w:t>
            </w:r>
            <w:r w:rsidRPr="00F0736F">
              <w:rPr>
                <w:rFonts w:ascii="Times New Roman" w:hAnsi="Times New Roman" w:cs="Times New Roman"/>
                <w:color w:val="000000" w:themeColor="text1"/>
              </w:rPr>
              <w:t>в</w:t>
            </w:r>
            <w:r w:rsidRPr="00F0736F">
              <w:rPr>
                <w:rFonts w:ascii="Times New Roman" w:hAnsi="Times New Roman" w:cs="Times New Roman"/>
                <w:color w:val="000000" w:themeColor="text1"/>
                <w:lang w:val="kk-KZ"/>
              </w:rPr>
              <w:t xml:space="preserve">нутренний </w:t>
            </w:r>
            <w:r w:rsidRPr="00F0736F">
              <w:rPr>
                <w:rFonts w:ascii="Times New Roman" w:hAnsi="Times New Roman" w:cs="Times New Roman"/>
                <w:color w:val="000000" w:themeColor="text1"/>
              </w:rPr>
              <w:t>п</w:t>
            </w:r>
            <w:r w:rsidRPr="00F0736F">
              <w:rPr>
                <w:rFonts w:ascii="Times New Roman" w:hAnsi="Times New Roman" w:cs="Times New Roman"/>
                <w:color w:val="000000" w:themeColor="text1"/>
                <w:lang w:val="kk-KZ"/>
              </w:rPr>
              <w:t xml:space="preserve">родукт </w:t>
            </w:r>
          </w:p>
        </w:tc>
      </w:tr>
      <w:tr w:rsidR="00F0736F" w:rsidRPr="00F0736F" w14:paraId="057A11F6" w14:textId="77777777" w:rsidTr="00E53A31">
        <w:tc>
          <w:tcPr>
            <w:tcW w:w="3110" w:type="dxa"/>
            <w:shd w:val="clear" w:color="auto" w:fill="FFFFFF"/>
          </w:tcPr>
          <w:p w14:paraId="3C37EB5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ВРП</w:t>
            </w:r>
          </w:p>
        </w:tc>
        <w:tc>
          <w:tcPr>
            <w:tcW w:w="6521" w:type="dxa"/>
            <w:shd w:val="clear" w:color="auto" w:fill="FFFFFF"/>
          </w:tcPr>
          <w:p w14:paraId="484B229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валовый региональный продукт</w:t>
            </w:r>
          </w:p>
        </w:tc>
      </w:tr>
      <w:tr w:rsidR="00F0736F" w:rsidRPr="00F0736F" w14:paraId="12B23417" w14:textId="77777777" w:rsidTr="00E53A31">
        <w:tc>
          <w:tcPr>
            <w:tcW w:w="3110" w:type="dxa"/>
            <w:shd w:val="clear" w:color="auto" w:fill="FFFFFF"/>
          </w:tcPr>
          <w:p w14:paraId="370FB27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ВБ</w:t>
            </w:r>
          </w:p>
        </w:tc>
        <w:tc>
          <w:tcPr>
            <w:tcW w:w="6521" w:type="dxa"/>
            <w:shd w:val="clear" w:color="auto" w:fill="FFFFFF"/>
          </w:tcPr>
          <w:p w14:paraId="703DECC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Всемирный банк</w:t>
            </w:r>
          </w:p>
        </w:tc>
      </w:tr>
      <w:tr w:rsidR="00F0736F" w:rsidRPr="00F0736F" w14:paraId="38B80616" w14:textId="77777777" w:rsidTr="00E53A31">
        <w:tc>
          <w:tcPr>
            <w:tcW w:w="3110" w:type="dxa"/>
            <w:shd w:val="clear" w:color="auto" w:fill="FFFFFF"/>
          </w:tcPr>
          <w:p w14:paraId="5985121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ВИЭ</w:t>
            </w:r>
          </w:p>
        </w:tc>
        <w:tc>
          <w:tcPr>
            <w:tcW w:w="6521" w:type="dxa"/>
            <w:shd w:val="clear" w:color="auto" w:fill="FFFFFF"/>
          </w:tcPr>
          <w:p w14:paraId="611333D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возобновляемые источники энергии</w:t>
            </w:r>
          </w:p>
        </w:tc>
      </w:tr>
      <w:tr w:rsidR="00F0736F" w:rsidRPr="00F0736F" w14:paraId="50753AE7" w14:textId="77777777" w:rsidTr="00E53A31">
        <w:tc>
          <w:tcPr>
            <w:tcW w:w="3110" w:type="dxa"/>
            <w:shd w:val="clear" w:color="auto" w:fill="FFFFFF"/>
          </w:tcPr>
          <w:p w14:paraId="06CE4B1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ВКО</w:t>
            </w:r>
          </w:p>
        </w:tc>
        <w:tc>
          <w:tcPr>
            <w:tcW w:w="6521" w:type="dxa"/>
            <w:shd w:val="clear" w:color="auto" w:fill="FFFFFF"/>
          </w:tcPr>
          <w:p w14:paraId="3322932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Восточно-Казахстанская область</w:t>
            </w:r>
          </w:p>
        </w:tc>
      </w:tr>
      <w:tr w:rsidR="00F0736F" w:rsidRPr="00F0736F" w14:paraId="28F96925" w14:textId="77777777" w:rsidTr="00E53A31">
        <w:tc>
          <w:tcPr>
            <w:tcW w:w="3110" w:type="dxa"/>
            <w:shd w:val="clear" w:color="auto" w:fill="FFFFFF"/>
          </w:tcPr>
          <w:p w14:paraId="3C619F0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ВЭТС</w:t>
            </w:r>
          </w:p>
        </w:tc>
        <w:tc>
          <w:tcPr>
            <w:tcW w:w="6521" w:type="dxa"/>
            <w:shd w:val="clear" w:color="auto" w:fill="FFFFFF"/>
          </w:tcPr>
          <w:p w14:paraId="081F046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вышедшие из эксплуатации транспортные средства</w:t>
            </w:r>
          </w:p>
        </w:tc>
      </w:tr>
      <w:tr w:rsidR="00F0736F" w:rsidRPr="00F0736F" w14:paraId="1A212F0A" w14:textId="77777777" w:rsidTr="00E53A31">
        <w:tc>
          <w:tcPr>
            <w:tcW w:w="3110" w:type="dxa"/>
            <w:shd w:val="clear" w:color="auto" w:fill="FFFFFF"/>
          </w:tcPr>
          <w:p w14:paraId="034375F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ГЛФ</w:t>
            </w:r>
          </w:p>
        </w:tc>
        <w:tc>
          <w:tcPr>
            <w:tcW w:w="6521" w:type="dxa"/>
            <w:shd w:val="clear" w:color="auto" w:fill="FFFFFF"/>
          </w:tcPr>
          <w:p w14:paraId="4E11C0E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Государственный лесной фонд</w:t>
            </w:r>
          </w:p>
        </w:tc>
      </w:tr>
      <w:tr w:rsidR="00F0736F" w:rsidRPr="00F0736F" w14:paraId="5B900273" w14:textId="77777777" w:rsidTr="00E53A31">
        <w:tc>
          <w:tcPr>
            <w:tcW w:w="3110" w:type="dxa"/>
            <w:shd w:val="clear" w:color="auto" w:fill="FFFFFF"/>
          </w:tcPr>
          <w:p w14:paraId="06165F1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ГТС</w:t>
            </w:r>
          </w:p>
        </w:tc>
        <w:tc>
          <w:tcPr>
            <w:tcW w:w="6521" w:type="dxa"/>
            <w:shd w:val="clear" w:color="auto" w:fill="FFFFFF"/>
          </w:tcPr>
          <w:p w14:paraId="2349A6C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гидротехнические сооружения</w:t>
            </w:r>
          </w:p>
        </w:tc>
      </w:tr>
      <w:tr w:rsidR="00F0736F" w:rsidRPr="00F0736F" w14:paraId="4B8474C5" w14:textId="77777777" w:rsidTr="00E53A31">
        <w:tc>
          <w:tcPr>
            <w:tcW w:w="3110" w:type="dxa"/>
            <w:shd w:val="clear" w:color="auto" w:fill="FFFFFF"/>
          </w:tcPr>
          <w:p w14:paraId="3EBACDA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ГЧП</w:t>
            </w:r>
          </w:p>
        </w:tc>
        <w:tc>
          <w:tcPr>
            <w:tcW w:w="6521" w:type="dxa"/>
            <w:shd w:val="clear" w:color="auto" w:fill="FFFFFF"/>
          </w:tcPr>
          <w:p w14:paraId="1F70F56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государственно-частное партнерство</w:t>
            </w:r>
          </w:p>
        </w:tc>
      </w:tr>
      <w:tr w:rsidR="00F0736F" w:rsidRPr="00F0736F" w14:paraId="01C766B7" w14:textId="77777777" w:rsidTr="00E53A31">
        <w:tc>
          <w:tcPr>
            <w:tcW w:w="3110" w:type="dxa"/>
            <w:shd w:val="clear" w:color="auto" w:fill="FFFFFF"/>
          </w:tcPr>
          <w:p w14:paraId="3380946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ГЭР </w:t>
            </w:r>
          </w:p>
        </w:tc>
        <w:tc>
          <w:tcPr>
            <w:tcW w:w="6521" w:type="dxa"/>
            <w:shd w:val="clear" w:color="auto" w:fill="FFFFFF"/>
          </w:tcPr>
          <w:p w14:paraId="66CA811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Государственный энергетический реестр</w:t>
            </w:r>
          </w:p>
        </w:tc>
      </w:tr>
      <w:tr w:rsidR="00F0736F" w:rsidRPr="00F0736F" w14:paraId="5733670D" w14:textId="77777777" w:rsidTr="00E53A31">
        <w:tc>
          <w:tcPr>
            <w:tcW w:w="3110" w:type="dxa"/>
            <w:shd w:val="clear" w:color="auto" w:fill="FFFFFF"/>
          </w:tcPr>
          <w:p w14:paraId="59BC2A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ГЭС</w:t>
            </w:r>
          </w:p>
        </w:tc>
        <w:tc>
          <w:tcPr>
            <w:tcW w:w="6521" w:type="dxa"/>
            <w:shd w:val="clear" w:color="auto" w:fill="FFFFFF"/>
          </w:tcPr>
          <w:p w14:paraId="22BD675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гидроэлектростанция</w:t>
            </w:r>
          </w:p>
        </w:tc>
      </w:tr>
      <w:tr w:rsidR="00F0736F" w:rsidRPr="00F0736F" w14:paraId="16C91B31" w14:textId="77777777" w:rsidTr="00E53A31">
        <w:tc>
          <w:tcPr>
            <w:tcW w:w="3110" w:type="dxa"/>
            <w:shd w:val="clear" w:color="auto" w:fill="FFFFFF"/>
          </w:tcPr>
          <w:p w14:paraId="6A0538C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ЖКХ</w:t>
            </w:r>
          </w:p>
        </w:tc>
        <w:tc>
          <w:tcPr>
            <w:tcW w:w="6521" w:type="dxa"/>
            <w:shd w:val="clear" w:color="auto" w:fill="FFFFFF"/>
          </w:tcPr>
          <w:p w14:paraId="655F5EE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жилищно-коммунальное хозяйство</w:t>
            </w:r>
          </w:p>
        </w:tc>
      </w:tr>
      <w:tr w:rsidR="00F0736F" w:rsidRPr="00F0736F" w14:paraId="334253D2" w14:textId="77777777" w:rsidTr="00E53A31">
        <w:tc>
          <w:tcPr>
            <w:tcW w:w="3110" w:type="dxa"/>
            <w:shd w:val="clear" w:color="auto" w:fill="FFFFFF"/>
          </w:tcPr>
          <w:p w14:paraId="3C24D4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ЗИЗЛХ</w:t>
            </w:r>
          </w:p>
        </w:tc>
        <w:tc>
          <w:tcPr>
            <w:tcW w:w="6521" w:type="dxa"/>
            <w:shd w:val="clear" w:color="auto" w:fill="FFFFFF"/>
          </w:tcPr>
          <w:p w14:paraId="6BFF112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землепользование, изменения в землепользовании и лесное хозяйство</w:t>
            </w:r>
          </w:p>
        </w:tc>
      </w:tr>
      <w:tr w:rsidR="00F0736F" w:rsidRPr="00F0736F" w14:paraId="259F6689" w14:textId="77777777" w:rsidTr="00E53A31">
        <w:tc>
          <w:tcPr>
            <w:tcW w:w="3110" w:type="dxa"/>
            <w:shd w:val="clear" w:color="auto" w:fill="FFFFFF"/>
          </w:tcPr>
          <w:p w14:paraId="129677E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ЗКО</w:t>
            </w:r>
          </w:p>
        </w:tc>
        <w:tc>
          <w:tcPr>
            <w:tcW w:w="6521" w:type="dxa"/>
            <w:shd w:val="clear" w:color="auto" w:fill="FFFFFF"/>
          </w:tcPr>
          <w:p w14:paraId="3183BAB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Западно-Казахстанская область</w:t>
            </w:r>
          </w:p>
        </w:tc>
      </w:tr>
      <w:tr w:rsidR="00F0736F" w:rsidRPr="00F0736F" w14:paraId="42A82621" w14:textId="77777777" w:rsidTr="00E53A31">
        <w:tc>
          <w:tcPr>
            <w:tcW w:w="3110" w:type="dxa"/>
            <w:shd w:val="clear" w:color="auto" w:fill="FFFFFF"/>
          </w:tcPr>
          <w:p w14:paraId="6F2D5DF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ИЗА</w:t>
            </w:r>
          </w:p>
        </w:tc>
        <w:tc>
          <w:tcPr>
            <w:tcW w:w="6521" w:type="dxa"/>
            <w:shd w:val="clear" w:color="auto" w:fill="FFFFFF"/>
          </w:tcPr>
          <w:p w14:paraId="3A7C03B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Индекс загрязнения атмосферы</w:t>
            </w:r>
          </w:p>
        </w:tc>
      </w:tr>
      <w:tr w:rsidR="00F0736F" w:rsidRPr="00F0736F" w14:paraId="2DD7BD9E" w14:textId="77777777" w:rsidTr="00E53A31">
        <w:tc>
          <w:tcPr>
            <w:tcW w:w="3110" w:type="dxa"/>
            <w:shd w:val="clear" w:color="auto" w:fill="FFFFFF"/>
          </w:tcPr>
          <w:p w14:paraId="47CB89D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КНР</w:t>
            </w:r>
          </w:p>
        </w:tc>
        <w:tc>
          <w:tcPr>
            <w:tcW w:w="6521" w:type="dxa"/>
            <w:shd w:val="clear" w:color="auto" w:fill="FFFFFF"/>
          </w:tcPr>
          <w:p w14:paraId="6674E73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Китайская народная республика</w:t>
            </w:r>
          </w:p>
        </w:tc>
      </w:tr>
      <w:tr w:rsidR="00F0736F" w:rsidRPr="00F0736F" w14:paraId="7ED36332" w14:textId="77777777" w:rsidTr="00E53A31">
        <w:tc>
          <w:tcPr>
            <w:tcW w:w="3110" w:type="dxa"/>
            <w:shd w:val="clear" w:color="auto" w:fill="FFFFFF"/>
          </w:tcPr>
          <w:p w14:paraId="4892218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МБРР</w:t>
            </w:r>
          </w:p>
        </w:tc>
        <w:tc>
          <w:tcPr>
            <w:tcW w:w="6521" w:type="dxa"/>
            <w:shd w:val="clear" w:color="auto" w:fill="FFFFFF"/>
          </w:tcPr>
          <w:p w14:paraId="291DFF2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Международный банк реконструкции и развития </w:t>
            </w:r>
          </w:p>
        </w:tc>
      </w:tr>
      <w:tr w:rsidR="00F0736F" w:rsidRPr="00F0736F" w14:paraId="404A2FD1" w14:textId="77777777" w:rsidTr="00E53A31">
        <w:tc>
          <w:tcPr>
            <w:tcW w:w="3110" w:type="dxa"/>
            <w:shd w:val="clear" w:color="auto" w:fill="FFFFFF"/>
          </w:tcPr>
          <w:p w14:paraId="0E916D0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МИД</w:t>
            </w:r>
          </w:p>
        </w:tc>
        <w:tc>
          <w:tcPr>
            <w:tcW w:w="6521" w:type="dxa"/>
            <w:shd w:val="clear" w:color="auto" w:fill="FFFFFF"/>
          </w:tcPr>
          <w:p w14:paraId="7C11572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иностранных дел</w:t>
            </w:r>
          </w:p>
        </w:tc>
      </w:tr>
      <w:tr w:rsidR="00F0736F" w:rsidRPr="00F0736F" w14:paraId="48507658" w14:textId="77777777" w:rsidTr="00E53A31">
        <w:tc>
          <w:tcPr>
            <w:tcW w:w="3110" w:type="dxa"/>
            <w:shd w:val="clear" w:color="auto" w:fill="FFFFFF"/>
          </w:tcPr>
          <w:p w14:paraId="7919301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МИИР</w:t>
            </w:r>
          </w:p>
        </w:tc>
        <w:tc>
          <w:tcPr>
            <w:tcW w:w="6521" w:type="dxa"/>
            <w:shd w:val="clear" w:color="auto" w:fill="FFFFFF"/>
          </w:tcPr>
          <w:p w14:paraId="5656503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по инвестициям и развитию</w:t>
            </w:r>
          </w:p>
        </w:tc>
      </w:tr>
      <w:tr w:rsidR="00F0736F" w:rsidRPr="00F0736F" w14:paraId="79314CB1" w14:textId="77777777" w:rsidTr="00E53A31">
        <w:tc>
          <w:tcPr>
            <w:tcW w:w="3110" w:type="dxa"/>
            <w:shd w:val="clear" w:color="auto" w:fill="FFFFFF"/>
          </w:tcPr>
          <w:p w14:paraId="351C4E26" w14:textId="735820ED" w:rsidR="00E53A31" w:rsidRPr="00F0736F" w:rsidRDefault="00E53A31" w:rsidP="008727D9">
            <w:pPr>
              <w:ind w:firstLine="709"/>
              <w:jc w:val="both"/>
              <w:rPr>
                <w:rFonts w:ascii="Times New Roman" w:hAnsi="Times New Roman" w:cs="Times New Roman"/>
                <w:color w:val="000000" w:themeColor="text1"/>
              </w:rPr>
            </w:pPr>
            <w:r w:rsidRPr="00F0736F">
              <w:rPr>
                <w:rFonts w:ascii="Times New Roman" w:eastAsia="Calibri" w:hAnsi="Times New Roman" w:cs="Times New Roman"/>
                <w:bCs/>
                <w:color w:val="000000" w:themeColor="text1"/>
                <w:spacing w:val="2"/>
                <w:lang w:eastAsia="ru-RU"/>
              </w:rPr>
              <w:t>МКВК</w:t>
            </w:r>
          </w:p>
        </w:tc>
        <w:tc>
          <w:tcPr>
            <w:tcW w:w="6521" w:type="dxa"/>
            <w:shd w:val="clear" w:color="auto" w:fill="FFFFFF"/>
          </w:tcPr>
          <w:p w14:paraId="19EECCBE" w14:textId="72448A0C" w:rsidR="00E53A31" w:rsidRPr="00F0736F" w:rsidRDefault="00E53A31" w:rsidP="00680ADB">
            <w:pPr>
              <w:ind w:firstLine="709"/>
              <w:rPr>
                <w:rFonts w:ascii="Times New Roman" w:hAnsi="Times New Roman" w:cs="Times New Roman"/>
                <w:color w:val="000000" w:themeColor="text1"/>
              </w:rPr>
            </w:pPr>
            <w:r w:rsidRPr="00F0736F">
              <w:rPr>
                <w:rFonts w:ascii="Times New Roman" w:hAnsi="Times New Roman" w:cs="Times New Roman"/>
                <w:color w:val="000000" w:themeColor="text1"/>
              </w:rPr>
              <w:t>Межгосударственн</w:t>
            </w:r>
            <w:r w:rsidR="00680ADB" w:rsidRPr="00F0736F">
              <w:rPr>
                <w:rFonts w:ascii="Times New Roman" w:hAnsi="Times New Roman" w:cs="Times New Roman"/>
                <w:color w:val="000000" w:themeColor="text1"/>
              </w:rPr>
              <w:t xml:space="preserve">ая </w:t>
            </w:r>
            <w:r w:rsidRPr="00F0736F">
              <w:rPr>
                <w:rFonts w:ascii="Times New Roman" w:hAnsi="Times New Roman" w:cs="Times New Roman"/>
                <w:color w:val="000000" w:themeColor="text1"/>
              </w:rPr>
              <w:t>координационной водохозяйственн</w:t>
            </w:r>
            <w:r w:rsidR="00680ADB" w:rsidRPr="00F0736F">
              <w:rPr>
                <w:rFonts w:ascii="Times New Roman" w:hAnsi="Times New Roman" w:cs="Times New Roman"/>
                <w:color w:val="000000" w:themeColor="text1"/>
              </w:rPr>
              <w:t>ая</w:t>
            </w:r>
            <w:r w:rsidRPr="00F0736F">
              <w:rPr>
                <w:rFonts w:ascii="Times New Roman" w:hAnsi="Times New Roman" w:cs="Times New Roman"/>
                <w:color w:val="000000" w:themeColor="text1"/>
              </w:rPr>
              <w:t xml:space="preserve"> комисси</w:t>
            </w:r>
            <w:r w:rsidR="00680ADB" w:rsidRPr="00F0736F">
              <w:rPr>
                <w:rFonts w:ascii="Times New Roman" w:hAnsi="Times New Roman" w:cs="Times New Roman"/>
                <w:color w:val="000000" w:themeColor="text1"/>
              </w:rPr>
              <w:t>я</w:t>
            </w:r>
            <w:r w:rsidRPr="00F0736F">
              <w:rPr>
                <w:rFonts w:ascii="Times New Roman" w:hAnsi="Times New Roman" w:cs="Times New Roman"/>
                <w:color w:val="000000" w:themeColor="text1"/>
              </w:rPr>
              <w:t> Центральной Азии</w:t>
            </w:r>
          </w:p>
        </w:tc>
      </w:tr>
      <w:tr w:rsidR="00F0736F" w:rsidRPr="00F0736F" w14:paraId="09586734" w14:textId="77777777" w:rsidTr="00E53A31">
        <w:tc>
          <w:tcPr>
            <w:tcW w:w="3110" w:type="dxa"/>
            <w:shd w:val="clear" w:color="auto" w:fill="FFFFFF"/>
          </w:tcPr>
          <w:p w14:paraId="51D8ED6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МНЭ</w:t>
            </w:r>
          </w:p>
        </w:tc>
        <w:tc>
          <w:tcPr>
            <w:tcW w:w="6521" w:type="dxa"/>
            <w:shd w:val="clear" w:color="auto" w:fill="FFFFFF"/>
          </w:tcPr>
          <w:p w14:paraId="0A19582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национальной экономики</w:t>
            </w:r>
          </w:p>
        </w:tc>
      </w:tr>
      <w:tr w:rsidR="00F0736F" w:rsidRPr="00F0736F" w14:paraId="410E2DA0" w14:textId="77777777" w:rsidTr="00E53A31">
        <w:tc>
          <w:tcPr>
            <w:tcW w:w="3110" w:type="dxa"/>
            <w:shd w:val="clear" w:color="auto" w:fill="FFFFFF"/>
          </w:tcPr>
          <w:p w14:paraId="1F7BF9D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МСХ</w:t>
            </w:r>
          </w:p>
        </w:tc>
        <w:tc>
          <w:tcPr>
            <w:tcW w:w="6521" w:type="dxa"/>
            <w:shd w:val="clear" w:color="auto" w:fill="FFFFFF"/>
          </w:tcPr>
          <w:p w14:paraId="722CF05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сельского хозяйства</w:t>
            </w:r>
          </w:p>
        </w:tc>
      </w:tr>
      <w:tr w:rsidR="00F0736F" w:rsidRPr="00F0736F" w14:paraId="247FF256" w14:textId="77777777" w:rsidTr="00E53A31">
        <w:tc>
          <w:tcPr>
            <w:tcW w:w="3110" w:type="dxa"/>
            <w:shd w:val="clear" w:color="auto" w:fill="FFFFFF"/>
          </w:tcPr>
          <w:p w14:paraId="57F9271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МФСА</w:t>
            </w:r>
          </w:p>
        </w:tc>
        <w:tc>
          <w:tcPr>
            <w:tcW w:w="6521" w:type="dxa"/>
            <w:shd w:val="clear" w:color="auto" w:fill="FFFFFF"/>
          </w:tcPr>
          <w:p w14:paraId="0C5E9B7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Международный фонд спасения Арала</w:t>
            </w:r>
          </w:p>
        </w:tc>
      </w:tr>
      <w:tr w:rsidR="00F0736F" w:rsidRPr="00F0736F" w14:paraId="03C996F9" w14:textId="77777777" w:rsidTr="00E53A31">
        <w:tc>
          <w:tcPr>
            <w:tcW w:w="3110" w:type="dxa"/>
            <w:shd w:val="clear" w:color="auto" w:fill="FFFFFF"/>
          </w:tcPr>
          <w:p w14:paraId="5B80A49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МЭГПР</w:t>
            </w:r>
          </w:p>
        </w:tc>
        <w:tc>
          <w:tcPr>
            <w:tcW w:w="6521" w:type="dxa"/>
            <w:shd w:val="clear" w:color="auto" w:fill="FFFFFF"/>
          </w:tcPr>
          <w:p w14:paraId="7137C69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экологии, геологии и природных ресурсов</w:t>
            </w:r>
          </w:p>
        </w:tc>
      </w:tr>
      <w:tr w:rsidR="00F0736F" w:rsidRPr="00F0736F" w14:paraId="1E416F89" w14:textId="77777777" w:rsidTr="00E53A31">
        <w:tc>
          <w:tcPr>
            <w:tcW w:w="3110" w:type="dxa"/>
            <w:shd w:val="clear" w:color="auto" w:fill="FFFFFF"/>
          </w:tcPr>
          <w:p w14:paraId="67B1905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МЭ</w:t>
            </w:r>
          </w:p>
        </w:tc>
        <w:tc>
          <w:tcPr>
            <w:tcW w:w="6521" w:type="dxa"/>
            <w:shd w:val="clear" w:color="auto" w:fill="FFFFFF"/>
          </w:tcPr>
          <w:p w14:paraId="21FA66A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Министерство энергетики</w:t>
            </w:r>
          </w:p>
        </w:tc>
      </w:tr>
      <w:tr w:rsidR="00F0736F" w:rsidRPr="00F0736F" w14:paraId="0440F14F" w14:textId="77777777" w:rsidTr="00E53A31">
        <w:tc>
          <w:tcPr>
            <w:tcW w:w="3110" w:type="dxa"/>
            <w:shd w:val="clear" w:color="auto" w:fill="FFFFFF"/>
          </w:tcPr>
          <w:p w14:paraId="4F60A43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МЭА</w:t>
            </w:r>
          </w:p>
        </w:tc>
        <w:tc>
          <w:tcPr>
            <w:tcW w:w="6521" w:type="dxa"/>
            <w:shd w:val="clear" w:color="auto" w:fill="FFFFFF"/>
          </w:tcPr>
          <w:p w14:paraId="498812A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Международное Энергетическое Агенство</w:t>
            </w:r>
          </w:p>
        </w:tc>
      </w:tr>
      <w:tr w:rsidR="00F0736F" w:rsidRPr="00F0736F" w14:paraId="4D127CEA" w14:textId="77777777" w:rsidTr="00E53A31">
        <w:tc>
          <w:tcPr>
            <w:tcW w:w="3110" w:type="dxa"/>
            <w:shd w:val="clear" w:color="auto" w:fill="FFFFFF"/>
          </w:tcPr>
          <w:p w14:paraId="4A76063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МФК</w:t>
            </w:r>
          </w:p>
        </w:tc>
        <w:tc>
          <w:tcPr>
            <w:tcW w:w="6521" w:type="dxa"/>
            <w:shd w:val="clear" w:color="auto" w:fill="FFFFFF"/>
          </w:tcPr>
          <w:p w14:paraId="2CDA484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Международная Финансовая Корпорация </w:t>
            </w:r>
          </w:p>
        </w:tc>
      </w:tr>
      <w:tr w:rsidR="00F0736F" w:rsidRPr="00F0736F" w14:paraId="490364CF" w14:textId="77777777" w:rsidTr="00E53A31">
        <w:tc>
          <w:tcPr>
            <w:tcW w:w="3110" w:type="dxa"/>
            <w:shd w:val="clear" w:color="auto" w:fill="FFFFFF"/>
          </w:tcPr>
          <w:p w14:paraId="594F09A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НИИ</w:t>
            </w:r>
          </w:p>
        </w:tc>
        <w:tc>
          <w:tcPr>
            <w:tcW w:w="6521" w:type="dxa"/>
            <w:shd w:val="clear" w:color="auto" w:fill="FFFFFF"/>
          </w:tcPr>
          <w:p w14:paraId="4832340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научно-исследовательский институт</w:t>
            </w:r>
          </w:p>
        </w:tc>
      </w:tr>
      <w:tr w:rsidR="00F0736F" w:rsidRPr="00F0736F" w14:paraId="600AEB6C" w14:textId="77777777" w:rsidTr="00E53A31">
        <w:tc>
          <w:tcPr>
            <w:tcW w:w="3110" w:type="dxa"/>
            <w:shd w:val="clear" w:color="auto" w:fill="FFFFFF"/>
          </w:tcPr>
          <w:p w14:paraId="6EA1AEF4" w14:textId="2E8C2032" w:rsidR="00DE0B52" w:rsidRPr="00F0736F" w:rsidRDefault="00DE0B52"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НИОКР</w:t>
            </w:r>
          </w:p>
        </w:tc>
        <w:tc>
          <w:tcPr>
            <w:tcW w:w="6521" w:type="dxa"/>
            <w:shd w:val="clear" w:color="auto" w:fill="FFFFFF"/>
          </w:tcPr>
          <w:p w14:paraId="4BC1ACB1" w14:textId="1C54EAF1" w:rsidR="00DE0B52" w:rsidRPr="00F0736F" w:rsidRDefault="00DE0B52"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научные исследования и опытно-конструкторские разработки</w:t>
            </w:r>
          </w:p>
        </w:tc>
      </w:tr>
      <w:tr w:rsidR="00F0736F" w:rsidRPr="00F0736F" w14:paraId="657F716A" w14:textId="77777777" w:rsidTr="00E53A31">
        <w:tc>
          <w:tcPr>
            <w:tcW w:w="3110" w:type="dxa"/>
            <w:shd w:val="clear" w:color="auto" w:fill="FFFFFF"/>
          </w:tcPr>
          <w:p w14:paraId="223F38B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НП</w:t>
            </w:r>
          </w:p>
        </w:tc>
        <w:tc>
          <w:tcPr>
            <w:tcW w:w="6521" w:type="dxa"/>
            <w:shd w:val="clear" w:color="auto" w:fill="FFFFFF"/>
          </w:tcPr>
          <w:p w14:paraId="6E704E7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Наибольшая повторяемость</w:t>
            </w:r>
          </w:p>
        </w:tc>
      </w:tr>
      <w:tr w:rsidR="00F0736F" w:rsidRPr="00F0736F" w14:paraId="22C7D40B" w14:textId="77777777" w:rsidTr="00E53A31">
        <w:tc>
          <w:tcPr>
            <w:tcW w:w="3110" w:type="dxa"/>
            <w:shd w:val="clear" w:color="auto" w:fill="FFFFFF"/>
          </w:tcPr>
          <w:p w14:paraId="652EDA4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НПО</w:t>
            </w:r>
          </w:p>
        </w:tc>
        <w:tc>
          <w:tcPr>
            <w:tcW w:w="6521" w:type="dxa"/>
            <w:shd w:val="clear" w:color="auto" w:fill="FFFFFF"/>
          </w:tcPr>
          <w:p w14:paraId="5178CFC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неправительственная организация</w:t>
            </w:r>
          </w:p>
        </w:tc>
      </w:tr>
      <w:tr w:rsidR="00F0736F" w:rsidRPr="00F0736F" w14:paraId="434EC941" w14:textId="77777777" w:rsidTr="00E53A31">
        <w:tc>
          <w:tcPr>
            <w:tcW w:w="3110" w:type="dxa"/>
            <w:shd w:val="clear" w:color="auto" w:fill="FFFFFF"/>
          </w:tcPr>
          <w:p w14:paraId="671E802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НПП</w:t>
            </w:r>
          </w:p>
        </w:tc>
        <w:tc>
          <w:tcPr>
            <w:tcW w:w="6521" w:type="dxa"/>
            <w:shd w:val="clear" w:color="auto" w:fill="FFFFFF"/>
          </w:tcPr>
          <w:p w14:paraId="1827A0C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Национальная палата предпринимателей</w:t>
            </w:r>
          </w:p>
        </w:tc>
      </w:tr>
      <w:tr w:rsidR="00F0736F" w:rsidRPr="00F0736F" w14:paraId="534E5BB5" w14:textId="77777777" w:rsidTr="00E53A31">
        <w:tc>
          <w:tcPr>
            <w:tcW w:w="3110" w:type="dxa"/>
            <w:shd w:val="clear" w:color="auto" w:fill="FFFFFF"/>
          </w:tcPr>
          <w:p w14:paraId="408BA4D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ИБР</w:t>
            </w:r>
          </w:p>
        </w:tc>
        <w:tc>
          <w:tcPr>
            <w:tcW w:w="6521" w:type="dxa"/>
            <w:shd w:val="clear" w:color="auto" w:fill="FFFFFF"/>
          </w:tcPr>
          <w:p w14:paraId="483FD15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Исламский банк развития</w:t>
            </w:r>
          </w:p>
        </w:tc>
      </w:tr>
      <w:tr w:rsidR="00F0736F" w:rsidRPr="00F0736F" w14:paraId="1D1641EC" w14:textId="77777777" w:rsidTr="00E53A31">
        <w:tc>
          <w:tcPr>
            <w:tcW w:w="3110" w:type="dxa"/>
            <w:shd w:val="clear" w:color="auto" w:fill="FFFFFF"/>
          </w:tcPr>
          <w:p w14:paraId="0021009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КВР</w:t>
            </w:r>
          </w:p>
        </w:tc>
        <w:tc>
          <w:tcPr>
            <w:tcW w:w="6521" w:type="dxa"/>
            <w:shd w:val="clear" w:color="auto" w:fill="FFFFFF"/>
          </w:tcPr>
          <w:p w14:paraId="0D1FEEB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Комитет по водным ресурсам</w:t>
            </w:r>
          </w:p>
        </w:tc>
      </w:tr>
      <w:tr w:rsidR="00F0736F" w:rsidRPr="00F0736F" w14:paraId="11D98C9B" w14:textId="77777777" w:rsidTr="00E53A31">
        <w:tc>
          <w:tcPr>
            <w:tcW w:w="3110" w:type="dxa"/>
            <w:shd w:val="clear" w:color="auto" w:fill="FFFFFF"/>
          </w:tcPr>
          <w:p w14:paraId="79EBAF3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ОНП</w:t>
            </w:r>
          </w:p>
        </w:tc>
        <w:tc>
          <w:tcPr>
            <w:tcW w:w="6521" w:type="dxa"/>
            <w:shd w:val="clear" w:color="auto" w:fill="FFFFFF"/>
          </w:tcPr>
          <w:p w14:paraId="61AF018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Общенациональный план</w:t>
            </w:r>
          </w:p>
        </w:tc>
      </w:tr>
      <w:tr w:rsidR="00F0736F" w:rsidRPr="00F0736F" w14:paraId="6181588C" w14:textId="77777777" w:rsidTr="00E53A31">
        <w:tc>
          <w:tcPr>
            <w:tcW w:w="3110" w:type="dxa"/>
            <w:shd w:val="clear" w:color="auto" w:fill="FFFFFF"/>
          </w:tcPr>
          <w:p w14:paraId="61F3C88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ОРЭД</w:t>
            </w:r>
          </w:p>
        </w:tc>
        <w:tc>
          <w:tcPr>
            <w:tcW w:w="6521" w:type="dxa"/>
            <w:shd w:val="clear" w:color="auto" w:fill="FFFFFF"/>
          </w:tcPr>
          <w:p w14:paraId="606017E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Обзор результативности экологической деятельности</w:t>
            </w:r>
          </w:p>
        </w:tc>
      </w:tr>
      <w:tr w:rsidR="00F0736F" w:rsidRPr="00F0736F" w14:paraId="7510EEAD" w14:textId="77777777" w:rsidTr="00E53A31">
        <w:tc>
          <w:tcPr>
            <w:tcW w:w="3110" w:type="dxa"/>
            <w:shd w:val="clear" w:color="auto" w:fill="FFFFFF"/>
          </w:tcPr>
          <w:p w14:paraId="3A2EE11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ОЭСР</w:t>
            </w:r>
          </w:p>
        </w:tc>
        <w:tc>
          <w:tcPr>
            <w:tcW w:w="6521" w:type="dxa"/>
            <w:shd w:val="clear" w:color="auto" w:fill="FFFFFF"/>
          </w:tcPr>
          <w:p w14:paraId="337D9D8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Организация экономического сотрудничества и развития</w:t>
            </w:r>
          </w:p>
        </w:tc>
      </w:tr>
      <w:tr w:rsidR="00F0736F" w:rsidRPr="00F0736F" w14:paraId="1A540146" w14:textId="77777777" w:rsidTr="00E53A31">
        <w:tc>
          <w:tcPr>
            <w:tcW w:w="3110" w:type="dxa"/>
            <w:shd w:val="clear" w:color="auto" w:fill="FFFFFF"/>
          </w:tcPr>
          <w:p w14:paraId="25A14A4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ОВОС</w:t>
            </w:r>
          </w:p>
        </w:tc>
        <w:tc>
          <w:tcPr>
            <w:tcW w:w="6521" w:type="dxa"/>
            <w:shd w:val="clear" w:color="auto" w:fill="FFFFFF"/>
          </w:tcPr>
          <w:p w14:paraId="37AA463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оценка воздействия на окружающую среду</w:t>
            </w:r>
          </w:p>
        </w:tc>
      </w:tr>
      <w:tr w:rsidR="00F0736F" w:rsidRPr="00F0736F" w14:paraId="3C1FB202" w14:textId="77777777" w:rsidTr="00E53A31">
        <w:tc>
          <w:tcPr>
            <w:tcW w:w="3110" w:type="dxa"/>
            <w:shd w:val="clear" w:color="auto" w:fill="FFFFFF"/>
          </w:tcPr>
          <w:p w14:paraId="23C19FB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ООН</w:t>
            </w:r>
          </w:p>
        </w:tc>
        <w:tc>
          <w:tcPr>
            <w:tcW w:w="6521" w:type="dxa"/>
            <w:shd w:val="clear" w:color="auto" w:fill="FFFFFF"/>
          </w:tcPr>
          <w:p w14:paraId="5619F02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Организация Объединённых Наций</w:t>
            </w:r>
          </w:p>
        </w:tc>
      </w:tr>
      <w:tr w:rsidR="00F0736F" w:rsidRPr="00F0736F" w14:paraId="4684E885" w14:textId="77777777" w:rsidTr="00E53A31">
        <w:tc>
          <w:tcPr>
            <w:tcW w:w="3110" w:type="dxa"/>
            <w:shd w:val="clear" w:color="auto" w:fill="FFFFFF"/>
          </w:tcPr>
          <w:p w14:paraId="26FCD16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ООПТ</w:t>
            </w:r>
          </w:p>
        </w:tc>
        <w:tc>
          <w:tcPr>
            <w:tcW w:w="6521" w:type="dxa"/>
            <w:shd w:val="clear" w:color="auto" w:fill="FFFFFF"/>
          </w:tcPr>
          <w:p w14:paraId="4BF9BAE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особо охраняемые природные территории</w:t>
            </w:r>
          </w:p>
        </w:tc>
      </w:tr>
      <w:tr w:rsidR="00F0736F" w:rsidRPr="00F0736F" w14:paraId="4E86675D" w14:textId="77777777" w:rsidTr="00E53A31">
        <w:tc>
          <w:tcPr>
            <w:tcW w:w="3110" w:type="dxa"/>
            <w:shd w:val="clear" w:color="auto" w:fill="FFFFFF"/>
          </w:tcPr>
          <w:p w14:paraId="73D908A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ПДК</w:t>
            </w:r>
          </w:p>
        </w:tc>
        <w:tc>
          <w:tcPr>
            <w:tcW w:w="6521" w:type="dxa"/>
            <w:shd w:val="clear" w:color="auto" w:fill="FFFFFF"/>
          </w:tcPr>
          <w:p w14:paraId="682E2D2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предельно допустимая концентрация</w:t>
            </w:r>
          </w:p>
        </w:tc>
      </w:tr>
      <w:tr w:rsidR="00F0736F" w:rsidRPr="00F0736F" w14:paraId="6703C7CC" w14:textId="77777777" w:rsidTr="00E53A31">
        <w:tc>
          <w:tcPr>
            <w:tcW w:w="3110" w:type="dxa"/>
            <w:shd w:val="clear" w:color="auto" w:fill="FFFFFF"/>
          </w:tcPr>
          <w:p w14:paraId="153837D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ПРООН</w:t>
            </w:r>
          </w:p>
        </w:tc>
        <w:tc>
          <w:tcPr>
            <w:tcW w:w="6521" w:type="dxa"/>
            <w:shd w:val="clear" w:color="auto" w:fill="FFFFFF"/>
          </w:tcPr>
          <w:p w14:paraId="28C34A3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Программа развития ООН</w:t>
            </w:r>
          </w:p>
        </w:tc>
      </w:tr>
      <w:tr w:rsidR="00F0736F" w:rsidRPr="00F0736F" w14:paraId="56F76A1B" w14:textId="77777777" w:rsidTr="00E53A31">
        <w:tc>
          <w:tcPr>
            <w:tcW w:w="3110" w:type="dxa"/>
            <w:shd w:val="clear" w:color="auto" w:fill="FFFFFF"/>
          </w:tcPr>
          <w:p w14:paraId="1714BB7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ППЗМ</w:t>
            </w:r>
          </w:p>
        </w:tc>
        <w:tc>
          <w:tcPr>
            <w:tcW w:w="6521" w:type="dxa"/>
            <w:shd w:val="clear" w:color="auto" w:fill="FFFFFF"/>
          </w:tcPr>
          <w:p w14:paraId="1167D23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Программа партнерства «Зеленый мост»</w:t>
            </w:r>
          </w:p>
        </w:tc>
      </w:tr>
      <w:tr w:rsidR="00F0736F" w:rsidRPr="00F0736F" w14:paraId="7605766E" w14:textId="77777777" w:rsidTr="00E53A31">
        <w:tc>
          <w:tcPr>
            <w:tcW w:w="3110" w:type="dxa"/>
            <w:shd w:val="clear" w:color="auto" w:fill="FFFFFF"/>
          </w:tcPr>
          <w:p w14:paraId="6CAE728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РБ</w:t>
            </w:r>
          </w:p>
        </w:tc>
        <w:tc>
          <w:tcPr>
            <w:tcW w:w="6521" w:type="dxa"/>
            <w:shd w:val="clear" w:color="auto" w:fill="FFFFFF"/>
          </w:tcPr>
          <w:p w14:paraId="7B6BEA3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Республиканский бюджет</w:t>
            </w:r>
          </w:p>
        </w:tc>
      </w:tr>
      <w:tr w:rsidR="00F0736F" w:rsidRPr="00F0736F" w14:paraId="1B455116" w14:textId="77777777" w:rsidTr="00E53A31">
        <w:tc>
          <w:tcPr>
            <w:tcW w:w="3110" w:type="dxa"/>
            <w:shd w:val="clear" w:color="auto" w:fill="FFFFFF"/>
          </w:tcPr>
          <w:p w14:paraId="4A9D3F3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РГП</w:t>
            </w:r>
          </w:p>
        </w:tc>
        <w:tc>
          <w:tcPr>
            <w:tcW w:w="6521" w:type="dxa"/>
            <w:shd w:val="clear" w:color="auto" w:fill="FFFFFF"/>
          </w:tcPr>
          <w:p w14:paraId="0D8DFD9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республиканское государственное предприятие</w:t>
            </w:r>
          </w:p>
        </w:tc>
      </w:tr>
      <w:tr w:rsidR="00F0736F" w:rsidRPr="00F0736F" w14:paraId="289E06F1" w14:textId="77777777" w:rsidTr="00E53A31">
        <w:tc>
          <w:tcPr>
            <w:tcW w:w="3110" w:type="dxa"/>
            <w:shd w:val="clear" w:color="auto" w:fill="FFFFFF"/>
          </w:tcPr>
          <w:p w14:paraId="4D446F5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РК</w:t>
            </w:r>
          </w:p>
        </w:tc>
        <w:tc>
          <w:tcPr>
            <w:tcW w:w="6521" w:type="dxa"/>
            <w:shd w:val="clear" w:color="auto" w:fill="FFFFFF"/>
          </w:tcPr>
          <w:p w14:paraId="556F445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Республика Казахстан</w:t>
            </w:r>
          </w:p>
        </w:tc>
      </w:tr>
      <w:tr w:rsidR="00F0736F" w:rsidRPr="00F0736F" w14:paraId="161A6E8C" w14:textId="77777777" w:rsidTr="00E53A31">
        <w:tc>
          <w:tcPr>
            <w:tcW w:w="3110" w:type="dxa"/>
            <w:shd w:val="clear" w:color="auto" w:fill="FFFFFF"/>
          </w:tcPr>
          <w:p w14:paraId="517D01A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РКИК ООН</w:t>
            </w:r>
          </w:p>
        </w:tc>
        <w:tc>
          <w:tcPr>
            <w:tcW w:w="6521" w:type="dxa"/>
            <w:shd w:val="clear" w:color="auto" w:fill="FFFFFF"/>
          </w:tcPr>
          <w:p w14:paraId="43B51CB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lang w:val="kk-KZ"/>
              </w:rPr>
              <w:t xml:space="preserve">Рамочная конвенция об изменении климата </w:t>
            </w:r>
            <w:r w:rsidRPr="00F0736F">
              <w:rPr>
                <w:rFonts w:ascii="Times New Roman" w:hAnsi="Times New Roman" w:cs="Times New Roman"/>
                <w:color w:val="000000" w:themeColor="text1"/>
              </w:rPr>
              <w:t>ООН</w:t>
            </w:r>
            <w:r w:rsidRPr="00F0736F">
              <w:rPr>
                <w:rFonts w:ascii="Times New Roman" w:hAnsi="Times New Roman" w:cs="Times New Roman"/>
                <w:color w:val="000000" w:themeColor="text1"/>
                <w:lang w:val="kk-KZ"/>
              </w:rPr>
              <w:t xml:space="preserve"> </w:t>
            </w:r>
          </w:p>
        </w:tc>
      </w:tr>
      <w:tr w:rsidR="00F0736F" w:rsidRPr="00F0736F" w14:paraId="1D1A5837" w14:textId="77777777" w:rsidTr="00E53A31">
        <w:tc>
          <w:tcPr>
            <w:tcW w:w="3110" w:type="dxa"/>
            <w:shd w:val="clear" w:color="auto" w:fill="FFFFFF"/>
          </w:tcPr>
          <w:p w14:paraId="0F0FA5D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РОП</w:t>
            </w:r>
          </w:p>
        </w:tc>
        <w:tc>
          <w:tcPr>
            <w:tcW w:w="6521" w:type="dxa"/>
            <w:shd w:val="clear" w:color="auto" w:fill="FFFFFF"/>
          </w:tcPr>
          <w:p w14:paraId="6659C65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расширенная ответственность производителей</w:t>
            </w:r>
          </w:p>
        </w:tc>
      </w:tr>
      <w:tr w:rsidR="00F0736F" w:rsidRPr="00F0736F" w14:paraId="7BF77ABF" w14:textId="77777777" w:rsidTr="00E53A31">
        <w:tc>
          <w:tcPr>
            <w:tcW w:w="3110" w:type="dxa"/>
            <w:shd w:val="clear" w:color="auto" w:fill="FFFFFF"/>
          </w:tcPr>
          <w:p w14:paraId="16B6E55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РФ</w:t>
            </w:r>
          </w:p>
        </w:tc>
        <w:tc>
          <w:tcPr>
            <w:tcW w:w="6521" w:type="dxa"/>
            <w:shd w:val="clear" w:color="auto" w:fill="FFFFFF"/>
          </w:tcPr>
          <w:p w14:paraId="0188E64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Российская Федерация</w:t>
            </w:r>
          </w:p>
        </w:tc>
      </w:tr>
      <w:tr w:rsidR="00F0736F" w:rsidRPr="00F0736F" w14:paraId="0E6F2E6D" w14:textId="77777777" w:rsidTr="00E53A31">
        <w:tc>
          <w:tcPr>
            <w:tcW w:w="3110" w:type="dxa"/>
            <w:shd w:val="clear" w:color="auto" w:fill="FFFFFF"/>
          </w:tcPr>
          <w:p w14:paraId="602CF7B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РФЦ</w:t>
            </w:r>
          </w:p>
        </w:tc>
        <w:tc>
          <w:tcPr>
            <w:tcW w:w="6521" w:type="dxa"/>
            <w:shd w:val="clear" w:color="auto" w:fill="FFFFFF"/>
          </w:tcPr>
          <w:p w14:paraId="3828C08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Расчетно-финансовый центр</w:t>
            </w:r>
          </w:p>
        </w:tc>
      </w:tr>
      <w:tr w:rsidR="00F0736F" w:rsidRPr="00F0736F" w14:paraId="28285652" w14:textId="77777777" w:rsidTr="00E53A31">
        <w:tc>
          <w:tcPr>
            <w:tcW w:w="3110" w:type="dxa"/>
            <w:shd w:val="clear" w:color="auto" w:fill="FFFFFF"/>
          </w:tcPr>
          <w:p w14:paraId="5A54B93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СИ</w:t>
            </w:r>
          </w:p>
        </w:tc>
        <w:tc>
          <w:tcPr>
            <w:tcW w:w="6521" w:type="dxa"/>
            <w:shd w:val="clear" w:color="auto" w:fill="FFFFFF"/>
          </w:tcPr>
          <w:p w14:paraId="7F52D7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стандартный индекс</w:t>
            </w:r>
          </w:p>
        </w:tc>
      </w:tr>
      <w:tr w:rsidR="00F0736F" w:rsidRPr="00F0736F" w14:paraId="4B2AD4C8" w14:textId="77777777" w:rsidTr="00E53A31">
        <w:tc>
          <w:tcPr>
            <w:tcW w:w="3110" w:type="dxa"/>
            <w:shd w:val="clear" w:color="auto" w:fill="FFFFFF"/>
          </w:tcPr>
          <w:p w14:paraId="2E845F3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СКО</w:t>
            </w:r>
          </w:p>
        </w:tc>
        <w:tc>
          <w:tcPr>
            <w:tcW w:w="6521" w:type="dxa"/>
            <w:shd w:val="clear" w:color="auto" w:fill="FFFFFF"/>
          </w:tcPr>
          <w:p w14:paraId="2746334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Северо-Казахстанская область</w:t>
            </w:r>
          </w:p>
        </w:tc>
      </w:tr>
      <w:tr w:rsidR="00F0736F" w:rsidRPr="00F0736F" w14:paraId="5542360C" w14:textId="77777777" w:rsidTr="00E53A31">
        <w:tc>
          <w:tcPr>
            <w:tcW w:w="3110" w:type="dxa"/>
            <w:shd w:val="clear" w:color="auto" w:fill="FFFFFF"/>
          </w:tcPr>
          <w:p w14:paraId="4531E54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СМИ</w:t>
            </w:r>
          </w:p>
        </w:tc>
        <w:tc>
          <w:tcPr>
            <w:tcW w:w="6521" w:type="dxa"/>
            <w:shd w:val="clear" w:color="auto" w:fill="FFFFFF"/>
          </w:tcPr>
          <w:p w14:paraId="2634DE5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средства массовой информации</w:t>
            </w:r>
          </w:p>
        </w:tc>
      </w:tr>
      <w:tr w:rsidR="00F0736F" w:rsidRPr="00F0736F" w14:paraId="46084926" w14:textId="77777777" w:rsidTr="00E53A31">
        <w:tc>
          <w:tcPr>
            <w:tcW w:w="3110" w:type="dxa"/>
            <w:shd w:val="clear" w:color="auto" w:fill="FFFFFF"/>
          </w:tcPr>
          <w:p w14:paraId="68205C0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СНП</w:t>
            </w:r>
          </w:p>
        </w:tc>
        <w:tc>
          <w:tcPr>
            <w:tcW w:w="6521" w:type="dxa"/>
            <w:shd w:val="clear" w:color="auto" w:fill="FFFFFF"/>
          </w:tcPr>
          <w:p w14:paraId="3C77411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сельские населенные пункты</w:t>
            </w:r>
          </w:p>
        </w:tc>
      </w:tr>
      <w:tr w:rsidR="00F0736F" w:rsidRPr="00F0736F" w14:paraId="3201A878" w14:textId="77777777" w:rsidTr="00E53A31">
        <w:tc>
          <w:tcPr>
            <w:tcW w:w="3110" w:type="dxa"/>
            <w:shd w:val="clear" w:color="auto" w:fill="FFFFFF"/>
          </w:tcPr>
          <w:p w14:paraId="46EB091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w:t>
            </w:r>
            <w:r w:rsidRPr="00F0736F">
              <w:rPr>
                <w:rFonts w:ascii="Times New Roman" w:hAnsi="Times New Roman" w:cs="Times New Roman"/>
                <w:color w:val="000000" w:themeColor="text1"/>
                <w:vertAlign w:val="subscript"/>
              </w:rPr>
              <w:t xml:space="preserve">2  </w:t>
            </w:r>
          </w:p>
        </w:tc>
        <w:tc>
          <w:tcPr>
            <w:tcW w:w="6521" w:type="dxa"/>
            <w:shd w:val="clear" w:color="auto" w:fill="FFFFFF"/>
          </w:tcPr>
          <w:p w14:paraId="41C808A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углекислый газ</w:t>
            </w:r>
          </w:p>
        </w:tc>
      </w:tr>
      <w:tr w:rsidR="00F0736F" w:rsidRPr="00F0736F" w14:paraId="4A012435" w14:textId="77777777" w:rsidTr="00E53A31">
        <w:tc>
          <w:tcPr>
            <w:tcW w:w="3110" w:type="dxa"/>
            <w:shd w:val="clear" w:color="auto" w:fill="FFFFFF"/>
          </w:tcPr>
          <w:p w14:paraId="04A8D25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СОЗ</w:t>
            </w:r>
          </w:p>
        </w:tc>
        <w:tc>
          <w:tcPr>
            <w:tcW w:w="6521" w:type="dxa"/>
            <w:shd w:val="clear" w:color="auto" w:fill="FFFFFF"/>
          </w:tcPr>
          <w:p w14:paraId="5B9A502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стойкие органические загрязнители</w:t>
            </w:r>
          </w:p>
        </w:tc>
      </w:tr>
      <w:tr w:rsidR="00F0736F" w:rsidRPr="00F0736F" w14:paraId="05A1CA9E" w14:textId="77777777" w:rsidTr="00E53A31">
        <w:tc>
          <w:tcPr>
            <w:tcW w:w="3110" w:type="dxa"/>
            <w:shd w:val="clear" w:color="auto" w:fill="FFFFFF"/>
          </w:tcPr>
          <w:p w14:paraId="28D6E8C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США</w:t>
            </w:r>
          </w:p>
        </w:tc>
        <w:tc>
          <w:tcPr>
            <w:tcW w:w="6521" w:type="dxa"/>
            <w:shd w:val="clear" w:color="auto" w:fill="FFFFFF"/>
          </w:tcPr>
          <w:p w14:paraId="57AC3CB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Соединенные штаты Америки</w:t>
            </w:r>
          </w:p>
        </w:tc>
      </w:tr>
      <w:tr w:rsidR="00F0736F" w:rsidRPr="00F0736F" w14:paraId="2DF5D528" w14:textId="77777777" w:rsidTr="00E53A31">
        <w:tc>
          <w:tcPr>
            <w:tcW w:w="3110" w:type="dxa"/>
            <w:shd w:val="clear" w:color="auto" w:fill="FFFFFF"/>
          </w:tcPr>
          <w:p w14:paraId="2AE6C13A"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СЭС</w:t>
            </w:r>
          </w:p>
        </w:tc>
        <w:tc>
          <w:tcPr>
            <w:tcW w:w="6521" w:type="dxa"/>
            <w:shd w:val="clear" w:color="auto" w:fill="FFFFFF"/>
          </w:tcPr>
          <w:p w14:paraId="718F9FE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солнечная электростанция</w:t>
            </w:r>
          </w:p>
        </w:tc>
      </w:tr>
      <w:tr w:rsidR="00F0736F" w:rsidRPr="00F0736F" w14:paraId="15D78855" w14:textId="77777777" w:rsidTr="00E53A31">
        <w:tc>
          <w:tcPr>
            <w:tcW w:w="3110" w:type="dxa"/>
            <w:shd w:val="clear" w:color="auto" w:fill="FFFFFF"/>
          </w:tcPr>
          <w:p w14:paraId="4AFF259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ТБО</w:t>
            </w:r>
          </w:p>
        </w:tc>
        <w:tc>
          <w:tcPr>
            <w:tcW w:w="6521" w:type="dxa"/>
            <w:shd w:val="clear" w:color="auto" w:fill="FFFFFF"/>
          </w:tcPr>
          <w:p w14:paraId="3951E55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твердые бытовые отходы</w:t>
            </w:r>
          </w:p>
        </w:tc>
      </w:tr>
      <w:tr w:rsidR="00F0736F" w:rsidRPr="00F0736F" w14:paraId="2DE2D6A8" w14:textId="77777777" w:rsidTr="00E53A31">
        <w:tc>
          <w:tcPr>
            <w:tcW w:w="3110" w:type="dxa"/>
            <w:shd w:val="clear" w:color="auto" w:fill="FFFFFF"/>
          </w:tcPr>
          <w:p w14:paraId="0895DCE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ТОО</w:t>
            </w:r>
          </w:p>
        </w:tc>
        <w:tc>
          <w:tcPr>
            <w:tcW w:w="6521" w:type="dxa"/>
            <w:shd w:val="clear" w:color="auto" w:fill="FFFFFF"/>
          </w:tcPr>
          <w:p w14:paraId="784944D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товарищество с ограниченной ответственностью</w:t>
            </w:r>
          </w:p>
        </w:tc>
      </w:tr>
      <w:tr w:rsidR="00F0736F" w:rsidRPr="00F0736F" w14:paraId="20BCDA7A" w14:textId="77777777" w:rsidTr="00E53A31">
        <w:tc>
          <w:tcPr>
            <w:tcW w:w="3110" w:type="dxa"/>
            <w:shd w:val="clear" w:color="auto" w:fill="FFFFFF"/>
          </w:tcPr>
          <w:p w14:paraId="7251A9E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ТЭО</w:t>
            </w:r>
          </w:p>
        </w:tc>
        <w:tc>
          <w:tcPr>
            <w:tcW w:w="6521" w:type="dxa"/>
            <w:shd w:val="clear" w:color="auto" w:fill="FFFFFF"/>
          </w:tcPr>
          <w:p w14:paraId="41EF9F3E"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технико-экономическое обоснование</w:t>
            </w:r>
          </w:p>
        </w:tc>
      </w:tr>
      <w:tr w:rsidR="00F0736F" w:rsidRPr="00F0736F" w14:paraId="64FF858A" w14:textId="77777777" w:rsidTr="00E53A31">
        <w:tc>
          <w:tcPr>
            <w:tcW w:w="3110" w:type="dxa"/>
            <w:shd w:val="clear" w:color="auto" w:fill="FFFFFF"/>
          </w:tcPr>
          <w:p w14:paraId="081642B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ТЭК</w:t>
            </w:r>
          </w:p>
        </w:tc>
        <w:tc>
          <w:tcPr>
            <w:tcW w:w="6521" w:type="dxa"/>
            <w:shd w:val="clear" w:color="auto" w:fill="FFFFFF"/>
          </w:tcPr>
          <w:p w14:paraId="5909B8B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топливно-энергетический комплекс</w:t>
            </w:r>
          </w:p>
        </w:tc>
      </w:tr>
      <w:tr w:rsidR="00F0736F" w:rsidRPr="00F0736F" w14:paraId="77A115C2" w14:textId="77777777" w:rsidTr="00E53A31">
        <w:tc>
          <w:tcPr>
            <w:tcW w:w="3110" w:type="dxa"/>
            <w:shd w:val="clear" w:color="auto" w:fill="FFFFFF"/>
          </w:tcPr>
          <w:p w14:paraId="39B2E92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ТЭР</w:t>
            </w:r>
          </w:p>
        </w:tc>
        <w:tc>
          <w:tcPr>
            <w:tcW w:w="6521" w:type="dxa"/>
            <w:shd w:val="clear" w:color="auto" w:fill="FFFFFF"/>
          </w:tcPr>
          <w:p w14:paraId="1FA77E3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топливно-энергетические ресурсы</w:t>
            </w:r>
          </w:p>
        </w:tc>
      </w:tr>
      <w:tr w:rsidR="00F0736F" w:rsidRPr="00F0736F" w14:paraId="5ADDD37D" w14:textId="77777777" w:rsidTr="00E53A31">
        <w:tc>
          <w:tcPr>
            <w:tcW w:w="3110" w:type="dxa"/>
            <w:shd w:val="clear" w:color="auto" w:fill="FFFFFF"/>
          </w:tcPr>
          <w:p w14:paraId="0A24CD57" w14:textId="39DE8D0D" w:rsidR="00654CDE" w:rsidRPr="00F0736F" w:rsidRDefault="00654CDE"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ФАО</w:t>
            </w:r>
          </w:p>
        </w:tc>
        <w:tc>
          <w:tcPr>
            <w:tcW w:w="6521" w:type="dxa"/>
            <w:shd w:val="clear" w:color="auto" w:fill="FFFFFF"/>
          </w:tcPr>
          <w:p w14:paraId="40E63721" w14:textId="51A6FFA3" w:rsidR="00654CDE" w:rsidRPr="00F0736F" w:rsidRDefault="00654CDE" w:rsidP="008727D9">
            <w:pPr>
              <w:ind w:firstLine="709"/>
              <w:jc w:val="both"/>
              <w:rPr>
                <w:rFonts w:ascii="Times New Roman" w:hAnsi="Times New Roman" w:cs="Times New Roman"/>
                <w:color w:val="000000" w:themeColor="text1"/>
              </w:rPr>
            </w:pPr>
            <w:r w:rsidRPr="00F0736F">
              <w:rPr>
                <w:rFonts w:ascii="Times New Roman" w:hAnsi="Times New Roman" w:cs="Times New Roman"/>
                <w:color w:val="000000" w:themeColor="text1"/>
              </w:rPr>
              <w:t>Продовольственная и сельскохозяйственная организация ООН (ФАО) (англ. Food and Agriculture Organization, FAO)</w:t>
            </w:r>
            <w:r w:rsidRPr="00F0736F">
              <w:rPr>
                <w:rFonts w:ascii="Arial" w:hAnsi="Arial" w:cs="Arial"/>
                <w:color w:val="000000" w:themeColor="text1"/>
                <w:sz w:val="21"/>
                <w:szCs w:val="21"/>
                <w:shd w:val="clear" w:color="auto" w:fill="FFFFFF"/>
              </w:rPr>
              <w:t> </w:t>
            </w:r>
          </w:p>
        </w:tc>
      </w:tr>
      <w:tr w:rsidR="00F0736F" w:rsidRPr="00F0736F" w14:paraId="67CC2363" w14:textId="77777777" w:rsidTr="00E53A31">
        <w:tc>
          <w:tcPr>
            <w:tcW w:w="3110" w:type="dxa"/>
            <w:shd w:val="clear" w:color="auto" w:fill="FFFFFF"/>
          </w:tcPr>
          <w:p w14:paraId="79CCAC4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ЦУР</w:t>
            </w:r>
          </w:p>
        </w:tc>
        <w:tc>
          <w:tcPr>
            <w:tcW w:w="6521" w:type="dxa"/>
            <w:shd w:val="clear" w:color="auto" w:fill="FFFFFF"/>
          </w:tcPr>
          <w:p w14:paraId="3BF958B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цели устойчивого развития</w:t>
            </w:r>
          </w:p>
        </w:tc>
      </w:tr>
      <w:tr w:rsidR="00F0736F" w:rsidRPr="00F0736F" w14:paraId="45D6858E" w14:textId="77777777" w:rsidTr="00E53A31">
        <w:tc>
          <w:tcPr>
            <w:tcW w:w="3110" w:type="dxa"/>
            <w:shd w:val="clear" w:color="auto" w:fill="FFFFFF"/>
          </w:tcPr>
          <w:p w14:paraId="1D7689C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ЭСКАТО</w:t>
            </w:r>
          </w:p>
        </w:tc>
        <w:tc>
          <w:tcPr>
            <w:tcW w:w="6521" w:type="dxa"/>
            <w:shd w:val="clear" w:color="auto" w:fill="FFFFFF"/>
          </w:tcPr>
          <w:p w14:paraId="6791221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Экономическая и социальная комиссия ООН Азиатско-Тихоокеанского региона</w:t>
            </w:r>
          </w:p>
        </w:tc>
      </w:tr>
      <w:tr w:rsidR="00F0736F" w:rsidRPr="00F0736F" w14:paraId="58087706" w14:textId="77777777" w:rsidTr="00E53A31">
        <w:tc>
          <w:tcPr>
            <w:tcW w:w="3110" w:type="dxa"/>
            <w:shd w:val="clear" w:color="auto" w:fill="FFFFFF"/>
          </w:tcPr>
          <w:p w14:paraId="51CE7C5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ЮКО</w:t>
            </w:r>
          </w:p>
        </w:tc>
        <w:tc>
          <w:tcPr>
            <w:tcW w:w="6521" w:type="dxa"/>
            <w:shd w:val="clear" w:color="auto" w:fill="FFFFFF"/>
          </w:tcPr>
          <w:p w14:paraId="7984003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Южно-Казахстанская область</w:t>
            </w:r>
          </w:p>
        </w:tc>
      </w:tr>
      <w:tr w:rsidR="00F0736F" w:rsidRPr="00F0736F" w14:paraId="6B9AD974" w14:textId="77777777" w:rsidTr="00E53A31">
        <w:tc>
          <w:tcPr>
            <w:tcW w:w="3110" w:type="dxa"/>
            <w:shd w:val="clear" w:color="auto" w:fill="FFFFFF"/>
          </w:tcPr>
          <w:p w14:paraId="57CAFA9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ЮНЕП</w:t>
            </w:r>
          </w:p>
        </w:tc>
        <w:tc>
          <w:tcPr>
            <w:tcW w:w="6521" w:type="dxa"/>
            <w:shd w:val="clear" w:color="auto" w:fill="FFFFFF"/>
          </w:tcPr>
          <w:p w14:paraId="20FB8144"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Программа ООН по окружающей среде</w:t>
            </w:r>
          </w:p>
        </w:tc>
      </w:tr>
    </w:tbl>
    <w:p w14:paraId="2E95297C" w14:textId="77777777" w:rsidR="00F674A4" w:rsidRPr="00F0736F" w:rsidRDefault="00F674A4" w:rsidP="008727D9">
      <w:pPr>
        <w:ind w:firstLine="709"/>
        <w:jc w:val="both"/>
        <w:rPr>
          <w:rFonts w:ascii="Times New Roman" w:hAnsi="Times New Roman" w:cs="Times New Roman"/>
          <w:color w:val="000000" w:themeColor="text1"/>
        </w:rPr>
      </w:pPr>
    </w:p>
    <w:p w14:paraId="2B6534B8" w14:textId="77777777" w:rsidR="00F674A4" w:rsidRPr="00F0736F" w:rsidRDefault="00F674A4" w:rsidP="008727D9">
      <w:pPr>
        <w:ind w:firstLine="709"/>
        <w:jc w:val="both"/>
        <w:rPr>
          <w:rFonts w:ascii="Times New Roman" w:hAnsi="Times New Roman" w:cs="Times New Roman"/>
          <w:color w:val="000000" w:themeColor="text1"/>
        </w:rPr>
      </w:pPr>
    </w:p>
    <w:p w14:paraId="64A432E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Единицы измерения </w:t>
      </w:r>
    </w:p>
    <w:tbl>
      <w:tblPr>
        <w:tblW w:w="0" w:type="auto"/>
        <w:tblInd w:w="98" w:type="dxa"/>
        <w:tblLayout w:type="fixed"/>
        <w:tblCellMar>
          <w:left w:w="103" w:type="dxa"/>
        </w:tblCellMar>
        <w:tblLook w:val="0000" w:firstRow="0" w:lastRow="0" w:firstColumn="0" w:lastColumn="0" w:noHBand="0" w:noVBand="0"/>
      </w:tblPr>
      <w:tblGrid>
        <w:gridCol w:w="3116"/>
        <w:gridCol w:w="6386"/>
      </w:tblGrid>
      <w:tr w:rsidR="00F0736F" w:rsidRPr="00F0736F" w14:paraId="43502685" w14:textId="77777777">
        <w:tc>
          <w:tcPr>
            <w:tcW w:w="3116" w:type="dxa"/>
            <w:shd w:val="clear" w:color="auto" w:fill="FFFFFF"/>
          </w:tcPr>
          <w:p w14:paraId="0A42EE9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га</w:t>
            </w:r>
          </w:p>
        </w:tc>
        <w:tc>
          <w:tcPr>
            <w:tcW w:w="6386" w:type="dxa"/>
            <w:shd w:val="clear" w:color="auto" w:fill="FFFFFF"/>
          </w:tcPr>
          <w:p w14:paraId="44C7E2A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гектар</w:t>
            </w:r>
          </w:p>
        </w:tc>
      </w:tr>
      <w:tr w:rsidR="00F0736F" w:rsidRPr="00F0736F" w14:paraId="012A1C18" w14:textId="77777777">
        <w:tc>
          <w:tcPr>
            <w:tcW w:w="3116" w:type="dxa"/>
            <w:shd w:val="clear" w:color="auto" w:fill="FFFFFF"/>
          </w:tcPr>
          <w:p w14:paraId="74E2991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км</w:t>
            </w:r>
            <w:r w:rsidRPr="00F0736F">
              <w:rPr>
                <w:rFonts w:ascii="Times New Roman" w:hAnsi="Times New Roman" w:cs="Times New Roman"/>
                <w:color w:val="000000" w:themeColor="text1"/>
                <w:vertAlign w:val="superscript"/>
              </w:rPr>
              <w:t>2</w:t>
            </w:r>
            <w:r w:rsidRPr="00F0736F">
              <w:rPr>
                <w:rFonts w:ascii="Times New Roman" w:hAnsi="Times New Roman" w:cs="Times New Roman"/>
                <w:color w:val="000000" w:themeColor="text1"/>
              </w:rPr>
              <w:t>, м</w:t>
            </w:r>
            <w:r w:rsidRPr="00F0736F">
              <w:rPr>
                <w:rFonts w:ascii="Times New Roman" w:hAnsi="Times New Roman" w:cs="Times New Roman"/>
                <w:color w:val="000000" w:themeColor="text1"/>
                <w:vertAlign w:val="superscript"/>
              </w:rPr>
              <w:t>2</w:t>
            </w:r>
          </w:p>
        </w:tc>
        <w:tc>
          <w:tcPr>
            <w:tcW w:w="6386" w:type="dxa"/>
            <w:shd w:val="clear" w:color="auto" w:fill="FFFFFF"/>
          </w:tcPr>
          <w:p w14:paraId="3417692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квадратный километр, квадратный метр</w:t>
            </w:r>
          </w:p>
        </w:tc>
      </w:tr>
      <w:tr w:rsidR="00F0736F" w:rsidRPr="00F0736F" w14:paraId="3B76E50E" w14:textId="77777777">
        <w:tc>
          <w:tcPr>
            <w:tcW w:w="3116" w:type="dxa"/>
            <w:shd w:val="clear" w:color="auto" w:fill="FFFFFF"/>
          </w:tcPr>
          <w:p w14:paraId="4784822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км</w:t>
            </w:r>
            <w:r w:rsidRPr="00F0736F">
              <w:rPr>
                <w:rFonts w:ascii="Times New Roman" w:hAnsi="Times New Roman" w:cs="Times New Roman"/>
                <w:color w:val="000000" w:themeColor="text1"/>
                <w:vertAlign w:val="superscript"/>
              </w:rPr>
              <w:t>3</w:t>
            </w:r>
            <w:r w:rsidRPr="00F0736F">
              <w:rPr>
                <w:rFonts w:ascii="Times New Roman" w:hAnsi="Times New Roman" w:cs="Times New Roman"/>
                <w:color w:val="000000" w:themeColor="text1"/>
              </w:rPr>
              <w:t>, м</w:t>
            </w:r>
            <w:r w:rsidRPr="00F0736F">
              <w:rPr>
                <w:rFonts w:ascii="Times New Roman" w:hAnsi="Times New Roman" w:cs="Times New Roman"/>
                <w:color w:val="000000" w:themeColor="text1"/>
                <w:vertAlign w:val="superscript"/>
              </w:rPr>
              <w:t>3</w:t>
            </w:r>
          </w:p>
        </w:tc>
        <w:tc>
          <w:tcPr>
            <w:tcW w:w="6386" w:type="dxa"/>
            <w:shd w:val="clear" w:color="auto" w:fill="FFFFFF"/>
          </w:tcPr>
          <w:p w14:paraId="418236A3"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кубический километр, кубический метр</w:t>
            </w:r>
          </w:p>
        </w:tc>
      </w:tr>
      <w:tr w:rsidR="00F0736F" w:rsidRPr="00F0736F" w14:paraId="54FCA4DF" w14:textId="77777777">
        <w:tc>
          <w:tcPr>
            <w:tcW w:w="3116" w:type="dxa"/>
            <w:shd w:val="clear" w:color="auto" w:fill="FFFFFF"/>
          </w:tcPr>
          <w:p w14:paraId="5B3E1BC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w:t>
            </w:r>
          </w:p>
        </w:tc>
        <w:tc>
          <w:tcPr>
            <w:tcW w:w="6386" w:type="dxa"/>
            <w:shd w:val="clear" w:color="auto" w:fill="FFFFFF"/>
          </w:tcPr>
          <w:p w14:paraId="78BBBADD"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граммы</w:t>
            </w:r>
          </w:p>
        </w:tc>
      </w:tr>
      <w:tr w:rsidR="00F0736F" w:rsidRPr="00F0736F" w14:paraId="3CD0C6C3" w14:textId="77777777">
        <w:tc>
          <w:tcPr>
            <w:tcW w:w="3116" w:type="dxa"/>
            <w:shd w:val="clear" w:color="auto" w:fill="FFFFFF"/>
          </w:tcPr>
          <w:p w14:paraId="7B4DF12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кг</w:t>
            </w:r>
          </w:p>
        </w:tc>
        <w:tc>
          <w:tcPr>
            <w:tcW w:w="6386" w:type="dxa"/>
            <w:shd w:val="clear" w:color="auto" w:fill="FFFFFF"/>
          </w:tcPr>
          <w:p w14:paraId="78284AF6"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килограммы</w:t>
            </w:r>
          </w:p>
        </w:tc>
      </w:tr>
      <w:tr w:rsidR="00F0736F" w:rsidRPr="00F0736F" w14:paraId="042586D0" w14:textId="77777777">
        <w:tc>
          <w:tcPr>
            <w:tcW w:w="3116" w:type="dxa"/>
            <w:shd w:val="clear" w:color="auto" w:fill="FFFFFF"/>
          </w:tcPr>
          <w:p w14:paraId="3066095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w:t>
            </w:r>
          </w:p>
        </w:tc>
        <w:tc>
          <w:tcPr>
            <w:tcW w:w="6386" w:type="dxa"/>
            <w:shd w:val="clear" w:color="auto" w:fill="FFFFFF"/>
          </w:tcPr>
          <w:p w14:paraId="558255E1" w14:textId="77777777" w:rsidR="00F674A4" w:rsidRPr="00F0736F" w:rsidRDefault="00AC18E0" w:rsidP="008727D9">
            <w:pPr>
              <w:ind w:firstLine="709"/>
              <w:jc w:val="both"/>
              <w:rPr>
                <w:color w:val="000000" w:themeColor="text1"/>
              </w:rPr>
            </w:pPr>
            <w:r w:rsidRPr="00F0736F">
              <w:rPr>
                <w:rFonts w:ascii="Times New Roman" w:hAnsi="Times New Roman" w:cs="Times New Roman"/>
                <w:color w:val="000000" w:themeColor="text1"/>
              </w:rPr>
              <w:t>т.</w:t>
            </w:r>
            <w:r w:rsidR="00F674A4" w:rsidRPr="00F0736F">
              <w:rPr>
                <w:rFonts w:ascii="Times New Roman" w:hAnsi="Times New Roman" w:cs="Times New Roman"/>
                <w:color w:val="000000" w:themeColor="text1"/>
              </w:rPr>
              <w:t>ы</w:t>
            </w:r>
          </w:p>
        </w:tc>
      </w:tr>
      <w:tr w:rsidR="00F0736F" w:rsidRPr="00F0736F" w14:paraId="06E4AF3E" w14:textId="77777777">
        <w:tc>
          <w:tcPr>
            <w:tcW w:w="3116" w:type="dxa"/>
            <w:shd w:val="clear" w:color="auto" w:fill="FFFFFF"/>
          </w:tcPr>
          <w:p w14:paraId="2EB1868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тнэ</w:t>
            </w:r>
          </w:p>
        </w:tc>
        <w:tc>
          <w:tcPr>
            <w:tcW w:w="6386" w:type="dxa"/>
            <w:shd w:val="clear" w:color="auto" w:fill="FFFFFF"/>
          </w:tcPr>
          <w:p w14:paraId="6B82758E" w14:textId="77777777" w:rsidR="00F674A4" w:rsidRPr="00F0736F" w:rsidRDefault="00AC18E0" w:rsidP="008727D9">
            <w:pPr>
              <w:ind w:firstLine="709"/>
              <w:jc w:val="both"/>
              <w:rPr>
                <w:color w:val="000000" w:themeColor="text1"/>
              </w:rPr>
            </w:pPr>
            <w:r w:rsidRPr="00F0736F">
              <w:rPr>
                <w:rFonts w:ascii="Times New Roman" w:hAnsi="Times New Roman" w:cs="Times New Roman"/>
                <w:color w:val="000000" w:themeColor="text1"/>
              </w:rPr>
              <w:t>т.</w:t>
            </w:r>
            <w:r w:rsidR="00F674A4" w:rsidRPr="00F0736F">
              <w:rPr>
                <w:rFonts w:ascii="Times New Roman" w:hAnsi="Times New Roman" w:cs="Times New Roman"/>
                <w:color w:val="000000" w:themeColor="text1"/>
              </w:rPr>
              <w:t xml:space="preserve"> нефтяного эквивалента</w:t>
            </w:r>
          </w:p>
        </w:tc>
      </w:tr>
      <w:tr w:rsidR="00F0736F" w:rsidRPr="00F0736F" w14:paraId="23E6F62F" w14:textId="77777777">
        <w:tc>
          <w:tcPr>
            <w:tcW w:w="3116" w:type="dxa"/>
            <w:shd w:val="clear" w:color="auto" w:fill="FFFFFF"/>
          </w:tcPr>
          <w:p w14:paraId="0E238B4F"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ТВт.ч</w:t>
            </w:r>
          </w:p>
        </w:tc>
        <w:tc>
          <w:tcPr>
            <w:tcW w:w="6386" w:type="dxa"/>
            <w:shd w:val="clear" w:color="auto" w:fill="FFFFFF"/>
          </w:tcPr>
          <w:p w14:paraId="04A4088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тераватт часов электричества</w:t>
            </w:r>
          </w:p>
        </w:tc>
      </w:tr>
      <w:tr w:rsidR="00F0736F" w:rsidRPr="00F0736F" w14:paraId="22695531" w14:textId="77777777">
        <w:tc>
          <w:tcPr>
            <w:tcW w:w="3116" w:type="dxa"/>
            <w:shd w:val="clear" w:color="auto" w:fill="FFFFFF"/>
          </w:tcPr>
          <w:p w14:paraId="6E7F4130"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ГВт.ч</w:t>
            </w:r>
          </w:p>
        </w:tc>
        <w:tc>
          <w:tcPr>
            <w:tcW w:w="6386" w:type="dxa"/>
            <w:shd w:val="clear" w:color="auto" w:fill="FFFFFF"/>
          </w:tcPr>
          <w:p w14:paraId="22F4BFA8"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гигаватт часов электричества</w:t>
            </w:r>
          </w:p>
        </w:tc>
      </w:tr>
      <w:tr w:rsidR="00F0736F" w:rsidRPr="00F0736F" w14:paraId="05790CFF" w14:textId="77777777">
        <w:tc>
          <w:tcPr>
            <w:tcW w:w="3116" w:type="dxa"/>
            <w:shd w:val="clear" w:color="auto" w:fill="FFFFFF"/>
          </w:tcPr>
          <w:p w14:paraId="3DF60561"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Гкал</w:t>
            </w:r>
          </w:p>
        </w:tc>
        <w:tc>
          <w:tcPr>
            <w:tcW w:w="6386" w:type="dxa"/>
            <w:shd w:val="clear" w:color="auto" w:fill="FFFFFF"/>
          </w:tcPr>
          <w:p w14:paraId="22392625"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гигакалории</w:t>
            </w:r>
          </w:p>
        </w:tc>
      </w:tr>
      <w:tr w:rsidR="00F0736F" w:rsidRPr="00F0736F" w14:paraId="309F6465" w14:textId="77777777">
        <w:tc>
          <w:tcPr>
            <w:tcW w:w="3116" w:type="dxa"/>
            <w:shd w:val="clear" w:color="auto" w:fill="FFFFFF"/>
          </w:tcPr>
          <w:p w14:paraId="0FF444E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МВт</w:t>
            </w:r>
          </w:p>
        </w:tc>
        <w:tc>
          <w:tcPr>
            <w:tcW w:w="6386" w:type="dxa"/>
            <w:shd w:val="clear" w:color="auto" w:fill="FFFFFF"/>
          </w:tcPr>
          <w:p w14:paraId="29049A4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 xml:space="preserve">мегаватт (мощность) </w:t>
            </w:r>
          </w:p>
        </w:tc>
      </w:tr>
      <w:tr w:rsidR="00F0736F" w:rsidRPr="00F0736F" w14:paraId="044FFB6E" w14:textId="77777777">
        <w:tc>
          <w:tcPr>
            <w:tcW w:w="3116" w:type="dxa"/>
            <w:shd w:val="clear" w:color="auto" w:fill="FFFFFF"/>
          </w:tcPr>
          <w:p w14:paraId="6DDB3EE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тыс.</w:t>
            </w:r>
          </w:p>
        </w:tc>
        <w:tc>
          <w:tcPr>
            <w:tcW w:w="6386" w:type="dxa"/>
            <w:shd w:val="clear" w:color="auto" w:fill="FFFFFF"/>
          </w:tcPr>
          <w:p w14:paraId="0F09C17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тысяч</w:t>
            </w:r>
          </w:p>
        </w:tc>
      </w:tr>
      <w:tr w:rsidR="00F0736F" w:rsidRPr="00F0736F" w14:paraId="72664819" w14:textId="77777777">
        <w:tc>
          <w:tcPr>
            <w:tcW w:w="3116" w:type="dxa"/>
            <w:shd w:val="clear" w:color="auto" w:fill="FFFFFF"/>
          </w:tcPr>
          <w:p w14:paraId="0B6D4E7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млн.</w:t>
            </w:r>
          </w:p>
        </w:tc>
        <w:tc>
          <w:tcPr>
            <w:tcW w:w="6386" w:type="dxa"/>
            <w:shd w:val="clear" w:color="auto" w:fill="FFFFFF"/>
          </w:tcPr>
          <w:p w14:paraId="7B687BE7"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миллионов</w:t>
            </w:r>
          </w:p>
        </w:tc>
      </w:tr>
      <w:tr w:rsidR="00F0736F" w:rsidRPr="00F0736F" w14:paraId="2603D77E" w14:textId="77777777">
        <w:tc>
          <w:tcPr>
            <w:tcW w:w="3116" w:type="dxa"/>
            <w:shd w:val="clear" w:color="auto" w:fill="FFFFFF"/>
          </w:tcPr>
          <w:p w14:paraId="58E8D899"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млрд.</w:t>
            </w:r>
          </w:p>
        </w:tc>
        <w:tc>
          <w:tcPr>
            <w:tcW w:w="6386" w:type="dxa"/>
            <w:shd w:val="clear" w:color="auto" w:fill="FFFFFF"/>
          </w:tcPr>
          <w:p w14:paraId="77CA469C"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миллиардов</w:t>
            </w:r>
          </w:p>
        </w:tc>
      </w:tr>
      <w:tr w:rsidR="00F0736F" w:rsidRPr="00F0736F" w14:paraId="68542139" w14:textId="77777777">
        <w:tc>
          <w:tcPr>
            <w:tcW w:w="3116" w:type="dxa"/>
            <w:shd w:val="clear" w:color="auto" w:fill="FFFFFF"/>
          </w:tcPr>
          <w:p w14:paraId="7C6ECA52"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трлн.</w:t>
            </w:r>
          </w:p>
        </w:tc>
        <w:tc>
          <w:tcPr>
            <w:tcW w:w="6386" w:type="dxa"/>
            <w:shd w:val="clear" w:color="auto" w:fill="FFFFFF"/>
          </w:tcPr>
          <w:p w14:paraId="4154ABEB" w14:textId="77777777" w:rsidR="00F674A4" w:rsidRPr="00F0736F" w:rsidRDefault="00F674A4" w:rsidP="008727D9">
            <w:pPr>
              <w:ind w:firstLine="709"/>
              <w:jc w:val="both"/>
              <w:rPr>
                <w:color w:val="000000" w:themeColor="text1"/>
              </w:rPr>
            </w:pPr>
            <w:r w:rsidRPr="00F0736F">
              <w:rPr>
                <w:rFonts w:ascii="Times New Roman" w:hAnsi="Times New Roman" w:cs="Times New Roman"/>
                <w:color w:val="000000" w:themeColor="text1"/>
              </w:rPr>
              <w:t>триллионов</w:t>
            </w:r>
          </w:p>
        </w:tc>
      </w:tr>
    </w:tbl>
    <w:p w14:paraId="7E8B7327" w14:textId="77777777" w:rsidR="00F674A4" w:rsidRPr="00F0736F" w:rsidRDefault="00F674A4" w:rsidP="008727D9">
      <w:pPr>
        <w:ind w:firstLine="709"/>
        <w:jc w:val="both"/>
        <w:rPr>
          <w:rFonts w:ascii="Times New Roman" w:hAnsi="Times New Roman" w:cs="Times New Roman"/>
          <w:color w:val="000000" w:themeColor="text1"/>
        </w:rPr>
      </w:pPr>
    </w:p>
    <w:p w14:paraId="46CD8B24" w14:textId="77777777" w:rsidR="00F674A4" w:rsidRPr="00F0736F" w:rsidRDefault="00F674A4" w:rsidP="008727D9">
      <w:pPr>
        <w:ind w:firstLine="709"/>
        <w:jc w:val="both"/>
        <w:rPr>
          <w:rFonts w:ascii="Times New Roman" w:hAnsi="Times New Roman" w:cs="Times New Roman"/>
          <w:b/>
          <w:bCs/>
          <w:color w:val="000000" w:themeColor="text1"/>
        </w:rPr>
      </w:pPr>
    </w:p>
    <w:p w14:paraId="565FB42D" w14:textId="77777777" w:rsidR="00F674A4" w:rsidRPr="00F0736F" w:rsidRDefault="000E6880" w:rsidP="000E6880">
      <w:pPr>
        <w:pageBreakBefore/>
        <w:jc w:val="both"/>
        <w:rPr>
          <w:color w:val="000000" w:themeColor="text1"/>
        </w:rPr>
      </w:pPr>
      <w:r w:rsidRPr="00F0736F">
        <w:rPr>
          <w:rFonts w:ascii="Times New Roman" w:hAnsi="Times New Roman" w:cs="Times New Roman"/>
          <w:b/>
          <w:bCs/>
          <w:color w:val="000000" w:themeColor="text1"/>
        </w:rPr>
        <w:t xml:space="preserve"> </w:t>
      </w:r>
    </w:p>
    <w:p w14:paraId="309002DB" w14:textId="77777777" w:rsidR="00A37F8A" w:rsidRPr="007272FB" w:rsidRDefault="00A37F8A" w:rsidP="007272FB">
      <w:pPr>
        <w:pStyle w:val="1"/>
        <w:ind w:firstLine="709"/>
        <w:rPr>
          <w:rFonts w:ascii="Times New Roman" w:hAnsi="Times New Roman" w:cs="Times New Roman"/>
          <w:color w:val="000000" w:themeColor="text1"/>
          <w:sz w:val="24"/>
          <w:szCs w:val="24"/>
        </w:rPr>
      </w:pPr>
      <w:bookmarkStart w:id="65" w:name="__DdeLink__27252_57650183411"/>
      <w:bookmarkStart w:id="66" w:name="__DdeLink__27252_576501834"/>
      <w:bookmarkStart w:id="67" w:name="_Toc57818754"/>
      <w:bookmarkEnd w:id="65"/>
      <w:bookmarkEnd w:id="66"/>
      <w:r w:rsidRPr="007272FB">
        <w:rPr>
          <w:rFonts w:ascii="Times New Roman" w:hAnsi="Times New Roman" w:cs="Times New Roman"/>
          <w:color w:val="000000" w:themeColor="text1"/>
          <w:sz w:val="24"/>
          <w:szCs w:val="24"/>
        </w:rPr>
        <w:t>Источники информации</w:t>
      </w:r>
      <w:bookmarkEnd w:id="67"/>
    </w:p>
    <w:p w14:paraId="1FCA639A" w14:textId="77777777" w:rsidR="00A37F8A" w:rsidRPr="00F0736F" w:rsidRDefault="00A37F8A" w:rsidP="00A37F8A">
      <w:pPr>
        <w:ind w:firstLine="709"/>
        <w:jc w:val="both"/>
        <w:rPr>
          <w:rFonts w:ascii="Times New Roman" w:hAnsi="Times New Roman" w:cs="Times New Roman"/>
          <w:color w:val="000000" w:themeColor="text1"/>
        </w:rPr>
      </w:pPr>
    </w:p>
    <w:p w14:paraId="325BCED5"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rPr>
      </w:pPr>
      <w:r w:rsidRPr="003C077D">
        <w:rPr>
          <w:rFonts w:ascii="Times New Roman" w:hAnsi="Times New Roman" w:cs="Times New Roman"/>
          <w:color w:val="000000" w:themeColor="text1"/>
          <w:sz w:val="24"/>
          <w:szCs w:val="24"/>
        </w:rPr>
        <w:t>Абейсингхе А., Дамбахер Б., Бирнес Р.Национальные планы адаптации: понимание мандатов и обмен опытом. Международный институт экологического развития. 2017 (</w:t>
      </w:r>
      <w:hyperlink r:id="rId63" w:history="1">
        <w:r w:rsidRPr="003C077D">
          <w:rPr>
            <w:rStyle w:val="a6"/>
            <w:rFonts w:ascii="Times New Roman" w:hAnsi="Times New Roman" w:cs="Times New Roman"/>
            <w:color w:val="000000" w:themeColor="text1"/>
            <w:sz w:val="24"/>
            <w:szCs w:val="24"/>
          </w:rPr>
          <w:t>http://www4.unfccc.int/nap/Documents%20NAP/Supplements/Understanding_mandates_NAPs.pdf</w:t>
        </w:r>
      </w:hyperlink>
      <w:r w:rsidRPr="003C077D">
        <w:rPr>
          <w:rFonts w:ascii="Times New Roman" w:hAnsi="Times New Roman" w:cs="Times New Roman"/>
          <w:color w:val="000000" w:themeColor="text1"/>
          <w:sz w:val="24"/>
          <w:szCs w:val="24"/>
        </w:rPr>
        <w:t>)</w:t>
      </w:r>
    </w:p>
    <w:p w14:paraId="071A8A9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Аналитическая справка «Актуальные вопросы обеспечения качественной питьевой водой населенных пунктов Республики Казахстан». 24 ноября 2017 года. </w:t>
      </w:r>
      <w:bookmarkStart w:id="68" w:name="__DdeLink__57665_1720979206"/>
      <w:bookmarkEnd w:id="68"/>
    </w:p>
    <w:p w14:paraId="204361BA" w14:textId="77777777" w:rsidR="00A37F8A" w:rsidRPr="003C077D" w:rsidRDefault="00314538" w:rsidP="003C077D">
      <w:pPr>
        <w:pStyle w:val="affffd"/>
        <w:numPr>
          <w:ilvl w:val="0"/>
          <w:numId w:val="17"/>
        </w:numPr>
        <w:tabs>
          <w:tab w:val="left" w:pos="1134"/>
        </w:tabs>
        <w:ind w:left="0" w:firstLine="709"/>
        <w:jc w:val="both"/>
        <w:rPr>
          <w:rFonts w:ascii="Times New Roman" w:hAnsi="Times New Roman"/>
          <w:color w:val="000000" w:themeColor="text1"/>
        </w:rPr>
      </w:pPr>
      <w:hyperlink r:id="rId64" w:history="1">
        <w:r w:rsidR="00A37F8A" w:rsidRPr="003C077D">
          <w:rPr>
            <w:rStyle w:val="a6"/>
            <w:rFonts w:ascii="Times New Roman" w:hAnsi="Times New Roman"/>
            <w:color w:val="000000" w:themeColor="text1"/>
          </w:rPr>
          <w:t>Возможности Номинации Объектов всемирного Природного и Смешанного Наследия в Центральной Азии.</w:t>
        </w:r>
      </w:hyperlink>
      <w:r w:rsidR="00A37F8A" w:rsidRPr="003C077D">
        <w:rPr>
          <w:rFonts w:ascii="Times New Roman" w:hAnsi="Times New Roman"/>
          <w:color w:val="000000" w:themeColor="text1"/>
        </w:rPr>
        <w:t xml:space="preserve"> Протокол регионального семинара ЮНЕСКО.</w:t>
      </w:r>
    </w:p>
    <w:p w14:paraId="5408F01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Всемирная организация здравоохранения. Руководство по обеспечению санитарии и охраны здоровья населения [Guidelines on sanitation and health]. 2019.</w:t>
      </w:r>
    </w:p>
    <w:p w14:paraId="75F076A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Всемирный банк. В поисках новой модели роста. 2018.</w:t>
      </w:r>
    </w:p>
    <w:p w14:paraId="2505CB80"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Всемирный банк. Зеленая экономика: реалии и перспективы в Казахстане. 2018 год.</w:t>
      </w:r>
    </w:p>
    <w:p w14:paraId="6A5CC2B1"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6"/>
          <w:rFonts w:ascii="Times New Roman" w:hAnsi="Times New Roman"/>
          <w:color w:val="000000" w:themeColor="text1"/>
        </w:rPr>
        <w:t>Всемирный доклад Организации Объединенных Наций о состоянии водных ресурсов, 2017 г.</w:t>
      </w:r>
    </w:p>
    <w:p w14:paraId="03A5EE4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Всемирный доклад Организации Объединенных Наций о состоянии водных ресурсов, 2019 г. «Не оставляя никого в стороне».</w:t>
      </w:r>
    </w:p>
    <w:p w14:paraId="0FB3A5F7"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Выступление Президента РК Токаева К.К на расширенном заседании Правительства РК 15 июля 2019 года.</w:t>
      </w:r>
    </w:p>
    <w:p w14:paraId="79F2ABBA"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6"/>
          <w:rFonts w:ascii="Times New Roman" w:hAnsi="Times New Roman"/>
          <w:color w:val="000000" w:themeColor="text1"/>
        </w:rPr>
        <w:t>Германский План по защите климата. Защита климата в цифрах. Факты, тенденции и импульсы немецкой климатической политики. 2019. Нем.</w:t>
      </w:r>
    </w:p>
    <w:p w14:paraId="6DB2E4D8"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Государственная </w:t>
      </w:r>
      <w:hyperlink r:id="rId65" w:anchor="z12" w:history="1">
        <w:r w:rsidRPr="003C077D">
          <w:rPr>
            <w:rStyle w:val="a6"/>
            <w:rFonts w:ascii="Times New Roman" w:hAnsi="Times New Roman"/>
            <w:color w:val="000000" w:themeColor="text1"/>
          </w:rPr>
          <w:t>программ</w:t>
        </w:r>
      </w:hyperlink>
      <w:r w:rsidRPr="003C077D">
        <w:rPr>
          <w:rStyle w:val="a6"/>
          <w:rFonts w:ascii="Times New Roman" w:hAnsi="Times New Roman"/>
          <w:color w:val="000000" w:themeColor="text1"/>
        </w:rPr>
        <w:t>а</w:t>
      </w:r>
      <w:r w:rsidRPr="003C077D">
        <w:rPr>
          <w:rFonts w:ascii="Times New Roman" w:hAnsi="Times New Roman"/>
          <w:color w:val="000000" w:themeColor="text1"/>
        </w:rPr>
        <w:t xml:space="preserve"> инфраструктурного развития "Нұрлы жол" на 2015 – 2019 годы. Постановление Правительства Республики Казахстан от 30 июля 2018 года №470. </w:t>
      </w:r>
    </w:p>
    <w:p w14:paraId="0302306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Государственная программа развития агропромышленного комплекса Республики Казахстан на 2017 – 2021 годы, утвержденная Указом Президента РК от 14.02.2017 г. №420.</w:t>
      </w:r>
    </w:p>
    <w:p w14:paraId="0608861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Государственная программа развития регионов до 2020 года. Постановление Правительства Республики Казахстан от 16 ноября 2018 года №767.</w:t>
      </w:r>
    </w:p>
    <w:p w14:paraId="100DC91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Доклад ЮНЕП "Передовые рубежи 2018/19 года" (</w:t>
      </w:r>
      <w:hyperlink r:id="rId66" w:history="1">
        <w:r w:rsidRPr="003C077D">
          <w:rPr>
            <w:rStyle w:val="a6"/>
            <w:rFonts w:ascii="Times New Roman" w:hAnsi="Times New Roman"/>
            <w:color w:val="000000" w:themeColor="text1"/>
          </w:rPr>
          <w:t>https://www.unenvironment.org/ru/resources/doklad-peredovye-rubezhi-201819-goda-namechayuschiesya-problemy-imeyuschie-ekologicheskoe</w:t>
        </w:r>
      </w:hyperlink>
      <w:r w:rsidRPr="003C077D">
        <w:rPr>
          <w:rFonts w:ascii="Times New Roman" w:hAnsi="Times New Roman"/>
          <w:color w:val="000000" w:themeColor="text1"/>
        </w:rPr>
        <w:t>)</w:t>
      </w:r>
    </w:p>
    <w:p w14:paraId="7BE7B3C2"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lang w:val="en-US"/>
        </w:rPr>
      </w:pPr>
      <w:r w:rsidRPr="003C077D">
        <w:rPr>
          <w:rFonts w:ascii="Times New Roman" w:hAnsi="Times New Roman" w:cs="Times New Roman"/>
          <w:color w:val="000000" w:themeColor="text1"/>
          <w:sz w:val="24"/>
          <w:szCs w:val="24"/>
        </w:rPr>
        <w:t xml:space="preserve">Европейская экономическая комиссия ООН. Руководство по воде и адаптации к изменению климата. </w:t>
      </w:r>
      <w:r w:rsidRPr="003C077D">
        <w:rPr>
          <w:rFonts w:ascii="Times New Roman" w:hAnsi="Times New Roman" w:cs="Times New Roman"/>
          <w:color w:val="000000" w:themeColor="text1"/>
          <w:sz w:val="24"/>
          <w:szCs w:val="24"/>
          <w:lang w:val="en-US"/>
        </w:rPr>
        <w:t xml:space="preserve">2009. </w:t>
      </w:r>
      <w:r w:rsidRPr="003C077D">
        <w:rPr>
          <w:rFonts w:ascii="Times New Roman" w:hAnsi="Times New Roman" w:cs="Times New Roman"/>
          <w:color w:val="000000" w:themeColor="text1"/>
          <w:sz w:val="24"/>
          <w:szCs w:val="24"/>
        </w:rPr>
        <w:t>Доступно</w:t>
      </w:r>
      <w:r w:rsidRPr="003C077D">
        <w:rPr>
          <w:rFonts w:ascii="Times New Roman" w:hAnsi="Times New Roman" w:cs="Times New Roman"/>
          <w:color w:val="000000" w:themeColor="text1"/>
          <w:sz w:val="24"/>
          <w:szCs w:val="24"/>
          <w:lang w:val="en-US"/>
        </w:rPr>
        <w:t xml:space="preserve"> </w:t>
      </w:r>
      <w:r w:rsidRPr="003C077D">
        <w:rPr>
          <w:rFonts w:ascii="Times New Roman" w:hAnsi="Times New Roman" w:cs="Times New Roman"/>
          <w:color w:val="000000" w:themeColor="text1"/>
          <w:sz w:val="24"/>
          <w:szCs w:val="24"/>
        </w:rPr>
        <w:t>по</w:t>
      </w:r>
      <w:r w:rsidRPr="003C077D">
        <w:rPr>
          <w:rFonts w:ascii="Times New Roman" w:hAnsi="Times New Roman" w:cs="Times New Roman"/>
          <w:color w:val="000000" w:themeColor="text1"/>
          <w:sz w:val="24"/>
          <w:szCs w:val="24"/>
          <w:lang w:val="en-US"/>
        </w:rPr>
        <w:t xml:space="preserve"> </w:t>
      </w:r>
      <w:r w:rsidRPr="003C077D">
        <w:rPr>
          <w:rFonts w:ascii="Times New Roman" w:hAnsi="Times New Roman" w:cs="Times New Roman"/>
          <w:color w:val="000000" w:themeColor="text1"/>
          <w:sz w:val="24"/>
          <w:szCs w:val="24"/>
        </w:rPr>
        <w:t>адресу</w:t>
      </w:r>
      <w:r w:rsidRPr="003C077D">
        <w:rPr>
          <w:rFonts w:ascii="Times New Roman" w:hAnsi="Times New Roman" w:cs="Times New Roman"/>
          <w:color w:val="000000" w:themeColor="text1"/>
          <w:sz w:val="24"/>
          <w:szCs w:val="24"/>
          <w:lang w:val="en-US"/>
        </w:rPr>
        <w:t xml:space="preserve">: </w:t>
      </w:r>
      <w:hyperlink r:id="rId67" w:history="1">
        <w:r w:rsidR="00656FD7" w:rsidRPr="003C077D">
          <w:rPr>
            <w:rStyle w:val="a6"/>
            <w:rFonts w:ascii="Times New Roman" w:hAnsi="Times New Roman" w:cs="Times New Roman"/>
            <w:color w:val="000000" w:themeColor="text1"/>
            <w:sz w:val="24"/>
            <w:szCs w:val="24"/>
            <w:lang w:val="en-US"/>
          </w:rPr>
          <w:t>https://www.unece.org/fileadmin/DAM/env/</w:t>
        </w:r>
      </w:hyperlink>
      <w:r w:rsidR="00656FD7" w:rsidRPr="003C077D">
        <w:rPr>
          <w:rFonts w:ascii="Times New Roman" w:hAnsi="Times New Roman" w:cs="Times New Roman"/>
          <w:color w:val="000000" w:themeColor="text1"/>
          <w:sz w:val="24"/>
          <w:szCs w:val="24"/>
          <w:lang w:val="en-US"/>
        </w:rPr>
        <w:t xml:space="preserve"> </w:t>
      </w:r>
      <w:r w:rsidRPr="003C077D">
        <w:rPr>
          <w:rFonts w:ascii="Times New Roman" w:hAnsi="Times New Roman" w:cs="Times New Roman"/>
          <w:color w:val="000000" w:themeColor="text1"/>
          <w:sz w:val="24"/>
          <w:szCs w:val="24"/>
          <w:lang w:val="en-US"/>
        </w:rPr>
        <w:t>water/publications/documents/Guidance_water_climate.pdf.</w:t>
      </w:r>
    </w:p>
    <w:p w14:paraId="02E81094"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rPr>
      </w:pPr>
      <w:r w:rsidRPr="003C077D">
        <w:rPr>
          <w:rFonts w:ascii="Times New Roman" w:hAnsi="Times New Roman" w:cs="Times New Roman"/>
          <w:color w:val="000000" w:themeColor="text1"/>
          <w:sz w:val="24"/>
          <w:szCs w:val="24"/>
        </w:rPr>
        <w:t>Европейский Союз. Руководство по интеграции изменения климата и биоразнообразия в оценку воздействия на окружающую среду. 2013 (</w:t>
      </w:r>
      <w:hyperlink r:id="rId68" w:history="1">
        <w:r w:rsidRPr="003C077D">
          <w:rPr>
            <w:rStyle w:val="a6"/>
            <w:rFonts w:ascii="Times New Roman" w:hAnsi="Times New Roman" w:cs="Times New Roman"/>
            <w:color w:val="000000" w:themeColor="text1"/>
            <w:sz w:val="24"/>
            <w:szCs w:val="24"/>
          </w:rPr>
          <w:t>http://ec.europa.eu/environment/eia/pdf/EIA%20Guidance.pdf</w:t>
        </w:r>
      </w:hyperlink>
      <w:r w:rsidRPr="003C077D">
        <w:rPr>
          <w:rFonts w:ascii="Times New Roman" w:hAnsi="Times New Roman" w:cs="Times New Roman"/>
          <w:color w:val="000000" w:themeColor="text1"/>
          <w:sz w:val="24"/>
          <w:szCs w:val="24"/>
        </w:rPr>
        <w:t xml:space="preserve"> ).</w:t>
      </w:r>
    </w:p>
    <w:p w14:paraId="1BD0B9A3"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ЕЭК ООН, Путь к чистому воздуху. 2016 г.</w:t>
      </w:r>
    </w:p>
    <w:p w14:paraId="316E5AB7"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ЕЭК ООН. Чистый воздух для жизни. 2016 г.</w:t>
      </w:r>
    </w:p>
    <w:p w14:paraId="719AE74F"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eastAsia="Times New Roman" w:hAnsi="Times New Roman"/>
          <w:color w:val="000000" w:themeColor="text1"/>
        </w:rPr>
        <w:t>Информационный портал «Пилотные проекты в области сохранения и устойчивого использования экосистем» (</w:t>
      </w:r>
      <w:hyperlink r:id="rId69" w:history="1">
        <w:r w:rsidR="00273E6C" w:rsidRPr="003C077D">
          <w:rPr>
            <w:rStyle w:val="a6"/>
            <w:rFonts w:ascii="Times New Roman" w:hAnsi="Times New Roman"/>
            <w:color w:val="000000" w:themeColor="text1"/>
          </w:rPr>
          <w:t>http://www.kz.undp.org/content/kazakhstan/en/home/operations/ projects/environment_and_energy.html</w:t>
        </w:r>
      </w:hyperlink>
      <w:r w:rsidRPr="003C077D">
        <w:rPr>
          <w:rStyle w:val="a6"/>
          <w:rFonts w:ascii="Times New Roman" w:hAnsi="Times New Roman"/>
          <w:color w:val="000000" w:themeColor="text1"/>
        </w:rPr>
        <w:t>)</w:t>
      </w:r>
    </w:p>
    <w:p w14:paraId="5EA8B0D1"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rPr>
      </w:pPr>
      <w:r w:rsidRPr="003C077D">
        <w:rPr>
          <w:rStyle w:val="a6"/>
          <w:rFonts w:ascii="Times New Roman" w:hAnsi="Times New Roman" w:cs="Times New Roman"/>
          <w:color w:val="000000" w:themeColor="text1"/>
          <w:sz w:val="24"/>
          <w:szCs w:val="24"/>
        </w:rPr>
        <w:t xml:space="preserve">Использование водных ресурсов и орошаемое земледелие: мировой опыт. Научно-информационный центр Межгосударственной координационной водохозяйственной комиссии Центральной Азии (НИЦ МКВК ЦА). Ташкент. 2020 г. </w:t>
      </w:r>
    </w:p>
    <w:p w14:paraId="08942A28"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f1"/>
          <w:rFonts w:ascii="Times New Roman" w:hAnsi="Times New Roman"/>
          <w:b w:val="0"/>
          <w:bCs w:val="0"/>
          <w:color w:val="000000" w:themeColor="text1"/>
        </w:rPr>
        <w:t xml:space="preserve">Карта энергоэффективности в рамках реализации 59 шага плана нации «100 конкретных шагов». ао «институт развития электроэнергетики и энергосбережения» (казахэнергоэкспертиза). астана 2016 г. </w:t>
      </w:r>
      <w:hyperlink r:id="rId70" w:history="1">
        <w:r w:rsidRPr="003C077D">
          <w:rPr>
            <w:rStyle w:val="a6"/>
            <w:rFonts w:ascii="Times New Roman" w:hAnsi="Times New Roman"/>
            <w:color w:val="000000" w:themeColor="text1"/>
          </w:rPr>
          <w:t>http://kazee.kz/karta-energoeffektivnosti</w:t>
        </w:r>
      </w:hyperlink>
    </w:p>
    <w:p w14:paraId="3721E70C"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Концепция по переходу Республики Казахстан к «зеленой экономике». Утверждена Указом Президента Республики Казахстан от 30 мая 2013 года № 577.</w:t>
      </w:r>
    </w:p>
    <w:p w14:paraId="2AA978C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Концепция по сохранению и устойчивому использованию биологического разнообразия Республики Казахстан до 2030 года. Астана.2015 г.</w:t>
      </w:r>
    </w:p>
    <w:p w14:paraId="428B0D5C"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rPr>
      </w:pPr>
      <w:r w:rsidRPr="003C077D">
        <w:rPr>
          <w:rFonts w:ascii="Times New Roman" w:hAnsi="Times New Roman" w:cs="Times New Roman"/>
          <w:color w:val="000000" w:themeColor="text1"/>
          <w:sz w:val="24"/>
          <w:szCs w:val="24"/>
        </w:rPr>
        <w:t xml:space="preserve">Межгосударственная Координационная Водохозяйственная Комиссия Центральной Азии. бюллетень №1 (84). Июнь 2020.  </w:t>
      </w:r>
    </w:p>
    <w:p w14:paraId="6B8C5C8F"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eastAsia="Times New Roman" w:hAnsi="Times New Roman"/>
          <w:color w:val="000000" w:themeColor="text1"/>
          <w:spacing w:val="3"/>
        </w:rPr>
        <w:t>Назарбаев Нурсултан.</w:t>
      </w:r>
      <w:r w:rsidRPr="003C077D">
        <w:rPr>
          <w:rFonts w:ascii="Times New Roman" w:eastAsia="Times New Roman" w:hAnsi="Times New Roman"/>
          <w:color w:val="000000" w:themeColor="text1"/>
        </w:rPr>
        <w:t xml:space="preserve"> Глобальная энергоэкологическая стратегия устойчивого раз</w:t>
      </w:r>
      <w:r w:rsidRPr="003C077D">
        <w:rPr>
          <w:rFonts w:ascii="Times New Roman" w:eastAsia="Times New Roman" w:hAnsi="Times New Roman"/>
          <w:color w:val="000000" w:themeColor="text1"/>
        </w:rPr>
        <w:softHyphen/>
        <w:t xml:space="preserve">вития в </w:t>
      </w:r>
      <w:r w:rsidRPr="003C077D">
        <w:rPr>
          <w:rFonts w:ascii="Times New Roman" w:eastAsia="Times New Roman" w:hAnsi="Times New Roman"/>
          <w:color w:val="000000" w:themeColor="text1"/>
          <w:lang w:val="en-US"/>
        </w:rPr>
        <w:t>XXI</w:t>
      </w:r>
      <w:r w:rsidRPr="003C077D">
        <w:rPr>
          <w:rFonts w:ascii="Times New Roman" w:eastAsia="Times New Roman" w:hAnsi="Times New Roman"/>
          <w:color w:val="000000" w:themeColor="text1"/>
        </w:rPr>
        <w:t xml:space="preserve"> (научное видение) / Нурсултан Назарбаев. - Москва: Экономика, 2011. - 54 с.</w:t>
      </w:r>
    </w:p>
    <w:p w14:paraId="02C7C780"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Национальный отчет по реализации Концепции по переходу Республики Казахстан к «зеленой экономике» за 2013 - 2016 годы (</w:t>
      </w:r>
      <w:hyperlink r:id="rId71" w:history="1">
        <w:r w:rsidRPr="003C077D">
          <w:rPr>
            <w:rStyle w:val="a6"/>
            <w:rFonts w:ascii="Times New Roman" w:hAnsi="Times New Roman"/>
            <w:color w:val="000000" w:themeColor="text1"/>
          </w:rPr>
          <w:t>http://energo.gov.kz/index.php?id=11860</w:t>
        </w:r>
      </w:hyperlink>
      <w:r w:rsidRPr="003C077D">
        <w:rPr>
          <w:rStyle w:val="a6"/>
          <w:rFonts w:ascii="Times New Roman" w:hAnsi="Times New Roman"/>
          <w:color w:val="000000" w:themeColor="text1"/>
        </w:rPr>
        <w:t>).</w:t>
      </w:r>
    </w:p>
    <w:p w14:paraId="453D1C31"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Национальный доклад РК о кадастре антропогенных выбросов из источников и абсорбции поглотителями парниковых газов, не регулируемых Монреальским протоколом за 1990 - 2017 гг. (</w:t>
      </w:r>
      <w:hyperlink r:id="rId72" w:history="1">
        <w:r w:rsidRPr="003C077D">
          <w:rPr>
            <w:rStyle w:val="a6"/>
            <w:rFonts w:ascii="Times New Roman" w:hAnsi="Times New Roman"/>
            <w:color w:val="000000" w:themeColor="text1"/>
          </w:rPr>
          <w:t>https://unfccc.int/documents?search2=&amp;search3=&amp;f%5B0%5D=country%3A1379</w:t>
        </w:r>
      </w:hyperlink>
      <w:r w:rsidRPr="003C077D">
        <w:rPr>
          <w:rFonts w:ascii="Times New Roman" w:hAnsi="Times New Roman"/>
          <w:color w:val="000000" w:themeColor="text1"/>
        </w:rPr>
        <w:t>).</w:t>
      </w:r>
    </w:p>
    <w:p w14:paraId="546F617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f1"/>
          <w:rFonts w:ascii="Times New Roman" w:hAnsi="Times New Roman"/>
          <w:b w:val="0"/>
          <w:bCs w:val="0"/>
          <w:color w:val="000000" w:themeColor="text1"/>
        </w:rPr>
        <w:t xml:space="preserve">Национальный энергетический доклад 2017 г. для Республики Казахстан: Устойчивая энергетика для устойчивой экономики. Проект. IHS Markit. 2017. </w:t>
      </w:r>
    </w:p>
    <w:p w14:paraId="4FFADEA8"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Национальный энергетический доклад 2017. </w:t>
      </w:r>
      <w:r w:rsidRPr="003C077D">
        <w:rPr>
          <w:rFonts w:ascii="Times New Roman" w:hAnsi="Times New Roman"/>
          <w:smallCaps/>
          <w:color w:val="000000" w:themeColor="text1"/>
        </w:rPr>
        <w:t>Kazenergy.</w:t>
      </w:r>
    </w:p>
    <w:p w14:paraId="663CB75C"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6"/>
          <w:rFonts w:ascii="Times New Roman" w:hAnsi="Times New Roman"/>
          <w:color w:val="000000" w:themeColor="text1"/>
        </w:rPr>
        <w:t>Обзор деятельности по обеспечению безопасности гидротехнических сооружений в Казахстане. Региональное совещание по сотрудничеству по безопасности плотин в Центральной Азии 2 - 3 мая 2019 года, г. Ташкент.</w:t>
      </w:r>
    </w:p>
    <w:p w14:paraId="4253269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Об утверждении Базового перечня показателей. Приказ Министра национальной экономики Республики Казахстан от 19 декабря 2018 года №104.</w:t>
      </w:r>
    </w:p>
    <w:p w14:paraId="0AFBD3A9"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f1"/>
          <w:rFonts w:ascii="Times New Roman" w:hAnsi="Times New Roman"/>
          <w:b w:val="0"/>
          <w:bCs w:val="0"/>
          <w:color w:val="000000" w:themeColor="text1"/>
        </w:rPr>
        <w:t>Об утверждении Государственной программы индустриально-инновационного развития Республики Казахстан на 2015 - 2019 годы и о внесении дополнения в Указ Президента Республики Казахстан от 19 марта 2010 года №957 "Об утверждении Перечня государственных программ" Указ Президента Республики Казахстан от 1 августа 2014 года №874.</w:t>
      </w:r>
    </w:p>
    <w:p w14:paraId="79F3B057"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6"/>
          <w:rFonts w:ascii="Times New Roman" w:eastAsia="SimSun" w:hAnsi="Times New Roman"/>
          <w:color w:val="000000" w:themeColor="text1"/>
        </w:rPr>
        <w:t>.</w:t>
      </w:r>
      <w:hyperlink r:id="rId73" w:history="1">
        <w:r w:rsidRPr="003C077D">
          <w:rPr>
            <w:rStyle w:val="a6"/>
            <w:rFonts w:ascii="Times New Roman" w:eastAsia="SimSun" w:hAnsi="Times New Roman"/>
            <w:color w:val="000000" w:themeColor="text1"/>
          </w:rPr>
          <w:t>Об утверждении Концепции развития туристской отрасли Республики Казахстан до 2023 года</w:t>
        </w:r>
      </w:hyperlink>
      <w:r w:rsidRPr="003C077D">
        <w:rPr>
          <w:rStyle w:val="a6"/>
          <w:rFonts w:ascii="Times New Roman" w:eastAsia="SimSun" w:hAnsi="Times New Roman"/>
          <w:color w:val="000000" w:themeColor="text1"/>
        </w:rPr>
        <w:t xml:space="preserve"> </w:t>
      </w:r>
      <w:r w:rsidRPr="003C077D">
        <w:rPr>
          <w:rFonts w:ascii="Times New Roman" w:eastAsia="SimSun" w:hAnsi="Times New Roman"/>
          <w:color w:val="000000" w:themeColor="text1"/>
        </w:rPr>
        <w:t xml:space="preserve">Постановление Правительства Республики Казахстан от 30 июня 2017 года № 406. </w:t>
      </w:r>
    </w:p>
    <w:p w14:paraId="14C0F16B"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Об утверждении Плана мероприятий по развитию альтернативной и возобновляемой энергетики в Казахстане на 2013 - 2020 годы. Постановление Правительства Республики Казахстан от 25 января 2013 года № 43.</w:t>
      </w:r>
    </w:p>
    <w:p w14:paraId="48FA5A6E"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Об утверждении Плана мероприятий по реализации Государственной программы управления водными ресурсами Казахстана на 2014 - 2020 годы. </w:t>
      </w:r>
      <w:r w:rsidRPr="003C077D">
        <w:rPr>
          <w:rStyle w:val="af1"/>
          <w:rFonts w:ascii="Times New Roman" w:hAnsi="Times New Roman"/>
          <w:b w:val="0"/>
          <w:bCs w:val="0"/>
          <w:color w:val="000000" w:themeColor="text1"/>
        </w:rPr>
        <w:t>Постановление Правительства Республики Казахстан от 5 мая 2014 года № 457.</w:t>
      </w:r>
    </w:p>
    <w:p w14:paraId="476C0F8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Об утверждении Плана мероприятий по реализации Концепции по переходу Республики Казахстан к "зеленой экономике" на 2013 - 2020 годы. </w:t>
      </w:r>
      <w:r w:rsidRPr="003C077D">
        <w:rPr>
          <w:rStyle w:val="af1"/>
          <w:rFonts w:ascii="Times New Roman" w:hAnsi="Times New Roman"/>
          <w:b w:val="0"/>
          <w:bCs w:val="0"/>
          <w:color w:val="000000" w:themeColor="text1"/>
        </w:rPr>
        <w:t>Постановление Правительства Республики Казахстан от 31 июля 2013 года № 750.</w:t>
      </w:r>
    </w:p>
    <w:p w14:paraId="179C27D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Об утверждении Правил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 Совместный приказ и.о. Министра энергетики Республики Казахстан от 4 декабря 2015 года № 697 и Министра по инвестициям и развитию Республики Казахстан от 23 декабря 2015 года №1219.</w:t>
      </w:r>
    </w:p>
    <w:p w14:paraId="5CB0A091"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 реализации Повестки дня до 2030 года в области устойчивого развития. Добровольный доклад РК в ООН. 2019 (</w:t>
      </w:r>
      <w:hyperlink r:id="rId74" w:history="1">
        <w:r w:rsidR="00273E6C" w:rsidRPr="003C077D">
          <w:rPr>
            <w:rStyle w:val="a6"/>
            <w:rFonts w:ascii="Times New Roman" w:hAnsi="Times New Roman"/>
            <w:color w:val="000000" w:themeColor="text1"/>
            <w:lang w:val="en-US"/>
          </w:rPr>
          <w:t>https</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sustainabledevelopment</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un</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org</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content</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documents</w:t>
        </w:r>
        <w:r w:rsidR="00273E6C" w:rsidRPr="003C077D">
          <w:rPr>
            <w:rStyle w:val="a6"/>
            <w:rFonts w:ascii="Times New Roman" w:hAnsi="Times New Roman"/>
            <w:color w:val="000000" w:themeColor="text1"/>
          </w:rPr>
          <w:t>/ 23453</w:t>
        </w:r>
        <w:r w:rsidR="00273E6C" w:rsidRPr="003C077D">
          <w:rPr>
            <w:rStyle w:val="a6"/>
            <w:rFonts w:ascii="Times New Roman" w:hAnsi="Times New Roman"/>
            <w:color w:val="000000" w:themeColor="text1"/>
            <w:lang w:val="en-US"/>
          </w:rPr>
          <w:t>KAZAKHSTAN</w:t>
        </w:r>
        <w:r w:rsidR="00273E6C" w:rsidRPr="003C077D">
          <w:rPr>
            <w:rStyle w:val="a6"/>
            <w:rFonts w:ascii="Times New Roman" w:hAnsi="Times New Roman"/>
            <w:color w:val="000000" w:themeColor="text1"/>
          </w:rPr>
          <w:t>_</w:t>
        </w:r>
        <w:r w:rsidR="00273E6C" w:rsidRPr="003C077D">
          <w:rPr>
            <w:rStyle w:val="a6"/>
            <w:rFonts w:ascii="Times New Roman" w:hAnsi="Times New Roman"/>
            <w:color w:val="000000" w:themeColor="text1"/>
            <w:lang w:val="en-US"/>
          </w:rPr>
          <w:t>VNR</w:t>
        </w:r>
        <w:r w:rsidR="00273E6C" w:rsidRPr="003C077D">
          <w:rPr>
            <w:rStyle w:val="a6"/>
            <w:rFonts w:ascii="Times New Roman" w:hAnsi="Times New Roman"/>
            <w:color w:val="000000" w:themeColor="text1"/>
          </w:rPr>
          <w:t>_</w:t>
        </w:r>
        <w:r w:rsidR="00273E6C" w:rsidRPr="003C077D">
          <w:rPr>
            <w:rStyle w:val="a6"/>
            <w:rFonts w:ascii="Times New Roman" w:hAnsi="Times New Roman"/>
            <w:color w:val="000000" w:themeColor="text1"/>
            <w:lang w:val="en-US"/>
          </w:rPr>
          <w:t>Kazkahstan</w:t>
        </w:r>
        <w:r w:rsidR="00273E6C" w:rsidRPr="003C077D">
          <w:rPr>
            <w:rStyle w:val="a6"/>
            <w:rFonts w:ascii="Times New Roman" w:hAnsi="Times New Roman"/>
            <w:color w:val="000000" w:themeColor="text1"/>
          </w:rPr>
          <w:t>_</w:t>
        </w:r>
        <w:r w:rsidR="00273E6C" w:rsidRPr="003C077D">
          <w:rPr>
            <w:rStyle w:val="a6"/>
            <w:rFonts w:ascii="Times New Roman" w:hAnsi="Times New Roman"/>
            <w:color w:val="000000" w:themeColor="text1"/>
            <w:lang w:val="en-US"/>
          </w:rPr>
          <w:t>web</w:t>
        </w:r>
        <w:r w:rsidR="00273E6C" w:rsidRPr="003C077D">
          <w:rPr>
            <w:rStyle w:val="a6"/>
            <w:rFonts w:ascii="Times New Roman" w:hAnsi="Times New Roman"/>
            <w:color w:val="000000" w:themeColor="text1"/>
          </w:rPr>
          <w:t>_</w:t>
        </w:r>
        <w:r w:rsidR="00273E6C" w:rsidRPr="003C077D">
          <w:rPr>
            <w:rStyle w:val="a6"/>
            <w:rFonts w:ascii="Times New Roman" w:hAnsi="Times New Roman"/>
            <w:color w:val="000000" w:themeColor="text1"/>
            <w:lang w:val="en-US"/>
          </w:rPr>
          <w:t>site</w:t>
        </w:r>
        <w:r w:rsidR="00273E6C" w:rsidRPr="003C077D">
          <w:rPr>
            <w:rStyle w:val="a6"/>
            <w:rFonts w:ascii="Times New Roman" w:hAnsi="Times New Roman"/>
            <w:color w:val="000000" w:themeColor="text1"/>
          </w:rPr>
          <w:t>_2019.</w:t>
        </w:r>
        <w:r w:rsidR="00273E6C" w:rsidRPr="003C077D">
          <w:rPr>
            <w:rStyle w:val="a6"/>
            <w:rFonts w:ascii="Times New Roman" w:hAnsi="Times New Roman"/>
            <w:color w:val="000000" w:themeColor="text1"/>
            <w:lang w:val="en-US"/>
          </w:rPr>
          <w:t>pdf</w:t>
        </w:r>
      </w:hyperlink>
      <w:r w:rsidRPr="003C077D">
        <w:rPr>
          <w:rStyle w:val="a6"/>
          <w:rFonts w:ascii="Times New Roman" w:hAnsi="Times New Roman"/>
          <w:color w:val="000000" w:themeColor="text1"/>
        </w:rPr>
        <w:t>)</w:t>
      </w:r>
      <w:r w:rsidRPr="003C077D">
        <w:rPr>
          <w:rFonts w:ascii="Times New Roman" w:hAnsi="Times New Roman"/>
          <w:color w:val="000000" w:themeColor="text1"/>
        </w:rPr>
        <w:t xml:space="preserve">. </w:t>
      </w:r>
    </w:p>
    <w:p w14:paraId="7F0CCF7C" w14:textId="77777777" w:rsidR="00A37F8A" w:rsidRPr="003C077D" w:rsidRDefault="00A37F8A" w:rsidP="003C077D">
      <w:pPr>
        <w:pStyle w:val="aff2"/>
        <w:numPr>
          <w:ilvl w:val="0"/>
          <w:numId w:val="17"/>
        </w:numPr>
        <w:tabs>
          <w:tab w:val="left" w:pos="1134"/>
        </w:tabs>
        <w:ind w:left="0" w:firstLine="709"/>
        <w:jc w:val="both"/>
        <w:rPr>
          <w:rFonts w:ascii="Times New Roman" w:hAnsi="Times New Roman" w:cs="Times New Roman"/>
          <w:color w:val="000000" w:themeColor="text1"/>
        </w:rPr>
      </w:pPr>
      <w:r w:rsidRPr="003C077D">
        <w:rPr>
          <w:rFonts w:ascii="Times New Roman" w:hAnsi="Times New Roman" w:cs="Times New Roman"/>
          <w:color w:val="000000" w:themeColor="text1"/>
          <w:sz w:val="24"/>
          <w:szCs w:val="24"/>
        </w:rPr>
        <w:t>Организация экономического сотрудничества и развития. Интеграция адаптации к изменению климата в сотрудничество в целях развития: руководство политикой. 2009 (</w:t>
      </w:r>
      <w:hyperlink r:id="rId75" w:history="1">
        <w:r w:rsidRPr="003C077D">
          <w:rPr>
            <w:rStyle w:val="a6"/>
            <w:rFonts w:ascii="Times New Roman" w:hAnsi="Times New Roman" w:cs="Times New Roman"/>
            <w:color w:val="000000" w:themeColor="text1"/>
            <w:sz w:val="24"/>
            <w:szCs w:val="24"/>
          </w:rPr>
          <w:t>http://www.oecd.org/dac/environment-development/integrating-climate-change-adaptation-into-development-co-operation-policy-guidance-9789264054950-en.htm</w:t>
        </w:r>
      </w:hyperlink>
      <w:r w:rsidRPr="003C077D">
        <w:rPr>
          <w:rFonts w:ascii="Times New Roman" w:hAnsi="Times New Roman" w:cs="Times New Roman"/>
          <w:color w:val="000000" w:themeColor="text1"/>
          <w:sz w:val="24"/>
          <w:szCs w:val="24"/>
        </w:rPr>
        <w:t xml:space="preserve"> ).</w:t>
      </w:r>
    </w:p>
    <w:p w14:paraId="2980CF12"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о реализации Государственной программы развития агропромышленного комплекса Республики Казахстан на 2017 - 2021 годы за 2018 год.</w:t>
      </w:r>
    </w:p>
    <w:p w14:paraId="4D94A54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о реализации стратегического плана Министерства сельского хозяйства Республики Казахстан на 2014 - 2018 годы, утвержденного приказом Министра сельского хозяйства Республики Казахстан от «15» декабря 2014 года № 1-1/665. Период отчета 2018 год.</w:t>
      </w:r>
    </w:p>
    <w:p w14:paraId="5A966AEA"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о ходе реализации проекта «Создание трансформационной политики и финансовых механизмов для увеличения инвестиций в управление биоразнообразием (БИОФИН)». ПРООН в РК. 2017 г.</w:t>
      </w:r>
    </w:p>
    <w:p w14:paraId="57907B15"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Проекта Правительства РК/ГЭФ/ПРООН «Устойчивые города для низкоуглеродного развития». 2017 г.</w:t>
      </w:r>
    </w:p>
    <w:p w14:paraId="5CCEB9EE"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Проекта Правительства РК/ГЭФ/ПРООН «Энергоэффективное проектирование и строительство жилых зданий», 2017 г.</w:t>
      </w:r>
    </w:p>
    <w:p w14:paraId="01BFCF7C"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Отчет Шестой министерской конференции по окружающей среде и охране здоровья. Острава, Чешская Республика 13 – 15 июня 2017 г.</w:t>
      </w:r>
    </w:p>
    <w:p w14:paraId="36876A5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ОЭСР. Внедрение индикаторов зеленого роста. 2019.</w:t>
      </w:r>
    </w:p>
    <w:p w14:paraId="040852F9"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ОЭСР. «Изучение прогресса программы реформирования казахстана, направленной на унификацию экономических реформ Казахстана со стандартами и лучшими практиками ОЭСР в сфере развития частного сектора и конкурентоспособности, уделяя особое внимание вкладу страновой программы в программу экономических реформ Казахстана»</w:t>
      </w:r>
    </w:p>
    <w:p w14:paraId="4E63D520"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ОЭСР. Обзор городской политики Казахстана за 2017 год.</w:t>
      </w:r>
    </w:p>
    <w:p w14:paraId="66F40F1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ОЭСР. Поддержка экологически чистого городского общественного транспорта в Казахстане: Программа зеленых инвестиций. Париж, 2017</w:t>
      </w:r>
      <w:r w:rsidRPr="003C077D">
        <w:rPr>
          <w:rFonts w:ascii="Times New Roman" w:hAnsi="Times New Roman"/>
          <w:color w:val="000000" w:themeColor="text1"/>
          <w:lang w:val="en-GB"/>
        </w:rPr>
        <w:t> </w:t>
      </w:r>
      <w:r w:rsidRPr="003C077D">
        <w:rPr>
          <w:rFonts w:ascii="Times New Roman" w:hAnsi="Times New Roman"/>
          <w:color w:val="000000" w:themeColor="text1"/>
        </w:rPr>
        <w:t>г.</w:t>
      </w:r>
    </w:p>
    <w:p w14:paraId="3BF36608"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План нации - 100 конкретных шагов. Программа Президента Республики Казахстан от 20 мая 2015 года.</w:t>
      </w:r>
    </w:p>
    <w:p w14:paraId="039E0CB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w:t>
      </w:r>
      <w:r w:rsidRPr="003C077D">
        <w:rPr>
          <w:rFonts w:ascii="Times New Roman" w:eastAsia="Times New Roman" w:hAnsi="Times New Roman"/>
          <w:color w:val="000000" w:themeColor="text1"/>
        </w:rPr>
        <w:t xml:space="preserve">Послание Президента РК Н. А. Назарбаева, 14 декабря, 2012 г </w:t>
      </w:r>
    </w:p>
    <w:p w14:paraId="615B5B3E"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eastAsia="Times New Roman" w:hAnsi="Times New Roman"/>
          <w:color w:val="000000" w:themeColor="text1"/>
        </w:rPr>
        <w:t xml:space="preserve">Программа развития «Алматы — 2020» на 2016 — 2020 годы. Приложение 1 </w:t>
      </w:r>
      <w:r w:rsidRPr="003C077D">
        <w:rPr>
          <w:rFonts w:ascii="Times New Roman" w:hAnsi="Times New Roman"/>
          <w:color w:val="000000" w:themeColor="text1"/>
        </w:rPr>
        <w:t xml:space="preserve">к решению внеочередной </w:t>
      </w:r>
      <w:r w:rsidRPr="003C077D">
        <w:rPr>
          <w:rFonts w:ascii="Times New Roman" w:hAnsi="Times New Roman"/>
          <w:color w:val="000000" w:themeColor="text1"/>
          <w:lang w:val="en-US"/>
        </w:rPr>
        <w:t>XLVII</w:t>
      </w:r>
      <w:r w:rsidRPr="003C077D">
        <w:rPr>
          <w:rFonts w:ascii="Times New Roman" w:hAnsi="Times New Roman"/>
          <w:color w:val="000000" w:themeColor="text1"/>
        </w:rPr>
        <w:t xml:space="preserve">-й сессии маслихата города Алматы </w:t>
      </w:r>
      <w:r w:rsidRPr="003C077D">
        <w:rPr>
          <w:rFonts w:ascii="Times New Roman" w:hAnsi="Times New Roman"/>
          <w:color w:val="000000" w:themeColor="text1"/>
          <w:lang w:val="en-US"/>
        </w:rPr>
        <w:t>V</w:t>
      </w:r>
      <w:r w:rsidRPr="003C077D">
        <w:rPr>
          <w:rFonts w:ascii="Times New Roman" w:hAnsi="Times New Roman"/>
          <w:color w:val="000000" w:themeColor="text1"/>
        </w:rPr>
        <w:t xml:space="preserve">-го созыва </w:t>
      </w:r>
      <w:r w:rsidRPr="003C077D">
        <w:rPr>
          <w:rFonts w:ascii="Times New Roman" w:eastAsia="Times New Roman" w:hAnsi="Times New Roman"/>
          <w:color w:val="000000" w:themeColor="text1"/>
        </w:rPr>
        <w:t>от 10 декабря 2015 года №394 и отчеты по ее реализации за 2017 - 2019 годы.</w:t>
      </w:r>
    </w:p>
    <w:p w14:paraId="08C8364A"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eastAsia="Times New Roman" w:hAnsi="Times New Roman"/>
          <w:color w:val="000000" w:themeColor="text1"/>
        </w:rPr>
        <w:t xml:space="preserve">Программа развития города </w:t>
      </w:r>
      <w:r w:rsidRPr="003C077D">
        <w:rPr>
          <w:rFonts w:ascii="Times New Roman" w:hAnsi="Times New Roman"/>
          <w:color w:val="000000" w:themeColor="text1"/>
        </w:rPr>
        <w:t>Нур-Султан</w:t>
      </w:r>
      <w:r w:rsidRPr="003C077D">
        <w:rPr>
          <w:rFonts w:ascii="Times New Roman" w:eastAsia="Times New Roman" w:hAnsi="Times New Roman"/>
          <w:color w:val="000000" w:themeColor="text1"/>
        </w:rPr>
        <w:t xml:space="preserve"> на 2016 — 2020 годы. Приложение </w:t>
      </w:r>
      <w:r w:rsidRPr="003C077D">
        <w:rPr>
          <w:rFonts w:ascii="Times New Roman" w:hAnsi="Times New Roman"/>
          <w:color w:val="000000" w:themeColor="text1"/>
        </w:rPr>
        <w:t xml:space="preserve">к решению маслихата города Астаны от 11 декабря 2015 года </w:t>
      </w:r>
      <w:r w:rsidRPr="003C077D">
        <w:rPr>
          <w:rFonts w:ascii="Times New Roman" w:eastAsia="Times New Roman" w:hAnsi="Times New Roman"/>
          <w:color w:val="000000" w:themeColor="text1"/>
        </w:rPr>
        <w:t>№ 427/61-</w:t>
      </w:r>
      <w:r w:rsidRPr="003C077D">
        <w:rPr>
          <w:rFonts w:ascii="Times New Roman" w:eastAsia="Times New Roman" w:hAnsi="Times New Roman"/>
          <w:color w:val="000000" w:themeColor="text1"/>
          <w:lang w:val="en-US"/>
        </w:rPr>
        <w:t>V</w:t>
      </w:r>
      <w:r w:rsidRPr="003C077D">
        <w:rPr>
          <w:rFonts w:ascii="Times New Roman" w:eastAsia="Times New Roman" w:hAnsi="Times New Roman"/>
          <w:color w:val="000000" w:themeColor="text1"/>
        </w:rPr>
        <w:t xml:space="preserve"> и отчеты по ее реализации за 2017 - 2019 годы.</w:t>
      </w:r>
    </w:p>
    <w:p w14:paraId="03D7636B"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Программа развития города Шымкент на 2018 - 2020 годы </w:t>
      </w:r>
      <w:r w:rsidRPr="003C077D">
        <w:rPr>
          <w:rFonts w:ascii="Times New Roman" w:eastAsia="Times New Roman" w:hAnsi="Times New Roman"/>
          <w:color w:val="000000" w:themeColor="text1"/>
        </w:rPr>
        <w:t>и отчеты по ее реализации за 2018 и 2019 годы.</w:t>
      </w:r>
      <w:r w:rsidRPr="003C077D">
        <w:rPr>
          <w:rFonts w:ascii="Times New Roman" w:hAnsi="Times New Roman"/>
          <w:color w:val="000000" w:themeColor="text1"/>
        </w:rPr>
        <w:t xml:space="preserve">. </w:t>
      </w:r>
    </w:p>
    <w:p w14:paraId="790DABA0"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Программа развития Кызылординской области на 2016 - 2020 годы, утверждена решением Кызылординского областного маслихата от 10 декабря 2015 года №323, с изменениями от 16 октября 2018 года. Каз </w:t>
      </w:r>
      <w:r w:rsidRPr="003C077D">
        <w:rPr>
          <w:rFonts w:ascii="Times New Roman" w:eastAsia="Times New Roman" w:hAnsi="Times New Roman"/>
          <w:color w:val="000000" w:themeColor="text1"/>
        </w:rPr>
        <w:t>и отчеты по ее реализации за 2017 - 2019 годы.</w:t>
      </w:r>
    </w:p>
    <w:p w14:paraId="1C7E1C5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Style w:val="af1"/>
          <w:rFonts w:ascii="Times New Roman" w:hAnsi="Times New Roman"/>
          <w:b w:val="0"/>
          <w:bCs w:val="0"/>
          <w:color w:val="000000" w:themeColor="text1"/>
        </w:rPr>
        <w:t>Программа развития ООН. Ежегодный доклад за 2018 год. ПРООН. 2019 год.</w:t>
      </w:r>
    </w:p>
    <w:p w14:paraId="2D117817"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Расширенная ответственность производителей – обновленные руководящие принципы для эффективного регулирования отходов, OECD, 2016.</w:t>
      </w:r>
    </w:p>
    <w:p w14:paraId="1238DF54"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Решение проблемы промышленного загрязнения воздуха в Казахстане. Руководящие принципы реформирования политики в области экологических платежей. ОЭСР. 2019.</w:t>
      </w:r>
      <w:r w:rsidRPr="003C077D">
        <w:rPr>
          <w:rFonts w:ascii="Times New Roman" w:eastAsia="SimSun" w:hAnsi="Times New Roman"/>
          <w:color w:val="000000" w:themeColor="text1"/>
        </w:rPr>
        <w:t xml:space="preserve"> </w:t>
      </w:r>
    </w:p>
    <w:p w14:paraId="2ADC4C3E"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Стратегия ФАО в отношении изменения климата. Рим. 2017 год.</w:t>
      </w:r>
    </w:p>
    <w:p w14:paraId="6065BF3D"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Третий Обзор результативности экологической деятельности Казахстана. ЕЭК ООН. 2018 г.</w:t>
      </w:r>
    </w:p>
    <w:p w14:paraId="3A66636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Цели тысячелетия в области развития (ЦТР). Информационный бюллетень № 290 Май 2015 г. (</w:t>
      </w:r>
      <w:hyperlink r:id="rId76" w:history="1">
        <w:r w:rsidRPr="003C077D">
          <w:rPr>
            <w:rStyle w:val="a6"/>
            <w:rFonts w:ascii="Times New Roman" w:hAnsi="Times New Roman"/>
            <w:color w:val="000000" w:themeColor="text1"/>
          </w:rPr>
          <w:t>http://www.who.int/mediacentre/factsheets/fs290/ru/</w:t>
        </w:r>
      </w:hyperlink>
      <w:r w:rsidRPr="003C077D">
        <w:rPr>
          <w:rStyle w:val="a6"/>
          <w:rFonts w:ascii="Times New Roman" w:hAnsi="Times New Roman"/>
          <w:color w:val="000000" w:themeColor="text1"/>
        </w:rPr>
        <w:t>)</w:t>
      </w:r>
      <w:r w:rsidRPr="003C077D">
        <w:rPr>
          <w:rFonts w:ascii="Times New Roman" w:hAnsi="Times New Roman"/>
          <w:color w:val="000000" w:themeColor="text1"/>
        </w:rPr>
        <w:t>.</w:t>
      </w:r>
    </w:p>
    <w:p w14:paraId="05000A8A"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 xml:space="preserve">Шестой национальный доклад Республики Казахстан о биологическом разнообразии, Астана, 2018. </w:t>
      </w:r>
    </w:p>
    <w:p w14:paraId="6DA0F25F"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Экологический кодекс Республики Казахстан. Кодекс Республики Казахстан от 9 января 2007 года №212.</w:t>
      </w:r>
    </w:p>
    <w:p w14:paraId="527F271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ЮНЕП. Глобальная экологическая перспектива. ГЭП-6. Доклад об оценке по Панъевропейскому региону. 2016.</w:t>
      </w:r>
    </w:p>
    <w:p w14:paraId="730B6B81"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lang w:val="en-US"/>
        </w:rPr>
        <w:t>G20 Green Finance Synthesis Report. G20 Green Finance Study Group. 5 September 2016</w:t>
      </w:r>
      <w:r w:rsidRPr="003C077D">
        <w:rPr>
          <w:rFonts w:ascii="Times New Roman" w:hAnsi="Times New Roman"/>
          <w:color w:val="000000" w:themeColor="text1"/>
        </w:rPr>
        <w:t>.</w:t>
      </w:r>
    </w:p>
    <w:p w14:paraId="18281F03"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rPr>
      </w:pPr>
      <w:r w:rsidRPr="003C077D">
        <w:rPr>
          <w:rFonts w:ascii="Times New Roman" w:hAnsi="Times New Roman"/>
          <w:color w:val="000000" w:themeColor="text1"/>
        </w:rPr>
        <w:t>IFAD. Годовой отчет за 2018 год. Июнь 2019 (</w:t>
      </w:r>
      <w:hyperlink r:id="rId77" w:history="1">
        <w:r w:rsidR="00273E6C" w:rsidRPr="003C077D">
          <w:rPr>
            <w:rStyle w:val="a6"/>
            <w:rFonts w:ascii="Times New Roman" w:hAnsi="Times New Roman"/>
            <w:color w:val="000000" w:themeColor="text1"/>
            <w:lang w:val="en-US"/>
          </w:rPr>
          <w:t>https</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www</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ifad</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org</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en</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web</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knowledge</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publication</w:t>
        </w:r>
        <w:r w:rsidR="00273E6C" w:rsidRPr="003C077D">
          <w:rPr>
            <w:rStyle w:val="a6"/>
            <w:rFonts w:ascii="Times New Roman" w:hAnsi="Times New Roman"/>
            <w:color w:val="000000" w:themeColor="text1"/>
          </w:rPr>
          <w:t>/</w:t>
        </w:r>
        <w:r w:rsidR="00273E6C" w:rsidRPr="003C077D">
          <w:rPr>
            <w:rStyle w:val="a6"/>
            <w:rFonts w:ascii="Times New Roman" w:hAnsi="Times New Roman"/>
            <w:color w:val="000000" w:themeColor="text1"/>
            <w:lang w:val="en-US"/>
          </w:rPr>
          <w:t>asset</w:t>
        </w:r>
        <w:r w:rsidR="00273E6C" w:rsidRPr="003C077D">
          <w:rPr>
            <w:rStyle w:val="a6"/>
            <w:rFonts w:ascii="Times New Roman" w:hAnsi="Times New Roman"/>
            <w:color w:val="000000" w:themeColor="text1"/>
          </w:rPr>
          <w:t>/41204194</w:t>
        </w:r>
      </w:hyperlink>
      <w:r w:rsidRPr="003C077D">
        <w:rPr>
          <w:rFonts w:ascii="Times New Roman" w:hAnsi="Times New Roman"/>
          <w:color w:val="000000" w:themeColor="text1"/>
        </w:rPr>
        <w:t>).</w:t>
      </w:r>
    </w:p>
    <w:p w14:paraId="563A8656" w14:textId="77777777" w:rsidR="00A37F8A" w:rsidRPr="003C077D" w:rsidRDefault="00A37F8A" w:rsidP="003C077D">
      <w:pPr>
        <w:pStyle w:val="affffd"/>
        <w:numPr>
          <w:ilvl w:val="0"/>
          <w:numId w:val="17"/>
        </w:numPr>
        <w:tabs>
          <w:tab w:val="left" w:pos="1134"/>
        </w:tabs>
        <w:ind w:left="0" w:firstLine="709"/>
        <w:jc w:val="both"/>
        <w:rPr>
          <w:rFonts w:ascii="Times New Roman" w:hAnsi="Times New Roman"/>
          <w:color w:val="000000" w:themeColor="text1"/>
          <w:lang w:val="en-US"/>
        </w:rPr>
      </w:pPr>
      <w:r w:rsidRPr="003C077D">
        <w:rPr>
          <w:rFonts w:ascii="Times New Roman" w:hAnsi="Times New Roman"/>
          <w:color w:val="000000" w:themeColor="text1"/>
          <w:lang w:val="en-US"/>
        </w:rPr>
        <w:t>OECD. Declaration on Green Growth Adopted at the Meeting of the Council at Ministerial Level on 25 June 2009 [C/MIN(2009)5/ADD1/FINAL]</w:t>
      </w:r>
    </w:p>
    <w:p w14:paraId="1E407FB0" w14:textId="6086DD69" w:rsidR="00D91DF7" w:rsidRPr="003C077D" w:rsidRDefault="00D91DF7" w:rsidP="003C077D">
      <w:pPr>
        <w:ind w:firstLine="709"/>
        <w:jc w:val="both"/>
        <w:rPr>
          <w:rFonts w:ascii="Times New Roman" w:hAnsi="Times New Roman" w:cs="Times New Roman"/>
          <w:color w:val="000000" w:themeColor="text1"/>
          <w:lang w:val="en-US"/>
        </w:rPr>
      </w:pPr>
    </w:p>
    <w:sectPr w:rsidR="00D91DF7" w:rsidRPr="003C077D" w:rsidSect="00C752D3">
      <w:headerReference w:type="even" r:id="rId78"/>
      <w:headerReference w:type="default" r:id="rId79"/>
      <w:footerReference w:type="even" r:id="rId80"/>
      <w:footerReference w:type="default" r:id="rId81"/>
      <w:headerReference w:type="first" r:id="rId82"/>
      <w:footerReference w:type="first" r:id="rId83"/>
      <w:pgSz w:w="11906" w:h="16838"/>
      <w:pgMar w:top="850" w:right="707" w:bottom="938" w:left="1350" w:header="720" w:footer="3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5F644" w14:textId="77777777" w:rsidR="00314538" w:rsidRDefault="00314538">
      <w:r>
        <w:separator/>
      </w:r>
    </w:p>
  </w:endnote>
  <w:endnote w:type="continuationSeparator" w:id="0">
    <w:p w14:paraId="03375EDC" w14:textId="77777777" w:rsidR="00314538" w:rsidRDefault="0031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Cambria"/>
    <w:charset w:val="CC"/>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auto"/>
    <w:pitch w:val="variable"/>
  </w:font>
  <w:font w:name="Calibri">
    <w:panose1 w:val="020F0502020204030204"/>
    <w:charset w:val="CC"/>
    <w:family w:val="swiss"/>
    <w:pitch w:val="variable"/>
    <w:sig w:usb0="E4002EFF" w:usb1="C000247B" w:usb2="00000009" w:usb3="00000000" w:csb0="000001FF" w:csb1="00000000"/>
  </w:font>
  <w:font w:name="font275">
    <w:charset w:val="CC"/>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TT">
    <w:charset w:val="CC"/>
    <w:family w:val="roman"/>
    <w:pitch w:val="variable"/>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 w:name="font4398">
    <w:charset w:val="CC"/>
    <w:family w:val="auto"/>
    <w:pitch w:val="variable"/>
  </w:font>
  <w:font w:name="Liberation Sans">
    <w:altName w:val="Calibri"/>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Noto Sans">
    <w:charset w:val="CC"/>
    <w:family w:val="roman"/>
    <w:pitch w:val="variable"/>
  </w:font>
  <w:font w:name="Liberation Mono">
    <w:charset w:val="CC"/>
    <w:family w:val="modern"/>
    <w:pitch w:val="fixed"/>
    <w:sig w:usb0="E0000AFF" w:usb1="400078FF" w:usb2="00000001" w:usb3="00000000" w:csb0="000001BF" w:csb1="00000000"/>
  </w:font>
  <w:font w:name="Book Antiqua">
    <w:panose1 w:val="02040602050305030304"/>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mn-lt">
    <w:charset w:val="CC"/>
    <w:family w:val="auto"/>
    <w:pitch w:val="variable"/>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charset w:val="CC"/>
    <w:family w:val="auto"/>
    <w:pitch w:val="variable"/>
  </w:font>
  <w:font w:name="TimesNewRomanPS-BoldMT">
    <w:charset w:val="CC"/>
    <w:family w:val="auto"/>
    <w:pitch w:val="variable"/>
  </w:font>
  <w:font w:name="MyriadPro-Regular">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CC"/>
    <w:family w:val="auto"/>
    <w:pitch w:val="variable"/>
  </w:font>
  <w:font w:name="font188">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603BD" w14:textId="77777777" w:rsidR="00137211" w:rsidRDefault="00137211">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BEBF" w14:textId="77777777" w:rsidR="00137211" w:rsidRDefault="00137211">
    <w:pPr>
      <w:pStyle w:val="LTGliederung8"/>
      <w:jc w:val="right"/>
    </w:pPr>
    <w:r>
      <w:rPr>
        <w:rFonts w:ascii="Times New Roman" w:hAnsi="Times New Roman" w:cs="Times New Roman"/>
        <w:sz w:val="16"/>
      </w:rPr>
      <w:fldChar w:fldCharType="begin"/>
    </w:r>
    <w:r>
      <w:rPr>
        <w:rFonts w:ascii="Times New Roman" w:hAnsi="Times New Roman" w:cs="Times New Roman"/>
        <w:sz w:val="16"/>
      </w:rPr>
      <w:instrText xml:space="preserve"> PAGE </w:instrText>
    </w:r>
    <w:r>
      <w:rPr>
        <w:rFonts w:ascii="Times New Roman" w:hAnsi="Times New Roman" w:cs="Times New Roman"/>
        <w:sz w:val="16"/>
      </w:rPr>
      <w:fldChar w:fldCharType="separate"/>
    </w:r>
    <w:r>
      <w:rPr>
        <w:rFonts w:ascii="Times New Roman" w:hAnsi="Times New Roman" w:cs="Times New Roman"/>
        <w:noProof/>
        <w:sz w:val="16"/>
      </w:rPr>
      <w:t>187</w:t>
    </w:r>
    <w:r>
      <w:rPr>
        <w:rFonts w:ascii="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27921" w14:textId="77777777" w:rsidR="00137211" w:rsidRDefault="001372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0874A" w14:textId="77777777" w:rsidR="00314538" w:rsidRDefault="00314538">
      <w:r>
        <w:separator/>
      </w:r>
    </w:p>
  </w:footnote>
  <w:footnote w:type="continuationSeparator" w:id="0">
    <w:p w14:paraId="5C79735B" w14:textId="77777777" w:rsidR="00314538" w:rsidRDefault="00314538">
      <w:r>
        <w:continuationSeparator/>
      </w:r>
    </w:p>
  </w:footnote>
  <w:footnote w:id="1">
    <w:p w14:paraId="78FB69A8" w14:textId="2432970C" w:rsidR="00137211" w:rsidRPr="0068764F" w:rsidRDefault="00137211" w:rsidP="00A10275">
      <w:pPr>
        <w:pStyle w:val="aff2"/>
        <w:jc w:val="both"/>
        <w:rPr>
          <w:rFonts w:ascii="Times New Roman" w:eastAsia="Times New Roman" w:hAnsi="Times New Roman" w:cs="Times New Roman"/>
          <w:color w:val="000000"/>
          <w:lang w:eastAsia="ru-RU"/>
        </w:rPr>
      </w:pPr>
      <w:r>
        <w:rPr>
          <w:rStyle w:val="a3"/>
          <w:rFonts w:ascii="Times New Roman" w:hAnsi="Times New Roman"/>
        </w:rPr>
        <w:footnoteRef/>
      </w:r>
      <w:r>
        <w:rPr>
          <w:rFonts w:ascii="Times New Roman" w:hAnsi="Times New Roman" w:cs="Times New Roman"/>
        </w:rPr>
        <w:tab/>
      </w:r>
      <w:r w:rsidRPr="0068764F">
        <w:rPr>
          <w:rFonts w:ascii="Times New Roman" w:eastAsia="Times New Roman" w:hAnsi="Times New Roman" w:cs="Times New Roman"/>
          <w:color w:val="000000"/>
          <w:lang w:eastAsia="ru-RU"/>
        </w:rPr>
        <w:t xml:space="preserve">Послание Президента Республики Казахстан - Лидера Нации Н.А.Назарбаева Народу Казахстана «Стратегия «Казахстан-2050» </w:t>
      </w:r>
    </w:p>
  </w:footnote>
  <w:footnote w:id="2">
    <w:p w14:paraId="60114A97" w14:textId="77777777" w:rsidR="00137211" w:rsidRDefault="00137211" w:rsidP="00A10275">
      <w:pPr>
        <w:pStyle w:val="aff2"/>
        <w:jc w:val="both"/>
      </w:pPr>
      <w:r w:rsidRPr="0068764F">
        <w:rPr>
          <w:rStyle w:val="a3"/>
          <w:rFonts w:ascii="Times New Roman" w:hAnsi="Times New Roman"/>
        </w:rPr>
        <w:footnoteRef/>
      </w:r>
      <w:r w:rsidRPr="0068764F">
        <w:rPr>
          <w:rFonts w:ascii="Times New Roman" w:eastAsia="Times New Roman" w:hAnsi="Times New Roman" w:cs="Times New Roman"/>
          <w:color w:val="000000"/>
          <w:lang w:eastAsia="ru-RU"/>
        </w:rPr>
        <w:tab/>
        <w:t>Концепция по переходу Республики Казахстан к «зеленой экономике». Утверждена Указом Президента Республики Казахстан от 30 мая 2013 года № 577.</w:t>
      </w:r>
    </w:p>
  </w:footnote>
  <w:footnote w:id="3">
    <w:p w14:paraId="126766BD" w14:textId="636D3A09" w:rsidR="00137211" w:rsidRPr="00921F54" w:rsidRDefault="00137211" w:rsidP="00A10275">
      <w:pPr>
        <w:pStyle w:val="aff2"/>
        <w:jc w:val="both"/>
      </w:pPr>
      <w:r w:rsidRPr="00814F15">
        <w:footnoteRef/>
      </w:r>
      <w:hyperlink r:id="rId1" w:history="1">
        <w:r w:rsidRPr="00921F54">
          <w:tab/>
        </w:r>
        <w:r w:rsidRPr="0068764F">
          <w:rPr>
            <w:lang w:val="en-US"/>
          </w:rPr>
          <w:t>https</w:t>
        </w:r>
        <w:r w:rsidRPr="0068764F">
          <w:t>://</w:t>
        </w:r>
        <w:r w:rsidRPr="0068764F">
          <w:rPr>
            <w:lang w:val="en-US"/>
          </w:rPr>
          <w:t>sustainabledevelopment</w:t>
        </w:r>
        <w:r w:rsidRPr="0068764F">
          <w:t>.</w:t>
        </w:r>
        <w:r w:rsidRPr="0068764F">
          <w:rPr>
            <w:lang w:val="en-US"/>
          </w:rPr>
          <w:t>un</w:t>
        </w:r>
        <w:r w:rsidRPr="0068764F">
          <w:t>.</w:t>
        </w:r>
        <w:r w:rsidRPr="0068764F">
          <w:rPr>
            <w:lang w:val="en-US"/>
          </w:rPr>
          <w:t>org</w:t>
        </w:r>
        <w:r w:rsidRPr="0068764F">
          <w:t>/</w:t>
        </w:r>
        <w:r w:rsidRPr="0068764F">
          <w:rPr>
            <w:lang w:val="en-US"/>
          </w:rPr>
          <w:t>content</w:t>
        </w:r>
        <w:r w:rsidRPr="0068764F">
          <w:t>/</w:t>
        </w:r>
        <w:r w:rsidRPr="0068764F">
          <w:rPr>
            <w:lang w:val="en-US"/>
          </w:rPr>
          <w:t>documents</w:t>
        </w:r>
        <w:r w:rsidRPr="0068764F">
          <w:t>/23453</w:t>
        </w:r>
        <w:r w:rsidRPr="0068764F">
          <w:rPr>
            <w:lang w:val="en-US"/>
          </w:rPr>
          <w:t>KAZAKHSTAN</w:t>
        </w:r>
        <w:r w:rsidRPr="0068764F">
          <w:t>_</w:t>
        </w:r>
        <w:r w:rsidRPr="0068764F">
          <w:rPr>
            <w:lang w:val="en-US"/>
          </w:rPr>
          <w:t>VNR</w:t>
        </w:r>
        <w:r w:rsidRPr="0068764F">
          <w:t>_</w:t>
        </w:r>
        <w:r w:rsidRPr="0068764F">
          <w:rPr>
            <w:lang w:val="en-US"/>
          </w:rPr>
          <w:t>Kazkahstan</w:t>
        </w:r>
        <w:r w:rsidRPr="0068764F">
          <w:t>_</w:t>
        </w:r>
        <w:r w:rsidRPr="0068764F">
          <w:rPr>
            <w:lang w:val="en-US"/>
          </w:rPr>
          <w:t>web</w:t>
        </w:r>
        <w:r w:rsidRPr="0068764F">
          <w:t>_</w:t>
        </w:r>
        <w:r w:rsidRPr="0068764F">
          <w:rPr>
            <w:lang w:val="en-US"/>
          </w:rPr>
          <w:t>site</w:t>
        </w:r>
        <w:r w:rsidRPr="0068764F">
          <w:t>_ 2019.</w:t>
        </w:r>
        <w:r w:rsidRPr="0068764F">
          <w:rPr>
            <w:lang w:val="en-US"/>
          </w:rPr>
          <w:t>pdf</w:t>
        </w:r>
      </w:hyperlink>
    </w:p>
  </w:footnote>
  <w:footnote w:id="4">
    <w:p w14:paraId="23DD1902" w14:textId="77777777" w:rsidR="00137211" w:rsidRPr="0024270B" w:rsidRDefault="00137211" w:rsidP="003C214E">
      <w:pPr>
        <w:pStyle w:val="aff2"/>
        <w:jc w:val="both"/>
        <w:rPr>
          <w:lang w:val="en-US"/>
        </w:rPr>
      </w:pPr>
      <w:r>
        <w:rPr>
          <w:rStyle w:val="a3"/>
          <w:rFonts w:ascii="Times New Roman" w:hAnsi="Times New Roman"/>
        </w:rPr>
        <w:footnoteRef/>
      </w:r>
      <w:r w:rsidRPr="0024270B">
        <w:rPr>
          <w:lang w:val="en-US"/>
        </w:rPr>
        <w:tab/>
      </w:r>
      <w:r w:rsidRPr="0068764F">
        <w:rPr>
          <w:lang w:val="en-US"/>
        </w:rPr>
        <w:t>OECD. Declaration on Green Growth Adopted at the Meeting of the Council at Ministerial Level on 25 June 2009 [C/MIN(2009)5/ADD1/FINAL]</w:t>
      </w:r>
    </w:p>
  </w:footnote>
  <w:footnote w:id="5">
    <w:p w14:paraId="74152BFA" w14:textId="77777777" w:rsidR="00137211" w:rsidRPr="0068764F" w:rsidRDefault="00137211" w:rsidP="003C5F68">
      <w:pPr>
        <w:pStyle w:val="aff2"/>
        <w:ind w:left="0" w:firstLine="0"/>
      </w:pPr>
      <w:r>
        <w:rPr>
          <w:rStyle w:val="a3"/>
          <w:rFonts w:ascii="Times New Roman" w:hAnsi="Times New Roman"/>
        </w:rPr>
        <w:footnoteRef/>
      </w:r>
      <w:r>
        <w:rPr>
          <w:rFonts w:eastAsia="Liberation Serif" w:cs="Liberation Serif"/>
        </w:rPr>
        <w:t xml:space="preserve"> </w:t>
      </w:r>
      <w:r w:rsidRPr="0068764F">
        <w:t xml:space="preserve">Государственный водный кадастр. Ресурсы поверхностных и подземных вод, их использование и качество. 2018 год. Ежегодное издание. </w:t>
      </w:r>
    </w:p>
  </w:footnote>
  <w:footnote w:id="6">
    <w:p w14:paraId="6B45163F" w14:textId="77777777" w:rsidR="00137211" w:rsidRDefault="00137211">
      <w:pPr>
        <w:pStyle w:val="aff2"/>
        <w:ind w:left="0" w:firstLine="0"/>
      </w:pPr>
      <w:r w:rsidRPr="0068764F">
        <w:rPr>
          <w:rStyle w:val="a3"/>
          <w:rFonts w:ascii="Times New Roman" w:hAnsi="Times New Roman"/>
        </w:rPr>
        <w:footnoteRef/>
      </w:r>
      <w:r w:rsidRPr="0068764F">
        <w:rPr>
          <w:rFonts w:ascii="Times New Roman" w:eastAsia="Times New Roman" w:hAnsi="Times New Roman" w:cs="Times New Roman"/>
        </w:rPr>
        <w:t xml:space="preserve"> </w:t>
      </w:r>
      <w:r w:rsidRPr="0068764F">
        <w:rPr>
          <w:rFonts w:ascii="Times New Roman" w:eastAsia="Times New Roman" w:hAnsi="Times New Roman" w:cs="Times New Roman"/>
          <w:color w:val="212529"/>
          <w:lang w:eastAsia="ru-RU"/>
        </w:rPr>
        <w:t>Концепция проекта Программы управления водными ресурсами Казахстана на 2020 - 2030 годы.</w:t>
      </w:r>
    </w:p>
  </w:footnote>
  <w:footnote w:id="7">
    <w:p w14:paraId="5473559D" w14:textId="77777777" w:rsidR="00137211" w:rsidRDefault="00137211">
      <w:pPr>
        <w:pStyle w:val="aff2"/>
      </w:pPr>
      <w:r>
        <w:rPr>
          <w:rStyle w:val="a3"/>
          <w:rFonts w:ascii="Times New Roman" w:hAnsi="Times New Roman"/>
        </w:rPr>
        <w:footnoteRef/>
      </w:r>
      <w:r>
        <w:tab/>
      </w:r>
      <w:r w:rsidRPr="0068764F">
        <w:t>Концепция проекта Программы управления водными ресурсами Казахстана на 2020 - 2030 годы.</w:t>
      </w:r>
    </w:p>
  </w:footnote>
  <w:footnote w:id="8">
    <w:p w14:paraId="67A84312" w14:textId="5E49D8ED" w:rsidR="00137211" w:rsidRPr="00C86DCB" w:rsidRDefault="00137211" w:rsidP="003C214E">
      <w:pPr>
        <w:pStyle w:val="aff2"/>
        <w:jc w:val="both"/>
        <w:rPr>
          <w:rFonts w:asciiTheme="minorHAnsi" w:hAnsiTheme="minorHAnsi"/>
        </w:rPr>
      </w:pPr>
      <w:r>
        <w:rPr>
          <w:rStyle w:val="a3"/>
          <w:rFonts w:ascii="Times New Roman" w:hAnsi="Times New Roman"/>
        </w:rPr>
        <w:footnoteRef/>
      </w:r>
      <w:r>
        <w:tab/>
      </w:r>
      <w:r w:rsidRPr="0068764F">
        <w:rPr>
          <w:rFonts w:ascii="Times New Roman" w:hAnsi="Times New Roman" w:cs="Times New Roman"/>
        </w:rPr>
        <w:t>Национальнвый доклад о состоянии окружающей среды и об использовании природных ресурсов за 2018 год. г. Нур-Султан 2019 год.</w:t>
      </w:r>
      <w:r>
        <w:rPr>
          <w:rFonts w:ascii="Times New Roman" w:hAnsi="Times New Roman" w:cs="Times New Roman"/>
        </w:rPr>
        <w:t xml:space="preserve">        </w:t>
      </w:r>
    </w:p>
  </w:footnote>
  <w:footnote w:id="9">
    <w:p w14:paraId="3D21FDFA" w14:textId="77777777" w:rsidR="00137211" w:rsidRDefault="00137211" w:rsidP="00E53A31">
      <w:pPr>
        <w:pStyle w:val="aff2"/>
        <w:jc w:val="both"/>
      </w:pPr>
      <w:r>
        <w:rPr>
          <w:rStyle w:val="a3"/>
          <w:rFonts w:ascii="Times New Roman" w:hAnsi="Times New Roman"/>
        </w:rPr>
        <w:footnoteRef/>
      </w:r>
      <w:r>
        <w:tab/>
      </w:r>
      <w:r w:rsidRPr="0068764F">
        <w:t>Аналитическая справка «Актуальные вопросы обеспечения качественной питьевой водой населенных пунктов Республики Казахстан». 24 ноября 2017 года.</w:t>
      </w:r>
      <w:r>
        <w:t xml:space="preserve"> </w:t>
      </w:r>
    </w:p>
  </w:footnote>
  <w:footnote w:id="10">
    <w:p w14:paraId="5C194400" w14:textId="77777777" w:rsidR="00137211" w:rsidRDefault="00137211" w:rsidP="000B7FE3">
      <w:pPr>
        <w:pStyle w:val="aff2"/>
        <w:jc w:val="both"/>
      </w:pPr>
      <w:r>
        <w:rPr>
          <w:rStyle w:val="a3"/>
          <w:rFonts w:ascii="Times New Roman" w:hAnsi="Times New Roman"/>
        </w:rPr>
        <w:footnoteRef/>
      </w:r>
      <w:r>
        <w:rPr>
          <w:rFonts w:ascii="Times New Roman" w:eastAsia="Times New Roman" w:hAnsi="Times New Roman" w:cs="Times New Roman"/>
        </w:rPr>
        <w:tab/>
        <w:t xml:space="preserve"> </w:t>
      </w:r>
      <w:r w:rsidRPr="0068764F">
        <w:rPr>
          <w:rFonts w:ascii="Times New Roman" w:hAnsi="Times New Roman" w:cs="Times New Roman"/>
        </w:rPr>
        <w:t>Межгосударственная Координационная Водохозяйственная Комиссия Центральной Азии. БЮЛЛЕТЕНЬ №1 (84). Июнь 2020.</w:t>
      </w:r>
      <w:r>
        <w:rPr>
          <w:rFonts w:ascii="Times New Roman" w:hAnsi="Times New Roman" w:cs="Times New Roman"/>
        </w:rPr>
        <w:t xml:space="preserve">  </w:t>
      </w:r>
    </w:p>
  </w:footnote>
  <w:footnote w:id="11">
    <w:p w14:paraId="50528838" w14:textId="77777777" w:rsidR="00137211" w:rsidRDefault="00137211" w:rsidP="00CB5F3B">
      <w:pPr>
        <w:pStyle w:val="aff2"/>
        <w:jc w:val="both"/>
      </w:pPr>
      <w:r>
        <w:rPr>
          <w:rStyle w:val="a3"/>
          <w:rFonts w:ascii="Times New Roman" w:hAnsi="Times New Roman"/>
        </w:rPr>
        <w:footnoteRef/>
      </w:r>
      <w:r>
        <w:tab/>
      </w:r>
      <w:r w:rsidRPr="0068764F">
        <w:t>Всемирный доклад Организации Объединенных Наций о состоянии водных ресурсов, 2019 г. «Не оставляя никого в стороне».</w:t>
      </w:r>
    </w:p>
  </w:footnote>
  <w:footnote w:id="12">
    <w:p w14:paraId="486851FA" w14:textId="77777777" w:rsidR="00137211" w:rsidRPr="0068764F" w:rsidRDefault="00137211" w:rsidP="004654F7">
      <w:pPr>
        <w:pStyle w:val="aff2"/>
        <w:jc w:val="both"/>
      </w:pPr>
      <w:r>
        <w:rPr>
          <w:rStyle w:val="a3"/>
          <w:rFonts w:ascii="Times New Roman" w:hAnsi="Times New Roman"/>
        </w:rPr>
        <w:footnoteRef/>
      </w:r>
      <w:hyperlink r:id="rId2" w:history="1">
        <w:r w:rsidRPr="0068764F">
          <w:rPr>
            <w:rStyle w:val="a6"/>
            <w:u w:val="none"/>
          </w:rPr>
          <w:tab/>
          <w:t>https://3dnews.ru/1003417?from=related-grid-auto&amp;from-source=1004693</w:t>
        </w:r>
      </w:hyperlink>
    </w:p>
  </w:footnote>
  <w:footnote w:id="13">
    <w:p w14:paraId="0940AC7B" w14:textId="77777777" w:rsidR="00137211" w:rsidRDefault="00137211" w:rsidP="004654F7">
      <w:pPr>
        <w:pStyle w:val="aff2"/>
        <w:jc w:val="both"/>
      </w:pPr>
      <w:r w:rsidRPr="0068764F">
        <w:rPr>
          <w:rStyle w:val="a3"/>
          <w:rFonts w:ascii="Times New Roman" w:hAnsi="Times New Roman"/>
        </w:rPr>
        <w:footnoteRef/>
      </w:r>
      <w:r w:rsidRPr="0068764F">
        <w:tab/>
        <w:t>Третий Обзор результативности экологической деятельности Казахстана. ЕЭК ООН. 2018 г.</w:t>
      </w:r>
    </w:p>
  </w:footnote>
  <w:footnote w:id="14">
    <w:p w14:paraId="11259FE3" w14:textId="76AB7755" w:rsidR="00137211" w:rsidRPr="0068764F" w:rsidRDefault="00137211" w:rsidP="00E1583B">
      <w:pPr>
        <w:pStyle w:val="aff2"/>
        <w:jc w:val="both"/>
      </w:pPr>
      <w:r>
        <w:rPr>
          <w:rStyle w:val="a3"/>
          <w:rFonts w:ascii="Times New Roman" w:hAnsi="Times New Roman"/>
        </w:rPr>
        <w:footnoteRef/>
      </w:r>
      <w:r>
        <w:tab/>
      </w:r>
      <w:r w:rsidRPr="0068764F">
        <w:t xml:space="preserve">Управление многоцелевой водохозяйственной инфраструктурой: обзор международного опыта -рабочий документ по вопросам экологии №115. Мелиса Нотон (1), Николь ДеСантис (1) и Александр Мартусевич (2) </w:t>
      </w:r>
    </w:p>
  </w:footnote>
  <w:footnote w:id="15">
    <w:p w14:paraId="6B737997" w14:textId="77777777" w:rsidR="00137211" w:rsidRPr="0068764F" w:rsidRDefault="00137211" w:rsidP="00E1583B">
      <w:pPr>
        <w:pStyle w:val="aff2"/>
        <w:jc w:val="both"/>
      </w:pPr>
      <w:r w:rsidRPr="0068764F">
        <w:rPr>
          <w:rStyle w:val="a3"/>
          <w:rFonts w:ascii="Times New Roman" w:hAnsi="Times New Roman"/>
        </w:rPr>
        <w:footnoteRef/>
      </w:r>
      <w:hyperlink r:id="rId3" w:history="1">
        <w:r w:rsidRPr="0068764F">
          <w:rPr>
            <w:rStyle w:val="a6"/>
            <w:u w:val="none"/>
          </w:rPr>
          <w:tab/>
          <w:t>https://3dnews.ru/1003417?from=related-grid-auto&amp;from-source=1004693</w:t>
        </w:r>
      </w:hyperlink>
    </w:p>
  </w:footnote>
  <w:footnote w:id="16">
    <w:p w14:paraId="480C838D" w14:textId="77777777" w:rsidR="00137211" w:rsidRDefault="00137211" w:rsidP="00E1583B">
      <w:pPr>
        <w:pStyle w:val="aff2"/>
        <w:jc w:val="both"/>
      </w:pPr>
      <w:r w:rsidRPr="0068764F">
        <w:rPr>
          <w:rStyle w:val="a3"/>
          <w:rFonts w:ascii="Times New Roman" w:hAnsi="Times New Roman"/>
        </w:rPr>
        <w:footnoteRef/>
      </w:r>
      <w:r w:rsidRPr="0068764F">
        <w:tab/>
        <w:t>Всемирная организация здравоохранения. Руководство по обеспечению санитарии и охраны здоровья населения [Guidelines on sanitation and health]. 2019.</w:t>
      </w:r>
    </w:p>
  </w:footnote>
  <w:footnote w:id="17">
    <w:p w14:paraId="231F8F11" w14:textId="77777777" w:rsidR="00137211" w:rsidRPr="0068764F" w:rsidRDefault="00137211" w:rsidP="00E1583B">
      <w:pPr>
        <w:pStyle w:val="aff2"/>
        <w:jc w:val="both"/>
      </w:pPr>
      <w:r>
        <w:rPr>
          <w:rStyle w:val="a3"/>
          <w:rFonts w:ascii="Times New Roman" w:hAnsi="Times New Roman"/>
        </w:rPr>
        <w:footnoteRef/>
      </w:r>
      <w:r w:rsidRPr="00561A37">
        <w:tab/>
      </w:r>
      <w:r w:rsidRPr="0068764F">
        <w:rPr>
          <w:lang w:val="en-US"/>
        </w:rPr>
        <w:t>Water</w:t>
      </w:r>
      <w:r w:rsidRPr="0068764F">
        <w:t xml:space="preserve"> </w:t>
      </w:r>
      <w:r w:rsidRPr="0068764F">
        <w:rPr>
          <w:lang w:val="en-US"/>
        </w:rPr>
        <w:t>and</w:t>
      </w:r>
      <w:r w:rsidRPr="0068764F">
        <w:t xml:space="preserve"> </w:t>
      </w:r>
      <w:r w:rsidRPr="0068764F">
        <w:rPr>
          <w:lang w:val="en-US"/>
        </w:rPr>
        <w:t>Climate</w:t>
      </w:r>
      <w:r w:rsidRPr="0068764F">
        <w:t xml:space="preserve"> </w:t>
      </w:r>
      <w:r w:rsidRPr="0068764F">
        <w:rPr>
          <w:lang w:val="en-US"/>
        </w:rPr>
        <w:t>Change</w:t>
      </w:r>
      <w:r w:rsidRPr="0068764F">
        <w:t xml:space="preserve">, </w:t>
      </w:r>
      <w:r w:rsidRPr="0068764F">
        <w:rPr>
          <w:lang w:val="en-US"/>
        </w:rPr>
        <w:t>Paris</w:t>
      </w:r>
      <w:r w:rsidRPr="0068764F">
        <w:t xml:space="preserve">, </w:t>
      </w:r>
      <w:r w:rsidRPr="0068764F">
        <w:rPr>
          <w:lang w:val="en-US"/>
        </w:rPr>
        <w:t>UNESCO</w:t>
      </w:r>
      <w:r w:rsidRPr="0068764F">
        <w:t xml:space="preserve">. </w:t>
      </w:r>
    </w:p>
  </w:footnote>
  <w:footnote w:id="18">
    <w:p w14:paraId="0CC046A9" w14:textId="77777777" w:rsidR="00137211" w:rsidRDefault="00137211" w:rsidP="00E1583B">
      <w:pPr>
        <w:pStyle w:val="aff2"/>
        <w:jc w:val="both"/>
      </w:pPr>
      <w:r w:rsidRPr="0068764F">
        <w:rPr>
          <w:rStyle w:val="a3"/>
          <w:rFonts w:ascii="Times New Roman" w:hAnsi="Times New Roman"/>
        </w:rPr>
        <w:footnoteRef/>
      </w:r>
      <w:r w:rsidRPr="0068764F">
        <w:tab/>
        <w:t>Третий Обзор результативности экологической деятельности Казахстана. ЕЭК ООН. 2018 г.</w:t>
      </w:r>
    </w:p>
  </w:footnote>
  <w:footnote w:id="19">
    <w:p w14:paraId="47637FCF" w14:textId="77777777" w:rsidR="00137211" w:rsidRDefault="00137211" w:rsidP="00E1583B">
      <w:pPr>
        <w:pStyle w:val="aff2"/>
        <w:jc w:val="both"/>
      </w:pPr>
      <w:r w:rsidRPr="0068764F">
        <w:rPr>
          <w:rStyle w:val="a3"/>
          <w:rFonts w:ascii="Times New Roman" w:hAnsi="Times New Roman"/>
        </w:rPr>
        <w:footnoteRef/>
      </w:r>
      <w:r w:rsidRPr="0068764F">
        <w:tab/>
        <w:t>Третий Обзор результативности экологической деятельности Казахстана. ЕЭК ООН. 2018 г.</w:t>
      </w:r>
    </w:p>
  </w:footnote>
  <w:footnote w:id="20">
    <w:p w14:paraId="4F2B0DCD" w14:textId="77777777" w:rsidR="00137211" w:rsidRPr="0068764F" w:rsidRDefault="00137211" w:rsidP="00252217">
      <w:pPr>
        <w:pStyle w:val="aff2"/>
        <w:jc w:val="both"/>
      </w:pPr>
      <w:r w:rsidRPr="0068764F">
        <w:rPr>
          <w:rStyle w:val="a3"/>
          <w:rFonts w:ascii="Times New Roman" w:hAnsi="Times New Roman"/>
        </w:rPr>
        <w:footnoteRef/>
      </w:r>
      <w:r w:rsidRPr="0068764F">
        <w:tab/>
        <w:t>Всемирный банк. Зеленая экономика: реалии и перспективы в Казахстане. 2018 год.</w:t>
      </w:r>
    </w:p>
  </w:footnote>
  <w:footnote w:id="21">
    <w:p w14:paraId="41BD5700" w14:textId="72648AE1" w:rsidR="00137211" w:rsidRDefault="00137211" w:rsidP="00252217">
      <w:pPr>
        <w:pStyle w:val="aff2"/>
        <w:jc w:val="both"/>
      </w:pPr>
      <w:r w:rsidRPr="0068764F">
        <w:rPr>
          <w:rStyle w:val="a3"/>
          <w:rFonts w:ascii="Times New Roman" w:hAnsi="Times New Roman"/>
        </w:rPr>
        <w:footnoteRef/>
      </w:r>
      <w:r w:rsidRPr="0068764F">
        <w:tab/>
        <w:t>Стратегический план развития Республики Казахстан до 2025 года, утвержденный Указом Президента Республики Казахстан от 15 февраля 2018 года №</w:t>
      </w:r>
      <w:r w:rsidRPr="0068764F">
        <w:rPr>
          <w:rFonts w:asciiTheme="minorHAnsi" w:hAnsiTheme="minorHAnsi"/>
        </w:rPr>
        <w:t xml:space="preserve"> </w:t>
      </w:r>
      <w:r w:rsidRPr="0068764F">
        <w:t>636.</w:t>
      </w:r>
    </w:p>
  </w:footnote>
  <w:footnote w:id="22">
    <w:p w14:paraId="17BF7990" w14:textId="77777777" w:rsidR="00137211" w:rsidRDefault="00137211" w:rsidP="00E6382B">
      <w:pPr>
        <w:pStyle w:val="aff2"/>
        <w:jc w:val="both"/>
      </w:pPr>
      <w:r w:rsidRPr="0068764F">
        <w:rPr>
          <w:rStyle w:val="a3"/>
          <w:rFonts w:ascii="Times New Roman" w:hAnsi="Times New Roman"/>
        </w:rPr>
        <w:footnoteRef/>
      </w:r>
      <w:r w:rsidRPr="0068764F">
        <w:tab/>
        <w:t>Государственная программа развития агропромышленного комплекса Республики Казахстан на 2017 - 2021 годы, утвержденная Указом Президента РК от 14.02.2017 г. №420.</w:t>
      </w:r>
    </w:p>
  </w:footnote>
  <w:footnote w:id="23">
    <w:p w14:paraId="27A745A2" w14:textId="77777777" w:rsidR="00137211" w:rsidRPr="0068764F" w:rsidRDefault="00137211" w:rsidP="00E6382B">
      <w:pPr>
        <w:pStyle w:val="aff2"/>
        <w:jc w:val="both"/>
      </w:pPr>
      <w:r>
        <w:rPr>
          <w:rStyle w:val="a3"/>
          <w:rFonts w:ascii="Times New Roman" w:hAnsi="Times New Roman"/>
        </w:rPr>
        <w:footnoteRef/>
      </w:r>
      <w:r>
        <w:tab/>
      </w:r>
      <w:r w:rsidRPr="0068764F">
        <w:t>Отчет о реализации Государственной программы развития агропромышленного комплекса Республики Казахстан на 2017 - 2021 годы за 2018 год.</w:t>
      </w:r>
    </w:p>
  </w:footnote>
  <w:footnote w:id="24">
    <w:p w14:paraId="572713CB" w14:textId="77777777" w:rsidR="00137211" w:rsidRDefault="00137211" w:rsidP="00E6382B">
      <w:pPr>
        <w:pStyle w:val="aff2"/>
        <w:jc w:val="both"/>
      </w:pPr>
      <w:r w:rsidRPr="0068764F">
        <w:rPr>
          <w:rStyle w:val="a3"/>
          <w:rFonts w:ascii="Times New Roman" w:hAnsi="Times New Roman"/>
        </w:rPr>
        <w:footnoteRef/>
      </w:r>
      <w:r w:rsidRPr="0068764F">
        <w:tab/>
        <w:t>Третий Обзор результативности экологической деятельности Казахстана. ЕЭК ООН. 2018 г.</w:t>
      </w:r>
    </w:p>
  </w:footnote>
  <w:footnote w:id="25">
    <w:p w14:paraId="112F3894" w14:textId="77777777" w:rsidR="00137211" w:rsidRDefault="00137211" w:rsidP="00E6382B">
      <w:pPr>
        <w:pStyle w:val="aff2"/>
        <w:jc w:val="both"/>
      </w:pPr>
      <w:r w:rsidRPr="0068764F">
        <w:rPr>
          <w:rStyle w:val="a3"/>
          <w:rFonts w:ascii="Times New Roman" w:hAnsi="Times New Roman"/>
        </w:rPr>
        <w:footnoteRef/>
      </w:r>
      <w:r w:rsidRPr="0068764F">
        <w:rPr>
          <w:rFonts w:ascii="Times New Roman" w:eastAsia="Times New Roman" w:hAnsi="Times New Roman" w:cs="Times New Roman"/>
          <w:bCs/>
          <w:lang w:eastAsia="ru-RU"/>
        </w:rPr>
        <w:tab/>
        <w:t xml:space="preserve">Доклад первого вице-министра сельского хозяйства Айдарбека Сапарова на расширенном заседании на коллегии МСХ РК. </w:t>
      </w:r>
      <w:r w:rsidRPr="0068764F">
        <w:rPr>
          <w:rFonts w:ascii="Times New Roman" w:eastAsia="Times New Roman" w:hAnsi="Times New Roman" w:cs="Times New Roman"/>
          <w:lang w:eastAsia="ru-RU"/>
        </w:rPr>
        <w:t>21 февраля 2020</w:t>
      </w:r>
    </w:p>
  </w:footnote>
  <w:footnote w:id="26">
    <w:p w14:paraId="5B9A3378" w14:textId="155F375B" w:rsidR="00137211" w:rsidRPr="0068764F" w:rsidRDefault="00137211" w:rsidP="005E73C8">
      <w:pPr>
        <w:pStyle w:val="aff2"/>
        <w:jc w:val="both"/>
      </w:pPr>
      <w:r>
        <w:rPr>
          <w:rStyle w:val="a3"/>
          <w:rFonts w:ascii="Times New Roman" w:hAnsi="Times New Roman"/>
        </w:rPr>
        <w:footnoteRef/>
      </w:r>
      <w:r>
        <w:tab/>
      </w:r>
      <w:r w:rsidRPr="0068764F">
        <w:t>Сводный аналитический отчет о состоянии и использовании земель Ресрублики Казахстан за 2018 год. МСХ РК. Комитет по управлению земельными ресурсами. 2019 г.</w:t>
      </w:r>
    </w:p>
  </w:footnote>
  <w:footnote w:id="27">
    <w:p w14:paraId="45B57B27" w14:textId="60EB9F83" w:rsidR="00137211" w:rsidRDefault="00137211" w:rsidP="005E73C8">
      <w:pPr>
        <w:pStyle w:val="aff2"/>
        <w:jc w:val="both"/>
      </w:pPr>
      <w:r w:rsidRPr="0068764F">
        <w:footnoteRef/>
      </w:r>
      <w:r w:rsidRPr="0068764F">
        <w:tab/>
        <w:t>Управление многоцелевой водохозяйственной инфраструктурой: обзор международного опыта – рабочий документ по вопросам экологии №115. Мелиса Нотон (1), Николь ДеСантис (1) и Александр Мартусевич (2)</w:t>
      </w:r>
      <w:r>
        <w:t xml:space="preserve"> </w:t>
      </w:r>
    </w:p>
  </w:footnote>
  <w:footnote w:id="28">
    <w:p w14:paraId="5E426AF9" w14:textId="7C530B17" w:rsidR="00137211" w:rsidRDefault="00137211" w:rsidP="005E73C8">
      <w:pPr>
        <w:pStyle w:val="aff2"/>
        <w:jc w:val="both"/>
      </w:pPr>
      <w:r w:rsidRPr="0068764F">
        <w:rPr>
          <w:rStyle w:val="a3"/>
          <w:rFonts w:ascii="Times New Roman" w:hAnsi="Times New Roman"/>
        </w:rPr>
        <w:footnoteRef/>
      </w:r>
      <w:r w:rsidRPr="0068764F">
        <w:tab/>
        <w:t>Сводный аналитический отчет о состоянии и использовании земель Ресрублики Казахстан за 2018 год. МСХ РК. Комитет по управлению земельными ресурсами. 2019 г.</w:t>
      </w:r>
    </w:p>
  </w:footnote>
  <w:footnote w:id="29">
    <w:p w14:paraId="350EAA33" w14:textId="57BA27B4" w:rsidR="00137211" w:rsidRDefault="00137211" w:rsidP="006C1B98">
      <w:pPr>
        <w:pStyle w:val="aff2"/>
        <w:jc w:val="both"/>
      </w:pPr>
      <w:r>
        <w:rPr>
          <w:rStyle w:val="a3"/>
          <w:rFonts w:ascii="Times New Roman" w:hAnsi="Times New Roman"/>
        </w:rPr>
        <w:footnoteRef/>
      </w:r>
      <w:r>
        <w:tab/>
      </w:r>
      <w:r w:rsidRPr="0068764F">
        <w:t>Национальный доклад о состоянии окружающей среду и об использовании приподных ресурсов за 2018 год. г.Нур-Султан. 2019 год.</w:t>
      </w:r>
    </w:p>
  </w:footnote>
  <w:footnote w:id="30">
    <w:p w14:paraId="0EA434E8" w14:textId="77777777" w:rsidR="00137211" w:rsidRPr="0068764F" w:rsidRDefault="00137211" w:rsidP="00E718D1">
      <w:pPr>
        <w:pStyle w:val="aff2"/>
        <w:jc w:val="both"/>
        <w:rPr>
          <w:rFonts w:asciiTheme="minorHAnsi" w:hAnsiTheme="minorHAnsi"/>
        </w:rPr>
      </w:pPr>
      <w:r>
        <w:rPr>
          <w:rStyle w:val="a4"/>
        </w:rPr>
        <w:footnoteRef/>
      </w:r>
      <w:r>
        <w:t xml:space="preserve"> </w:t>
      </w:r>
      <w:hyperlink r:id="rId4" w:history="1">
        <w:r w:rsidRPr="0068764F">
          <w:rPr>
            <w:rStyle w:val="a6"/>
            <w:rFonts w:ascii="Times New Roman" w:hAnsi="Times New Roman" w:cs="Times New Roman"/>
            <w:color w:val="000000" w:themeColor="text1"/>
            <w:u w:val="none"/>
          </w:rPr>
          <w:t>https://greenkaz.org/index.php/press-centr/novosti-v-strane/item/1987-razvitie-organicheskogo-selskogo-khozyajstva-v-kazakhstane</w:t>
        </w:r>
      </w:hyperlink>
    </w:p>
  </w:footnote>
  <w:footnote w:id="31">
    <w:p w14:paraId="4C8E5B9B" w14:textId="77777777" w:rsidR="00137211" w:rsidRPr="00597FA5" w:rsidRDefault="00137211" w:rsidP="00E718D1">
      <w:pPr>
        <w:pStyle w:val="aff2"/>
        <w:jc w:val="both"/>
        <w:rPr>
          <w:rFonts w:asciiTheme="minorHAnsi" w:hAnsiTheme="minorHAnsi"/>
        </w:rPr>
      </w:pPr>
      <w:r w:rsidRPr="0068764F">
        <w:rPr>
          <w:rStyle w:val="a4"/>
        </w:rPr>
        <w:footnoteRef/>
      </w:r>
      <w:r w:rsidRPr="0068764F">
        <w:t xml:space="preserve"> </w:t>
      </w:r>
      <w:hyperlink r:id="rId5" w:history="1">
        <w:r w:rsidRPr="0068764F">
          <w:rPr>
            <w:rStyle w:val="a6"/>
            <w:rFonts w:ascii="Times New Roman" w:eastAsia="Times New Roman" w:hAnsi="Times New Roman" w:cs="Times New Roman"/>
            <w:color w:val="auto"/>
            <w:spacing w:val="2"/>
            <w:u w:val="none"/>
            <w:lang w:eastAsia="ru-RU"/>
          </w:rPr>
          <w:t>https://www.deutschland.de/ru/topic/okruzausaa-sreda/kak-germaniya-rasshiryaet-zelenoe-selskoe-khozyaystvo</w:t>
        </w:r>
      </w:hyperlink>
    </w:p>
  </w:footnote>
  <w:footnote w:id="32">
    <w:p w14:paraId="0C5D3369" w14:textId="77777777" w:rsidR="00137211" w:rsidRPr="0068764F" w:rsidRDefault="00137211" w:rsidP="00654CDE">
      <w:pPr>
        <w:pStyle w:val="aff2"/>
        <w:rPr>
          <w:rFonts w:asciiTheme="minorHAnsi" w:hAnsiTheme="minorHAnsi"/>
        </w:rPr>
      </w:pPr>
      <w:r>
        <w:rPr>
          <w:rStyle w:val="a3"/>
          <w:rFonts w:ascii="Times New Roman" w:hAnsi="Times New Roman"/>
        </w:rPr>
        <w:footnoteRef/>
      </w:r>
      <w:hyperlink r:id="rId6" w:history="1">
        <w:r w:rsidRPr="0068764F">
          <w:rPr>
            <w:rStyle w:val="a6"/>
            <w:u w:val="none"/>
          </w:rPr>
          <w:tab/>
          <w:t>https://www.bmel.de/DE/Landwirtschaft/Nachhaltige-Landnutzung/Oekolandbau/_Texte/VeroeffentlichungZukunftsstrategieOekologischerLandbau.html</w:t>
        </w:r>
      </w:hyperlink>
    </w:p>
  </w:footnote>
  <w:footnote w:id="33">
    <w:p w14:paraId="5A4E4C45" w14:textId="77777777" w:rsidR="00137211" w:rsidRPr="0068764F" w:rsidRDefault="00137211" w:rsidP="00654CDE">
      <w:pPr>
        <w:pStyle w:val="aff2"/>
        <w:rPr>
          <w:rFonts w:ascii="Times New Roman" w:hAnsi="Times New Roman" w:cs="Times New Roman"/>
        </w:rPr>
      </w:pPr>
      <w:r w:rsidRPr="0068764F">
        <w:rPr>
          <w:rStyle w:val="a3"/>
          <w:rFonts w:ascii="Times New Roman" w:hAnsi="Times New Roman"/>
        </w:rPr>
        <w:footnoteRef/>
      </w:r>
      <w:r w:rsidRPr="0068764F">
        <w:tab/>
      </w:r>
      <w:hyperlink r:id="rId7" w:history="1">
        <w:r w:rsidRPr="0068764F">
          <w:rPr>
            <w:rFonts w:ascii="Times New Roman" w:hAnsi="Times New Roman" w:cs="Times New Roman"/>
          </w:rPr>
          <w:t>https://ria.ru/20191209/1562135965.html</w:t>
        </w:r>
      </w:hyperlink>
      <w:r w:rsidRPr="0068764F">
        <w:rPr>
          <w:rFonts w:ascii="Times New Roman" w:hAnsi="Times New Roman" w:cs="Times New Roman"/>
        </w:rPr>
        <w:t xml:space="preserve"> </w:t>
      </w:r>
      <w:r w:rsidRPr="0068764F">
        <w:rPr>
          <w:rFonts w:ascii="Times New Roman" w:hAnsi="Times New Roman" w:cs="Times New Roman"/>
        </w:rPr>
        <w:tab/>
      </w:r>
      <w:r w:rsidRPr="0068764F">
        <w:rPr>
          <w:rFonts w:ascii="Times New Roman" w:hAnsi="Times New Roman" w:cs="Times New Roman"/>
        </w:rPr>
        <w:tab/>
      </w:r>
      <w:r w:rsidRPr="0068764F">
        <w:rPr>
          <w:rFonts w:ascii="Times New Roman" w:hAnsi="Times New Roman" w:cs="Times New Roman"/>
        </w:rPr>
        <w:tab/>
      </w:r>
    </w:p>
    <w:p w14:paraId="47980708" w14:textId="6FF30D33" w:rsidR="00137211" w:rsidRDefault="00137211" w:rsidP="00654CDE">
      <w:pPr>
        <w:pStyle w:val="aff2"/>
      </w:pPr>
      <w:r w:rsidRPr="0068764F">
        <w:rPr>
          <w:rFonts w:ascii="Times New Roman" w:hAnsi="Times New Roman" w:cs="Times New Roman"/>
        </w:rPr>
        <w:t xml:space="preserve">34 </w:t>
      </w:r>
      <w:r w:rsidRPr="0068764F">
        <w:t>https://www.bmel.de/DE/Landwirtschaft/Nachhaltige-Landnutzung/Oekolandbau/_Texte/VeroeffentlichungZukunftsstrategieOekologischerLandbau</w:t>
      </w:r>
      <w:r w:rsidRPr="007520AD">
        <w:t>.html</w:t>
      </w:r>
    </w:p>
  </w:footnote>
  <w:footnote w:id="34">
    <w:p w14:paraId="3AFFCF1B" w14:textId="6AEB9013" w:rsidR="00137211" w:rsidRDefault="00137211" w:rsidP="00654CDE">
      <w:pPr>
        <w:pStyle w:val="aff2"/>
        <w:ind w:left="0" w:firstLine="0"/>
        <w:rPr>
          <w:rFonts w:ascii="Times New Roman" w:hAnsi="Times New Roman" w:cs="Times New Roman"/>
        </w:rPr>
      </w:pPr>
      <w:r w:rsidRPr="007520AD">
        <w:rPr>
          <w:rFonts w:ascii="Times New Roman" w:hAnsi="Times New Roman" w:cs="Times New Roman"/>
        </w:rPr>
        <w:tab/>
      </w:r>
      <w:r w:rsidRPr="007520AD">
        <w:rPr>
          <w:rFonts w:ascii="Times New Roman" w:hAnsi="Times New Roman" w:cs="Times New Roman"/>
        </w:rPr>
        <w:tab/>
      </w:r>
      <w:r w:rsidRPr="007520AD">
        <w:rPr>
          <w:rFonts w:ascii="Times New Roman" w:hAnsi="Times New Roman" w:cs="Times New Roman"/>
        </w:rPr>
        <w:tab/>
      </w:r>
    </w:p>
    <w:p w14:paraId="02B91607" w14:textId="051EA9BC" w:rsidR="00137211" w:rsidRDefault="00137211" w:rsidP="007520AD">
      <w:pPr>
        <w:pStyle w:val="aff2"/>
      </w:pPr>
    </w:p>
  </w:footnote>
  <w:footnote w:id="35">
    <w:p w14:paraId="50FBA968" w14:textId="77777777" w:rsidR="00137211" w:rsidRDefault="00137211" w:rsidP="00B24BF8">
      <w:pPr>
        <w:pStyle w:val="aff2"/>
        <w:jc w:val="both"/>
        <w:rPr>
          <w:rStyle w:val="a6"/>
          <w:rFonts w:ascii="Times New Roman" w:hAnsi="Times New Roman" w:cs="Times New Roman"/>
          <w:u w:val="none"/>
        </w:rPr>
      </w:pPr>
      <w:r>
        <w:rPr>
          <w:rStyle w:val="a3"/>
          <w:rFonts w:ascii="Times New Roman" w:hAnsi="Times New Roman"/>
        </w:rPr>
        <w:t>35</w:t>
      </w:r>
      <w:r w:rsidRPr="001C0BA4">
        <w:rPr>
          <w:rFonts w:ascii="Times New Roman" w:eastAsia="Times New Roman" w:hAnsi="Times New Roman" w:cs="Times New Roman"/>
        </w:rPr>
        <w:tab/>
        <w:t xml:space="preserve"> </w:t>
      </w:r>
      <w:hyperlink r:id="rId8" w:history="1">
        <w:r w:rsidRPr="001C0BA4">
          <w:rPr>
            <w:rStyle w:val="a6"/>
            <w:rFonts w:ascii="Times New Roman" w:hAnsi="Times New Roman" w:cs="Times New Roman"/>
            <w:u w:val="none"/>
          </w:rPr>
          <w:t>https://soz.bio/rossiyskie-uchenye-dokazali-polzu-or/?utm_source=sendpulse&amp;utm_medium=email&amp;utm_campaign=novosti-soyuz-organicheskogo-z&amp;fbclid=IwAR0Bqr3HwfQDYvjcpPSriTVmM_q4RdCZelOouYuBRM7G5Z5is8hM_5O23Cw</w:t>
        </w:r>
      </w:hyperlink>
    </w:p>
    <w:p w14:paraId="3EF1F5FC" w14:textId="7DAACF3B" w:rsidR="00137211" w:rsidRPr="00561A37" w:rsidRDefault="00137211" w:rsidP="00B24BF8">
      <w:pPr>
        <w:pStyle w:val="aff2"/>
        <w:jc w:val="both"/>
        <w:rPr>
          <w:lang w:val="en-US"/>
        </w:rPr>
      </w:pPr>
      <w:r>
        <w:rPr>
          <w:rStyle w:val="a3"/>
          <w:rFonts w:ascii="Times New Roman" w:hAnsi="Times New Roman"/>
        </w:rPr>
        <w:t>36</w:t>
      </w:r>
      <w:r>
        <w:tab/>
        <w:t>Третий Обзор результативности экологической деятельности Казахстана. ЕЭК</w:t>
      </w:r>
      <w:r w:rsidRPr="00561A37">
        <w:rPr>
          <w:lang w:val="en-US"/>
        </w:rPr>
        <w:t xml:space="preserve"> </w:t>
      </w:r>
      <w:r>
        <w:t>ООН</w:t>
      </w:r>
      <w:r w:rsidRPr="00561A37">
        <w:rPr>
          <w:lang w:val="en-US"/>
        </w:rPr>
        <w:t xml:space="preserve">. 2018 </w:t>
      </w:r>
      <w:r>
        <w:t>г</w:t>
      </w:r>
      <w:r w:rsidRPr="00561A37">
        <w:rPr>
          <w:lang w:val="en-US"/>
        </w:rPr>
        <w:t>.</w:t>
      </w:r>
    </w:p>
  </w:footnote>
  <w:footnote w:id="36">
    <w:p w14:paraId="6376977E" w14:textId="37378962" w:rsidR="00137211" w:rsidRPr="0068764F" w:rsidRDefault="00137211" w:rsidP="00B24BF8">
      <w:pPr>
        <w:pStyle w:val="aff2"/>
        <w:jc w:val="both"/>
        <w:rPr>
          <w:lang w:val="en-US"/>
        </w:rPr>
      </w:pPr>
      <w:r w:rsidRPr="00587A1B">
        <w:rPr>
          <w:rStyle w:val="a3"/>
          <w:rFonts w:ascii="Times New Roman" w:hAnsi="Times New Roman"/>
          <w:lang w:val="en-US"/>
        </w:rPr>
        <w:t>3</w:t>
      </w:r>
      <w:r w:rsidRPr="00587A1B">
        <w:rPr>
          <w:rFonts w:asciiTheme="minorHAnsi" w:hAnsiTheme="minorHAnsi"/>
          <w:lang w:val="en-US"/>
        </w:rPr>
        <w:t>7</w:t>
      </w:r>
      <w:r w:rsidRPr="0024270B">
        <w:rPr>
          <w:lang w:val="en-US"/>
        </w:rPr>
        <w:tab/>
        <w:t xml:space="preserve">UNEP and GRID-Arendal (2020). The </w:t>
      </w:r>
      <w:r w:rsidRPr="0068764F">
        <w:rPr>
          <w:lang w:val="en-US"/>
        </w:rPr>
        <w:t xml:space="preserve">Illegal Trade in Chemicals </w:t>
      </w:r>
    </w:p>
  </w:footnote>
  <w:footnote w:id="37">
    <w:p w14:paraId="579E9989" w14:textId="6DBBAB35" w:rsidR="00137211" w:rsidRPr="0068764F" w:rsidRDefault="00137211" w:rsidP="00B24BF8">
      <w:pPr>
        <w:pStyle w:val="aff2"/>
        <w:jc w:val="both"/>
        <w:rPr>
          <w:lang w:val="en-US"/>
        </w:rPr>
      </w:pPr>
      <w:r w:rsidRPr="0068764F">
        <w:rPr>
          <w:rStyle w:val="a3"/>
          <w:rFonts w:ascii="Times New Roman" w:hAnsi="Times New Roman"/>
          <w:lang w:val="en-US"/>
        </w:rPr>
        <w:t>38</w:t>
      </w:r>
      <w:hyperlink r:id="rId9" w:history="1">
        <w:r w:rsidRPr="0068764F">
          <w:rPr>
            <w:rStyle w:val="a6"/>
            <w:lang w:val="en-US"/>
          </w:rPr>
          <w:tab/>
          <w:t>http://www.fao.org/europe/news/detail-news/ru/c/1184939/</w:t>
        </w:r>
      </w:hyperlink>
    </w:p>
  </w:footnote>
  <w:footnote w:id="38">
    <w:p w14:paraId="7A74F1A9" w14:textId="33F3F121" w:rsidR="00137211" w:rsidRPr="00B24BF8" w:rsidRDefault="00137211" w:rsidP="00B24BF8">
      <w:pPr>
        <w:pStyle w:val="aff2"/>
        <w:jc w:val="both"/>
        <w:rPr>
          <w:highlight w:val="yellow"/>
        </w:rPr>
      </w:pPr>
      <w:r w:rsidRPr="0068764F">
        <w:rPr>
          <w:rStyle w:val="a3"/>
          <w:rFonts w:ascii="Times New Roman" w:hAnsi="Times New Roman"/>
        </w:rPr>
        <w:footnoteRef/>
      </w:r>
      <w:r w:rsidRPr="0068764F">
        <w:tab/>
        <w:t>Стратегия ФАО в отношении изменения климата. Рим. 2017 год.</w:t>
      </w:r>
    </w:p>
  </w:footnote>
  <w:footnote w:id="39">
    <w:p w14:paraId="7367D8E0" w14:textId="77777777" w:rsidR="00137211" w:rsidRPr="0068764F" w:rsidRDefault="00137211" w:rsidP="00B24BF8">
      <w:pPr>
        <w:pStyle w:val="aff2"/>
        <w:jc w:val="both"/>
      </w:pPr>
      <w:r w:rsidRPr="0068764F">
        <w:rPr>
          <w:rStyle w:val="a4"/>
          <w:rFonts w:hint="eastAsia"/>
        </w:rPr>
        <w:footnoteRef/>
      </w:r>
      <w:r w:rsidRPr="0068764F">
        <w:rPr>
          <w:rFonts w:hint="eastAsia"/>
        </w:rPr>
        <w:t xml:space="preserve"> </w:t>
      </w:r>
      <w:r w:rsidRPr="0068764F">
        <w:t>Третий Обзор результативности экологической деятельности Казахстана. ЕЭК ООН. 2018 г.</w:t>
      </w:r>
    </w:p>
  </w:footnote>
  <w:footnote w:id="40">
    <w:p w14:paraId="71F80C92" w14:textId="77777777" w:rsidR="00137211" w:rsidRDefault="00137211" w:rsidP="00B24BF8">
      <w:pPr>
        <w:pStyle w:val="aff2"/>
        <w:jc w:val="both"/>
      </w:pPr>
      <w:r w:rsidRPr="0068764F">
        <w:rPr>
          <w:rStyle w:val="a3"/>
          <w:rFonts w:ascii="Times New Roman" w:hAnsi="Times New Roman"/>
        </w:rPr>
        <w:footnoteRef/>
      </w:r>
      <w:r w:rsidRPr="0068764F">
        <w:tab/>
        <w:t>Третий Обзор результативности экологической деятельности Казахстана. ЕЭК ООН. 2018 г.</w:t>
      </w:r>
    </w:p>
  </w:footnote>
  <w:footnote w:id="41">
    <w:p w14:paraId="54073F57" w14:textId="77777777" w:rsidR="00137211" w:rsidRDefault="00137211" w:rsidP="005E5BBA">
      <w:pPr>
        <w:pStyle w:val="aff2"/>
        <w:jc w:val="both"/>
      </w:pPr>
      <w:r w:rsidRPr="0068764F">
        <w:rPr>
          <w:rStyle w:val="a3"/>
          <w:rFonts w:ascii="Times New Roman" w:hAnsi="Times New Roman"/>
        </w:rPr>
        <w:footnoteRef/>
      </w:r>
      <w:r w:rsidRPr="0068764F">
        <w:tab/>
        <w:t>Выступление Президента РК Токаева К.К на расширенном заседании Правительства РК 15 июля 2019 года.</w:t>
      </w:r>
    </w:p>
  </w:footnote>
  <w:footnote w:id="42">
    <w:p w14:paraId="3515C1A6" w14:textId="77777777" w:rsidR="00137211" w:rsidRDefault="00137211">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43">
    <w:p w14:paraId="1EB2DD5D" w14:textId="77777777" w:rsidR="00137211" w:rsidRPr="00C017AA" w:rsidRDefault="00137211">
      <w:pPr>
        <w:pStyle w:val="aff2"/>
        <w:rPr>
          <w:rFonts w:asciiTheme="minorHAnsi" w:hAnsiTheme="minorHAnsi"/>
        </w:rPr>
      </w:pPr>
      <w:r>
        <w:rPr>
          <w:rStyle w:val="a4"/>
        </w:rPr>
        <w:footnoteRef/>
      </w:r>
      <w:r>
        <w:t xml:space="preserve"> </w:t>
      </w:r>
      <w:r>
        <w:rPr>
          <w:rFonts w:ascii="Times New Roman" w:eastAsia="Times New Roman" w:hAnsi="Times New Roman" w:cs="Times New Roman"/>
          <w:spacing w:val="2"/>
          <w:lang w:eastAsia="ru-RU"/>
        </w:rPr>
        <w:t xml:space="preserve">http://www.michiganenergyoptions.org/ 5 </w:t>
      </w:r>
      <w:hyperlink r:id="rId10" w:history="1">
        <w:r>
          <w:rPr>
            <w:rStyle w:val="a6"/>
            <w:rFonts w:ascii="Times New Roman" w:eastAsia="Times New Roman" w:hAnsi="Times New Roman" w:cs="Times New Roman"/>
            <w:color w:val="auto"/>
            <w:spacing w:val="2"/>
            <w:u w:val="none"/>
            <w:lang w:eastAsia="ru-RU"/>
          </w:rPr>
          <w:t>http://eco3.org/reec-buildings</w:t>
        </w:r>
      </w:hyperlink>
    </w:p>
  </w:footnote>
  <w:footnote w:id="44">
    <w:p w14:paraId="4EE30D61" w14:textId="77777777" w:rsidR="00137211" w:rsidRDefault="00137211">
      <w:pPr>
        <w:pStyle w:val="aff2"/>
      </w:pPr>
      <w:r>
        <w:rPr>
          <w:rStyle w:val="a3"/>
          <w:rFonts w:ascii="Times New Roman" w:hAnsi="Times New Roman"/>
        </w:rPr>
        <w:footnoteRef/>
      </w:r>
      <w:r>
        <w:rPr>
          <w:rFonts w:ascii="Times New Roman" w:hAnsi="Times New Roman" w:cs="Times New Roman"/>
        </w:rPr>
        <w:tab/>
        <w:t xml:space="preserve">Для простоты понимания, КПД процесса производства электроэнергии зависит от температуры перегрева пара, и чем выше температура пара, тем выше КПД. Сверкритические параметры пара - температура 540 </w:t>
      </w:r>
      <w:r>
        <w:rPr>
          <w:rFonts w:ascii="Times New Roman" w:hAnsi="Times New Roman" w:cs="Times New Roman"/>
          <w:vertAlign w:val="superscript"/>
          <w:lang w:val="en-US"/>
        </w:rPr>
        <w:t>o</w:t>
      </w:r>
      <w:r>
        <w:rPr>
          <w:rFonts w:ascii="Times New Roman" w:hAnsi="Times New Roman" w:cs="Times New Roman"/>
          <w:lang w:val="en-US"/>
        </w:rPr>
        <w:t>C</w:t>
      </w:r>
      <w:r>
        <w:rPr>
          <w:rFonts w:ascii="Times New Roman" w:hAnsi="Times New Roman" w:cs="Times New Roman"/>
        </w:rPr>
        <w:t xml:space="preserve"> (КПД 41%), а ультрасверхкритические параметры 600-650 </w:t>
      </w:r>
      <w:r>
        <w:rPr>
          <w:rFonts w:ascii="Times New Roman" w:hAnsi="Times New Roman" w:cs="Times New Roman"/>
          <w:vertAlign w:val="superscript"/>
          <w:lang w:val="en-US"/>
        </w:rPr>
        <w:t>o</w:t>
      </w:r>
      <w:r>
        <w:rPr>
          <w:rFonts w:ascii="Times New Roman" w:hAnsi="Times New Roman" w:cs="Times New Roman"/>
          <w:lang w:val="en-US"/>
        </w:rPr>
        <w:t>C</w:t>
      </w:r>
      <w:r>
        <w:rPr>
          <w:rFonts w:ascii="Times New Roman" w:hAnsi="Times New Roman" w:cs="Times New Roman"/>
        </w:rPr>
        <w:t xml:space="preserve"> (КПД 45-47%).</w:t>
      </w:r>
    </w:p>
  </w:footnote>
  <w:footnote w:id="45">
    <w:p w14:paraId="77851ED9" w14:textId="77777777" w:rsidR="00137211" w:rsidRPr="0024270B" w:rsidRDefault="00137211">
      <w:pPr>
        <w:pStyle w:val="aff2"/>
        <w:rPr>
          <w:lang w:val="en-US"/>
        </w:rPr>
      </w:pPr>
      <w:r>
        <w:rPr>
          <w:rStyle w:val="a3"/>
          <w:rFonts w:ascii="Times New Roman" w:hAnsi="Times New Roman"/>
        </w:rPr>
        <w:footnoteRef/>
      </w:r>
      <w:r w:rsidRPr="0024270B">
        <w:rPr>
          <w:lang w:val="en-US"/>
        </w:rPr>
        <w:tab/>
        <w:t>«Everything You Think You Know About Coal in China Is Wrong» Melanie Hart, Luke Bassett, and Blaine Johnson Posted on May 15, 2017</w:t>
      </w:r>
    </w:p>
  </w:footnote>
  <w:footnote w:id="46">
    <w:p w14:paraId="48FD5827" w14:textId="77777777" w:rsidR="00137211" w:rsidRDefault="00137211" w:rsidP="00423D1A">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47">
    <w:p w14:paraId="3A2BAA9B" w14:textId="47A16EA4" w:rsidR="00137211" w:rsidRDefault="00137211" w:rsidP="00B32C03">
      <w:pPr>
        <w:pStyle w:val="aff2"/>
        <w:jc w:val="both"/>
      </w:pPr>
      <w:r>
        <w:rPr>
          <w:rStyle w:val="a3"/>
          <w:rFonts w:ascii="Times New Roman" w:hAnsi="Times New Roman"/>
        </w:rPr>
        <w:footnoteRef/>
      </w:r>
      <w:r>
        <w:rPr>
          <w:rFonts w:ascii="Times New Roman" w:hAnsi="Times New Roman" w:cs="Times New Roman"/>
        </w:rPr>
        <w:tab/>
        <w:t xml:space="preserve">Государственная </w:t>
      </w:r>
      <w:hyperlink r:id="rId11" w:anchor="z12" w:history="1">
        <w:r>
          <w:rPr>
            <w:rStyle w:val="a6"/>
            <w:rFonts w:ascii="Times New Roman" w:hAnsi="Times New Roman" w:cs="Times New Roman"/>
            <w:u w:val="none"/>
          </w:rPr>
          <w:t>программ</w:t>
        </w:r>
      </w:hyperlink>
      <w:r>
        <w:rPr>
          <w:rStyle w:val="a6"/>
          <w:rFonts w:ascii="Times New Roman" w:hAnsi="Times New Roman" w:cs="Times New Roman"/>
          <w:u w:val="none"/>
        </w:rPr>
        <w:t>а</w:t>
      </w:r>
      <w:r>
        <w:rPr>
          <w:rFonts w:ascii="Times New Roman" w:hAnsi="Times New Roman" w:cs="Times New Roman"/>
        </w:rPr>
        <w:t xml:space="preserve"> инфраструктурного развития «Нұрлы жол» на 2015 – 2019 годы. Постановление Правительства Республики Казахстан от 30 июля 2018 года №470.  </w:t>
      </w:r>
    </w:p>
  </w:footnote>
  <w:footnote w:id="48">
    <w:p w14:paraId="383CDF5D" w14:textId="77777777" w:rsidR="00137211" w:rsidRDefault="00137211" w:rsidP="00B32C03">
      <w:pPr>
        <w:pStyle w:val="aff2"/>
        <w:jc w:val="both"/>
      </w:pPr>
      <w:r>
        <w:rPr>
          <w:rStyle w:val="a3"/>
          <w:rFonts w:ascii="Times New Roman" w:hAnsi="Times New Roman"/>
        </w:rPr>
        <w:footnoteRef/>
      </w:r>
      <w:r>
        <w:tab/>
        <w:t>Топливно-энергетический баланс Республики Казахстан за 2018 год.</w:t>
      </w:r>
    </w:p>
  </w:footnote>
  <w:footnote w:id="49">
    <w:p w14:paraId="1251D193" w14:textId="77777777" w:rsidR="00137211" w:rsidRPr="00E065FC" w:rsidRDefault="00137211" w:rsidP="00B32C03">
      <w:pPr>
        <w:pStyle w:val="aff2"/>
        <w:jc w:val="both"/>
        <w:rPr>
          <w:color w:val="FF0000"/>
        </w:rPr>
      </w:pPr>
      <w:r>
        <w:rPr>
          <w:rStyle w:val="a3"/>
          <w:rFonts w:ascii="Times New Roman" w:hAnsi="Times New Roman"/>
        </w:rPr>
        <w:footnoteRef/>
      </w:r>
      <w:r>
        <w:tab/>
      </w:r>
      <w:r w:rsidRPr="00870A0E">
        <w:rPr>
          <w:color w:val="0070C0"/>
        </w:rPr>
        <w:t>О работе тепловых электростанций и котельных Республики Казахстан за 2019г.</w:t>
      </w:r>
    </w:p>
  </w:footnote>
  <w:footnote w:id="50">
    <w:p w14:paraId="67E19F42" w14:textId="77777777" w:rsidR="00137211" w:rsidRDefault="00137211">
      <w:pPr>
        <w:pStyle w:val="aff2"/>
      </w:pPr>
      <w:r>
        <w:rPr>
          <w:rStyle w:val="a3"/>
          <w:rFonts w:ascii="Times New Roman" w:hAnsi="Times New Roman"/>
        </w:rPr>
        <w:footnoteRef/>
      </w:r>
      <w:r>
        <w:rPr>
          <w:rStyle w:val="CharStyle38"/>
          <w:rFonts w:ascii="Times New Roman" w:hAnsi="Times New Roman" w:cs="Times New Roman"/>
          <w:sz w:val="20"/>
          <w:szCs w:val="20"/>
        </w:rPr>
        <w:tab/>
        <w:t xml:space="preserve">Национальный энергетический доклад </w:t>
      </w:r>
      <w:r>
        <w:rPr>
          <w:rStyle w:val="CharStyle39"/>
          <w:rFonts w:ascii="Times New Roman" w:hAnsi="Times New Roman" w:cs="Times New Roman"/>
          <w:sz w:val="20"/>
          <w:szCs w:val="20"/>
        </w:rPr>
        <w:t xml:space="preserve">2017. </w:t>
      </w:r>
      <w:r>
        <w:rPr>
          <w:rStyle w:val="ae"/>
          <w:rFonts w:ascii="Times New Roman" w:hAnsi="Times New Roman" w:cs="Times New Roman"/>
          <w:sz w:val="20"/>
          <w:szCs w:val="20"/>
          <w:lang w:val="en-US"/>
        </w:rPr>
        <w:t>K</w:t>
      </w:r>
      <w:r>
        <w:rPr>
          <w:rStyle w:val="ae"/>
          <w:rFonts w:ascii="Times New Roman" w:hAnsi="Times New Roman" w:cs="Times New Roman"/>
          <w:sz w:val="20"/>
          <w:szCs w:val="20"/>
        </w:rPr>
        <w:t>azenergy.</w:t>
      </w:r>
    </w:p>
  </w:footnote>
  <w:footnote w:id="51">
    <w:p w14:paraId="55A7A348" w14:textId="77777777" w:rsidR="00137211" w:rsidRDefault="00137211">
      <w:pPr>
        <w:pStyle w:val="aff2"/>
      </w:pPr>
      <w:r>
        <w:rPr>
          <w:rStyle w:val="a3"/>
          <w:rFonts w:ascii="Times New Roman" w:hAnsi="Times New Roman"/>
        </w:rPr>
        <w:footnoteRef/>
      </w:r>
      <w:r>
        <w:rPr>
          <w:rStyle w:val="a3"/>
          <w:rFonts w:ascii="Times New Roman" w:hAnsi="Times New Roman" w:cs="Times New Roman"/>
        </w:rPr>
        <w:tab/>
        <w:t>https://eenergy.media/2018/08/05/mirovye-trendy-investitsij-v-energetiku-natsionalnyj-energeticheskij-doklad-2017</w:t>
      </w:r>
      <w:r>
        <w:rPr>
          <w:rFonts w:ascii="Times New Roman" w:hAnsi="Times New Roman" w:cs="Times New Roman"/>
        </w:rPr>
        <w:t xml:space="preserve">  </w:t>
      </w:r>
    </w:p>
  </w:footnote>
  <w:footnote w:id="52">
    <w:p w14:paraId="1B2FE81C" w14:textId="77777777" w:rsidR="00137211" w:rsidRDefault="00137211">
      <w:pPr>
        <w:pStyle w:val="aff2"/>
      </w:pPr>
      <w:r>
        <w:rPr>
          <w:rStyle w:val="a3"/>
          <w:rFonts w:ascii="Times New Roman" w:hAnsi="Times New Roman"/>
        </w:rPr>
        <w:footnoteRef/>
      </w:r>
      <w:hyperlink r:id="rId12" w:history="1">
        <w:r>
          <w:rPr>
            <w:rStyle w:val="a6"/>
            <w:u w:val="none"/>
          </w:rPr>
          <w:tab/>
          <w:t>https://eenergy.media/2019/06/19/investitsii-v-vie-po-itogam-2018-goda-serezno-sokratilis/?fbclid=IwAR3TzdDFzp-R1ZXyXpJCfXm6Eujb_HKoX028DnotEiricv1SsilHcGtmTw8</w:t>
        </w:r>
      </w:hyperlink>
    </w:p>
  </w:footnote>
  <w:footnote w:id="53">
    <w:p w14:paraId="17E843AE" w14:textId="77777777" w:rsidR="00137211" w:rsidRDefault="00137211">
      <w:pPr>
        <w:pStyle w:val="aff2"/>
      </w:pPr>
      <w:r>
        <w:rPr>
          <w:rStyle w:val="a3"/>
          <w:rFonts w:ascii="Times New Roman" w:hAnsi="Times New Roman"/>
        </w:rPr>
        <w:footnoteRef/>
      </w:r>
      <w:hyperlink r:id="rId13" w:history="1">
        <w:r>
          <w:rPr>
            <w:rStyle w:val="a6"/>
            <w:rFonts w:ascii="Times New Roman" w:hAnsi="Times New Roman" w:cs="Times New Roman"/>
            <w:u w:val="none"/>
          </w:rPr>
          <w:tab/>
          <w:t>https://renen.ru/ustanovlennaya-moshhnost-vie-v-mire-prevysila-2500-gvt-po-itogam-2019-g-irena/?fbclid=IwAR2SIK5TMvWHXGUkEsqvB0pOwZL-9kzCyT-cC2fNx-Q964XX7PMJGX9k68g</w:t>
        </w:r>
      </w:hyperlink>
      <w:r>
        <w:rPr>
          <w:rFonts w:ascii="Times New Roman" w:hAnsi="Times New Roman" w:cs="Times New Roman"/>
        </w:rPr>
        <w:t xml:space="preserve"> </w:t>
      </w:r>
    </w:p>
  </w:footnote>
  <w:footnote w:id="54">
    <w:p w14:paraId="447924F4" w14:textId="77777777" w:rsidR="00137211" w:rsidRDefault="00137211">
      <w:pPr>
        <w:pStyle w:val="aff2"/>
      </w:pPr>
      <w:r>
        <w:rPr>
          <w:rStyle w:val="a3"/>
          <w:rFonts w:ascii="Times New Roman" w:hAnsi="Times New Roman"/>
        </w:rPr>
        <w:footnoteRef/>
      </w:r>
      <w:r>
        <w:rPr>
          <w:rFonts w:ascii="Times New Roman" w:eastAsia="Lucida Sans" w:hAnsi="Times New Roman" w:cs="Times New Roman"/>
        </w:rPr>
        <w:tab/>
        <w:t xml:space="preserve"> </w:t>
      </w:r>
      <w:r>
        <w:rPr>
          <w:rStyle w:val="CharStyle38"/>
          <w:rFonts w:ascii="Times New Roman" w:hAnsi="Times New Roman" w:cs="Times New Roman"/>
          <w:sz w:val="20"/>
          <w:szCs w:val="20"/>
        </w:rPr>
        <w:t xml:space="preserve">НАЦИОНАЛЬНЫЙ ЭНЕРГЕТИЧЕСКИЙ ДОКЛАД </w:t>
      </w:r>
      <w:r>
        <w:rPr>
          <w:rStyle w:val="CharStyle39"/>
          <w:rFonts w:ascii="Times New Roman" w:hAnsi="Times New Roman" w:cs="Times New Roman"/>
          <w:sz w:val="20"/>
          <w:szCs w:val="20"/>
        </w:rPr>
        <w:t xml:space="preserve">2017. </w:t>
      </w:r>
      <w:r>
        <w:rPr>
          <w:rStyle w:val="CharStyle46"/>
          <w:rFonts w:ascii="Times New Roman" w:hAnsi="Times New Roman" w:cs="Times New Roman"/>
          <w:sz w:val="20"/>
          <w:szCs w:val="20"/>
        </w:rPr>
        <w:t>Kazenergy</w:t>
      </w:r>
      <w:r>
        <w:rPr>
          <w:rStyle w:val="CharStyle46"/>
          <w:rFonts w:ascii="Times New Roman" w:hAnsi="Times New Roman" w:cs="Times New Roman"/>
          <w:sz w:val="20"/>
          <w:szCs w:val="20"/>
          <w:lang w:val="ru-RU"/>
        </w:rPr>
        <w:t>.</w:t>
      </w:r>
    </w:p>
  </w:footnote>
  <w:footnote w:id="55">
    <w:p w14:paraId="6448C8D3" w14:textId="77777777" w:rsidR="00137211" w:rsidRDefault="00137211" w:rsidP="009C6503">
      <w:pPr>
        <w:pStyle w:val="aff2"/>
      </w:pPr>
      <w:r>
        <w:rPr>
          <w:rStyle w:val="a3"/>
          <w:rFonts w:ascii="Times New Roman" w:hAnsi="Times New Roman"/>
        </w:rPr>
        <w:footnoteRef/>
      </w:r>
      <w:r>
        <w:rPr>
          <w:rFonts w:ascii="Times New Roman" w:eastAsia="Lucida Sans" w:hAnsi="Times New Roman" w:cs="Times New Roman"/>
        </w:rPr>
        <w:tab/>
        <w:t xml:space="preserve"> </w:t>
      </w:r>
      <w:r>
        <w:rPr>
          <w:rStyle w:val="CharStyle38"/>
          <w:rFonts w:ascii="Times New Roman" w:hAnsi="Times New Roman" w:cs="Times New Roman"/>
          <w:sz w:val="20"/>
          <w:szCs w:val="20"/>
        </w:rPr>
        <w:t xml:space="preserve">НАЦИОНАЛЬНЫЙ ЭНЕРГЕТИЧЕСКИЙ ДОКЛАД </w:t>
      </w:r>
      <w:r>
        <w:rPr>
          <w:rStyle w:val="CharStyle39"/>
          <w:rFonts w:ascii="Times New Roman" w:hAnsi="Times New Roman" w:cs="Times New Roman"/>
          <w:sz w:val="20"/>
          <w:szCs w:val="20"/>
        </w:rPr>
        <w:t xml:space="preserve">2017. </w:t>
      </w:r>
      <w:r>
        <w:rPr>
          <w:rStyle w:val="CharStyle46"/>
          <w:rFonts w:ascii="Times New Roman" w:hAnsi="Times New Roman" w:cs="Times New Roman"/>
          <w:sz w:val="20"/>
          <w:szCs w:val="20"/>
        </w:rPr>
        <w:t>Kazenergy</w:t>
      </w:r>
      <w:r>
        <w:rPr>
          <w:rStyle w:val="CharStyle46"/>
          <w:rFonts w:ascii="Times New Roman" w:hAnsi="Times New Roman" w:cs="Times New Roman"/>
          <w:sz w:val="20"/>
          <w:szCs w:val="20"/>
          <w:lang w:val="ru-RU"/>
        </w:rPr>
        <w:t>.</w:t>
      </w:r>
    </w:p>
  </w:footnote>
  <w:footnote w:id="56">
    <w:p w14:paraId="62D5EB74" w14:textId="77777777" w:rsidR="00137211" w:rsidRDefault="00137211">
      <w:pPr>
        <w:pStyle w:val="aff2"/>
      </w:pPr>
      <w:r>
        <w:rPr>
          <w:rStyle w:val="a3"/>
          <w:rFonts w:ascii="Times New Roman" w:hAnsi="Times New Roman"/>
        </w:rPr>
        <w:footnoteRef/>
      </w:r>
      <w:hyperlink r:id="rId14" w:history="1">
        <w:r>
          <w:rPr>
            <w:rStyle w:val="a6"/>
            <w:u w:val="none"/>
          </w:rPr>
          <w:tab/>
          <w:t>http://www.ng.ru/ng_energiya/2019-06-10/15_7595_finland.html?fbclid=IwAR3gCFw2K0I7N64vr8Phg4E66cUN-WeN20nr6FAyXXCuCY-_1nEUQuWngX8</w:t>
        </w:r>
      </w:hyperlink>
    </w:p>
  </w:footnote>
  <w:footnote w:id="57">
    <w:p w14:paraId="43B6B3DB" w14:textId="77777777" w:rsidR="00137211" w:rsidRDefault="00137211">
      <w:pPr>
        <w:pStyle w:val="aff2"/>
      </w:pPr>
      <w:r>
        <w:rPr>
          <w:rStyle w:val="a3"/>
          <w:rFonts w:ascii="Times New Roman" w:hAnsi="Times New Roman"/>
        </w:rPr>
        <w:footnoteRef/>
      </w:r>
      <w:hyperlink r:id="rId15" w:history="1">
        <w:r>
          <w:rPr>
            <w:rStyle w:val="a6"/>
            <w:u w:val="none"/>
          </w:rPr>
          <w:tab/>
          <w:t>https://eenergy.media/2019/08/04/bloomberg-k-2040-godu-obem-sistem-hraneniya-energii-vyrastet-v-122-raza/?</w:t>
        </w:r>
        <w:r>
          <w:rPr>
            <w:rStyle w:val="a6"/>
          </w:rPr>
          <w:t>fbclid=IwAR09HE4ExLSeETvozg1Mo72MDNeG1UgrxrY8KJYPv4A3aynQcApdPYC6uWU</w:t>
        </w:r>
      </w:hyperlink>
    </w:p>
  </w:footnote>
  <w:footnote w:id="58">
    <w:p w14:paraId="531EB5EB" w14:textId="77777777" w:rsidR="00137211" w:rsidRDefault="00137211">
      <w:pPr>
        <w:pStyle w:val="aff2"/>
      </w:pPr>
      <w:r>
        <w:rPr>
          <w:rStyle w:val="a3"/>
          <w:rFonts w:ascii="Times New Roman" w:hAnsi="Times New Roman"/>
        </w:rPr>
        <w:footnoteRef/>
      </w:r>
      <w:r>
        <w:rPr>
          <w:rStyle w:val="a6"/>
          <w:rFonts w:ascii="Times New Roman" w:eastAsia="Times New Roman" w:hAnsi="Times New Roman" w:cs="Times New Roman"/>
          <w:u w:val="none"/>
        </w:rPr>
        <w:tab/>
        <w:t xml:space="preserve"> </w:t>
      </w:r>
      <w:hyperlink r:id="rId16" w:history="1">
        <w:r>
          <w:rPr>
            <w:rStyle w:val="a6"/>
            <w:rFonts w:ascii="Times New Roman" w:hAnsi="Times New Roman" w:cs="Times New Roman"/>
            <w:u w:val="none"/>
          </w:rPr>
          <w:t>https://in-power.ru/news/ugol/20587-v-2018-godu-v-ssha-ozhidaetsja-rekordnoe-zakrytie-ugolnyh-elektrostancii.html</w:t>
        </w:r>
      </w:hyperlink>
    </w:p>
  </w:footnote>
  <w:footnote w:id="59">
    <w:p w14:paraId="5C35DEA6" w14:textId="77777777" w:rsidR="00137211" w:rsidRDefault="00137211">
      <w:pPr>
        <w:pStyle w:val="aff2"/>
      </w:pPr>
      <w:r>
        <w:rPr>
          <w:rStyle w:val="a3"/>
          <w:rFonts w:ascii="Times New Roman" w:hAnsi="Times New Roman"/>
        </w:rPr>
        <w:footnoteRef/>
      </w:r>
      <w:hyperlink r:id="rId17" w:history="1">
        <w:r>
          <w:rPr>
            <w:rStyle w:val="a6"/>
            <w:u w:val="none"/>
          </w:rPr>
          <w:tab/>
          <w:t>http://greenergy.com.ua/novosti/yuzhnaya-koreya-perevodit-ugol-ny-e-e-lektrostantsii-na-biomassu/</w:t>
        </w:r>
      </w:hyperlink>
    </w:p>
  </w:footnote>
  <w:footnote w:id="60">
    <w:p w14:paraId="19AB5DD3" w14:textId="77777777" w:rsidR="00137211" w:rsidRDefault="00137211" w:rsidP="00CA56D4">
      <w:pPr>
        <w:pStyle w:val="aff2"/>
        <w:jc w:val="both"/>
      </w:pPr>
      <w:r>
        <w:rPr>
          <w:rStyle w:val="a3"/>
          <w:rFonts w:ascii="Times New Roman" w:hAnsi="Times New Roman"/>
        </w:rPr>
        <w:footnoteRef/>
      </w:r>
      <w:r>
        <w:tab/>
        <w:t>https://renen.ru/vodorodnaya-strategiya-evropejskogo-soyuza-tezisy/?fbclid=IwAR1_iLJIVcy-nMHjnWyuHFlIsKhyDoqnzX8Rw2ynHprB5TEVCK1T5H_6cmQ</w:t>
      </w:r>
    </w:p>
  </w:footnote>
  <w:footnote w:id="61">
    <w:p w14:paraId="5E3B211F" w14:textId="77777777" w:rsidR="00137211" w:rsidRDefault="00137211" w:rsidP="00CA56D4">
      <w:pPr>
        <w:pStyle w:val="aff2"/>
        <w:jc w:val="both"/>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62">
    <w:p w14:paraId="1D728851" w14:textId="77777777" w:rsidR="00137211" w:rsidRDefault="00137211" w:rsidP="00CA56D4">
      <w:pPr>
        <w:pStyle w:val="aff2"/>
        <w:jc w:val="both"/>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63">
    <w:p w14:paraId="4DE44E09" w14:textId="77777777" w:rsidR="00137211" w:rsidRDefault="00137211">
      <w:pPr>
        <w:pStyle w:val="aff2"/>
      </w:pPr>
      <w:r>
        <w:rPr>
          <w:rStyle w:val="a3"/>
          <w:rFonts w:ascii="Times New Roman" w:hAnsi="Times New Roman"/>
        </w:rPr>
        <w:footnoteRef/>
      </w:r>
      <w:r>
        <w:tab/>
        <w:t>Прогнозный баланс, утвержденный Министерством энергетики (приказ №10 от 14 января 2019 года)</w:t>
      </w:r>
    </w:p>
  </w:footnote>
  <w:footnote w:id="64">
    <w:p w14:paraId="4A929B77" w14:textId="77777777" w:rsidR="00137211" w:rsidRDefault="00137211">
      <w:pPr>
        <w:pStyle w:val="aff2"/>
      </w:pPr>
      <w:r>
        <w:rPr>
          <w:rStyle w:val="a3"/>
          <w:rFonts w:ascii="Times New Roman" w:hAnsi="Times New Roman"/>
        </w:rPr>
        <w:footnoteRef/>
      </w:r>
      <w:r>
        <w:rPr>
          <w:rFonts w:ascii="Times New Roman" w:hAnsi="Times New Roman" w:cs="Times New Roman"/>
        </w:rPr>
        <w:tab/>
        <w:t>Приложение к Приказу Министра энергетики РК №15 от 15 января 2020 года.</w:t>
      </w:r>
    </w:p>
  </w:footnote>
  <w:footnote w:id="65">
    <w:p w14:paraId="661A1445" w14:textId="77777777" w:rsidR="001D7D6D" w:rsidRDefault="001D7D6D" w:rsidP="001D7D6D">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66">
    <w:p w14:paraId="11889893" w14:textId="77777777" w:rsidR="001D7D6D" w:rsidRDefault="001D7D6D" w:rsidP="001D7D6D">
      <w:pPr>
        <w:pStyle w:val="aff2"/>
      </w:pPr>
      <w:r>
        <w:rPr>
          <w:rStyle w:val="a4"/>
          <w:rFonts w:hint="eastAsia"/>
        </w:rPr>
        <w:footnoteRef/>
      </w:r>
      <w:r>
        <w:rPr>
          <w:rFonts w:hint="eastAsia"/>
        </w:rPr>
        <w:t xml:space="preserve"> </w:t>
      </w:r>
      <w:r>
        <w:t>Третий Обзор результативности экологической деятельности Казахстана. ЕЭК ООН. 2018 г</w:t>
      </w:r>
    </w:p>
  </w:footnote>
  <w:footnote w:id="67">
    <w:p w14:paraId="4051FC65" w14:textId="77777777" w:rsidR="001D7D6D" w:rsidRPr="0068764F" w:rsidRDefault="001D7D6D" w:rsidP="001D7D6D">
      <w:pPr>
        <w:pStyle w:val="aff2"/>
        <w:jc w:val="both"/>
      </w:pPr>
      <w:r>
        <w:rPr>
          <w:rStyle w:val="a3"/>
          <w:rFonts w:ascii="Times New Roman" w:hAnsi="Times New Roman"/>
        </w:rPr>
        <w:footnoteRef/>
      </w:r>
      <w:hyperlink r:id="rId18" w:history="1">
        <w:r w:rsidRPr="0068764F">
          <w:rPr>
            <w:rStyle w:val="a6"/>
            <w:rFonts w:ascii="Times New Roman" w:hAnsi="Times New Roman" w:cs="Times New Roman"/>
            <w:u w:val="none"/>
          </w:rPr>
          <w:tab/>
          <w:t>http://www.basel.int/TheConvention/ConferenceoftheParties/Meetings/COP14/tabid/7520/Default.aspx</w:t>
        </w:r>
      </w:hyperlink>
      <w:r w:rsidRPr="0068764F">
        <w:rPr>
          <w:rFonts w:ascii="Times New Roman" w:hAnsi="Times New Roman" w:cs="Times New Roman"/>
        </w:rPr>
        <w:t xml:space="preserve"> </w:t>
      </w:r>
    </w:p>
  </w:footnote>
  <w:footnote w:id="68">
    <w:p w14:paraId="244C82FD" w14:textId="77777777" w:rsidR="001D7D6D" w:rsidRDefault="001D7D6D" w:rsidP="001D7D6D">
      <w:pPr>
        <w:pStyle w:val="aff2"/>
        <w:jc w:val="both"/>
      </w:pPr>
      <w:r w:rsidRPr="0068764F">
        <w:rPr>
          <w:rStyle w:val="a3"/>
          <w:rFonts w:ascii="Times New Roman" w:hAnsi="Times New Roman"/>
        </w:rPr>
        <w:footnoteRef/>
      </w:r>
      <w:r w:rsidRPr="0068764F">
        <w:tab/>
        <w:t>Расширенная ответственность производителей – обновленные руководящие принципы для эффективного регулирования отходов, OECD, 2016.</w:t>
      </w:r>
    </w:p>
  </w:footnote>
  <w:footnote w:id="69">
    <w:p w14:paraId="2649E4A6" w14:textId="77777777" w:rsidR="001D7D6D" w:rsidRDefault="001D7D6D" w:rsidP="001D7D6D">
      <w:pPr>
        <w:pStyle w:val="aff2"/>
      </w:pPr>
      <w:r>
        <w:rPr>
          <w:rStyle w:val="a4"/>
          <w:rFonts w:hint="eastAsia"/>
        </w:rPr>
        <w:footnoteRef/>
      </w:r>
      <w:r>
        <w:rPr>
          <w:rFonts w:hint="eastAsia"/>
        </w:rPr>
        <w:t xml:space="preserve"> </w:t>
      </w:r>
      <w:r>
        <w:t>Третий Обзор результативности экологической деятельности Казахстана. ЕЭК ООН. 2018 г</w:t>
      </w:r>
    </w:p>
  </w:footnote>
  <w:footnote w:id="70">
    <w:p w14:paraId="7BD58BBE" w14:textId="77777777" w:rsidR="001D7D6D" w:rsidRDefault="001D7D6D" w:rsidP="001D7D6D">
      <w:pPr>
        <w:pStyle w:val="aff2"/>
        <w:jc w:val="both"/>
      </w:pPr>
      <w:r>
        <w:rPr>
          <w:rStyle w:val="a3"/>
          <w:rFonts w:ascii="Times New Roman" w:hAnsi="Times New Roman"/>
        </w:rPr>
        <w:footnoteRef/>
      </w:r>
      <w:hyperlink r:id="rId19" w:history="1">
        <w:r>
          <w:rPr>
            <w:rStyle w:val="a6"/>
            <w:rFonts w:ascii="Times New Roman" w:hAnsi="Times New Roman" w:cs="Times New Roman"/>
            <w:u w:val="none"/>
          </w:rPr>
          <w:tab/>
          <w:t>http://chm.pops.int/Implementation/BATBEP/BATBEPGuidelinesArticle5/tabid/187/Default.aspx</w:t>
        </w:r>
      </w:hyperlink>
      <w:r>
        <w:rPr>
          <w:rFonts w:ascii="Times New Roman" w:hAnsi="Times New Roman" w:cs="Times New Roman"/>
        </w:rPr>
        <w:t xml:space="preserve">  </w:t>
      </w:r>
    </w:p>
  </w:footnote>
  <w:footnote w:id="71">
    <w:p w14:paraId="4A5EF740" w14:textId="77777777" w:rsidR="001D7D6D" w:rsidRDefault="001D7D6D" w:rsidP="001D7D6D">
      <w:pPr>
        <w:pStyle w:val="aff2"/>
        <w:jc w:val="both"/>
      </w:pPr>
      <w:r>
        <w:rPr>
          <w:rStyle w:val="a3"/>
          <w:rFonts w:ascii="Times New Roman" w:hAnsi="Times New Roman"/>
        </w:rPr>
        <w:footnoteRef/>
      </w:r>
      <w:r>
        <w:tab/>
        <w:t xml:space="preserve">Мусоросжигательные заводы и инсинераторы в Российской Федерации. Москва 2020 </w:t>
      </w:r>
    </w:p>
  </w:footnote>
  <w:footnote w:id="72">
    <w:p w14:paraId="38403C93" w14:textId="77777777" w:rsidR="001D7D6D" w:rsidRDefault="001D7D6D" w:rsidP="001D7D6D">
      <w:pPr>
        <w:pStyle w:val="aff2"/>
        <w:jc w:val="both"/>
      </w:pPr>
      <w:r>
        <w:rPr>
          <w:rStyle w:val="a3"/>
          <w:rFonts w:ascii="Times New Roman" w:hAnsi="Times New Roman"/>
        </w:rPr>
        <w:footnoteRef/>
      </w:r>
      <w:r>
        <w:tab/>
        <w:t xml:space="preserve">В.Г. Петров «Исследование термодинамики реакций полибромированных дибензо-п-диоксинов и дибензофуранов в установках по сжиганию отходов». «Вестник Удмуртского Университета» Вып. 1. Физика и химия. УДК: 504.3.054. 2013. </w:t>
      </w:r>
    </w:p>
  </w:footnote>
  <w:footnote w:id="73">
    <w:p w14:paraId="1360A394" w14:textId="77777777" w:rsidR="001D7D6D" w:rsidRDefault="001D7D6D" w:rsidP="001D7D6D">
      <w:pPr>
        <w:pStyle w:val="aff2"/>
        <w:jc w:val="both"/>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74">
    <w:p w14:paraId="7D7025E0" w14:textId="77777777" w:rsidR="001D7D6D" w:rsidRDefault="001D7D6D" w:rsidP="001D7D6D">
      <w:pPr>
        <w:pStyle w:val="aff2"/>
        <w:jc w:val="both"/>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75">
    <w:p w14:paraId="5269FCA8" w14:textId="77777777" w:rsidR="001D7D6D" w:rsidRDefault="001D7D6D" w:rsidP="001D7D6D">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76">
    <w:p w14:paraId="470EA3A7" w14:textId="77777777" w:rsidR="001D7D6D" w:rsidRDefault="001D7D6D" w:rsidP="001D7D6D">
      <w:pPr>
        <w:pStyle w:val="aff2"/>
        <w:jc w:val="both"/>
      </w:pPr>
      <w:r>
        <w:rPr>
          <w:rStyle w:val="a3"/>
          <w:rFonts w:ascii="Times New Roman" w:hAnsi="Times New Roman"/>
        </w:rPr>
        <w:footnoteRef/>
      </w:r>
      <w:r>
        <w:tab/>
        <w:t>Всемирный банк. Зеленая экономика: реалии и перспективы в Казахстан. 2018 год.</w:t>
      </w:r>
    </w:p>
  </w:footnote>
  <w:footnote w:id="77">
    <w:p w14:paraId="79B571BF" w14:textId="77777777" w:rsidR="00137211" w:rsidRDefault="00137211" w:rsidP="004D5A5E">
      <w:pPr>
        <w:pStyle w:val="aff2"/>
      </w:pPr>
      <w:r>
        <w:rPr>
          <w:rStyle w:val="a3"/>
          <w:rFonts w:ascii="Times New Roman" w:hAnsi="Times New Roman"/>
        </w:rPr>
        <w:footnoteRef/>
      </w:r>
      <w:r>
        <w:tab/>
        <w:t>Информационные бюллетени о состоянии окружающей среды в Республике Казахстан за 2017 - 2019 годы. Казгидромет.</w:t>
      </w:r>
    </w:p>
  </w:footnote>
  <w:footnote w:id="78">
    <w:p w14:paraId="40D9A3E6" w14:textId="77777777" w:rsidR="00137211" w:rsidRDefault="00137211" w:rsidP="00D708A7">
      <w:pPr>
        <w:pStyle w:val="aff2"/>
      </w:pPr>
      <w:r>
        <w:rPr>
          <w:rStyle w:val="a3"/>
          <w:rFonts w:ascii="Times New Roman" w:hAnsi="Times New Roman"/>
        </w:rPr>
        <w:footnoteRef/>
      </w:r>
      <w:r>
        <w:rPr>
          <w:rStyle w:val="a6"/>
        </w:rPr>
        <w:tab/>
        <w:t>kazhydromet.kz</w:t>
      </w:r>
    </w:p>
  </w:footnote>
  <w:footnote w:id="79">
    <w:p w14:paraId="78717D9A" w14:textId="77777777" w:rsidR="00137211" w:rsidRDefault="00137211" w:rsidP="0071189A">
      <w:pPr>
        <w:pStyle w:val="aff2"/>
      </w:pPr>
      <w:r>
        <w:rPr>
          <w:rStyle w:val="a3"/>
          <w:rFonts w:ascii="Times New Roman" w:hAnsi="Times New Roman"/>
        </w:rPr>
        <w:footnoteRef/>
      </w:r>
      <w:r>
        <w:rPr>
          <w:rFonts w:ascii="Times New Roman" w:hAnsi="Times New Roman" w:cs="Times New Roman"/>
        </w:rPr>
        <w:tab/>
        <w:t>О</w:t>
      </w:r>
      <w:r>
        <w:rPr>
          <w:rFonts w:ascii="Times New Roman" w:hAnsi="Times New Roman" w:cs="Times New Roman"/>
          <w:lang w:val="kk-KZ"/>
        </w:rPr>
        <w:t>храна</w:t>
      </w:r>
      <w:r>
        <w:rPr>
          <w:rFonts w:ascii="Times New Roman" w:hAnsi="Times New Roman" w:cs="Times New Roman"/>
        </w:rPr>
        <w:t xml:space="preserve"> </w:t>
      </w:r>
      <w:r>
        <w:rPr>
          <w:rFonts w:ascii="Times New Roman" w:hAnsi="Times New Roman" w:cs="Times New Roman"/>
          <w:lang w:val="kk-KZ"/>
        </w:rPr>
        <w:t>окружающей</w:t>
      </w:r>
      <w:r>
        <w:rPr>
          <w:rFonts w:ascii="Times New Roman" w:hAnsi="Times New Roman" w:cs="Times New Roman"/>
        </w:rPr>
        <w:t xml:space="preserve"> </w:t>
      </w:r>
      <w:r>
        <w:rPr>
          <w:rFonts w:ascii="Times New Roman" w:hAnsi="Times New Roman" w:cs="Times New Roman"/>
          <w:lang w:val="kk-KZ"/>
        </w:rPr>
        <w:t>среды</w:t>
      </w:r>
      <w:r>
        <w:rPr>
          <w:rFonts w:ascii="Times New Roman" w:hAnsi="Times New Roman" w:cs="Times New Roman"/>
        </w:rPr>
        <w:t xml:space="preserve"> </w:t>
      </w:r>
      <w:r>
        <w:rPr>
          <w:rFonts w:ascii="Times New Roman" w:hAnsi="Times New Roman" w:cs="Times New Roman"/>
          <w:lang w:val="kk-KZ"/>
        </w:rPr>
        <w:t>и</w:t>
      </w:r>
      <w:r>
        <w:rPr>
          <w:rFonts w:ascii="Times New Roman" w:hAnsi="Times New Roman" w:cs="Times New Roman"/>
        </w:rPr>
        <w:t xml:space="preserve"> </w:t>
      </w:r>
      <w:r>
        <w:rPr>
          <w:rFonts w:ascii="Times New Roman" w:hAnsi="Times New Roman" w:cs="Times New Roman"/>
          <w:lang w:val="kk-KZ"/>
        </w:rPr>
        <w:t>устойчивое</w:t>
      </w:r>
      <w:r>
        <w:rPr>
          <w:rFonts w:ascii="Times New Roman" w:hAnsi="Times New Roman" w:cs="Times New Roman"/>
        </w:rPr>
        <w:t xml:space="preserve"> </w:t>
      </w:r>
      <w:r>
        <w:rPr>
          <w:rFonts w:ascii="Times New Roman" w:hAnsi="Times New Roman" w:cs="Times New Roman"/>
          <w:lang w:val="kk-KZ"/>
        </w:rPr>
        <w:t>развитие</w:t>
      </w:r>
      <w:r>
        <w:rPr>
          <w:rFonts w:ascii="Times New Roman" w:hAnsi="Times New Roman" w:cs="Times New Roman"/>
        </w:rPr>
        <w:t xml:space="preserve"> К</w:t>
      </w:r>
      <w:r>
        <w:rPr>
          <w:rFonts w:ascii="Times New Roman" w:hAnsi="Times New Roman" w:cs="Times New Roman"/>
          <w:lang w:val="kk-KZ"/>
        </w:rPr>
        <w:t>азахстана. 2013-2017. Статистический сборник.</w:t>
      </w:r>
    </w:p>
    <w:p w14:paraId="34EC6EFD" w14:textId="77777777" w:rsidR="00137211" w:rsidRDefault="00137211" w:rsidP="0071189A">
      <w:pPr>
        <w:pStyle w:val="Standard1"/>
        <w:rPr>
          <w:rFonts w:cs="Times New Roman"/>
        </w:rPr>
      </w:pPr>
    </w:p>
  </w:footnote>
  <w:footnote w:id="80">
    <w:p w14:paraId="6D6AA511" w14:textId="77777777" w:rsidR="00137211" w:rsidRDefault="00137211" w:rsidP="00285D61">
      <w:pPr>
        <w:pStyle w:val="aff2"/>
        <w:jc w:val="both"/>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81">
    <w:p w14:paraId="2F4B701E" w14:textId="77777777" w:rsidR="00137211" w:rsidRDefault="00137211">
      <w:pPr>
        <w:pStyle w:val="aff2"/>
      </w:pPr>
      <w:r>
        <w:rPr>
          <w:rStyle w:val="a3"/>
          <w:rFonts w:ascii="Times New Roman" w:hAnsi="Times New Roman"/>
        </w:rPr>
        <w:footnoteRef/>
      </w:r>
      <w:r>
        <w:tab/>
        <w:t>ЕЭК ООН. Чистый воздух для жизни. 2016 г.</w:t>
      </w:r>
    </w:p>
  </w:footnote>
  <w:footnote w:id="82">
    <w:p w14:paraId="7C18FAF3" w14:textId="77777777" w:rsidR="00137211" w:rsidRDefault="00137211" w:rsidP="00D46861">
      <w:pPr>
        <w:pStyle w:val="aff2"/>
      </w:pPr>
      <w:r>
        <w:rPr>
          <w:rStyle w:val="a3"/>
          <w:rFonts w:ascii="Times New Roman" w:hAnsi="Times New Roman"/>
        </w:rPr>
        <w:footnoteRef/>
      </w:r>
      <w:r>
        <w:tab/>
        <w:t>ЕЭК ООН, Путь к чистому воздуху. 2016 г.</w:t>
      </w:r>
    </w:p>
  </w:footnote>
  <w:footnote w:id="83">
    <w:p w14:paraId="65602420" w14:textId="77777777" w:rsidR="00137211" w:rsidRDefault="00137211" w:rsidP="00D46861">
      <w:pPr>
        <w:pStyle w:val="aff2"/>
      </w:pPr>
      <w:r>
        <w:rPr>
          <w:rStyle w:val="a3"/>
          <w:rFonts w:ascii="Times New Roman" w:hAnsi="Times New Roman"/>
        </w:rPr>
        <w:footnoteRef/>
      </w:r>
      <w:r>
        <w:rPr>
          <w:rFonts w:ascii="Times New Roman" w:eastAsia="Times New Roman" w:hAnsi="Times New Roman" w:cs="Times New Roman"/>
          <w:color w:val="222222"/>
          <w:spacing w:val="2"/>
          <w:lang w:eastAsia="ru-RU"/>
        </w:rPr>
        <w:tab/>
        <w:t xml:space="preserve">Руководящие принципы ВОЗ по </w:t>
      </w:r>
      <w:r w:rsidRPr="00D46861">
        <w:t>качеству окружающего воздуха (</w:t>
      </w:r>
      <w:hyperlink r:id="rId20" w:history="1">
        <w:r w:rsidRPr="00D46861">
          <w:t>http://www.whogis.com/mediacentre/news/releases/2016/air-pollution-rising/ru/</w:t>
        </w:r>
      </w:hyperlink>
      <w:r w:rsidRPr="00D46861">
        <w:t xml:space="preserve"> )</w:t>
      </w:r>
    </w:p>
  </w:footnote>
  <w:footnote w:id="84">
    <w:p w14:paraId="3456D68A" w14:textId="77777777" w:rsidR="00137211" w:rsidRPr="00D46861" w:rsidRDefault="00137211" w:rsidP="00D46861">
      <w:pPr>
        <w:pStyle w:val="aff2"/>
      </w:pPr>
      <w:r w:rsidRPr="00D46861">
        <w:footnoteRef/>
      </w:r>
      <w:r>
        <w:t xml:space="preserve"> </w:t>
      </w:r>
      <w:r w:rsidRPr="00D46861">
        <w:t>https://auto.mail.ru/article/72790-kogda_zapretyat_benzinovye_mashiny_i_pochemu</w:t>
      </w:r>
    </w:p>
  </w:footnote>
  <w:footnote w:id="85">
    <w:p w14:paraId="027129BA" w14:textId="77777777" w:rsidR="00137211" w:rsidRDefault="00137211">
      <w:pPr>
        <w:pStyle w:val="aff2"/>
      </w:pPr>
      <w:r>
        <w:rPr>
          <w:rStyle w:val="a3"/>
          <w:rFonts w:ascii="Times New Roman" w:hAnsi="Times New Roman"/>
        </w:rPr>
        <w:footnoteRef/>
      </w:r>
      <w:hyperlink r:id="rId21" w:history="1">
        <w:r>
          <w:rPr>
            <w:rStyle w:val="a6"/>
            <w:u w:val="none"/>
          </w:rPr>
          <w:tab/>
          <w:t>https://building-tech.org/60-vseh-prodannyh-v-norvegii-avtomobilej-polnostju-elektricheskie/</w:t>
        </w:r>
      </w:hyperlink>
    </w:p>
  </w:footnote>
  <w:footnote w:id="86">
    <w:p w14:paraId="4A5A83E2" w14:textId="77777777" w:rsidR="00137211" w:rsidRDefault="00137211" w:rsidP="009F5CA1">
      <w:pPr>
        <w:pStyle w:val="aff2"/>
      </w:pPr>
      <w:r>
        <w:rPr>
          <w:rStyle w:val="a3"/>
          <w:rFonts w:ascii="Times New Roman" w:hAnsi="Times New Roman"/>
        </w:rPr>
        <w:footnoteRef/>
      </w:r>
      <w:r>
        <w:rPr>
          <w:rFonts w:ascii="Times New Roman" w:hAnsi="Times New Roman" w:cs="Times New Roman"/>
        </w:rPr>
        <w:tab/>
        <w:t>РЕШЕНИЕ ПРОБЛЕМЫ ПРОМЫШЛЕННОГО ЗАГРЯЗНЕНИЯ ВОЗДУХА В КАЗАХСТАНЕ. Руководящие принципы реформирования политики в области экологических</w:t>
      </w:r>
      <w:r>
        <w:t xml:space="preserve"> платежей. ОЭСР. Проект от 20.02.2019. </w:t>
      </w:r>
    </w:p>
  </w:footnote>
  <w:footnote w:id="87">
    <w:p w14:paraId="0D82619A" w14:textId="77777777" w:rsidR="00137211" w:rsidRDefault="00137211">
      <w:pPr>
        <w:pStyle w:val="aff2"/>
      </w:pPr>
      <w:r>
        <w:rPr>
          <w:rStyle w:val="a3"/>
          <w:rFonts w:ascii="Times New Roman" w:hAnsi="Times New Roman"/>
        </w:rPr>
        <w:footnoteRef/>
      </w:r>
      <w:r>
        <w:tab/>
        <w:t>Стратегический план развития Республики Казахстан до 2025 года.</w:t>
      </w:r>
    </w:p>
  </w:footnote>
  <w:footnote w:id="88">
    <w:p w14:paraId="5DE71C06" w14:textId="77777777" w:rsidR="00137211" w:rsidRPr="00C94AC8" w:rsidRDefault="00137211" w:rsidP="00B54D98">
      <w:pPr>
        <w:pStyle w:val="aff2"/>
        <w:jc w:val="both"/>
      </w:pPr>
      <w:r w:rsidRPr="004C1427">
        <w:rPr>
          <w:rStyle w:val="a4"/>
        </w:rPr>
        <w:footnoteRef/>
      </w:r>
      <w:r w:rsidRPr="004C1427">
        <w:t xml:space="preserve"> </w:t>
      </w:r>
      <w:r w:rsidRPr="00C94AC8">
        <w:t xml:space="preserve">ЗИЗЛХ – </w:t>
      </w:r>
      <w:r w:rsidRPr="00C94AC8">
        <w:rPr>
          <w:rFonts w:eastAsia="SimSun"/>
          <w:bCs/>
        </w:rPr>
        <w:t>землепользование, изменения в землепользовании и лесное хозяйство</w:t>
      </w:r>
    </w:p>
  </w:footnote>
  <w:footnote w:id="89">
    <w:p w14:paraId="062AEC2C" w14:textId="77777777" w:rsidR="00137211" w:rsidRPr="00C94AC8" w:rsidRDefault="00137211" w:rsidP="00B54D98">
      <w:pPr>
        <w:pStyle w:val="aff2"/>
        <w:jc w:val="both"/>
      </w:pPr>
      <w:r w:rsidRPr="00C94AC8">
        <w:rPr>
          <w:rStyle w:val="a4"/>
        </w:rPr>
        <w:footnoteRef/>
      </w:r>
      <w:r w:rsidRPr="00C94AC8">
        <w:t xml:space="preserve"> Казахстан ратифицировал Парижское соглашение в 2016 году. В том же году </w:t>
      </w:r>
      <w:r w:rsidRPr="006F4C9E">
        <w:rPr>
          <w:rFonts w:ascii="Times New Roman" w:hAnsi="Times New Roman" w:cs="Times New Roman"/>
        </w:rPr>
        <w:t>П</w:t>
      </w:r>
      <w:r w:rsidRPr="00C94AC8">
        <w:t>арижское соглашение вступило в силу.</w:t>
      </w:r>
    </w:p>
  </w:footnote>
  <w:footnote w:id="90">
    <w:p w14:paraId="37B30D3B" w14:textId="7C04E353" w:rsidR="00137211" w:rsidRPr="00C60F75" w:rsidRDefault="00137211" w:rsidP="00B54D98">
      <w:pPr>
        <w:pStyle w:val="aff2"/>
        <w:jc w:val="both"/>
      </w:pPr>
      <w:r w:rsidRPr="00C94AC8">
        <w:rPr>
          <w:rStyle w:val="a3"/>
        </w:rPr>
        <w:footnoteRef/>
      </w:r>
      <w:r>
        <w:rPr>
          <w:rFonts w:asciiTheme="minorHAnsi" w:hAnsiTheme="minorHAnsi"/>
          <w:szCs w:val="24"/>
        </w:rPr>
        <w:t xml:space="preserve"> </w:t>
      </w:r>
      <w:r>
        <w:rPr>
          <w:szCs w:val="24"/>
        </w:rPr>
        <w:t xml:space="preserve">Национальные доклады с таблицами данных в общеустановленном формате </w:t>
      </w:r>
      <w:r>
        <w:rPr>
          <w:szCs w:val="24"/>
          <w:lang w:val="en-US"/>
        </w:rPr>
        <w:t>CRF</w:t>
      </w:r>
      <w:r>
        <w:rPr>
          <w:szCs w:val="24"/>
          <w:lang w:val="kk-KZ"/>
        </w:rPr>
        <w:t xml:space="preserve"> </w:t>
      </w:r>
      <w:r>
        <w:rPr>
          <w:szCs w:val="24"/>
        </w:rPr>
        <w:t xml:space="preserve">ежегодно готовятся АО «Жасыл даму» </w:t>
      </w:r>
      <w:r>
        <w:rPr>
          <w:szCs w:val="24"/>
          <w:lang w:val="kk-KZ"/>
        </w:rPr>
        <w:t xml:space="preserve">и передаются </w:t>
      </w:r>
      <w:r>
        <w:rPr>
          <w:szCs w:val="24"/>
        </w:rPr>
        <w:t>Министерств</w:t>
      </w:r>
      <w:r>
        <w:rPr>
          <w:szCs w:val="24"/>
          <w:lang w:val="kk-KZ"/>
        </w:rPr>
        <w:t>у</w:t>
      </w:r>
      <w:r>
        <w:rPr>
          <w:szCs w:val="24"/>
        </w:rPr>
        <w:t xml:space="preserve"> экологии, геологии и природных ресурсов РК </w:t>
      </w:r>
      <w:r>
        <w:rPr>
          <w:szCs w:val="24"/>
          <w:lang w:val="kk-KZ"/>
        </w:rPr>
        <w:t>для</w:t>
      </w:r>
      <w:r>
        <w:rPr>
          <w:szCs w:val="24"/>
        </w:rPr>
        <w:t xml:space="preserve"> переда</w:t>
      </w:r>
      <w:r>
        <w:rPr>
          <w:szCs w:val="24"/>
          <w:lang w:val="kk-KZ"/>
        </w:rPr>
        <w:t>чи</w:t>
      </w:r>
      <w:r>
        <w:rPr>
          <w:szCs w:val="24"/>
        </w:rPr>
        <w:t xml:space="preserve"> Секретариату РКИК ООН до 15 апреля</w:t>
      </w:r>
      <w:r>
        <w:rPr>
          <w:szCs w:val="24"/>
          <w:lang w:val="kk-KZ"/>
        </w:rPr>
        <w:t xml:space="preserve">. Все национальные доклады и таблицы </w:t>
      </w:r>
      <w:r>
        <w:rPr>
          <w:szCs w:val="24"/>
          <w:lang w:val="en-US"/>
        </w:rPr>
        <w:t>CRF</w:t>
      </w:r>
      <w:r>
        <w:rPr>
          <w:szCs w:val="24"/>
          <w:lang w:val="kk-KZ"/>
        </w:rPr>
        <w:t xml:space="preserve"> доступны на сайте Секретариата РКИК ООН</w:t>
      </w:r>
      <w:r w:rsidRPr="00A52A6C">
        <w:rPr>
          <w:szCs w:val="24"/>
        </w:rPr>
        <w:t xml:space="preserve"> </w:t>
      </w:r>
      <w:r>
        <w:rPr>
          <w:szCs w:val="24"/>
        </w:rPr>
        <w:t>по ссылке</w:t>
      </w:r>
      <w:r w:rsidRPr="00A52A6C">
        <w:rPr>
          <w:szCs w:val="24"/>
        </w:rPr>
        <w:t xml:space="preserve"> </w:t>
      </w:r>
      <w:hyperlink r:id="rId22" w:history="1">
        <w:r w:rsidRPr="003E090B">
          <w:rPr>
            <w:rStyle w:val="a6"/>
            <w:rFonts w:hint="eastAsia"/>
            <w:szCs w:val="24"/>
          </w:rPr>
          <w:t>https://unfccc.int/ghg-inventories-annex-i-parties/2020</w:t>
        </w:r>
      </w:hyperlink>
      <w:r>
        <w:rPr>
          <w:szCs w:val="24"/>
        </w:rPr>
        <w:t xml:space="preserve">. Данные за 2019 год будут готовы к 15 апреля 2021 года. В настоящее время доступны данные за период </w:t>
      </w:r>
      <w:r w:rsidRPr="00C94AC8">
        <w:rPr>
          <w:szCs w:val="24"/>
        </w:rPr>
        <w:t xml:space="preserve">1990-2018 гг. </w:t>
      </w:r>
    </w:p>
  </w:footnote>
  <w:footnote w:id="91">
    <w:p w14:paraId="6B0F6194" w14:textId="77777777" w:rsidR="00137211" w:rsidRDefault="00137211">
      <w:pPr>
        <w:pStyle w:val="aff2"/>
      </w:pPr>
      <w:r>
        <w:rPr>
          <w:rStyle w:val="a3"/>
          <w:rFonts w:ascii="Times New Roman" w:hAnsi="Times New Roman"/>
        </w:rPr>
        <w:footnoteRef/>
      </w:r>
      <w:hyperlink r:id="rId23" w:history="1">
        <w:r>
          <w:rPr>
            <w:rStyle w:val="a6"/>
            <w:rFonts w:ascii="Times New Roman" w:hAnsi="Times New Roman" w:cs="Times New Roman"/>
            <w:u w:val="none"/>
          </w:rPr>
          <w:tab/>
          <w:t>https://www.ipcc.ch/sr15/</w:t>
        </w:r>
      </w:hyperlink>
      <w:r>
        <w:rPr>
          <w:rFonts w:ascii="Times New Roman" w:hAnsi="Times New Roman" w:cs="Times New Roman"/>
        </w:rPr>
        <w:t xml:space="preserve"> </w:t>
      </w:r>
    </w:p>
  </w:footnote>
  <w:footnote w:id="92">
    <w:p w14:paraId="481F601A" w14:textId="77777777" w:rsidR="00137211" w:rsidRDefault="00137211">
      <w:pPr>
        <w:pStyle w:val="aff2"/>
      </w:pPr>
      <w:r>
        <w:rPr>
          <w:rStyle w:val="a3"/>
          <w:rFonts w:ascii="Times New Roman" w:hAnsi="Times New Roman"/>
        </w:rPr>
        <w:footnoteRef/>
      </w:r>
      <w:hyperlink r:id="rId24" w:history="1">
        <w:r>
          <w:rPr>
            <w:rStyle w:val="a6"/>
            <w:u w:val="none"/>
          </w:rPr>
          <w:tab/>
          <w:t>https://www.iea.org/news/defying-expectations-of-a-rise-global-carbon-dioxide-emissions-flatlined-in-2019</w:t>
        </w:r>
      </w:hyperlink>
    </w:p>
  </w:footnote>
  <w:footnote w:id="93">
    <w:p w14:paraId="76B6B0AA" w14:textId="77777777" w:rsidR="00137211" w:rsidRDefault="00137211">
      <w:pPr>
        <w:pStyle w:val="aff2"/>
      </w:pPr>
      <w:r>
        <w:rPr>
          <w:rStyle w:val="a3"/>
          <w:rFonts w:ascii="Times New Roman" w:hAnsi="Times New Roman"/>
        </w:rPr>
        <w:footnoteRef/>
      </w:r>
      <w:r>
        <w:rPr>
          <w:rFonts w:ascii="Times New Roman" w:hAnsi="Times New Roman" w:cs="Times New Roman"/>
        </w:rPr>
        <w:tab/>
        <w:t>Европейский Союз. Руководство по интеграции изменения климата и биоразнообразия в оценку воздействия на окружающую среду. 2013 (</w:t>
      </w:r>
      <w:hyperlink r:id="rId25" w:history="1">
        <w:r>
          <w:rPr>
            <w:rStyle w:val="a6"/>
            <w:rFonts w:ascii="Times New Roman" w:hAnsi="Times New Roman" w:cs="Times New Roman"/>
            <w:u w:val="none"/>
          </w:rPr>
          <w:t>http://ec.europa.eu/environment/eia/pdf/EIA%20Guidance.pdf</w:t>
        </w:r>
      </w:hyperlink>
      <w:r>
        <w:rPr>
          <w:rFonts w:ascii="Times New Roman" w:hAnsi="Times New Roman" w:cs="Times New Roman"/>
        </w:rPr>
        <w:t xml:space="preserve"> ).</w:t>
      </w:r>
    </w:p>
  </w:footnote>
  <w:footnote w:id="94">
    <w:p w14:paraId="59A46730" w14:textId="77777777" w:rsidR="00137211" w:rsidRDefault="00137211">
      <w:pPr>
        <w:pStyle w:val="aff2"/>
      </w:pPr>
      <w:r>
        <w:rPr>
          <w:rStyle w:val="a3"/>
          <w:rFonts w:ascii="Times New Roman" w:hAnsi="Times New Roman"/>
        </w:rPr>
        <w:footnoteRef/>
      </w:r>
      <w:r>
        <w:rPr>
          <w:rFonts w:ascii="Times New Roman" w:hAnsi="Times New Roman" w:cs="Times New Roman"/>
        </w:rPr>
        <w:tab/>
        <w:t>Европейский Союз. Руководство по интеграции изменения климата и биоразнообразия в оценку воздействия на окружающую среду. 2013 (</w:t>
      </w:r>
      <w:hyperlink r:id="rId26" w:history="1">
        <w:r>
          <w:rPr>
            <w:rStyle w:val="a6"/>
            <w:rFonts w:ascii="Times New Roman" w:hAnsi="Times New Roman" w:cs="Times New Roman"/>
            <w:u w:val="none"/>
          </w:rPr>
          <w:t>http://ec.europa.eu/environment/eia/pdf/EIA%20Guidance.pdf</w:t>
        </w:r>
      </w:hyperlink>
      <w:r>
        <w:rPr>
          <w:rFonts w:ascii="Times New Roman" w:hAnsi="Times New Roman" w:cs="Times New Roman"/>
        </w:rPr>
        <w:t xml:space="preserve"> ).</w:t>
      </w:r>
    </w:p>
  </w:footnote>
  <w:footnote w:id="95">
    <w:p w14:paraId="131778FA" w14:textId="77777777" w:rsidR="00137211" w:rsidRDefault="00137211">
      <w:pPr>
        <w:pStyle w:val="aff2"/>
      </w:pPr>
      <w:r>
        <w:rPr>
          <w:rStyle w:val="a3"/>
          <w:rFonts w:ascii="Times New Roman" w:hAnsi="Times New Roman"/>
        </w:rPr>
        <w:footnoteRef/>
      </w:r>
      <w:r>
        <w:rPr>
          <w:rFonts w:ascii="Times New Roman" w:hAnsi="Times New Roman" w:cs="Times New Roman"/>
        </w:rPr>
        <w:tab/>
        <w:t xml:space="preserve">Абейсингхе А., Дамбахер Б., Бирнес Р.Национальные планы адаптации: понимание мандатов и обмен опытом. Международный институт экологического развития. 2017 ( </w:t>
      </w:r>
      <w:hyperlink r:id="rId27" w:history="1">
        <w:r>
          <w:rPr>
            <w:rStyle w:val="a6"/>
            <w:rFonts w:ascii="Times New Roman" w:hAnsi="Times New Roman" w:cs="Times New Roman"/>
            <w:u w:val="none"/>
          </w:rPr>
          <w:t>http://www4.unfccc.int/nap/Documents%20NAP/Supplements/Understanding_mandates_NAPs.pdf</w:t>
        </w:r>
      </w:hyperlink>
      <w:r>
        <w:rPr>
          <w:rFonts w:ascii="Times New Roman" w:hAnsi="Times New Roman" w:cs="Times New Roman"/>
        </w:rPr>
        <w:t xml:space="preserve"> ).</w:t>
      </w:r>
    </w:p>
  </w:footnote>
  <w:footnote w:id="96">
    <w:p w14:paraId="0688CED0" w14:textId="77777777" w:rsidR="00137211" w:rsidRDefault="00137211">
      <w:pPr>
        <w:pStyle w:val="aff2"/>
      </w:pPr>
      <w:r>
        <w:rPr>
          <w:rStyle w:val="a3"/>
          <w:rFonts w:ascii="Times New Roman" w:hAnsi="Times New Roman"/>
        </w:rPr>
        <w:footnoteRef/>
      </w:r>
      <w:r>
        <w:rPr>
          <w:rFonts w:ascii="Times New Roman" w:hAnsi="Times New Roman" w:cs="Times New Roman"/>
        </w:rPr>
        <w:tab/>
        <w:t>Организация экономического сотрудничества и развития. Интеграция адаптации к изменению климата в сотрудничество в целях развития: руководство политикой. 2009 (</w:t>
      </w:r>
      <w:hyperlink r:id="rId28" w:history="1">
        <w:r>
          <w:rPr>
            <w:rStyle w:val="a6"/>
            <w:rFonts w:ascii="Times New Roman" w:hAnsi="Times New Roman" w:cs="Times New Roman"/>
            <w:u w:val="none"/>
          </w:rPr>
          <w:t>http://www.oecd.org/dac/environment-development/integrating-climate-change-adaptation-into-development-co-operation-policy-guidance-9789264054950-en.htm</w:t>
        </w:r>
      </w:hyperlink>
      <w:r>
        <w:rPr>
          <w:rFonts w:ascii="Times New Roman" w:hAnsi="Times New Roman" w:cs="Times New Roman"/>
        </w:rPr>
        <w:t xml:space="preserve"> ).</w:t>
      </w:r>
    </w:p>
  </w:footnote>
  <w:footnote w:id="97">
    <w:p w14:paraId="4972B9AF" w14:textId="77777777" w:rsidR="00137211" w:rsidRDefault="00137211">
      <w:pPr>
        <w:pStyle w:val="aff2"/>
      </w:pPr>
      <w:r>
        <w:rPr>
          <w:rStyle w:val="a3"/>
          <w:rFonts w:ascii="Times New Roman" w:hAnsi="Times New Roman"/>
        </w:rPr>
        <w:footnoteRef/>
      </w:r>
      <w:r>
        <w:rPr>
          <w:rFonts w:ascii="Times New Roman" w:hAnsi="Times New Roman" w:cs="Times New Roman"/>
        </w:rPr>
        <w:tab/>
        <w:t>Европейская экономическая комиссия ООН. Руководство по воде и адаптации к изменению климата. 2009. Доступно по адресу: https://www.unece.org/fileadmin/DAM/env/water/publications/documents/Guidance_water_climate.pdf.</w:t>
      </w:r>
    </w:p>
  </w:footnote>
  <w:footnote w:id="98">
    <w:p w14:paraId="514A4A49" w14:textId="77777777" w:rsidR="00137211" w:rsidRDefault="00137211">
      <w:pPr>
        <w:pStyle w:val="aff2"/>
      </w:pPr>
      <w:r>
        <w:rPr>
          <w:rStyle w:val="a3"/>
          <w:rFonts w:ascii="Times New Roman" w:hAnsi="Times New Roman"/>
        </w:rPr>
        <w:footnoteRef/>
      </w:r>
      <w:r>
        <w:rPr>
          <w:rFonts w:ascii="Times New Roman" w:eastAsia="Calibri" w:hAnsi="Times New Roman" w:cs="Times New Roman"/>
          <w:lang w:eastAsia="ru-RU"/>
        </w:rPr>
        <w:tab/>
        <w:t>Л</w:t>
      </w:r>
      <w:r>
        <w:rPr>
          <w:rFonts w:ascii="Times New Roman" w:hAnsi="Times New Roman" w:cs="Times New Roman"/>
        </w:rPr>
        <w:t xml:space="preserve">учшие международные практики учитывания адаптации к изменению климата в рамочных законах об охране окружающей среды. </w:t>
      </w:r>
      <w:r>
        <w:rPr>
          <w:rStyle w:val="MissionpagetextboldChar"/>
          <w:rFonts w:ascii="Times New Roman" w:eastAsia="Consolas" w:hAnsi="Times New Roman" w:cs="Times New Roman"/>
          <w:b w:val="0"/>
          <w:lang w:val="ru-RU"/>
        </w:rPr>
        <w:t xml:space="preserve">Подготовили: Софья Языкова и Карл Брук. </w:t>
      </w:r>
      <w:r>
        <w:rPr>
          <w:rFonts w:ascii="Times New Roman" w:hAnsi="Times New Roman" w:cs="Times New Roman"/>
        </w:rPr>
        <w:t>USAID.</w:t>
      </w:r>
      <w:r>
        <w:rPr>
          <w:rStyle w:val="MissionpagetextboldChar"/>
          <w:rFonts w:ascii="Times New Roman" w:eastAsia="Consolas" w:hAnsi="Times New Roman" w:cs="Times New Roman"/>
          <w:b w:val="0"/>
          <w:lang w:val="ru-RU"/>
        </w:rPr>
        <w:t xml:space="preserve"> 2017 год.</w:t>
      </w:r>
    </w:p>
  </w:footnote>
  <w:footnote w:id="99">
    <w:p w14:paraId="2A10B8F3" w14:textId="77777777" w:rsidR="00137211" w:rsidRDefault="00137211">
      <w:pPr>
        <w:pStyle w:val="aff2"/>
      </w:pPr>
      <w:r>
        <w:rPr>
          <w:rStyle w:val="a3"/>
          <w:rFonts w:ascii="Times New Roman" w:hAnsi="Times New Roman"/>
        </w:rPr>
        <w:footnoteRef/>
      </w:r>
      <w:hyperlink r:id="rId29" w:history="1">
        <w:r>
          <w:rPr>
            <w:rStyle w:val="a6"/>
            <w:rFonts w:ascii="Times New Roman" w:hAnsi="Times New Roman" w:cs="Times New Roman"/>
            <w:u w:val="none"/>
          </w:rPr>
          <w:tab/>
          <w:t>http://livingasia.online/2019/05/27/kto_sledit_za_klimatom/?fbclid=IwAR3IcPVoRxINfCcMRJX1tpsNlEWIWVQJncbXhgQUlWC8WleWP72_1EwwVdw</w:t>
        </w:r>
      </w:hyperlink>
      <w:r>
        <w:rPr>
          <w:rFonts w:ascii="Times New Roman" w:hAnsi="Times New Roman" w:cs="Times New Roman"/>
        </w:rPr>
        <w:t xml:space="preserve"> </w:t>
      </w:r>
    </w:p>
  </w:footnote>
  <w:footnote w:id="100">
    <w:p w14:paraId="5E94015E" w14:textId="77777777" w:rsidR="00137211" w:rsidRDefault="00137211">
      <w:pPr>
        <w:pStyle w:val="aff2"/>
      </w:pPr>
      <w:r>
        <w:rPr>
          <w:rStyle w:val="a3"/>
          <w:rFonts w:ascii="Times New Roman" w:hAnsi="Times New Roman"/>
        </w:rPr>
        <w:footnoteRef/>
      </w:r>
      <w:hyperlink r:id="rId30" w:history="1">
        <w:r>
          <w:rPr>
            <w:rStyle w:val="a6"/>
            <w:u w:val="none"/>
          </w:rPr>
          <w:tab/>
          <w:t>https://www.dw.com/ru/</w:t>
        </w:r>
      </w:hyperlink>
    </w:p>
  </w:footnote>
  <w:footnote w:id="101">
    <w:p w14:paraId="6F054ABD" w14:textId="77777777" w:rsidR="00137211" w:rsidRDefault="00137211" w:rsidP="002F3641">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102">
    <w:p w14:paraId="39111B76" w14:textId="77777777" w:rsidR="00137211" w:rsidRDefault="00137211" w:rsidP="00C65402">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103">
    <w:p w14:paraId="60575FCC" w14:textId="77777777" w:rsidR="00137211" w:rsidRDefault="00137211">
      <w:pPr>
        <w:pStyle w:val="aff2"/>
      </w:pPr>
      <w:r>
        <w:rPr>
          <w:rStyle w:val="a3"/>
          <w:rFonts w:ascii="Times New Roman" w:hAnsi="Times New Roman"/>
        </w:rPr>
        <w:footnoteRef/>
      </w:r>
      <w:r>
        <w:rPr>
          <w:rFonts w:ascii="Times New Roman" w:hAnsi="Times New Roman" w:cs="Times New Roman"/>
          <w:lang w:val="en-US"/>
        </w:rPr>
        <w:tab/>
        <w:t xml:space="preserve">Climate Action Tracker is based on a collaboration of two organisations: </w:t>
      </w:r>
      <w:r>
        <w:rPr>
          <w:rFonts w:ascii="Times New Roman" w:hAnsi="Times New Roman" w:cs="Times New Roman"/>
          <w:lang w:val="en-GB"/>
        </w:rPr>
        <w:t xml:space="preserve">Climate Analytics and New Climate Institute, the Climate Action Tracker has been providing this independent analysis to policymakers since 2009. </w:t>
      </w:r>
      <w:hyperlink r:id="rId31" w:history="1">
        <w:r>
          <w:rPr>
            <w:rStyle w:val="a6"/>
            <w:rFonts w:ascii="Times New Roman" w:hAnsi="Times New Roman" w:cs="Times New Roman"/>
          </w:rPr>
          <w:t>https://climateactiontracker.org/countries/kazakhstan/</w:t>
        </w:r>
      </w:hyperlink>
    </w:p>
  </w:footnote>
  <w:footnote w:id="104">
    <w:p w14:paraId="1302FE76" w14:textId="77777777" w:rsidR="00137211" w:rsidRDefault="00137211">
      <w:pPr>
        <w:pStyle w:val="aff2"/>
      </w:pPr>
      <w:r>
        <w:rPr>
          <w:rStyle w:val="a3"/>
          <w:rFonts w:ascii="Times New Roman" w:hAnsi="Times New Roman"/>
        </w:rPr>
        <w:footnoteRef/>
      </w:r>
      <w:r>
        <w:tab/>
        <w:t xml:space="preserve">Стратегический план развития Республики Казахстан до 2025 года. </w:t>
      </w:r>
    </w:p>
  </w:footnote>
  <w:footnote w:id="105">
    <w:p w14:paraId="74E8B72D" w14:textId="77777777" w:rsidR="00137211" w:rsidRDefault="00137211" w:rsidP="009D15F8">
      <w:pPr>
        <w:pStyle w:val="aff2"/>
      </w:pPr>
      <w:r>
        <w:rPr>
          <w:rStyle w:val="a3"/>
          <w:rFonts w:ascii="Times New Roman" w:hAnsi="Times New Roman"/>
        </w:rPr>
        <w:footnoteRef/>
      </w:r>
      <w:r>
        <w:tab/>
        <w:t>Стратегический план Министерства сельского хозяйства Республики Казахстан на 2017-2021 годы, утвержденный приказом МСХ от 30.12.2016 года №541.</w:t>
      </w:r>
    </w:p>
  </w:footnote>
  <w:footnote w:id="106">
    <w:p w14:paraId="1EC83009" w14:textId="57408D8A" w:rsidR="00137211" w:rsidRPr="00B15D75" w:rsidRDefault="00137211">
      <w:pPr>
        <w:pStyle w:val="aff2"/>
        <w:rPr>
          <w:rFonts w:asciiTheme="minorHAnsi" w:hAnsiTheme="minorHAnsi"/>
        </w:rPr>
      </w:pPr>
      <w:r>
        <w:rPr>
          <w:rStyle w:val="a4"/>
        </w:rPr>
        <w:footnoteRef/>
      </w:r>
      <w:r>
        <w:t xml:space="preserve"> </w:t>
      </w:r>
      <w:r w:rsidRPr="00B10444">
        <w:rPr>
          <w:rFonts w:ascii="Times New Roman" w:hAnsi="Times New Roman" w:cs="Times New Roman"/>
          <w:lang w:eastAsia="ru-RU"/>
        </w:rPr>
        <w:t>Ковшарь А.Ф. и другие. 2013</w:t>
      </w:r>
    </w:p>
  </w:footnote>
  <w:footnote w:id="107">
    <w:p w14:paraId="00E79853" w14:textId="77777777" w:rsidR="00137211" w:rsidRDefault="00137211" w:rsidP="009D15F8">
      <w:pPr>
        <w:pStyle w:val="aff2"/>
      </w:pPr>
      <w:r>
        <w:rPr>
          <w:rStyle w:val="a3"/>
          <w:rFonts w:ascii="Times New Roman" w:hAnsi="Times New Roman"/>
        </w:rPr>
        <w:footnoteRef/>
      </w:r>
      <w:r>
        <w:tab/>
        <w:t>Концепция по переходу Республики Казахстан к «зеленой экономике». Утверждена Указом Президента Республики Казахстан от 30 мая 2013 года №577.</w:t>
      </w:r>
    </w:p>
  </w:footnote>
  <w:footnote w:id="108">
    <w:p w14:paraId="4FCB4D77" w14:textId="77777777" w:rsidR="00137211" w:rsidRDefault="00137211" w:rsidP="009D15F8">
      <w:pPr>
        <w:pStyle w:val="aff2"/>
      </w:pPr>
      <w:r>
        <w:rPr>
          <w:rStyle w:val="a3"/>
          <w:rFonts w:ascii="Times New Roman" w:hAnsi="Times New Roman"/>
        </w:rPr>
        <w:footnoteRef/>
      </w:r>
      <w:r>
        <w:tab/>
        <w:t>Стратегический план Министерства сельского хозяйства Республики Казахстан на 2017-2021 годы, утвержденный приказом МСХ от 30.12.2016 года №541.</w:t>
      </w:r>
    </w:p>
  </w:footnote>
  <w:footnote w:id="109">
    <w:p w14:paraId="4567B99B" w14:textId="77777777" w:rsidR="00137211" w:rsidRPr="00442D9D" w:rsidRDefault="00137211">
      <w:pPr>
        <w:pStyle w:val="aff2"/>
        <w:rPr>
          <w:rFonts w:asciiTheme="minorHAnsi" w:hAnsiTheme="minorHAnsi"/>
          <w:lang w:val="en-US"/>
        </w:rPr>
      </w:pPr>
      <w:r>
        <w:rPr>
          <w:rStyle w:val="a4"/>
        </w:rPr>
        <w:footnoteRef/>
      </w:r>
      <w:r w:rsidRPr="00442D9D">
        <w:rPr>
          <w:lang w:val="en-US"/>
        </w:rPr>
        <w:t xml:space="preserve"> </w:t>
      </w:r>
      <w:r w:rsidRPr="00442D9D">
        <w:rPr>
          <w:rFonts w:ascii="Times New Roman" w:eastAsia="Times New Roman" w:hAnsi="Times New Roman" w:cs="Times New Roman"/>
          <w:color w:val="000000" w:themeColor="text1"/>
          <w:spacing w:val="2"/>
          <w:lang w:val="en-US" w:eastAsia="ru-RU"/>
        </w:rPr>
        <w:t>(</w:t>
      </w:r>
      <w:hyperlink r:id="rId32" w:history="1">
        <w:r w:rsidRPr="00442D9D">
          <w:rPr>
            <w:rStyle w:val="a6"/>
            <w:rFonts w:ascii="Times New Roman" w:eastAsia="Times New Roman" w:hAnsi="Times New Roman" w:cs="Times New Roman"/>
            <w:color w:val="000000" w:themeColor="text1"/>
            <w:spacing w:val="2"/>
            <w:lang w:val="en-US" w:eastAsia="ru-RU"/>
          </w:rPr>
          <w:t>https://eco.akipress.org/news:1547213/?from= eco&amp;place=newsload</w:t>
        </w:r>
      </w:hyperlink>
    </w:p>
  </w:footnote>
  <w:footnote w:id="110">
    <w:p w14:paraId="3748396A" w14:textId="77777777" w:rsidR="00137211" w:rsidRPr="0024270B" w:rsidRDefault="00137211">
      <w:pPr>
        <w:pStyle w:val="aff2"/>
        <w:rPr>
          <w:lang w:val="en-US"/>
        </w:rPr>
      </w:pPr>
      <w:r>
        <w:rPr>
          <w:rStyle w:val="a3"/>
          <w:rFonts w:ascii="Times New Roman" w:hAnsi="Times New Roman"/>
        </w:rPr>
        <w:footnoteRef/>
      </w:r>
      <w:r w:rsidRPr="0024270B">
        <w:rPr>
          <w:lang w:val="en-US"/>
        </w:rPr>
        <w:tab/>
        <w:t>Innovative solutions for environmental challenges and sustainable consumption and production. United Nations Environment Assembly of the United Nations Environment Programm Fourth session Nairobi, 11–15 March 2019</w:t>
      </w:r>
    </w:p>
  </w:footnote>
  <w:footnote w:id="111">
    <w:p w14:paraId="68CF63A2" w14:textId="77777777" w:rsidR="00137211" w:rsidRPr="0024270B" w:rsidRDefault="00137211">
      <w:pPr>
        <w:pStyle w:val="aff2"/>
        <w:rPr>
          <w:lang w:val="en-US"/>
        </w:rPr>
      </w:pPr>
      <w:r>
        <w:rPr>
          <w:rStyle w:val="a3"/>
          <w:rFonts w:ascii="Times New Roman" w:hAnsi="Times New Roman"/>
        </w:rPr>
        <w:footnoteRef/>
      </w:r>
      <w:hyperlink r:id="rId33" w:history="1">
        <w:r w:rsidRPr="0024270B">
          <w:rPr>
            <w:rStyle w:val="a6"/>
            <w:rFonts w:ascii="Times New Roman" w:hAnsi="Times New Roman" w:cs="Times New Roman"/>
            <w:u w:val="none"/>
            <w:lang w:val="en-US"/>
          </w:rPr>
          <w:tab/>
          <w:t>https://www.unece.org/info/media/presscurrent-press-h/forestry-and-timber/2019/unece-and-fao-take-stock-of-the-state-of-forests-of-the-caucasus-and-central-asia-in-first-ever-study/doc.html?fbclid=IwAR0wl8mWPT4oT1y0qLuepy3z_yDQKtTdT6CdBP3E9UUMdYu_kqdIjBsrD80</w:t>
        </w:r>
      </w:hyperlink>
      <w:r w:rsidRPr="0024270B">
        <w:rPr>
          <w:rFonts w:ascii="Times New Roman" w:hAnsi="Times New Roman" w:cs="Times New Roman"/>
          <w:lang w:val="en-US"/>
        </w:rPr>
        <w:t xml:space="preserve"> </w:t>
      </w:r>
    </w:p>
  </w:footnote>
  <w:footnote w:id="112">
    <w:p w14:paraId="772E2CAB" w14:textId="77777777" w:rsidR="00137211" w:rsidRPr="0024270B" w:rsidRDefault="00137211">
      <w:pPr>
        <w:pStyle w:val="aff2"/>
        <w:rPr>
          <w:lang w:val="en-US"/>
        </w:rPr>
      </w:pPr>
      <w:r>
        <w:rPr>
          <w:rStyle w:val="a3"/>
          <w:rFonts w:ascii="Times New Roman" w:hAnsi="Times New Roman"/>
        </w:rPr>
        <w:footnoteRef/>
      </w:r>
      <w:hyperlink r:id="rId34" w:history="1">
        <w:r w:rsidRPr="0024270B">
          <w:rPr>
            <w:rStyle w:val="a6"/>
            <w:rFonts w:ascii="Times New Roman" w:hAnsi="Times New Roman" w:cs="Times New Roman"/>
            <w:u w:val="none"/>
            <w:lang w:val="en-US"/>
          </w:rPr>
          <w:tab/>
          <w:t>https://www.kt.kz/rus/ecology/v_almaty_nachal_otkrylsya_seminar_po_voprosam_biosfernyh_1377884994.html</w:t>
        </w:r>
      </w:hyperlink>
      <w:r w:rsidRPr="0024270B">
        <w:rPr>
          <w:rFonts w:ascii="Times New Roman" w:hAnsi="Times New Roman" w:cs="Times New Roman"/>
          <w:lang w:val="en-US"/>
        </w:rPr>
        <w:t xml:space="preserve"> </w:t>
      </w:r>
    </w:p>
  </w:footnote>
  <w:footnote w:id="113">
    <w:p w14:paraId="41748EC3" w14:textId="77777777" w:rsidR="00137211" w:rsidRPr="0024270B" w:rsidRDefault="00137211">
      <w:pPr>
        <w:pStyle w:val="aff2"/>
        <w:rPr>
          <w:lang w:val="en-US"/>
        </w:rPr>
      </w:pPr>
      <w:r>
        <w:rPr>
          <w:rStyle w:val="a3"/>
          <w:rFonts w:ascii="Times New Roman" w:hAnsi="Times New Roman"/>
        </w:rPr>
        <w:footnoteRef/>
      </w:r>
      <w:hyperlink r:id="rId35" w:history="1">
        <w:r w:rsidRPr="0024270B">
          <w:rPr>
            <w:rStyle w:val="a6"/>
            <w:rFonts w:ascii="Times New Roman" w:hAnsi="Times New Roman" w:cs="Times New Roman"/>
            <w:u w:val="none"/>
            <w:lang w:val="en-US"/>
          </w:rPr>
          <w:tab/>
          <w:t>https://www.iflscience.com/environment/norway-is-the-first-country-to-commit-to-zero-deforestation/?fbclid=IwAR3TtBuD0YiDeRbDzEsfjvoRm_dfvnbldFCHwUbCTpmdxytBQmsYnnWw2cQ</w:t>
        </w:r>
      </w:hyperlink>
      <w:r w:rsidRPr="0024270B">
        <w:rPr>
          <w:rFonts w:ascii="Times New Roman" w:hAnsi="Times New Roman" w:cs="Times New Roman"/>
          <w:lang w:val="en-US"/>
        </w:rPr>
        <w:t xml:space="preserve">  </w:t>
      </w:r>
    </w:p>
  </w:footnote>
  <w:footnote w:id="114">
    <w:p w14:paraId="2F95A562" w14:textId="77777777" w:rsidR="00137211" w:rsidRDefault="00137211">
      <w:pPr>
        <w:pStyle w:val="aff2"/>
      </w:pPr>
      <w:r>
        <w:rPr>
          <w:rStyle w:val="a3"/>
          <w:rFonts w:ascii="Times New Roman" w:hAnsi="Times New Roman"/>
        </w:rPr>
        <w:footnoteRef/>
      </w:r>
      <w:r>
        <w:rPr>
          <w:rFonts w:ascii="Times New Roman" w:hAnsi="Times New Roman" w:cs="Times New Roman"/>
          <w:color w:val="00000A"/>
        </w:rPr>
        <w:tab/>
        <w:t>Доклад ЮНЕП "Передовые рубежи 2018/19 года" (</w:t>
      </w:r>
      <w:r>
        <w:rPr>
          <w:rFonts w:ascii="Times New Roman" w:hAnsi="Times New Roman" w:cs="Times New Roman"/>
        </w:rPr>
        <w:t>https://www.unenvironment.org/ru/resources/doklad-peredovye-rubezhi-201819-goda-namechayuschiesya-problemy-imeyuschie-ekologicheskoe)</w:t>
      </w:r>
    </w:p>
  </w:footnote>
  <w:footnote w:id="115">
    <w:p w14:paraId="1AF67293" w14:textId="77777777" w:rsidR="00137211" w:rsidRDefault="00137211" w:rsidP="007963DC">
      <w:pPr>
        <w:pStyle w:val="aff2"/>
      </w:pPr>
      <w:r>
        <w:rPr>
          <w:rStyle w:val="a4"/>
          <w:rFonts w:hint="eastAsia"/>
        </w:rPr>
        <w:footnoteRef/>
      </w:r>
      <w:r>
        <w:rPr>
          <w:rFonts w:hint="eastAsia"/>
        </w:rPr>
        <w:t xml:space="preserve"> </w:t>
      </w:r>
      <w:r>
        <w:t>Третий Обзор результативности экологической деятельности Казахстана. ЕЭК ООН. 2018 г</w:t>
      </w:r>
    </w:p>
  </w:footnote>
  <w:footnote w:id="116">
    <w:p w14:paraId="7B96404C" w14:textId="77777777" w:rsidR="00137211" w:rsidRDefault="00137211">
      <w:pPr>
        <w:pStyle w:val="aff2"/>
      </w:pPr>
      <w:r>
        <w:rPr>
          <w:rStyle w:val="a3"/>
          <w:rFonts w:ascii="Times New Roman" w:hAnsi="Times New Roman"/>
        </w:rPr>
        <w:footnoteRef/>
      </w:r>
      <w:r>
        <w:tab/>
        <w:t xml:space="preserve">Третий Обзор результативности экологической деятельности Казахстана. ЕЭК ООН. 2018 г. </w:t>
      </w:r>
    </w:p>
  </w:footnote>
  <w:footnote w:id="117">
    <w:p w14:paraId="4E2DAE14" w14:textId="77777777" w:rsidR="00137211" w:rsidRDefault="00137211">
      <w:pPr>
        <w:pStyle w:val="aff2"/>
      </w:pPr>
      <w:r>
        <w:rPr>
          <w:rStyle w:val="a3"/>
          <w:rFonts w:ascii="Times New Roman" w:hAnsi="Times New Roman"/>
        </w:rPr>
        <w:footnoteRef/>
      </w:r>
      <w:r>
        <w:tab/>
        <w:t>Стратегический план развития Республики Казахстан до 2025 года, утвержденный Указом Президента Республики Казахстан от 15 февраля 2018 года № 636</w:t>
      </w:r>
    </w:p>
  </w:footnote>
  <w:footnote w:id="118">
    <w:p w14:paraId="497C0284" w14:textId="77777777" w:rsidR="00137211" w:rsidRDefault="00137211">
      <w:pPr>
        <w:pStyle w:val="aff2"/>
      </w:pPr>
      <w:r>
        <w:rPr>
          <w:rStyle w:val="a3"/>
          <w:rFonts w:ascii="Times New Roman" w:hAnsi="Times New Roman"/>
        </w:rPr>
        <w:footnoteRef/>
      </w:r>
      <w:r>
        <w:tab/>
        <w:t>Концепция по переходу Республики Казахстан к «зеленой экономике», утвержденной Указом Президента Республики Казахстан от 30 мая 2013 года №577</w:t>
      </w:r>
    </w:p>
  </w:footnote>
  <w:footnote w:id="119">
    <w:p w14:paraId="35796635" w14:textId="77777777" w:rsidR="00137211" w:rsidRDefault="00137211">
      <w:pPr>
        <w:pStyle w:val="aff2"/>
      </w:pPr>
      <w:r>
        <w:rPr>
          <w:rStyle w:val="a3"/>
          <w:rFonts w:ascii="Times New Roman" w:hAnsi="Times New Roman"/>
        </w:rPr>
        <w:footnoteRef/>
      </w:r>
      <w:r>
        <w:tab/>
        <w:t>Отчет о ходе реализации проекта «Создание трансформационной политики и финансовых механизмов для увеличения инвестиций в управление биоразнообразием (БИОФИН)». ПРООН в РК. 2017 г.</w:t>
      </w:r>
    </w:p>
  </w:footnote>
  <w:footnote w:id="120">
    <w:p w14:paraId="0D52DA72" w14:textId="77777777" w:rsidR="00137211" w:rsidRPr="0024270B" w:rsidRDefault="00137211">
      <w:pPr>
        <w:pStyle w:val="aff2"/>
        <w:rPr>
          <w:lang w:val="en-US"/>
        </w:rPr>
      </w:pPr>
      <w:r>
        <w:rPr>
          <w:rStyle w:val="a3"/>
          <w:rFonts w:ascii="Times New Roman" w:hAnsi="Times New Roman"/>
        </w:rPr>
        <w:footnoteRef/>
      </w:r>
      <w:r>
        <w:rPr>
          <w:rFonts w:ascii="Times New Roman" w:hAnsi="Times New Roman" w:cs="Times New Roman"/>
        </w:rPr>
        <w:tab/>
        <w:t>Заключительный отчет о реализации проекта «Экономические механизмы оценки для улучшения принятия решений и управления выполнения обязательств в рамках глобальных экологических соглашений» (СВ2). ПРООН</w:t>
      </w:r>
      <w:r>
        <w:rPr>
          <w:rFonts w:ascii="Times New Roman" w:hAnsi="Times New Roman" w:cs="Times New Roman"/>
          <w:lang w:val="en-US"/>
        </w:rPr>
        <w:t xml:space="preserve"> </w:t>
      </w:r>
      <w:r>
        <w:rPr>
          <w:rFonts w:ascii="Times New Roman" w:hAnsi="Times New Roman" w:cs="Times New Roman"/>
        </w:rPr>
        <w:t>в</w:t>
      </w:r>
      <w:r>
        <w:rPr>
          <w:rFonts w:ascii="Times New Roman" w:hAnsi="Times New Roman" w:cs="Times New Roman"/>
          <w:lang w:val="en-US"/>
        </w:rPr>
        <w:t xml:space="preserve"> </w:t>
      </w:r>
      <w:r>
        <w:rPr>
          <w:rFonts w:ascii="Times New Roman" w:hAnsi="Times New Roman" w:cs="Times New Roman"/>
        </w:rPr>
        <w:t>РК</w:t>
      </w:r>
      <w:r>
        <w:rPr>
          <w:rFonts w:ascii="Times New Roman" w:hAnsi="Times New Roman" w:cs="Times New Roman"/>
          <w:lang w:val="en-US"/>
        </w:rPr>
        <w:t>. 2017.</w:t>
      </w:r>
    </w:p>
  </w:footnote>
  <w:footnote w:id="121">
    <w:p w14:paraId="3E92FD10" w14:textId="77777777" w:rsidR="00137211" w:rsidRPr="0024270B" w:rsidRDefault="00137211">
      <w:pPr>
        <w:pStyle w:val="aff2"/>
        <w:rPr>
          <w:lang w:val="en-US"/>
        </w:rPr>
      </w:pPr>
      <w:r>
        <w:rPr>
          <w:rStyle w:val="a3"/>
          <w:rFonts w:ascii="Times New Roman" w:hAnsi="Times New Roman"/>
        </w:rPr>
        <w:footnoteRef/>
      </w:r>
      <w:r w:rsidRPr="0024270B">
        <w:rPr>
          <w:lang w:val="en-US"/>
        </w:rPr>
        <w:tab/>
        <w:t>Innovative solutions for environmental challenges and sustainable consumption and production. United Nations Environment Assembly of the United Nations Environment Programme Fourth session Nairobi, 11–15 March 2019</w:t>
      </w:r>
    </w:p>
  </w:footnote>
  <w:footnote w:id="122">
    <w:p w14:paraId="28032AC0" w14:textId="77777777" w:rsidR="00137211" w:rsidRDefault="00137211" w:rsidP="007963DC">
      <w:pPr>
        <w:pStyle w:val="aff2"/>
      </w:pPr>
      <w:r>
        <w:rPr>
          <w:rStyle w:val="a4"/>
          <w:rFonts w:hint="eastAsia"/>
        </w:rPr>
        <w:footnoteRef/>
      </w:r>
      <w:r>
        <w:rPr>
          <w:rFonts w:hint="eastAsia"/>
        </w:rPr>
        <w:t xml:space="preserve"> </w:t>
      </w:r>
      <w:r>
        <w:t>Третий Обзор результативности экологической деятельности Казахстана. ЕЭК ООН. 2018 г.</w:t>
      </w:r>
    </w:p>
    <w:p w14:paraId="1C8BDCB9" w14:textId="77777777" w:rsidR="00137211" w:rsidRDefault="00137211" w:rsidP="007963DC">
      <w:pPr>
        <w:pStyle w:val="aff2"/>
      </w:pPr>
    </w:p>
  </w:footnote>
  <w:footnote w:id="123">
    <w:p w14:paraId="3C9F57EF" w14:textId="77777777" w:rsidR="00137211" w:rsidRDefault="00137211">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124">
    <w:p w14:paraId="47FD448A" w14:textId="77777777" w:rsidR="00137211" w:rsidRDefault="00137211">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125">
    <w:p w14:paraId="5A3B3E5E" w14:textId="77777777" w:rsidR="00137211" w:rsidRDefault="00137211">
      <w:pPr>
        <w:pStyle w:val="aff2"/>
      </w:pPr>
      <w:r>
        <w:rPr>
          <w:rStyle w:val="a3"/>
          <w:rFonts w:ascii="Times New Roman" w:hAnsi="Times New Roman"/>
        </w:rPr>
        <w:footnoteRef/>
      </w:r>
      <w:r>
        <w:tab/>
        <w:t>Стратегический план развития Республики Казахстан до 2025 года, утвержденный Указом Президента Республики Казахстан от 15 февраля 2018 года №636</w:t>
      </w:r>
    </w:p>
  </w:footnote>
  <w:footnote w:id="126">
    <w:p w14:paraId="2DD48CFE" w14:textId="77777777" w:rsidR="00137211" w:rsidRDefault="00137211">
      <w:pPr>
        <w:pStyle w:val="aff2"/>
      </w:pPr>
      <w:r>
        <w:rPr>
          <w:rStyle w:val="a3"/>
          <w:rFonts w:ascii="Times New Roman" w:hAnsi="Times New Roman"/>
        </w:rPr>
        <w:footnoteRef/>
      </w:r>
      <w:r>
        <w:tab/>
        <w:t>https://www.kz.undp.org/content/kazakhstan/ru/home/presscenter/announcements/2020/june/undp-and-the-ministry-of-education-and-science-of-kazakhstan-lau.html?fbclid=IwAR1DtmuNCVCXGc7Cd8tV8xaVBYQsxkbr9BR5VdV9gUzohLmiIMKRdPk4FAQ</w:t>
      </w:r>
    </w:p>
  </w:footnote>
  <w:footnote w:id="127">
    <w:p w14:paraId="4E31B4E1" w14:textId="77777777" w:rsidR="00137211" w:rsidRPr="007244BE" w:rsidRDefault="00137211">
      <w:pPr>
        <w:pStyle w:val="aff2"/>
        <w:rPr>
          <w:rFonts w:asciiTheme="minorHAnsi" w:hAnsiTheme="minorHAnsi"/>
          <w:lang w:val="en-US"/>
        </w:rPr>
      </w:pPr>
      <w:r>
        <w:rPr>
          <w:rStyle w:val="a4"/>
        </w:rPr>
        <w:footnoteRef/>
      </w:r>
      <w:r w:rsidRPr="007244BE">
        <w:rPr>
          <w:lang w:val="en-US"/>
        </w:rPr>
        <w:t xml:space="preserve"> </w:t>
      </w:r>
      <w:r w:rsidRPr="007244BE">
        <w:rPr>
          <w:rFonts w:ascii="Times New Roman" w:eastAsia="Times New Roman" w:hAnsi="Times New Roman" w:cs="Times New Roman"/>
          <w:spacing w:val="2"/>
          <w:lang w:val="en-US" w:eastAsia="ru-RU"/>
        </w:rPr>
        <w:t>(</w:t>
      </w:r>
      <w:hyperlink r:id="rId36" w:history="1">
        <w:r w:rsidRPr="007244BE">
          <w:rPr>
            <w:rStyle w:val="a6"/>
            <w:rFonts w:ascii="Times New Roman" w:eastAsia="Times New Roman" w:hAnsi="Times New Roman" w:cs="Times New Roman"/>
            <w:spacing w:val="2"/>
            <w:lang w:val="en-US" w:eastAsia="ru-RU"/>
          </w:rPr>
          <w:t>https://eco.akipress.org/news:1547213/?from= eco&amp;place=newsload</w:t>
        </w:r>
      </w:hyperlink>
    </w:p>
  </w:footnote>
  <w:footnote w:id="128">
    <w:p w14:paraId="63F4F5F3" w14:textId="77777777" w:rsidR="00137211" w:rsidRPr="00561A37" w:rsidRDefault="00137211">
      <w:pPr>
        <w:pStyle w:val="aff2"/>
        <w:rPr>
          <w:lang w:val="en-US"/>
        </w:rPr>
      </w:pPr>
      <w:r>
        <w:rPr>
          <w:rStyle w:val="a3"/>
          <w:rFonts w:ascii="Times New Roman" w:hAnsi="Times New Roman"/>
        </w:rPr>
        <w:footnoteRef/>
      </w:r>
      <w:hyperlink r:id="rId37" w:history="1">
        <w:r w:rsidRPr="00561A37">
          <w:rPr>
            <w:rStyle w:val="a6"/>
            <w:u w:val="none"/>
            <w:lang w:val="en-US"/>
          </w:rPr>
          <w:tab/>
          <w:t>https://www.inform.kz/ru/itogi-ekspo-2017-predstavili-v-mezhdunarodnom-byuro-vystavok_a3072543</w:t>
        </w:r>
      </w:hyperlink>
    </w:p>
  </w:footnote>
  <w:footnote w:id="129">
    <w:p w14:paraId="478C5FCA" w14:textId="77777777" w:rsidR="00137211" w:rsidRDefault="00137211" w:rsidP="006F46EB">
      <w:pPr>
        <w:pStyle w:val="aff2"/>
      </w:pPr>
      <w:r>
        <w:rPr>
          <w:rStyle w:val="a3"/>
          <w:rFonts w:ascii="Times New Roman" w:hAnsi="Times New Roman"/>
        </w:rPr>
        <w:footnoteRef/>
      </w:r>
      <w:r>
        <w:tab/>
        <w:t>Всемирный банк. Зеленая экономика: реалии и перспективы в Казахстане. 2018 год.</w:t>
      </w:r>
    </w:p>
  </w:footnote>
  <w:footnote w:id="130">
    <w:p w14:paraId="6F43B387" w14:textId="77777777" w:rsidR="00137211" w:rsidRDefault="00137211" w:rsidP="006F46EB">
      <w:pPr>
        <w:pStyle w:val="aff2"/>
      </w:pPr>
      <w:r>
        <w:rPr>
          <w:rStyle w:val="a3"/>
          <w:rFonts w:ascii="Times New Roman" w:hAnsi="Times New Roman"/>
        </w:rPr>
        <w:footnoteRef/>
      </w:r>
      <w:r>
        <w:tab/>
        <w:t xml:space="preserve">Третий Обзор результативности экологической деятельности Казахстана. ЕЭК ООН. 2018 г. </w:t>
      </w:r>
    </w:p>
  </w:footnote>
  <w:footnote w:id="131">
    <w:p w14:paraId="134B3882" w14:textId="77777777" w:rsidR="00137211" w:rsidRDefault="00137211" w:rsidP="006F46EB">
      <w:pPr>
        <w:pStyle w:val="aff2"/>
      </w:pPr>
      <w:r>
        <w:rPr>
          <w:rStyle w:val="a3"/>
          <w:rFonts w:ascii="Times New Roman" w:hAnsi="Times New Roman"/>
        </w:rPr>
        <w:footnoteRef/>
      </w:r>
      <w:r>
        <w:tab/>
        <w:t xml:space="preserve">Зелёная экономика и цели устойчивого развития для России: коллективная монография / под науч. ред. С. Н. Бобылёва, П. А. Кирюшина, О. В. Кудрявцевой. — М.: Экономический факультет МГУ имени М. В. Ломоносова, 2019. — 284 с. </w:t>
      </w:r>
    </w:p>
  </w:footnote>
  <w:footnote w:id="132">
    <w:p w14:paraId="47C38D72" w14:textId="77777777" w:rsidR="00137211" w:rsidRPr="0024270B" w:rsidRDefault="00137211" w:rsidP="006F46EB">
      <w:pPr>
        <w:pStyle w:val="aff2"/>
        <w:rPr>
          <w:lang w:val="en-US"/>
        </w:rPr>
      </w:pPr>
      <w:r>
        <w:rPr>
          <w:rStyle w:val="a3"/>
          <w:rFonts w:ascii="Times New Roman" w:hAnsi="Times New Roman"/>
        </w:rPr>
        <w:footnoteRef/>
      </w:r>
      <w:r w:rsidRPr="0024270B">
        <w:rPr>
          <w:lang w:val="en-US"/>
        </w:rPr>
        <w:tab/>
        <w:t>Innovative solutions for environmental challenges and sustainable consumption and production. United Nations Environment Assembly of the United Nations Environment Programme Fourth session Nairobi, 11–15 March 2019</w:t>
      </w:r>
    </w:p>
  </w:footnote>
  <w:footnote w:id="133">
    <w:p w14:paraId="79EAEDCC"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Акмолинской области на 2016 — 2020 годы и отчеты по ее реализации за 2018 и 2019 годы.</w:t>
      </w:r>
    </w:p>
  </w:footnote>
  <w:footnote w:id="134">
    <w:p w14:paraId="44B1A52B" w14:textId="77777777" w:rsidR="00137211" w:rsidRDefault="00137211" w:rsidP="00AC1D5B">
      <w:pPr>
        <w:pStyle w:val="aff2"/>
      </w:pPr>
      <w:r>
        <w:rPr>
          <w:rStyle w:val="a3"/>
          <w:rFonts w:ascii="Times New Roman" w:hAnsi="Times New Roman"/>
        </w:rPr>
        <w:footnoteRef/>
      </w:r>
      <w:r>
        <w:tab/>
        <w:t>Бюллетени о состоянии окружающей среды в Республике Казахстан за 2017, 2018 и 2019 годы.</w:t>
      </w:r>
    </w:p>
  </w:footnote>
  <w:footnote w:id="135">
    <w:p w14:paraId="6E1A3869" w14:textId="77777777" w:rsidR="00137211" w:rsidRDefault="00137211" w:rsidP="00AC1D5B">
      <w:pPr>
        <w:pStyle w:val="aff2"/>
      </w:pPr>
      <w:r>
        <w:rPr>
          <w:rStyle w:val="a3"/>
          <w:rFonts w:ascii="Times New Roman" w:hAnsi="Times New Roman"/>
        </w:rPr>
        <w:footnoteRef/>
      </w:r>
      <w:r>
        <w:rPr>
          <w:rFonts w:ascii="Times New Roman" w:hAnsi="Times New Roman" w:cs="Times New Roman"/>
          <w:highlight w:val="yellow"/>
        </w:rPr>
        <w:tab/>
      </w:r>
      <w:r w:rsidRPr="00B10444">
        <w:rPr>
          <w:rFonts w:ascii="Times New Roman" w:hAnsi="Times New Roman" w:cs="Times New Roman"/>
        </w:rPr>
        <w:t xml:space="preserve">Здесь и далее </w:t>
      </w:r>
      <w:r w:rsidRPr="00B10444">
        <w:rPr>
          <w:rFonts w:ascii="Times New Roman" w:eastAsia="Times New Roman" w:hAnsi="Times New Roman" w:cs="Times New Roman"/>
        </w:rPr>
        <w:t>Программа развития территории Актюбинской области на 2016 — 2020 годы и отчеты по ее реализации за 2018 и 2019 годы.</w:t>
      </w:r>
    </w:p>
  </w:footnote>
  <w:footnote w:id="136">
    <w:p w14:paraId="7EF31385" w14:textId="77777777" w:rsidR="00137211" w:rsidRDefault="00137211" w:rsidP="00AC1D5B">
      <w:pPr>
        <w:pStyle w:val="aff2"/>
      </w:pPr>
      <w:r>
        <w:rPr>
          <w:rStyle w:val="a3"/>
          <w:rFonts w:ascii="Times New Roman" w:hAnsi="Times New Roman"/>
        </w:rPr>
        <w:footnoteRef/>
      </w:r>
      <w:r>
        <w:rPr>
          <w:rFonts w:ascii="Times New Roman" w:eastAsia="Times New Roman" w:hAnsi="Times New Roman" w:cs="Times New Roman"/>
          <w:color w:val="000000"/>
          <w:lang w:eastAsia="ru-RU"/>
        </w:rPr>
        <w:tab/>
        <w:t>Информационный бюллетень о состоянии окружающей среды в Республике Казахстан за 2017 год.</w:t>
      </w:r>
    </w:p>
  </w:footnote>
  <w:footnote w:id="137">
    <w:p w14:paraId="4E40CD6D" w14:textId="77777777" w:rsidR="00137211" w:rsidRDefault="00137211" w:rsidP="00AC1D5B">
      <w:pPr>
        <w:pStyle w:val="aff2"/>
      </w:pPr>
      <w:r>
        <w:rPr>
          <w:rStyle w:val="a3"/>
          <w:rFonts w:ascii="Times New Roman" w:hAnsi="Times New Roman"/>
        </w:rPr>
        <w:footnoteRef/>
      </w:r>
      <w:r>
        <w:rPr>
          <w:rFonts w:ascii="Times New Roman" w:eastAsia="Times New Roman" w:hAnsi="Times New Roman" w:cs="Times New Roman"/>
          <w:color w:val="000000"/>
          <w:lang w:eastAsia="ru-RU"/>
        </w:rPr>
        <w:tab/>
        <w:t>Информационный бюллетень о состоянии окружающей среды в Республике Казахстан за 2018 год.</w:t>
      </w:r>
    </w:p>
  </w:footnote>
  <w:footnote w:id="138">
    <w:p w14:paraId="2715AF08"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2019 год.</w:t>
      </w:r>
    </w:p>
  </w:footnote>
  <w:footnote w:id="139">
    <w:p w14:paraId="05E896FC"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источник: официальный сайт акимата Алматинской области </w:t>
      </w:r>
      <w:hyperlink r:id="rId38" w:history="1">
        <w:r>
          <w:rPr>
            <w:rStyle w:val="a6"/>
            <w:rFonts w:ascii="Times New Roman" w:hAnsi="Times New Roman" w:cs="Times New Roman"/>
            <w:u w:val="none"/>
          </w:rPr>
          <w:t>http://www.zhetysu.gov.kz»</w:t>
        </w:r>
      </w:hyperlink>
    </w:p>
  </w:footnote>
  <w:footnote w:id="140">
    <w:p w14:paraId="46F4E331" w14:textId="77777777" w:rsidR="00137211" w:rsidRPr="007B20C9" w:rsidRDefault="00137211" w:rsidP="00AC1D5B">
      <w:pPr>
        <w:pStyle w:val="aff2"/>
        <w:rPr>
          <w:rFonts w:asciiTheme="minorHAnsi" w:hAnsiTheme="minorHAnsi"/>
        </w:rPr>
      </w:pPr>
      <w:r>
        <w:rPr>
          <w:rStyle w:val="a4"/>
        </w:rPr>
        <w:footnoteRef/>
      </w:r>
      <w:r>
        <w:t xml:space="preserve"> </w:t>
      </w:r>
      <w:r>
        <w:rPr>
          <w:rFonts w:ascii="Times New Roman" w:hAnsi="Times New Roman" w:cs="Times New Roman"/>
          <w:bCs/>
          <w:kern w:val="0"/>
          <w:lang w:eastAsia="ru-RU" w:bidi="ar-SA"/>
        </w:rPr>
        <w:t>(</w:t>
      </w:r>
      <w:hyperlink r:id="rId39" w:history="1">
        <w:r>
          <w:rPr>
            <w:rStyle w:val="a6"/>
            <w:rFonts w:ascii="Times New Roman" w:hAnsi="Times New Roman" w:cs="Times New Roman"/>
            <w:color w:val="auto"/>
            <w:u w:val="none"/>
          </w:rPr>
          <w:t>https://vlast.kz/novosti/35081-solnecnuu-elektrostanciu-na-100-mvt-vveli-v-ekspluataciu-v-almatinskoj-oblasti.html?fbclid=IwAR2HVLKe2MIf7JBZMrg-3mlh-Tfxh-6yNvj0m237Bx1rCVTMd63NcdrFjyE</w:t>
        </w:r>
      </w:hyperlink>
    </w:p>
  </w:footnote>
  <w:footnote w:id="141">
    <w:p w14:paraId="3BBC97A2"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Источник: официальный сайт акимата Алматинской области </w:t>
      </w:r>
      <w:hyperlink r:id="rId40" w:history="1">
        <w:r>
          <w:rPr>
            <w:rStyle w:val="a6"/>
            <w:rFonts w:ascii="Times New Roman" w:hAnsi="Times New Roman" w:cs="Times New Roman"/>
            <w:color w:val="auto"/>
            <w:u w:val="none"/>
          </w:rPr>
          <w:t>http://www.zhetysu.gov.kz»</w:t>
        </w:r>
      </w:hyperlink>
    </w:p>
  </w:footnote>
  <w:footnote w:id="142">
    <w:p w14:paraId="4D11EA9B" w14:textId="77777777" w:rsidR="00137211" w:rsidRDefault="00137211" w:rsidP="00AC1D5B">
      <w:pPr>
        <w:pStyle w:val="aff2"/>
      </w:pPr>
      <w:r>
        <w:rPr>
          <w:rStyle w:val="a3"/>
          <w:rFonts w:ascii="Times New Roman" w:hAnsi="Times New Roman"/>
        </w:rPr>
        <w:footnoteRef/>
      </w:r>
      <w:r>
        <w:rPr>
          <w:rFonts w:ascii="Times New Roman" w:hAnsi="Times New Roman" w:cs="Times New Roman"/>
          <w:highlight w:val="yellow"/>
        </w:rPr>
        <w:tab/>
      </w:r>
      <w:r w:rsidRPr="00B10444">
        <w:rPr>
          <w:rFonts w:ascii="Times New Roman" w:hAnsi="Times New Roman" w:cs="Times New Roman"/>
        </w:rPr>
        <w:t xml:space="preserve">Здесь и далее </w:t>
      </w:r>
      <w:r w:rsidRPr="00B10444">
        <w:rPr>
          <w:rFonts w:ascii="Times New Roman" w:eastAsia="Times New Roman" w:hAnsi="Times New Roman" w:cs="Times New Roman"/>
        </w:rPr>
        <w:t>Программа развития территории Атырауской области на 2016 — 2020 годы и отчеты по ее реализации за 2018 и 2019 годы.</w:t>
      </w:r>
    </w:p>
  </w:footnote>
  <w:footnote w:id="143">
    <w:p w14:paraId="43622476" w14:textId="77777777" w:rsidR="00137211" w:rsidRDefault="00137211" w:rsidP="00AC1D5B">
      <w:pPr>
        <w:pStyle w:val="aff2"/>
      </w:pPr>
      <w:r>
        <w:rPr>
          <w:rStyle w:val="a3"/>
          <w:rFonts w:ascii="Times New Roman" w:hAnsi="Times New Roman"/>
        </w:rPr>
        <w:footnoteRef/>
      </w:r>
      <w:r>
        <w:tab/>
        <w:t>Информационные бюллетени о состоянии окружающей среды в Республике Казахстан за 2017-2019 годы.</w:t>
      </w:r>
    </w:p>
  </w:footnote>
  <w:footnote w:id="144">
    <w:p w14:paraId="271D88C7" w14:textId="77777777" w:rsidR="00137211" w:rsidRDefault="00137211" w:rsidP="00AC1D5B"/>
    <w:p w14:paraId="3314FFD4" w14:textId="77777777" w:rsidR="00137211" w:rsidRDefault="00137211" w:rsidP="00AC1D5B">
      <w:pPr>
        <w:pStyle w:val="aff2"/>
      </w:pPr>
    </w:p>
  </w:footnote>
  <w:footnote w:id="145">
    <w:p w14:paraId="47A73112" w14:textId="77777777" w:rsidR="00137211" w:rsidRDefault="00137211" w:rsidP="00AC1D5B">
      <w:pPr>
        <w:pStyle w:val="aff2"/>
      </w:pPr>
      <w:r>
        <w:rPr>
          <w:rStyle w:val="a3"/>
          <w:rFonts w:ascii="Times New Roman" w:hAnsi="Times New Roman"/>
        </w:rPr>
        <w:footnoteRef/>
      </w:r>
      <w:r>
        <w:tab/>
        <w:t>Информационные бюллетени о состоянии окружающей среды в Республике Казахстан за 2017-2019 годы.</w:t>
      </w:r>
    </w:p>
  </w:footnote>
  <w:footnote w:id="146">
    <w:p w14:paraId="74125D32"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Жамбылской области на 2016 — 2020 годы и отчеты по ее реализации за 2018 и 2019 годы.</w:t>
      </w:r>
    </w:p>
  </w:footnote>
  <w:footnote w:id="147">
    <w:p w14:paraId="7F8E4950"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Западно-Казахстанской области на 2016 — 2020 годы и отчеты по ее реализации за 2018 и 2019 годы.</w:t>
      </w:r>
    </w:p>
    <w:p w14:paraId="109F6F89" w14:textId="77777777" w:rsidR="00137211" w:rsidRDefault="00137211" w:rsidP="00AC1D5B">
      <w:pPr>
        <w:pStyle w:val="LTGliederung91"/>
      </w:pPr>
    </w:p>
  </w:footnote>
  <w:footnote w:id="148">
    <w:p w14:paraId="4F869CC8"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Карагандинской области на 2016 — 2020 годы и отчеты по ее реализации за 2018 и 2019 годы.</w:t>
      </w:r>
    </w:p>
  </w:footnote>
  <w:footnote w:id="149">
    <w:p w14:paraId="7A397F77"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Костанайской области на 2016 — 2020 годы и отчеты по ее реализации за 2018 и 2019 годы.</w:t>
      </w:r>
    </w:p>
  </w:footnote>
  <w:footnote w:id="150">
    <w:p w14:paraId="0ADBFE22"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Кызылординской области на 2016 — 2020 годы и отчеты по ее реализации за 2018 и 2019 годы.</w:t>
      </w:r>
    </w:p>
  </w:footnote>
  <w:footnote w:id="151">
    <w:p w14:paraId="34B1023E"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2017 год.</w:t>
      </w:r>
    </w:p>
  </w:footnote>
  <w:footnote w:id="152">
    <w:p w14:paraId="05AFDE97"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2018 год.</w:t>
      </w:r>
    </w:p>
  </w:footnote>
  <w:footnote w:id="153">
    <w:p w14:paraId="46FB0712"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2019 год.</w:t>
      </w:r>
    </w:p>
  </w:footnote>
  <w:footnote w:id="154">
    <w:p w14:paraId="274B0A91"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Мангистауской области на 2016 — 2020 годы и отчеты по ее реализации за 2018 и 2019 годы.</w:t>
      </w:r>
    </w:p>
  </w:footnote>
  <w:footnote w:id="155">
    <w:p w14:paraId="04E12C07"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2017 год.</w:t>
      </w:r>
    </w:p>
  </w:footnote>
  <w:footnote w:id="156">
    <w:p w14:paraId="4D62C9BB"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2018 год.</w:t>
      </w:r>
    </w:p>
  </w:footnote>
  <w:footnote w:id="157">
    <w:p w14:paraId="61E1E5D2"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2019 год.</w:t>
      </w:r>
    </w:p>
  </w:footnote>
  <w:footnote w:id="158">
    <w:p w14:paraId="323A8FCB"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Павлодарской области на 2016 — 2020 годы и отчеты по ее реализации за 2018 и 2019 годы.</w:t>
      </w:r>
    </w:p>
  </w:footnote>
  <w:footnote w:id="159">
    <w:p w14:paraId="0BAB24CF" w14:textId="77777777" w:rsidR="00137211" w:rsidRDefault="00137211" w:rsidP="00AC1D5B">
      <w:pPr>
        <w:pStyle w:val="aff2"/>
      </w:pPr>
      <w:r w:rsidRPr="009706D9">
        <w:rPr>
          <w:rStyle w:val="a3"/>
          <w:rFonts w:ascii="Times New Roman" w:hAnsi="Times New Roman"/>
        </w:rPr>
        <w:footnoteRef/>
      </w:r>
      <w:r w:rsidRPr="009706D9">
        <w:rPr>
          <w:rFonts w:ascii="Times New Roman" w:hAnsi="Times New Roman" w:cs="Times New Roman"/>
        </w:rPr>
        <w:tab/>
        <w:t xml:space="preserve"> Здесь и далее </w:t>
      </w:r>
      <w:r w:rsidRPr="009706D9">
        <w:rPr>
          <w:rFonts w:ascii="Times New Roman" w:eastAsia="Times New Roman" w:hAnsi="Times New Roman" w:cs="Times New Roman"/>
        </w:rPr>
        <w:t>Программа развития территории Северо-Казахстанской области на 2016 — 2020 годы и отчеты по ее реализации за 2018 и 2019 годы.</w:t>
      </w:r>
    </w:p>
  </w:footnote>
  <w:footnote w:id="160">
    <w:p w14:paraId="3FAFC64E"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Туркестанской области на 2018 — 2023 годы и отчеты по ее реализации за 2018 и 2019 годы.</w:t>
      </w:r>
    </w:p>
  </w:footnote>
  <w:footnote w:id="161">
    <w:p w14:paraId="55578583"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w:t>
      </w:r>
      <w:r>
        <w:rPr>
          <w:rFonts w:ascii="Times New Roman" w:eastAsia="Times New Roman" w:hAnsi="Times New Roman" w:cs="Times New Roman"/>
        </w:rPr>
        <w:t>Программа развития территории города Нур-Султан на 2018 — 2023 годы и отчеты по ее реализации за 2018 и 2019 годы.</w:t>
      </w:r>
    </w:p>
  </w:footnote>
  <w:footnote w:id="162">
    <w:p w14:paraId="19A9D101"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2017 год.</w:t>
      </w:r>
    </w:p>
  </w:footnote>
  <w:footnote w:id="163">
    <w:p w14:paraId="22C3C1BF"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Здесь и далее</w:t>
      </w:r>
      <w:r>
        <w:rPr>
          <w:rFonts w:ascii="Times New Roman" w:eastAsia="Times New Roman" w:hAnsi="Times New Roman" w:cs="Times New Roman"/>
        </w:rPr>
        <w:t xml:space="preserve"> Программа развития территории города Алматы на 2016 — 2020 годы и отчеты по ее реализации за 2018 и 2019 годы.</w:t>
      </w:r>
    </w:p>
  </w:footnote>
  <w:footnote w:id="164">
    <w:p w14:paraId="4AEC8092"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2017 год.</w:t>
      </w:r>
    </w:p>
  </w:footnote>
  <w:footnote w:id="165">
    <w:p w14:paraId="6E0D461D"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2018 год.</w:t>
      </w:r>
    </w:p>
  </w:footnote>
  <w:footnote w:id="166">
    <w:p w14:paraId="0E47C804"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2019 год.</w:t>
      </w:r>
    </w:p>
  </w:footnote>
  <w:footnote w:id="167">
    <w:p w14:paraId="72D0F021"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2017 год.</w:t>
      </w:r>
    </w:p>
  </w:footnote>
  <w:footnote w:id="168">
    <w:p w14:paraId="54992869"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2018 год.</w:t>
      </w:r>
    </w:p>
  </w:footnote>
  <w:footnote w:id="169">
    <w:p w14:paraId="12B018E4" w14:textId="77777777" w:rsidR="00137211" w:rsidRDefault="00137211" w:rsidP="00AC1D5B">
      <w:pPr>
        <w:pStyle w:val="aff2"/>
      </w:pPr>
      <w:r>
        <w:rPr>
          <w:rStyle w:val="a3"/>
          <w:rFonts w:ascii="Times New Roman" w:hAnsi="Times New Roman"/>
        </w:rPr>
        <w:footnoteRef/>
      </w:r>
      <w:r>
        <w:tab/>
        <w:t>Информационный бюллетень о состоянии окружающей среды в Республике Казахстан за 2019 год.</w:t>
      </w:r>
    </w:p>
  </w:footnote>
  <w:footnote w:id="170">
    <w:p w14:paraId="08B7A704" w14:textId="77777777" w:rsidR="00137211" w:rsidRDefault="00137211" w:rsidP="00AC1D5B">
      <w:pPr>
        <w:pStyle w:val="aff2"/>
      </w:pPr>
      <w:r>
        <w:rPr>
          <w:rStyle w:val="a3"/>
          <w:rFonts w:ascii="Times New Roman" w:hAnsi="Times New Roman"/>
        </w:rPr>
        <w:footnoteRef/>
      </w:r>
      <w:r>
        <w:rPr>
          <w:rFonts w:ascii="Times New Roman" w:hAnsi="Times New Roman" w:cs="Times New Roman"/>
        </w:rPr>
        <w:tab/>
        <w:t xml:space="preserve">Здесь и далее Программа развития города Шымкента на 2018 – 2022 годы </w:t>
      </w:r>
      <w:r>
        <w:rPr>
          <w:rFonts w:ascii="Times New Roman" w:eastAsia="Times New Roman" w:hAnsi="Times New Roman" w:cs="Times New Roman"/>
        </w:rPr>
        <w:t>и отчеты по ее реализации за 2018 и 2019 годы.</w:t>
      </w:r>
    </w:p>
  </w:footnote>
  <w:footnote w:id="171">
    <w:p w14:paraId="27D9785E" w14:textId="77777777" w:rsidR="00137211" w:rsidRDefault="00137211" w:rsidP="00AC1D5B">
      <w:pPr>
        <w:pStyle w:val="aff2"/>
      </w:pPr>
      <w:r>
        <w:rPr>
          <w:rStyle w:val="a3"/>
          <w:rFonts w:ascii="Times New Roman" w:hAnsi="Times New Roman"/>
        </w:rPr>
        <w:footnoteRef/>
      </w:r>
      <w:r>
        <w:tab/>
        <w:t>Третий Обзор результативности экологической деятельности Казахстана. ЕЭК ООН. 2018 г.</w:t>
      </w:r>
    </w:p>
  </w:footnote>
  <w:footnote w:id="172">
    <w:p w14:paraId="5CEB7E65" w14:textId="77777777" w:rsidR="00137211" w:rsidRDefault="00137211" w:rsidP="00AC1D5B">
      <w:pPr>
        <w:pStyle w:val="aff2"/>
      </w:pPr>
      <w:r>
        <w:rPr>
          <w:rStyle w:val="a3"/>
          <w:rFonts w:ascii="Times New Roman" w:hAnsi="Times New Roman"/>
        </w:rPr>
        <w:footnoteRef/>
      </w:r>
      <w:r>
        <w:tab/>
        <w:t>СВОДНЫЙ АНАЛИТИЧЕСКИЙ ОТЧЕТ О СОСТОЯНИИ И ИСПОЛЬЗОВАНИИ ЗЕМЕЛЬ РЕСПУБЛИКИ КАЗАХСТАН ЗА 2018 ГОД. МСХ РК. Комитет по управлению земельными ресурсами. 2019 г.</w:t>
      </w:r>
    </w:p>
  </w:footnote>
  <w:footnote w:id="173">
    <w:p w14:paraId="515CD723" w14:textId="77777777" w:rsidR="00137211" w:rsidRPr="00C94AC8" w:rsidRDefault="00137211" w:rsidP="00AC1D5B">
      <w:pPr>
        <w:pStyle w:val="aff2"/>
        <w:jc w:val="both"/>
      </w:pPr>
      <w:r w:rsidRPr="004C1427">
        <w:rPr>
          <w:rStyle w:val="a4"/>
        </w:rPr>
        <w:footnoteRef/>
      </w:r>
      <w:r w:rsidRPr="004C1427">
        <w:t xml:space="preserve"> </w:t>
      </w:r>
      <w:r w:rsidRPr="00C94AC8">
        <w:t xml:space="preserve">ЗИЗЛХ – </w:t>
      </w:r>
      <w:r w:rsidRPr="00C94AC8">
        <w:rPr>
          <w:rFonts w:eastAsia="SimSun"/>
          <w:bCs/>
        </w:rPr>
        <w:t>землепользование, изменения в землепользовании и лесное хозяйство</w:t>
      </w:r>
    </w:p>
  </w:footnote>
  <w:footnote w:id="174">
    <w:p w14:paraId="71B62983" w14:textId="77777777" w:rsidR="00137211" w:rsidRDefault="00137211" w:rsidP="00AC1D5B">
      <w:pPr>
        <w:pStyle w:val="aff2"/>
      </w:pPr>
      <w:r>
        <w:rPr>
          <w:rStyle w:val="a3"/>
          <w:rFonts w:ascii="Times New Roman" w:hAnsi="Times New Roman"/>
        </w:rPr>
        <w:footnoteRef/>
      </w:r>
      <w:r>
        <w:tab/>
        <w:t>Концепция по переходу Республики Казахстан к «зеленой экономике». Утверждена Указом Президента Республики Казахстан от 30 мая 2013 года №577.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DE5AF" w14:textId="77777777" w:rsidR="00137211" w:rsidRDefault="00137211">
    <w:pPr>
      <w:pStyle w:val="aff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FB51" w14:textId="77777777" w:rsidR="00137211" w:rsidRDefault="00137211">
    <w:pPr>
      <w:pStyle w:val="aff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AF0E" w14:textId="77777777" w:rsidR="00137211" w:rsidRDefault="00137211">
    <w:pPr>
      <w:pStyle w:val="aff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023" w:hanging="360"/>
      </w:pPr>
      <w:rPr>
        <w:rFonts w:ascii="Times New Roman" w:hAnsi="Times New Roman" w:cs="Times New Roman"/>
      </w:rPr>
    </w:lvl>
    <w:lvl w:ilvl="1">
      <w:start w:val="1"/>
      <w:numFmt w:val="bullet"/>
      <w:lvlText w:val="o"/>
      <w:lvlJc w:val="left"/>
      <w:pPr>
        <w:tabs>
          <w:tab w:val="num" w:pos="0"/>
        </w:tabs>
        <w:ind w:left="7743" w:hanging="360"/>
      </w:pPr>
      <w:rPr>
        <w:rFonts w:ascii="Courier New" w:hAnsi="Courier New" w:cs="Courier New"/>
      </w:rPr>
    </w:lvl>
    <w:lvl w:ilvl="2">
      <w:start w:val="1"/>
      <w:numFmt w:val="bullet"/>
      <w:lvlText w:val=""/>
      <w:lvlJc w:val="left"/>
      <w:pPr>
        <w:tabs>
          <w:tab w:val="num" w:pos="0"/>
        </w:tabs>
        <w:ind w:left="8463" w:hanging="360"/>
      </w:pPr>
      <w:rPr>
        <w:rFonts w:ascii="Wingdings" w:hAnsi="Wingdings" w:cs="Wingdings"/>
      </w:rPr>
    </w:lvl>
    <w:lvl w:ilvl="3">
      <w:start w:val="1"/>
      <w:numFmt w:val="bullet"/>
      <w:lvlText w:val=""/>
      <w:lvlJc w:val="left"/>
      <w:pPr>
        <w:tabs>
          <w:tab w:val="num" w:pos="0"/>
        </w:tabs>
        <w:ind w:left="9183" w:hanging="360"/>
      </w:pPr>
      <w:rPr>
        <w:rFonts w:ascii="Symbol" w:hAnsi="Symbol" w:cs="Symbol"/>
      </w:rPr>
    </w:lvl>
    <w:lvl w:ilvl="4">
      <w:start w:val="1"/>
      <w:numFmt w:val="bullet"/>
      <w:lvlText w:val="o"/>
      <w:lvlJc w:val="left"/>
      <w:pPr>
        <w:tabs>
          <w:tab w:val="num" w:pos="0"/>
        </w:tabs>
        <w:ind w:left="9903" w:hanging="360"/>
      </w:pPr>
      <w:rPr>
        <w:rFonts w:ascii="Courier New" w:hAnsi="Courier New" w:cs="Courier New"/>
      </w:rPr>
    </w:lvl>
    <w:lvl w:ilvl="5">
      <w:start w:val="1"/>
      <w:numFmt w:val="bullet"/>
      <w:lvlText w:val=""/>
      <w:lvlJc w:val="left"/>
      <w:pPr>
        <w:tabs>
          <w:tab w:val="num" w:pos="0"/>
        </w:tabs>
        <w:ind w:left="10623" w:hanging="360"/>
      </w:pPr>
      <w:rPr>
        <w:rFonts w:ascii="Wingdings" w:hAnsi="Wingdings" w:cs="Wingdings"/>
      </w:rPr>
    </w:lvl>
    <w:lvl w:ilvl="6">
      <w:start w:val="1"/>
      <w:numFmt w:val="bullet"/>
      <w:lvlText w:val=""/>
      <w:lvlJc w:val="left"/>
      <w:pPr>
        <w:tabs>
          <w:tab w:val="num" w:pos="0"/>
        </w:tabs>
        <w:ind w:left="11343" w:hanging="360"/>
      </w:pPr>
      <w:rPr>
        <w:rFonts w:ascii="Symbol" w:hAnsi="Symbol" w:cs="Symbol"/>
      </w:rPr>
    </w:lvl>
    <w:lvl w:ilvl="7">
      <w:start w:val="1"/>
      <w:numFmt w:val="bullet"/>
      <w:lvlText w:val="o"/>
      <w:lvlJc w:val="left"/>
      <w:pPr>
        <w:tabs>
          <w:tab w:val="num" w:pos="0"/>
        </w:tabs>
        <w:ind w:left="12063" w:hanging="360"/>
      </w:pPr>
      <w:rPr>
        <w:rFonts w:ascii="Courier New" w:hAnsi="Courier New" w:cs="Courier New"/>
      </w:rPr>
    </w:lvl>
    <w:lvl w:ilvl="8">
      <w:start w:val="1"/>
      <w:numFmt w:val="bullet"/>
      <w:lvlText w:val=""/>
      <w:lvlJc w:val="left"/>
      <w:pPr>
        <w:tabs>
          <w:tab w:val="num" w:pos="0"/>
        </w:tabs>
        <w:ind w:left="12783"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360" w:hanging="360"/>
      </w:pPr>
      <w:rPr>
        <w:rFonts w:ascii="Times New Roman" w:hAnsi="Times New Roman" w:cs="Times New Roman"/>
        <w:b/>
      </w:rPr>
    </w:lvl>
    <w:lvl w:ilvl="2">
      <w:start w:val="1"/>
      <w:numFmt w:val="decimal"/>
      <w:lvlText w:val="%1.%2.%3."/>
      <w:lvlJc w:val="left"/>
      <w:pPr>
        <w:tabs>
          <w:tab w:val="num" w:pos="0"/>
        </w:tabs>
        <w:ind w:left="720" w:hanging="720"/>
      </w:pPr>
      <w:rPr>
        <w:rFonts w:cs="Times New Roman"/>
        <w:b/>
      </w:rPr>
    </w:lvl>
    <w:lvl w:ilvl="3">
      <w:start w:val="1"/>
      <w:numFmt w:val="decimal"/>
      <w:lvlText w:val="%1.%2.%3.%4."/>
      <w:lvlJc w:val="left"/>
      <w:pPr>
        <w:tabs>
          <w:tab w:val="num" w:pos="0"/>
        </w:tabs>
        <w:ind w:left="720" w:hanging="720"/>
      </w:pPr>
      <w:rPr>
        <w:rFonts w:cs="Times New Roman"/>
        <w:b/>
      </w:rPr>
    </w:lvl>
    <w:lvl w:ilvl="4">
      <w:start w:val="1"/>
      <w:numFmt w:val="decimal"/>
      <w:lvlText w:val="%1.%2.%3.%4.%5."/>
      <w:lvlJc w:val="left"/>
      <w:pPr>
        <w:tabs>
          <w:tab w:val="num" w:pos="0"/>
        </w:tabs>
        <w:ind w:left="1080" w:hanging="1080"/>
      </w:pPr>
      <w:rPr>
        <w:rFonts w:cs="Times New Roman"/>
        <w:b/>
      </w:rPr>
    </w:lvl>
    <w:lvl w:ilvl="5">
      <w:start w:val="1"/>
      <w:numFmt w:val="decimal"/>
      <w:lvlText w:val="%1.%2.%3.%4.%5.%6."/>
      <w:lvlJc w:val="left"/>
      <w:pPr>
        <w:tabs>
          <w:tab w:val="num" w:pos="0"/>
        </w:tabs>
        <w:ind w:left="1080" w:hanging="1080"/>
      </w:pPr>
      <w:rPr>
        <w:rFonts w:cs="Times New Roman"/>
        <w:b/>
      </w:rPr>
    </w:lvl>
    <w:lvl w:ilvl="6">
      <w:start w:val="1"/>
      <w:numFmt w:val="decimal"/>
      <w:lvlText w:val="%1.%2.%3.%4.%5.%6.%7."/>
      <w:lvlJc w:val="left"/>
      <w:pPr>
        <w:tabs>
          <w:tab w:val="num" w:pos="0"/>
        </w:tabs>
        <w:ind w:left="1440" w:hanging="1440"/>
      </w:pPr>
      <w:rPr>
        <w:rFonts w:cs="Times New Roman"/>
        <w:b/>
      </w:rPr>
    </w:lvl>
    <w:lvl w:ilvl="7">
      <w:start w:val="1"/>
      <w:numFmt w:val="decimal"/>
      <w:lvlText w:val="%1.%2.%3.%4.%5.%6.%7.%8."/>
      <w:lvlJc w:val="left"/>
      <w:pPr>
        <w:tabs>
          <w:tab w:val="num" w:pos="0"/>
        </w:tabs>
        <w:ind w:left="1440" w:hanging="1440"/>
      </w:pPr>
      <w:rPr>
        <w:rFonts w:cs="Times New Roman"/>
        <w:b/>
      </w:rPr>
    </w:lvl>
    <w:lvl w:ilvl="8">
      <w:start w:val="1"/>
      <w:numFmt w:val="decimal"/>
      <w:lvlText w:val="%1.%2.%3.%4.%5.%6.%7.%8.%9."/>
      <w:lvlJc w:val="left"/>
      <w:pPr>
        <w:tabs>
          <w:tab w:val="num" w:pos="0"/>
        </w:tabs>
        <w:ind w:left="1800" w:hanging="1800"/>
      </w:pPr>
      <w:rPr>
        <w:rFonts w:cs="Times New Roman"/>
        <w:b/>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00000007"/>
    <w:multiLevelType w:val="multilevel"/>
    <w:tmpl w:val="00000007"/>
    <w:name w:val="WW8Num7"/>
    <w:lvl w:ilvl="0">
      <w:start w:val="1"/>
      <w:numFmt w:val="decimal"/>
      <w:lvlText w:val="%1."/>
      <w:lvlJc w:val="left"/>
      <w:pPr>
        <w:tabs>
          <w:tab w:val="num" w:pos="397"/>
        </w:tabs>
        <w:ind w:left="754" w:hanging="397"/>
      </w:pPr>
      <w:rPr>
        <w:rFonts w:ascii="Times New Roman" w:hAnsi="Times New Roman" w:cs="Times New Roman"/>
        <w:b w:val="0"/>
        <w:bCs w:val="0"/>
        <w:sz w:val="20"/>
        <w:szCs w:val="20"/>
        <w:highlight w:val="yellow"/>
        <w:lang w:val="en-US"/>
      </w:r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7DE7E84"/>
    <w:multiLevelType w:val="hybridMultilevel"/>
    <w:tmpl w:val="752E041C"/>
    <w:lvl w:ilvl="0" w:tplc="BEA8B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8AC4F28"/>
    <w:multiLevelType w:val="hybridMultilevel"/>
    <w:tmpl w:val="A31C14D2"/>
    <w:lvl w:ilvl="0" w:tplc="10E2EBF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EE50CBA"/>
    <w:multiLevelType w:val="hybridMultilevel"/>
    <w:tmpl w:val="4604906C"/>
    <w:lvl w:ilvl="0" w:tplc="672EB850">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DDA745A"/>
    <w:multiLevelType w:val="hybridMultilevel"/>
    <w:tmpl w:val="7952BA9A"/>
    <w:lvl w:ilvl="0" w:tplc="B8622E38">
      <w:numFmt w:val="bullet"/>
      <w:lvlText w:val=""/>
      <w:lvlJc w:val="left"/>
      <w:pPr>
        <w:ind w:left="927" w:hanging="360"/>
      </w:pPr>
      <w:rPr>
        <w:rFonts w:ascii="Symbol" w:eastAsia="NSimSu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636D2A65"/>
    <w:multiLevelType w:val="multilevel"/>
    <w:tmpl w:val="49AA809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72C71A0E"/>
    <w:multiLevelType w:val="hybridMultilevel"/>
    <w:tmpl w:val="82DC9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CA5886"/>
    <w:multiLevelType w:val="multilevel"/>
    <w:tmpl w:val="9A00921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7C6A3111"/>
    <w:multiLevelType w:val="hybridMultilevel"/>
    <w:tmpl w:val="0A2CA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1"/>
  </w:num>
  <w:num w:numId="10">
    <w:abstractNumId w:val="15"/>
  </w:num>
  <w:num w:numId="11">
    <w:abstractNumId w:val="12"/>
  </w:num>
  <w:num w:numId="12">
    <w:abstractNumId w:val="14"/>
  </w:num>
  <w:num w:numId="13">
    <w:abstractNumId w:val="9"/>
  </w:num>
  <w:num w:numId="14">
    <w:abstractNumId w:val="10"/>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DF7"/>
    <w:rsid w:val="00001384"/>
    <w:rsid w:val="0000237F"/>
    <w:rsid w:val="000035FF"/>
    <w:rsid w:val="00003755"/>
    <w:rsid w:val="00010DC8"/>
    <w:rsid w:val="00011840"/>
    <w:rsid w:val="00017424"/>
    <w:rsid w:val="000235E1"/>
    <w:rsid w:val="000277EF"/>
    <w:rsid w:val="00034698"/>
    <w:rsid w:val="00037501"/>
    <w:rsid w:val="000507E2"/>
    <w:rsid w:val="0006248F"/>
    <w:rsid w:val="000633A5"/>
    <w:rsid w:val="00075143"/>
    <w:rsid w:val="00084AF7"/>
    <w:rsid w:val="00086D3A"/>
    <w:rsid w:val="00096D0B"/>
    <w:rsid w:val="000A1EDC"/>
    <w:rsid w:val="000A6504"/>
    <w:rsid w:val="000A7807"/>
    <w:rsid w:val="000B0D4E"/>
    <w:rsid w:val="000B2B8A"/>
    <w:rsid w:val="000B2BF7"/>
    <w:rsid w:val="000B6BAC"/>
    <w:rsid w:val="000B7FE3"/>
    <w:rsid w:val="000C032C"/>
    <w:rsid w:val="000C171D"/>
    <w:rsid w:val="000C3CAC"/>
    <w:rsid w:val="000C5B91"/>
    <w:rsid w:val="000C697F"/>
    <w:rsid w:val="000C76C9"/>
    <w:rsid w:val="000D3551"/>
    <w:rsid w:val="000D67C7"/>
    <w:rsid w:val="000D72DC"/>
    <w:rsid w:val="000E01ED"/>
    <w:rsid w:val="000E01FB"/>
    <w:rsid w:val="000E02C1"/>
    <w:rsid w:val="000E6880"/>
    <w:rsid w:val="000F1975"/>
    <w:rsid w:val="000F2339"/>
    <w:rsid w:val="000F2579"/>
    <w:rsid w:val="000F4AF3"/>
    <w:rsid w:val="001002EB"/>
    <w:rsid w:val="0010514F"/>
    <w:rsid w:val="00106C03"/>
    <w:rsid w:val="001077A2"/>
    <w:rsid w:val="0011078B"/>
    <w:rsid w:val="00116D5B"/>
    <w:rsid w:val="00117059"/>
    <w:rsid w:val="00117F4A"/>
    <w:rsid w:val="0012060C"/>
    <w:rsid w:val="00120907"/>
    <w:rsid w:val="00127893"/>
    <w:rsid w:val="0013131A"/>
    <w:rsid w:val="001365A4"/>
    <w:rsid w:val="00137211"/>
    <w:rsid w:val="0014171D"/>
    <w:rsid w:val="00143F82"/>
    <w:rsid w:val="00145C24"/>
    <w:rsid w:val="00151577"/>
    <w:rsid w:val="00152C34"/>
    <w:rsid w:val="00154F92"/>
    <w:rsid w:val="00157148"/>
    <w:rsid w:val="00165FFE"/>
    <w:rsid w:val="00166439"/>
    <w:rsid w:val="00171160"/>
    <w:rsid w:val="001720A0"/>
    <w:rsid w:val="00172348"/>
    <w:rsid w:val="0017426D"/>
    <w:rsid w:val="001747BE"/>
    <w:rsid w:val="001807AC"/>
    <w:rsid w:val="0018192E"/>
    <w:rsid w:val="001843D5"/>
    <w:rsid w:val="00194AF2"/>
    <w:rsid w:val="00194C3B"/>
    <w:rsid w:val="001956A8"/>
    <w:rsid w:val="00195DB9"/>
    <w:rsid w:val="001A2421"/>
    <w:rsid w:val="001A4BA6"/>
    <w:rsid w:val="001A53E6"/>
    <w:rsid w:val="001A612F"/>
    <w:rsid w:val="001A7EAB"/>
    <w:rsid w:val="001B1018"/>
    <w:rsid w:val="001B35A0"/>
    <w:rsid w:val="001B57CC"/>
    <w:rsid w:val="001B6202"/>
    <w:rsid w:val="001C0BA4"/>
    <w:rsid w:val="001C17FB"/>
    <w:rsid w:val="001C1DA3"/>
    <w:rsid w:val="001C1FDD"/>
    <w:rsid w:val="001C641E"/>
    <w:rsid w:val="001D1793"/>
    <w:rsid w:val="001D40BA"/>
    <w:rsid w:val="001D7D6D"/>
    <w:rsid w:val="001E2433"/>
    <w:rsid w:val="001F1001"/>
    <w:rsid w:val="001F735C"/>
    <w:rsid w:val="001F74C3"/>
    <w:rsid w:val="00201436"/>
    <w:rsid w:val="002016D2"/>
    <w:rsid w:val="00201C3B"/>
    <w:rsid w:val="00206E1D"/>
    <w:rsid w:val="0021008F"/>
    <w:rsid w:val="00210907"/>
    <w:rsid w:val="0021133B"/>
    <w:rsid w:val="0021261D"/>
    <w:rsid w:val="00212BE8"/>
    <w:rsid w:val="00213371"/>
    <w:rsid w:val="00213E34"/>
    <w:rsid w:val="00214D19"/>
    <w:rsid w:val="00217F03"/>
    <w:rsid w:val="00224759"/>
    <w:rsid w:val="00225A60"/>
    <w:rsid w:val="00227A16"/>
    <w:rsid w:val="00227EF3"/>
    <w:rsid w:val="00230F4B"/>
    <w:rsid w:val="00232818"/>
    <w:rsid w:val="0024062A"/>
    <w:rsid w:val="002412D5"/>
    <w:rsid w:val="0024270B"/>
    <w:rsid w:val="00247196"/>
    <w:rsid w:val="00252217"/>
    <w:rsid w:val="00256E71"/>
    <w:rsid w:val="00260149"/>
    <w:rsid w:val="00265EB1"/>
    <w:rsid w:val="0026685A"/>
    <w:rsid w:val="00271974"/>
    <w:rsid w:val="00273A9B"/>
    <w:rsid w:val="00273E6C"/>
    <w:rsid w:val="00274143"/>
    <w:rsid w:val="002761FF"/>
    <w:rsid w:val="002803BE"/>
    <w:rsid w:val="00280865"/>
    <w:rsid w:val="00285D61"/>
    <w:rsid w:val="002866E7"/>
    <w:rsid w:val="0028779E"/>
    <w:rsid w:val="002A1D80"/>
    <w:rsid w:val="002A22BB"/>
    <w:rsid w:val="002A291E"/>
    <w:rsid w:val="002A2BC5"/>
    <w:rsid w:val="002A768B"/>
    <w:rsid w:val="002B0674"/>
    <w:rsid w:val="002B1FEA"/>
    <w:rsid w:val="002B6904"/>
    <w:rsid w:val="002C1010"/>
    <w:rsid w:val="002C15AE"/>
    <w:rsid w:val="002C168C"/>
    <w:rsid w:val="002C243C"/>
    <w:rsid w:val="002C291A"/>
    <w:rsid w:val="002C3DDB"/>
    <w:rsid w:val="002C6D82"/>
    <w:rsid w:val="002D07BB"/>
    <w:rsid w:val="002D32A7"/>
    <w:rsid w:val="002D3654"/>
    <w:rsid w:val="002D5AF8"/>
    <w:rsid w:val="002D7F98"/>
    <w:rsid w:val="002E0206"/>
    <w:rsid w:val="002E0486"/>
    <w:rsid w:val="002E147B"/>
    <w:rsid w:val="002E218D"/>
    <w:rsid w:val="002E29D2"/>
    <w:rsid w:val="002E6484"/>
    <w:rsid w:val="002E7E22"/>
    <w:rsid w:val="002F069B"/>
    <w:rsid w:val="002F3641"/>
    <w:rsid w:val="002F67BC"/>
    <w:rsid w:val="002F6CAF"/>
    <w:rsid w:val="002F7DCD"/>
    <w:rsid w:val="00301963"/>
    <w:rsid w:val="00301D70"/>
    <w:rsid w:val="00301F11"/>
    <w:rsid w:val="003106D7"/>
    <w:rsid w:val="003118B9"/>
    <w:rsid w:val="00313758"/>
    <w:rsid w:val="00314538"/>
    <w:rsid w:val="00316452"/>
    <w:rsid w:val="00322202"/>
    <w:rsid w:val="00323D5F"/>
    <w:rsid w:val="00325153"/>
    <w:rsid w:val="00325D10"/>
    <w:rsid w:val="003263AB"/>
    <w:rsid w:val="003404BF"/>
    <w:rsid w:val="003448D3"/>
    <w:rsid w:val="00346A34"/>
    <w:rsid w:val="00346B66"/>
    <w:rsid w:val="0034716B"/>
    <w:rsid w:val="0035100D"/>
    <w:rsid w:val="0035441B"/>
    <w:rsid w:val="003561CE"/>
    <w:rsid w:val="00357E29"/>
    <w:rsid w:val="00360BEB"/>
    <w:rsid w:val="00361556"/>
    <w:rsid w:val="00361A21"/>
    <w:rsid w:val="00361B86"/>
    <w:rsid w:val="00362EFF"/>
    <w:rsid w:val="003667F9"/>
    <w:rsid w:val="00366B8E"/>
    <w:rsid w:val="00367C63"/>
    <w:rsid w:val="003711DC"/>
    <w:rsid w:val="00372D9E"/>
    <w:rsid w:val="00373965"/>
    <w:rsid w:val="003761A1"/>
    <w:rsid w:val="00382303"/>
    <w:rsid w:val="00386373"/>
    <w:rsid w:val="0039015D"/>
    <w:rsid w:val="00391416"/>
    <w:rsid w:val="003A008F"/>
    <w:rsid w:val="003A021D"/>
    <w:rsid w:val="003A0528"/>
    <w:rsid w:val="003A12D3"/>
    <w:rsid w:val="003A23C4"/>
    <w:rsid w:val="003A3505"/>
    <w:rsid w:val="003A7D78"/>
    <w:rsid w:val="003B2BA3"/>
    <w:rsid w:val="003B36BB"/>
    <w:rsid w:val="003C077D"/>
    <w:rsid w:val="003C214E"/>
    <w:rsid w:val="003C5F68"/>
    <w:rsid w:val="003C6DA5"/>
    <w:rsid w:val="003C79D8"/>
    <w:rsid w:val="003D15C1"/>
    <w:rsid w:val="003D225F"/>
    <w:rsid w:val="003D5680"/>
    <w:rsid w:val="003D7851"/>
    <w:rsid w:val="003E17DF"/>
    <w:rsid w:val="003E3EB3"/>
    <w:rsid w:val="003E45F5"/>
    <w:rsid w:val="003E691A"/>
    <w:rsid w:val="003E6DE2"/>
    <w:rsid w:val="003E7AE4"/>
    <w:rsid w:val="003F2454"/>
    <w:rsid w:val="003F387E"/>
    <w:rsid w:val="00400F75"/>
    <w:rsid w:val="00403CE3"/>
    <w:rsid w:val="00403FE1"/>
    <w:rsid w:val="004044BB"/>
    <w:rsid w:val="00406B1D"/>
    <w:rsid w:val="00411CDA"/>
    <w:rsid w:val="00413CF6"/>
    <w:rsid w:val="00421F9C"/>
    <w:rsid w:val="00423D1A"/>
    <w:rsid w:val="00426D6B"/>
    <w:rsid w:val="004279E9"/>
    <w:rsid w:val="00433D77"/>
    <w:rsid w:val="00437226"/>
    <w:rsid w:val="004376D8"/>
    <w:rsid w:val="00437EA6"/>
    <w:rsid w:val="00440BD2"/>
    <w:rsid w:val="004423BB"/>
    <w:rsid w:val="00442D9D"/>
    <w:rsid w:val="00452025"/>
    <w:rsid w:val="00454424"/>
    <w:rsid w:val="004602BC"/>
    <w:rsid w:val="0046515B"/>
    <w:rsid w:val="004654F7"/>
    <w:rsid w:val="004733DF"/>
    <w:rsid w:val="0047490D"/>
    <w:rsid w:val="00475EC5"/>
    <w:rsid w:val="004767BB"/>
    <w:rsid w:val="004768E5"/>
    <w:rsid w:val="00476BF6"/>
    <w:rsid w:val="00484B43"/>
    <w:rsid w:val="00487412"/>
    <w:rsid w:val="00491FC9"/>
    <w:rsid w:val="004930E8"/>
    <w:rsid w:val="0049541E"/>
    <w:rsid w:val="004A055D"/>
    <w:rsid w:val="004A59D5"/>
    <w:rsid w:val="004A70C5"/>
    <w:rsid w:val="004B1ADF"/>
    <w:rsid w:val="004B486A"/>
    <w:rsid w:val="004B5746"/>
    <w:rsid w:val="004B5EAD"/>
    <w:rsid w:val="004B6636"/>
    <w:rsid w:val="004C022E"/>
    <w:rsid w:val="004C3A0F"/>
    <w:rsid w:val="004C6479"/>
    <w:rsid w:val="004C6B4E"/>
    <w:rsid w:val="004C7209"/>
    <w:rsid w:val="004C771C"/>
    <w:rsid w:val="004C7D18"/>
    <w:rsid w:val="004C7E65"/>
    <w:rsid w:val="004D2036"/>
    <w:rsid w:val="004D481D"/>
    <w:rsid w:val="004D50BF"/>
    <w:rsid w:val="004D5A5E"/>
    <w:rsid w:val="004E18FE"/>
    <w:rsid w:val="004E31D4"/>
    <w:rsid w:val="004E5249"/>
    <w:rsid w:val="004E5EE8"/>
    <w:rsid w:val="004E73D6"/>
    <w:rsid w:val="004F1031"/>
    <w:rsid w:val="004F1678"/>
    <w:rsid w:val="004F76DB"/>
    <w:rsid w:val="004F7E63"/>
    <w:rsid w:val="00511979"/>
    <w:rsid w:val="0051492A"/>
    <w:rsid w:val="00521D74"/>
    <w:rsid w:val="00526757"/>
    <w:rsid w:val="005278B0"/>
    <w:rsid w:val="00533D3B"/>
    <w:rsid w:val="00534484"/>
    <w:rsid w:val="00535DA4"/>
    <w:rsid w:val="00543430"/>
    <w:rsid w:val="00551F63"/>
    <w:rsid w:val="005534F9"/>
    <w:rsid w:val="005573FA"/>
    <w:rsid w:val="005603BE"/>
    <w:rsid w:val="00561A37"/>
    <w:rsid w:val="00562AE5"/>
    <w:rsid w:val="00570E76"/>
    <w:rsid w:val="00571054"/>
    <w:rsid w:val="005722A6"/>
    <w:rsid w:val="0057349A"/>
    <w:rsid w:val="00575864"/>
    <w:rsid w:val="005816A5"/>
    <w:rsid w:val="005846C7"/>
    <w:rsid w:val="00587A1B"/>
    <w:rsid w:val="00594F8B"/>
    <w:rsid w:val="00595C1A"/>
    <w:rsid w:val="00595D58"/>
    <w:rsid w:val="00596EEF"/>
    <w:rsid w:val="00597FA5"/>
    <w:rsid w:val="005A1D01"/>
    <w:rsid w:val="005A2F63"/>
    <w:rsid w:val="005A4759"/>
    <w:rsid w:val="005B35D4"/>
    <w:rsid w:val="005B5FA3"/>
    <w:rsid w:val="005C2107"/>
    <w:rsid w:val="005C2F1B"/>
    <w:rsid w:val="005C546B"/>
    <w:rsid w:val="005C55B4"/>
    <w:rsid w:val="005C5B27"/>
    <w:rsid w:val="005C5C5D"/>
    <w:rsid w:val="005D107E"/>
    <w:rsid w:val="005D7C31"/>
    <w:rsid w:val="005E0F7B"/>
    <w:rsid w:val="005E25C9"/>
    <w:rsid w:val="005E2E4E"/>
    <w:rsid w:val="005E5434"/>
    <w:rsid w:val="005E5BBA"/>
    <w:rsid w:val="005E73C8"/>
    <w:rsid w:val="005E7E83"/>
    <w:rsid w:val="005F0305"/>
    <w:rsid w:val="005F06A6"/>
    <w:rsid w:val="005F0B8A"/>
    <w:rsid w:val="005F1741"/>
    <w:rsid w:val="005F17A9"/>
    <w:rsid w:val="005F2A73"/>
    <w:rsid w:val="005F3722"/>
    <w:rsid w:val="005F6A5E"/>
    <w:rsid w:val="00600C1A"/>
    <w:rsid w:val="006019B2"/>
    <w:rsid w:val="006022E1"/>
    <w:rsid w:val="00603AFA"/>
    <w:rsid w:val="006050D6"/>
    <w:rsid w:val="0060574A"/>
    <w:rsid w:val="00606204"/>
    <w:rsid w:val="006063CC"/>
    <w:rsid w:val="00617494"/>
    <w:rsid w:val="00617E13"/>
    <w:rsid w:val="006214FC"/>
    <w:rsid w:val="00625A53"/>
    <w:rsid w:val="00630C6B"/>
    <w:rsid w:val="0063670F"/>
    <w:rsid w:val="006431A7"/>
    <w:rsid w:val="00645E86"/>
    <w:rsid w:val="0065092F"/>
    <w:rsid w:val="0065400E"/>
    <w:rsid w:val="00654CDE"/>
    <w:rsid w:val="00655ED1"/>
    <w:rsid w:val="00656AC1"/>
    <w:rsid w:val="00656FD7"/>
    <w:rsid w:val="006639EE"/>
    <w:rsid w:val="00666008"/>
    <w:rsid w:val="00666720"/>
    <w:rsid w:val="006669B6"/>
    <w:rsid w:val="00673909"/>
    <w:rsid w:val="00675771"/>
    <w:rsid w:val="00675B39"/>
    <w:rsid w:val="00680ADB"/>
    <w:rsid w:val="0068764F"/>
    <w:rsid w:val="00691A12"/>
    <w:rsid w:val="006949D1"/>
    <w:rsid w:val="0069697E"/>
    <w:rsid w:val="00696F78"/>
    <w:rsid w:val="006A0DA7"/>
    <w:rsid w:val="006A1316"/>
    <w:rsid w:val="006A265B"/>
    <w:rsid w:val="006A3539"/>
    <w:rsid w:val="006A464A"/>
    <w:rsid w:val="006A51D7"/>
    <w:rsid w:val="006A583E"/>
    <w:rsid w:val="006A5A92"/>
    <w:rsid w:val="006A7F28"/>
    <w:rsid w:val="006B15B5"/>
    <w:rsid w:val="006B2E7D"/>
    <w:rsid w:val="006B37E2"/>
    <w:rsid w:val="006B548B"/>
    <w:rsid w:val="006B5694"/>
    <w:rsid w:val="006C1B98"/>
    <w:rsid w:val="006C2FC2"/>
    <w:rsid w:val="006C4276"/>
    <w:rsid w:val="006C667B"/>
    <w:rsid w:val="006C6EFF"/>
    <w:rsid w:val="006D21AD"/>
    <w:rsid w:val="006D3947"/>
    <w:rsid w:val="006E128D"/>
    <w:rsid w:val="006E5C15"/>
    <w:rsid w:val="006E6413"/>
    <w:rsid w:val="006E7BF0"/>
    <w:rsid w:val="006E7BF8"/>
    <w:rsid w:val="006F3880"/>
    <w:rsid w:val="006F46EB"/>
    <w:rsid w:val="006F4C9E"/>
    <w:rsid w:val="007026D1"/>
    <w:rsid w:val="0070388E"/>
    <w:rsid w:val="00704013"/>
    <w:rsid w:val="007042B5"/>
    <w:rsid w:val="00710DB1"/>
    <w:rsid w:val="0071189A"/>
    <w:rsid w:val="00712D2B"/>
    <w:rsid w:val="007143A7"/>
    <w:rsid w:val="00716C3F"/>
    <w:rsid w:val="00716E32"/>
    <w:rsid w:val="007244BE"/>
    <w:rsid w:val="00724D4F"/>
    <w:rsid w:val="00726828"/>
    <w:rsid w:val="007272FB"/>
    <w:rsid w:val="00736901"/>
    <w:rsid w:val="00737C7C"/>
    <w:rsid w:val="00737D19"/>
    <w:rsid w:val="00743245"/>
    <w:rsid w:val="00744283"/>
    <w:rsid w:val="0074522D"/>
    <w:rsid w:val="0074723E"/>
    <w:rsid w:val="0075158B"/>
    <w:rsid w:val="007520AD"/>
    <w:rsid w:val="00752D60"/>
    <w:rsid w:val="00761980"/>
    <w:rsid w:val="00761E34"/>
    <w:rsid w:val="00762941"/>
    <w:rsid w:val="007631B2"/>
    <w:rsid w:val="007649D6"/>
    <w:rsid w:val="0076569D"/>
    <w:rsid w:val="00765D78"/>
    <w:rsid w:val="00766D8F"/>
    <w:rsid w:val="00781A80"/>
    <w:rsid w:val="00783367"/>
    <w:rsid w:val="00783377"/>
    <w:rsid w:val="0078337A"/>
    <w:rsid w:val="007866BB"/>
    <w:rsid w:val="00787B5D"/>
    <w:rsid w:val="007934E2"/>
    <w:rsid w:val="00794A78"/>
    <w:rsid w:val="007963DC"/>
    <w:rsid w:val="00796F5B"/>
    <w:rsid w:val="00797A05"/>
    <w:rsid w:val="007A554D"/>
    <w:rsid w:val="007A73B5"/>
    <w:rsid w:val="007B20C9"/>
    <w:rsid w:val="007B43F2"/>
    <w:rsid w:val="007B51FC"/>
    <w:rsid w:val="007C0106"/>
    <w:rsid w:val="007C206C"/>
    <w:rsid w:val="007C3BA6"/>
    <w:rsid w:val="007C4BA0"/>
    <w:rsid w:val="007C518B"/>
    <w:rsid w:val="007C6BC1"/>
    <w:rsid w:val="007D1FC3"/>
    <w:rsid w:val="007D670C"/>
    <w:rsid w:val="007E3387"/>
    <w:rsid w:val="007E3D04"/>
    <w:rsid w:val="007E5804"/>
    <w:rsid w:val="007E5921"/>
    <w:rsid w:val="007E59C3"/>
    <w:rsid w:val="007F5DEB"/>
    <w:rsid w:val="007F6437"/>
    <w:rsid w:val="007F7FD3"/>
    <w:rsid w:val="0080027D"/>
    <w:rsid w:val="0081159E"/>
    <w:rsid w:val="00813801"/>
    <w:rsid w:val="00813D7E"/>
    <w:rsid w:val="00814F15"/>
    <w:rsid w:val="00817CAC"/>
    <w:rsid w:val="0082293D"/>
    <w:rsid w:val="0082394B"/>
    <w:rsid w:val="00826555"/>
    <w:rsid w:val="008279D8"/>
    <w:rsid w:val="00836E25"/>
    <w:rsid w:val="008448D8"/>
    <w:rsid w:val="00852325"/>
    <w:rsid w:val="00855CDF"/>
    <w:rsid w:val="00860E58"/>
    <w:rsid w:val="00870A0E"/>
    <w:rsid w:val="008727D9"/>
    <w:rsid w:val="008748FB"/>
    <w:rsid w:val="00874DD1"/>
    <w:rsid w:val="0087560F"/>
    <w:rsid w:val="008823D2"/>
    <w:rsid w:val="00882834"/>
    <w:rsid w:val="00885EC2"/>
    <w:rsid w:val="008874FE"/>
    <w:rsid w:val="008912C4"/>
    <w:rsid w:val="008947F3"/>
    <w:rsid w:val="008948FC"/>
    <w:rsid w:val="0089593A"/>
    <w:rsid w:val="00896E59"/>
    <w:rsid w:val="00897A23"/>
    <w:rsid w:val="008A1D24"/>
    <w:rsid w:val="008A48E4"/>
    <w:rsid w:val="008A570C"/>
    <w:rsid w:val="008B02C7"/>
    <w:rsid w:val="008B0A1E"/>
    <w:rsid w:val="008B1FDA"/>
    <w:rsid w:val="008B2DD9"/>
    <w:rsid w:val="008B3ADF"/>
    <w:rsid w:val="008B530B"/>
    <w:rsid w:val="008B623D"/>
    <w:rsid w:val="008C0CA5"/>
    <w:rsid w:val="008C6C3D"/>
    <w:rsid w:val="008D5E8B"/>
    <w:rsid w:val="008D7572"/>
    <w:rsid w:val="008E01F1"/>
    <w:rsid w:val="008E0AB1"/>
    <w:rsid w:val="008E35A9"/>
    <w:rsid w:val="008E39CA"/>
    <w:rsid w:val="008E639C"/>
    <w:rsid w:val="008F04D9"/>
    <w:rsid w:val="008F4366"/>
    <w:rsid w:val="008F4457"/>
    <w:rsid w:val="008F55B2"/>
    <w:rsid w:val="008F5AED"/>
    <w:rsid w:val="00903E57"/>
    <w:rsid w:val="00920CF7"/>
    <w:rsid w:val="00921F54"/>
    <w:rsid w:val="00923645"/>
    <w:rsid w:val="00924144"/>
    <w:rsid w:val="009245B5"/>
    <w:rsid w:val="00925926"/>
    <w:rsid w:val="00926DA3"/>
    <w:rsid w:val="0093639C"/>
    <w:rsid w:val="00936FDF"/>
    <w:rsid w:val="00937C32"/>
    <w:rsid w:val="0094262F"/>
    <w:rsid w:val="00943653"/>
    <w:rsid w:val="00945093"/>
    <w:rsid w:val="009462F6"/>
    <w:rsid w:val="00947F34"/>
    <w:rsid w:val="00951A1D"/>
    <w:rsid w:val="00952F90"/>
    <w:rsid w:val="00954285"/>
    <w:rsid w:val="00957363"/>
    <w:rsid w:val="00961E42"/>
    <w:rsid w:val="00961FDA"/>
    <w:rsid w:val="00963881"/>
    <w:rsid w:val="00965C22"/>
    <w:rsid w:val="009669E0"/>
    <w:rsid w:val="00967D9E"/>
    <w:rsid w:val="009704F6"/>
    <w:rsid w:val="009706D9"/>
    <w:rsid w:val="00972CB4"/>
    <w:rsid w:val="00976303"/>
    <w:rsid w:val="00976365"/>
    <w:rsid w:val="00980640"/>
    <w:rsid w:val="00981740"/>
    <w:rsid w:val="0098448B"/>
    <w:rsid w:val="0098556B"/>
    <w:rsid w:val="00987CC6"/>
    <w:rsid w:val="00995BD5"/>
    <w:rsid w:val="00995E37"/>
    <w:rsid w:val="00996A74"/>
    <w:rsid w:val="00997972"/>
    <w:rsid w:val="00997F52"/>
    <w:rsid w:val="009A6B81"/>
    <w:rsid w:val="009B1648"/>
    <w:rsid w:val="009B1F0F"/>
    <w:rsid w:val="009C440A"/>
    <w:rsid w:val="009C58C4"/>
    <w:rsid w:val="009C6503"/>
    <w:rsid w:val="009C6987"/>
    <w:rsid w:val="009C709D"/>
    <w:rsid w:val="009C7F04"/>
    <w:rsid w:val="009C7F4F"/>
    <w:rsid w:val="009D0AEB"/>
    <w:rsid w:val="009D15F8"/>
    <w:rsid w:val="009D1C4A"/>
    <w:rsid w:val="009D27EA"/>
    <w:rsid w:val="009D282D"/>
    <w:rsid w:val="009D2C1A"/>
    <w:rsid w:val="009D332B"/>
    <w:rsid w:val="009D76A3"/>
    <w:rsid w:val="009E02C1"/>
    <w:rsid w:val="009E67F9"/>
    <w:rsid w:val="009E7880"/>
    <w:rsid w:val="009F3A86"/>
    <w:rsid w:val="009F5CA1"/>
    <w:rsid w:val="009F6771"/>
    <w:rsid w:val="00A06CC2"/>
    <w:rsid w:val="00A10275"/>
    <w:rsid w:val="00A11C92"/>
    <w:rsid w:val="00A125EE"/>
    <w:rsid w:val="00A12740"/>
    <w:rsid w:val="00A14DD4"/>
    <w:rsid w:val="00A2785F"/>
    <w:rsid w:val="00A31316"/>
    <w:rsid w:val="00A3210E"/>
    <w:rsid w:val="00A33A12"/>
    <w:rsid w:val="00A3526A"/>
    <w:rsid w:val="00A36FBB"/>
    <w:rsid w:val="00A37F8A"/>
    <w:rsid w:val="00A426F0"/>
    <w:rsid w:val="00A465FA"/>
    <w:rsid w:val="00A56BC7"/>
    <w:rsid w:val="00A5763E"/>
    <w:rsid w:val="00A60FEE"/>
    <w:rsid w:val="00A6172F"/>
    <w:rsid w:val="00A64318"/>
    <w:rsid w:val="00A649E3"/>
    <w:rsid w:val="00A65344"/>
    <w:rsid w:val="00A67EC0"/>
    <w:rsid w:val="00A70DCA"/>
    <w:rsid w:val="00A71F5C"/>
    <w:rsid w:val="00A72675"/>
    <w:rsid w:val="00A830B7"/>
    <w:rsid w:val="00A916EC"/>
    <w:rsid w:val="00A950A7"/>
    <w:rsid w:val="00A965AE"/>
    <w:rsid w:val="00A966C5"/>
    <w:rsid w:val="00A97B39"/>
    <w:rsid w:val="00AA0B2E"/>
    <w:rsid w:val="00AA7069"/>
    <w:rsid w:val="00AB5AB9"/>
    <w:rsid w:val="00AB78D4"/>
    <w:rsid w:val="00AB7EC5"/>
    <w:rsid w:val="00AC18E0"/>
    <w:rsid w:val="00AC1D5B"/>
    <w:rsid w:val="00AC39BD"/>
    <w:rsid w:val="00AC44AB"/>
    <w:rsid w:val="00AC7793"/>
    <w:rsid w:val="00AD032C"/>
    <w:rsid w:val="00AD12D0"/>
    <w:rsid w:val="00AD599E"/>
    <w:rsid w:val="00AD5ED1"/>
    <w:rsid w:val="00AE07C9"/>
    <w:rsid w:val="00AE0819"/>
    <w:rsid w:val="00AE0F53"/>
    <w:rsid w:val="00AE42B4"/>
    <w:rsid w:val="00AE49D5"/>
    <w:rsid w:val="00AE7F0D"/>
    <w:rsid w:val="00AF1C11"/>
    <w:rsid w:val="00AF6C0D"/>
    <w:rsid w:val="00AF716E"/>
    <w:rsid w:val="00B017F4"/>
    <w:rsid w:val="00B04065"/>
    <w:rsid w:val="00B10444"/>
    <w:rsid w:val="00B10473"/>
    <w:rsid w:val="00B11341"/>
    <w:rsid w:val="00B14A39"/>
    <w:rsid w:val="00B14B73"/>
    <w:rsid w:val="00B15D75"/>
    <w:rsid w:val="00B24BF8"/>
    <w:rsid w:val="00B30FDA"/>
    <w:rsid w:val="00B32C03"/>
    <w:rsid w:val="00B336C1"/>
    <w:rsid w:val="00B34CCA"/>
    <w:rsid w:val="00B34EE1"/>
    <w:rsid w:val="00B40D22"/>
    <w:rsid w:val="00B40EBF"/>
    <w:rsid w:val="00B413A8"/>
    <w:rsid w:val="00B42EC5"/>
    <w:rsid w:val="00B46E75"/>
    <w:rsid w:val="00B50550"/>
    <w:rsid w:val="00B50F0F"/>
    <w:rsid w:val="00B5230F"/>
    <w:rsid w:val="00B53610"/>
    <w:rsid w:val="00B54344"/>
    <w:rsid w:val="00B54D98"/>
    <w:rsid w:val="00B643E3"/>
    <w:rsid w:val="00B66A06"/>
    <w:rsid w:val="00B671A0"/>
    <w:rsid w:val="00B8452D"/>
    <w:rsid w:val="00B851F7"/>
    <w:rsid w:val="00B93D32"/>
    <w:rsid w:val="00B94652"/>
    <w:rsid w:val="00B95D44"/>
    <w:rsid w:val="00BA0F59"/>
    <w:rsid w:val="00BA14DA"/>
    <w:rsid w:val="00BA583D"/>
    <w:rsid w:val="00BB1CC5"/>
    <w:rsid w:val="00BB3634"/>
    <w:rsid w:val="00BB4902"/>
    <w:rsid w:val="00BB73C0"/>
    <w:rsid w:val="00BB79C4"/>
    <w:rsid w:val="00BB7A85"/>
    <w:rsid w:val="00BC141A"/>
    <w:rsid w:val="00BC2C62"/>
    <w:rsid w:val="00BC39FB"/>
    <w:rsid w:val="00BC4D4C"/>
    <w:rsid w:val="00BC7318"/>
    <w:rsid w:val="00BD15F9"/>
    <w:rsid w:val="00BD605E"/>
    <w:rsid w:val="00BD6337"/>
    <w:rsid w:val="00BD63F0"/>
    <w:rsid w:val="00BD7896"/>
    <w:rsid w:val="00BE21F8"/>
    <w:rsid w:val="00BE7690"/>
    <w:rsid w:val="00BE7ADA"/>
    <w:rsid w:val="00BE7C59"/>
    <w:rsid w:val="00BE7D38"/>
    <w:rsid w:val="00BF05A7"/>
    <w:rsid w:val="00BF0631"/>
    <w:rsid w:val="00BF11FF"/>
    <w:rsid w:val="00BF29F4"/>
    <w:rsid w:val="00BF41CB"/>
    <w:rsid w:val="00C0158F"/>
    <w:rsid w:val="00C017AA"/>
    <w:rsid w:val="00C01DF0"/>
    <w:rsid w:val="00C02440"/>
    <w:rsid w:val="00C116EE"/>
    <w:rsid w:val="00C31FAD"/>
    <w:rsid w:val="00C33663"/>
    <w:rsid w:val="00C33CC5"/>
    <w:rsid w:val="00C34BCF"/>
    <w:rsid w:val="00C37943"/>
    <w:rsid w:val="00C42C02"/>
    <w:rsid w:val="00C45EC0"/>
    <w:rsid w:val="00C46956"/>
    <w:rsid w:val="00C548D8"/>
    <w:rsid w:val="00C5583C"/>
    <w:rsid w:val="00C558C5"/>
    <w:rsid w:val="00C564D9"/>
    <w:rsid w:val="00C60E37"/>
    <w:rsid w:val="00C6192B"/>
    <w:rsid w:val="00C63FA9"/>
    <w:rsid w:val="00C65402"/>
    <w:rsid w:val="00C661EC"/>
    <w:rsid w:val="00C71003"/>
    <w:rsid w:val="00C71AE9"/>
    <w:rsid w:val="00C752D3"/>
    <w:rsid w:val="00C77535"/>
    <w:rsid w:val="00C8035E"/>
    <w:rsid w:val="00C84A65"/>
    <w:rsid w:val="00C86DCB"/>
    <w:rsid w:val="00C86E2C"/>
    <w:rsid w:val="00C87EDA"/>
    <w:rsid w:val="00C94344"/>
    <w:rsid w:val="00C972B1"/>
    <w:rsid w:val="00CA08E3"/>
    <w:rsid w:val="00CA444A"/>
    <w:rsid w:val="00CA56D4"/>
    <w:rsid w:val="00CA797A"/>
    <w:rsid w:val="00CB13A3"/>
    <w:rsid w:val="00CB2303"/>
    <w:rsid w:val="00CB3ECD"/>
    <w:rsid w:val="00CB5F3B"/>
    <w:rsid w:val="00CB7007"/>
    <w:rsid w:val="00CB7A60"/>
    <w:rsid w:val="00CC5774"/>
    <w:rsid w:val="00CC5935"/>
    <w:rsid w:val="00CC7044"/>
    <w:rsid w:val="00CC7B4F"/>
    <w:rsid w:val="00CD03B1"/>
    <w:rsid w:val="00CD2C85"/>
    <w:rsid w:val="00CE2419"/>
    <w:rsid w:val="00CE64B7"/>
    <w:rsid w:val="00D0169A"/>
    <w:rsid w:val="00D0798A"/>
    <w:rsid w:val="00D112AC"/>
    <w:rsid w:val="00D158BA"/>
    <w:rsid w:val="00D1738F"/>
    <w:rsid w:val="00D17AD1"/>
    <w:rsid w:val="00D22484"/>
    <w:rsid w:val="00D235F9"/>
    <w:rsid w:val="00D25938"/>
    <w:rsid w:val="00D2630D"/>
    <w:rsid w:val="00D270F1"/>
    <w:rsid w:val="00D34E49"/>
    <w:rsid w:val="00D408FC"/>
    <w:rsid w:val="00D414A1"/>
    <w:rsid w:val="00D46861"/>
    <w:rsid w:val="00D47988"/>
    <w:rsid w:val="00D52239"/>
    <w:rsid w:val="00D55344"/>
    <w:rsid w:val="00D6150E"/>
    <w:rsid w:val="00D64F7C"/>
    <w:rsid w:val="00D65A8B"/>
    <w:rsid w:val="00D708A7"/>
    <w:rsid w:val="00D710E4"/>
    <w:rsid w:val="00D73C56"/>
    <w:rsid w:val="00D73FA0"/>
    <w:rsid w:val="00D75635"/>
    <w:rsid w:val="00D80848"/>
    <w:rsid w:val="00D8141E"/>
    <w:rsid w:val="00D83E7F"/>
    <w:rsid w:val="00D907D6"/>
    <w:rsid w:val="00D912D9"/>
    <w:rsid w:val="00D91565"/>
    <w:rsid w:val="00D91DF7"/>
    <w:rsid w:val="00DA1364"/>
    <w:rsid w:val="00DA2F8F"/>
    <w:rsid w:val="00DA6CF4"/>
    <w:rsid w:val="00DA6D21"/>
    <w:rsid w:val="00DB09A2"/>
    <w:rsid w:val="00DB5B67"/>
    <w:rsid w:val="00DB5D2C"/>
    <w:rsid w:val="00DB63C6"/>
    <w:rsid w:val="00DB63E5"/>
    <w:rsid w:val="00DB7BDE"/>
    <w:rsid w:val="00DB7E55"/>
    <w:rsid w:val="00DC1037"/>
    <w:rsid w:val="00DC6308"/>
    <w:rsid w:val="00DD0B62"/>
    <w:rsid w:val="00DD0C77"/>
    <w:rsid w:val="00DD1B97"/>
    <w:rsid w:val="00DD3E17"/>
    <w:rsid w:val="00DD44E5"/>
    <w:rsid w:val="00DD78C6"/>
    <w:rsid w:val="00DE0B52"/>
    <w:rsid w:val="00DE0DAD"/>
    <w:rsid w:val="00DE50B5"/>
    <w:rsid w:val="00DF0BBB"/>
    <w:rsid w:val="00DF1A55"/>
    <w:rsid w:val="00DF2886"/>
    <w:rsid w:val="00DF4C2B"/>
    <w:rsid w:val="00E015E5"/>
    <w:rsid w:val="00E04A73"/>
    <w:rsid w:val="00E149ED"/>
    <w:rsid w:val="00E1583B"/>
    <w:rsid w:val="00E17002"/>
    <w:rsid w:val="00E30C60"/>
    <w:rsid w:val="00E3572F"/>
    <w:rsid w:val="00E37980"/>
    <w:rsid w:val="00E415AA"/>
    <w:rsid w:val="00E45E66"/>
    <w:rsid w:val="00E50E55"/>
    <w:rsid w:val="00E52591"/>
    <w:rsid w:val="00E52D17"/>
    <w:rsid w:val="00E53A31"/>
    <w:rsid w:val="00E55742"/>
    <w:rsid w:val="00E614AD"/>
    <w:rsid w:val="00E623D4"/>
    <w:rsid w:val="00E6382B"/>
    <w:rsid w:val="00E64048"/>
    <w:rsid w:val="00E65772"/>
    <w:rsid w:val="00E65F3F"/>
    <w:rsid w:val="00E718D1"/>
    <w:rsid w:val="00E73430"/>
    <w:rsid w:val="00E8013C"/>
    <w:rsid w:val="00E83B79"/>
    <w:rsid w:val="00E857FA"/>
    <w:rsid w:val="00E86E40"/>
    <w:rsid w:val="00E877EA"/>
    <w:rsid w:val="00E91460"/>
    <w:rsid w:val="00E936B7"/>
    <w:rsid w:val="00E93FE3"/>
    <w:rsid w:val="00E95C2A"/>
    <w:rsid w:val="00EA204D"/>
    <w:rsid w:val="00EA25D3"/>
    <w:rsid w:val="00EA4C23"/>
    <w:rsid w:val="00EA5250"/>
    <w:rsid w:val="00EA7041"/>
    <w:rsid w:val="00EA70EA"/>
    <w:rsid w:val="00EB1120"/>
    <w:rsid w:val="00EB40C4"/>
    <w:rsid w:val="00EB7E3D"/>
    <w:rsid w:val="00EC103E"/>
    <w:rsid w:val="00EC1270"/>
    <w:rsid w:val="00EC1FF0"/>
    <w:rsid w:val="00EC2318"/>
    <w:rsid w:val="00EC75C7"/>
    <w:rsid w:val="00EC7A93"/>
    <w:rsid w:val="00ED4E23"/>
    <w:rsid w:val="00EE09EE"/>
    <w:rsid w:val="00EE1C73"/>
    <w:rsid w:val="00EE3DEF"/>
    <w:rsid w:val="00EE5781"/>
    <w:rsid w:val="00EF1F5D"/>
    <w:rsid w:val="00EF4179"/>
    <w:rsid w:val="00EF5C9C"/>
    <w:rsid w:val="00EF5DB6"/>
    <w:rsid w:val="00EF61F2"/>
    <w:rsid w:val="00F01422"/>
    <w:rsid w:val="00F04171"/>
    <w:rsid w:val="00F0597C"/>
    <w:rsid w:val="00F06EBD"/>
    <w:rsid w:val="00F0736F"/>
    <w:rsid w:val="00F12904"/>
    <w:rsid w:val="00F14606"/>
    <w:rsid w:val="00F160BD"/>
    <w:rsid w:val="00F22AC6"/>
    <w:rsid w:val="00F23BFD"/>
    <w:rsid w:val="00F24A8E"/>
    <w:rsid w:val="00F24F09"/>
    <w:rsid w:val="00F307B9"/>
    <w:rsid w:val="00F311D1"/>
    <w:rsid w:val="00F3157B"/>
    <w:rsid w:val="00F32AD2"/>
    <w:rsid w:val="00F37AE4"/>
    <w:rsid w:val="00F40A72"/>
    <w:rsid w:val="00F435B9"/>
    <w:rsid w:val="00F43A15"/>
    <w:rsid w:val="00F47804"/>
    <w:rsid w:val="00F527E8"/>
    <w:rsid w:val="00F608BF"/>
    <w:rsid w:val="00F62B7E"/>
    <w:rsid w:val="00F634EF"/>
    <w:rsid w:val="00F6387D"/>
    <w:rsid w:val="00F674A4"/>
    <w:rsid w:val="00F678C2"/>
    <w:rsid w:val="00F7196E"/>
    <w:rsid w:val="00F730DE"/>
    <w:rsid w:val="00F732DA"/>
    <w:rsid w:val="00F74D86"/>
    <w:rsid w:val="00F80B90"/>
    <w:rsid w:val="00F8201D"/>
    <w:rsid w:val="00F864ED"/>
    <w:rsid w:val="00F86BDC"/>
    <w:rsid w:val="00F92502"/>
    <w:rsid w:val="00F9342B"/>
    <w:rsid w:val="00F95E76"/>
    <w:rsid w:val="00FA6FBD"/>
    <w:rsid w:val="00FA7297"/>
    <w:rsid w:val="00FC1B93"/>
    <w:rsid w:val="00FC2602"/>
    <w:rsid w:val="00FC2972"/>
    <w:rsid w:val="00FC2FBD"/>
    <w:rsid w:val="00FC3C14"/>
    <w:rsid w:val="00FC4226"/>
    <w:rsid w:val="00FC5967"/>
    <w:rsid w:val="00FC6278"/>
    <w:rsid w:val="00FC676B"/>
    <w:rsid w:val="00FC690A"/>
    <w:rsid w:val="00FC7383"/>
    <w:rsid w:val="00FD1BF2"/>
    <w:rsid w:val="00FD3B26"/>
    <w:rsid w:val="00FD4C7B"/>
    <w:rsid w:val="00FD6555"/>
    <w:rsid w:val="00FE187F"/>
    <w:rsid w:val="00FE1BB5"/>
    <w:rsid w:val="00FF131E"/>
    <w:rsid w:val="00FF1EFC"/>
    <w:rsid w:val="00FF22D0"/>
    <w:rsid w:val="00FF7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6BBE476"/>
  <w15:docId w15:val="{4E42C59F-4385-4672-878A-C183C057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overflowPunct w:val="0"/>
    </w:pPr>
    <w:rPr>
      <w:rFonts w:ascii="Liberation Serif" w:eastAsia="NSimSun" w:hAnsi="Liberation Serif" w:cs="Lucida Sans"/>
      <w:kern w:val="2"/>
      <w:sz w:val="24"/>
      <w:szCs w:val="24"/>
      <w:lang w:eastAsia="zh-CN" w:bidi="hi-IN"/>
    </w:rPr>
  </w:style>
  <w:style w:type="paragraph" w:styleId="1">
    <w:name w:val="heading 1"/>
    <w:basedOn w:val="LTHintergrund"/>
    <w:next w:val="10"/>
    <w:qFormat/>
    <w:pPr>
      <w:outlineLvl w:val="0"/>
    </w:pPr>
    <w:rPr>
      <w:rFonts w:eastAsia="NSimSun" w:cs="Liberation Serif"/>
      <w:b/>
      <w:bCs/>
      <w:sz w:val="48"/>
      <w:szCs w:val="48"/>
    </w:rPr>
  </w:style>
  <w:style w:type="paragraph" w:styleId="2">
    <w:name w:val="heading 2"/>
    <w:basedOn w:val="LTHintergrund"/>
    <w:next w:val="10"/>
    <w:link w:val="20"/>
    <w:qFormat/>
    <w:pPr>
      <w:spacing w:before="200" w:after="120"/>
      <w:outlineLvl w:val="1"/>
    </w:pPr>
    <w:rPr>
      <w:rFonts w:eastAsia="NSimSun" w:cs="Liberation Serif"/>
      <w:b/>
      <w:bCs/>
      <w:sz w:val="36"/>
      <w:szCs w:val="36"/>
    </w:rPr>
  </w:style>
  <w:style w:type="paragraph" w:styleId="3">
    <w:name w:val="heading 3"/>
    <w:basedOn w:val="LTHintergrund"/>
    <w:next w:val="10"/>
    <w:link w:val="30"/>
    <w:qFormat/>
    <w:pPr>
      <w:spacing w:before="140" w:after="120"/>
      <w:outlineLvl w:val="2"/>
    </w:pPr>
    <w:rPr>
      <w:rFonts w:eastAsia="NSimSun" w:cs="Liberation Serif"/>
      <w:b/>
      <w:bCs/>
    </w:rPr>
  </w:style>
  <w:style w:type="paragraph" w:styleId="4">
    <w:name w:val="heading 4"/>
    <w:basedOn w:val="LTHintergrund"/>
    <w:next w:val="10"/>
    <w:link w:val="40"/>
    <w:qFormat/>
    <w:pPr>
      <w:numPr>
        <w:ilvl w:val="3"/>
        <w:numId w:val="1"/>
      </w:numPr>
      <w:spacing w:before="120" w:after="120"/>
      <w:outlineLvl w:val="3"/>
    </w:pPr>
    <w:rPr>
      <w:rFonts w:eastAsia="NSimSun" w:cs="Liberation Serif"/>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cs="Times New Roman"/>
      <w:b/>
    </w:rPr>
  </w:style>
  <w:style w:type="character" w:customStyle="1" w:styleId="WW8Num4z1">
    <w:name w:val="WW8Num4z1"/>
    <w:rPr>
      <w:rFonts w:ascii="Times New Roman" w:hAnsi="Times New Roman" w:cs="Times New Roman"/>
      <w:b/>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 w:val="0"/>
      <w:bCs w:val="0"/>
      <w:sz w:val="20"/>
      <w:szCs w:val="20"/>
      <w:highlight w:val="yellow"/>
      <w:lang w:val="en-U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2">
    <w:name w:val="WW8Num5z2"/>
    <w:rPr>
      <w:rFonts w:ascii="Wingdings" w:hAnsi="Wingdings" w:cs="Wingdings"/>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11">
    <w:name w:val="Основной шрифт абзаца1"/>
  </w:style>
  <w:style w:type="character" w:customStyle="1" w:styleId="a3">
    <w:name w:val="Символ сноски"/>
  </w:style>
  <w:style w:type="character" w:styleId="a4">
    <w:name w:val="footnote reference"/>
    <w:rPr>
      <w:vertAlign w:val="superscript"/>
    </w:rPr>
  </w:style>
  <w:style w:type="character" w:customStyle="1" w:styleId="FootnoteCharacters">
    <w:name w:val="Footnote Characters"/>
    <w:rPr>
      <w:vertAlign w:val="superscript"/>
    </w:rPr>
  </w:style>
  <w:style w:type="character" w:styleId="a5">
    <w:name w:val="Emphasis"/>
    <w:uiPriority w:val="20"/>
    <w:qFormat/>
    <w:rPr>
      <w:i/>
      <w:iCs/>
    </w:rPr>
  </w:style>
  <w:style w:type="character" w:customStyle="1" w:styleId="12">
    <w:name w:val="Строгий1"/>
    <w:rPr>
      <w:b/>
      <w:bCs/>
    </w:rPr>
  </w:style>
  <w:style w:type="character" w:styleId="a6">
    <w:name w:val="Hyperlink"/>
    <w:rPr>
      <w:color w:val="000080"/>
      <w:u w:val="single"/>
    </w:rPr>
  </w:style>
  <w:style w:type="character" w:customStyle="1" w:styleId="13">
    <w:name w:val="Знак сноски1"/>
    <w:rPr>
      <w:vertAlign w:val="superscript"/>
    </w:rPr>
  </w:style>
  <w:style w:type="character" w:customStyle="1" w:styleId="14">
    <w:name w:val="Просмотренная гиперссылка1"/>
    <w:rPr>
      <w:color w:val="800080"/>
      <w:u w:val="single"/>
    </w:rPr>
  </w:style>
  <w:style w:type="character" w:customStyle="1" w:styleId="a7">
    <w:name w:val="Символ концевой сноски"/>
    <w:rPr>
      <w:vertAlign w:val="superscript"/>
    </w:rPr>
  </w:style>
  <w:style w:type="character" w:customStyle="1" w:styleId="EndnoteCharacters">
    <w:name w:val="Endnote Characters"/>
    <w:rPr>
      <w:vertAlign w:val="superscript"/>
    </w:rPr>
  </w:style>
  <w:style w:type="character" w:customStyle="1" w:styleId="WW-">
    <w:name w:val="WW-Символ концевой сноски"/>
  </w:style>
  <w:style w:type="character" w:customStyle="1" w:styleId="a8">
    <w:name w:val="Маркеры списка"/>
    <w:rPr>
      <w:rFonts w:ascii="OpenSymbol" w:eastAsia="OpenSymbol" w:hAnsi="OpenSymbol" w:cs="OpenSymbol"/>
    </w:rPr>
  </w:style>
  <w:style w:type="character" w:customStyle="1" w:styleId="21">
    <w:name w:val="Основной текст (2)"/>
    <w:rPr>
      <w:rFonts w:ascii="Trebuchet MS" w:hAnsi="Trebuchet MS" w:cs="Trebuchet MS"/>
      <w:b w:val="0"/>
      <w:i w:val="0"/>
      <w:caps w:val="0"/>
      <w:smallCaps w:val="0"/>
      <w:strike w:val="0"/>
      <w:dstrike w:val="0"/>
      <w:sz w:val="20"/>
      <w:u w:val="none"/>
    </w:rPr>
  </w:style>
  <w:style w:type="character" w:customStyle="1" w:styleId="a9">
    <w:name w:val="Сноска"/>
    <w:rPr>
      <w:rFonts w:ascii="Trebuchet MS" w:hAnsi="Trebuchet MS" w:cs="Trebuchet MS"/>
      <w:b w:val="0"/>
      <w:i w:val="0"/>
      <w:caps w:val="0"/>
      <w:smallCaps w:val="0"/>
      <w:strike w:val="0"/>
      <w:dstrike w:val="0"/>
      <w:sz w:val="15"/>
      <w:u w:val="none"/>
    </w:rPr>
  </w:style>
  <w:style w:type="character" w:customStyle="1" w:styleId="15">
    <w:name w:val="Основной шрифт абзаца1"/>
  </w:style>
  <w:style w:type="character" w:customStyle="1" w:styleId="16">
    <w:name w:val="Номер страницы1"/>
    <w:rPr>
      <w:rFonts w:cs="Times New Roman"/>
    </w:rPr>
  </w:style>
  <w:style w:type="character" w:customStyle="1" w:styleId="DefaultFontStyle">
    <w:name w:val="DefaultFontStyle"/>
    <w:rPr>
      <w:rFonts w:ascii="Microsoft Sans Serif" w:eastAsia="Microsoft Sans Serif" w:hAnsi="Microsoft Sans Serif" w:cs="Microsoft Sans Serif"/>
      <w:color w:val="000000"/>
      <w:spacing w:val="0"/>
      <w:w w:val="100"/>
      <w:position w:val="0"/>
      <w:sz w:val="24"/>
      <w:szCs w:val="24"/>
      <w:vertAlign w:val="baseline"/>
    </w:rPr>
  </w:style>
  <w:style w:type="character" w:customStyle="1" w:styleId="CharStyle45">
    <w:name w:val="CharStyle45"/>
    <w:rPr>
      <w:rFonts w:ascii="Tahoma" w:eastAsia="Tahoma" w:hAnsi="Tahoma" w:cs="Tahoma"/>
      <w:b w:val="0"/>
      <w:bCs w:val="0"/>
      <w:i w:val="0"/>
      <w:iCs w:val="0"/>
      <w:strike w:val="0"/>
      <w:dstrike w:val="0"/>
      <w:color w:val="000000"/>
      <w:spacing w:val="0"/>
      <w:w w:val="100"/>
      <w:position w:val="0"/>
      <w:sz w:val="62"/>
      <w:szCs w:val="62"/>
      <w:u w:val="none"/>
      <w:vertAlign w:val="baseline"/>
    </w:rPr>
  </w:style>
  <w:style w:type="character" w:customStyle="1" w:styleId="CharStyle46">
    <w:name w:val="CharStyle46"/>
    <w:rPr>
      <w:rFonts w:ascii="Tahoma" w:eastAsia="Tahoma" w:hAnsi="Tahoma" w:cs="Tahoma"/>
      <w:b w:val="0"/>
      <w:bCs w:val="0"/>
      <w:i w:val="0"/>
      <w:iCs w:val="0"/>
      <w:smallCaps/>
      <w:strike w:val="0"/>
      <w:dstrike w:val="0"/>
      <w:color w:val="000000"/>
      <w:spacing w:val="120"/>
      <w:w w:val="100"/>
      <w:position w:val="0"/>
      <w:sz w:val="62"/>
      <w:szCs w:val="62"/>
      <w:u w:val="none"/>
      <w:vertAlign w:val="baseline"/>
      <w:lang w:val="en-US" w:eastAsia="en-US" w:bidi="en-US"/>
    </w:rPr>
  </w:style>
  <w:style w:type="character" w:customStyle="1" w:styleId="CharStyle37">
    <w:name w:val="CharStyle37"/>
    <w:rPr>
      <w:rFonts w:ascii="Tahoma" w:eastAsia="Tahoma" w:hAnsi="Tahoma" w:cs="Tahoma"/>
      <w:b w:val="0"/>
      <w:bCs w:val="0"/>
      <w:i w:val="0"/>
      <w:iCs w:val="0"/>
      <w:strike w:val="0"/>
      <w:dstrike w:val="0"/>
      <w:color w:val="000000"/>
      <w:spacing w:val="0"/>
      <w:w w:val="100"/>
      <w:position w:val="0"/>
      <w:sz w:val="62"/>
      <w:szCs w:val="62"/>
      <w:u w:val="none"/>
      <w:vertAlign w:val="baseline"/>
    </w:rPr>
  </w:style>
  <w:style w:type="character" w:customStyle="1" w:styleId="CharStyle38">
    <w:name w:val="CharStyle38"/>
    <w:rPr>
      <w:rFonts w:ascii="Tahoma" w:eastAsia="Tahoma" w:hAnsi="Tahoma" w:cs="Tahoma"/>
      <w:b w:val="0"/>
      <w:bCs w:val="0"/>
      <w:i w:val="0"/>
      <w:iCs w:val="0"/>
      <w:strike w:val="0"/>
      <w:dstrike w:val="0"/>
      <w:color w:val="000000"/>
      <w:spacing w:val="0"/>
      <w:w w:val="100"/>
      <w:position w:val="0"/>
      <w:sz w:val="62"/>
      <w:szCs w:val="62"/>
      <w:u w:val="none"/>
      <w:vertAlign w:val="baseline"/>
    </w:rPr>
  </w:style>
  <w:style w:type="character" w:customStyle="1" w:styleId="CharStyle39">
    <w:name w:val="CharStyle39"/>
    <w:rPr>
      <w:rFonts w:ascii="Tahoma" w:eastAsia="Tahoma" w:hAnsi="Tahoma" w:cs="Tahoma"/>
      <w:b w:val="0"/>
      <w:bCs w:val="0"/>
      <w:i w:val="0"/>
      <w:iCs w:val="0"/>
      <w:strike w:val="0"/>
      <w:dstrike w:val="0"/>
      <w:color w:val="000000"/>
      <w:spacing w:val="0"/>
      <w:w w:val="100"/>
      <w:position w:val="0"/>
      <w:sz w:val="62"/>
      <w:szCs w:val="62"/>
      <w:u w:val="none"/>
      <w:vertAlign w:val="baseline"/>
    </w:rPr>
  </w:style>
  <w:style w:type="character" w:customStyle="1" w:styleId="CharStyle128">
    <w:name w:val="CharStyle128"/>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1">
    <w:name w:val="CharStyle221"/>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2">
    <w:name w:val="CharStyle222"/>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3">
    <w:name w:val="CharStyle223"/>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4">
    <w:name w:val="CharStyle224"/>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5">
    <w:name w:val="CharStyle225"/>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226">
    <w:name w:val="CharStyle226"/>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51">
    <w:name w:val="CharStyle51"/>
    <w:rPr>
      <w:rFonts w:ascii="Tahoma" w:eastAsia="Tahoma" w:hAnsi="Tahoma" w:cs="Tahoma"/>
      <w:b w:val="0"/>
      <w:bCs w:val="0"/>
      <w:i w:val="0"/>
      <w:iCs w:val="0"/>
      <w:strike w:val="0"/>
      <w:dstrike w:val="0"/>
      <w:color w:val="000000"/>
      <w:spacing w:val="0"/>
      <w:w w:val="100"/>
      <w:position w:val="0"/>
      <w:sz w:val="17"/>
      <w:szCs w:val="17"/>
      <w:u w:val="none"/>
      <w:vertAlign w:val="baseline"/>
    </w:rPr>
  </w:style>
  <w:style w:type="character" w:customStyle="1" w:styleId="CharStyle62">
    <w:name w:val="CharStyle62"/>
    <w:rPr>
      <w:rFonts w:ascii="Tahoma" w:eastAsia="Tahoma" w:hAnsi="Tahoma" w:cs="Tahoma"/>
      <w:b w:val="0"/>
      <w:bCs w:val="0"/>
      <w:i w:val="0"/>
      <w:iCs w:val="0"/>
      <w:strike w:val="0"/>
      <w:dstrike w:val="0"/>
      <w:color w:val="000000"/>
      <w:spacing w:val="0"/>
      <w:w w:val="100"/>
      <w:position w:val="0"/>
      <w:sz w:val="17"/>
      <w:szCs w:val="17"/>
      <w:u w:val="none"/>
      <w:vertAlign w:val="baseline"/>
    </w:rPr>
  </w:style>
  <w:style w:type="character" w:customStyle="1" w:styleId="CharStyle11">
    <w:name w:val="CharStyle11"/>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12">
    <w:name w:val="CharStyle12"/>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122">
    <w:name w:val="CharStyle122"/>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123">
    <w:name w:val="CharStyle123"/>
    <w:rPr>
      <w:rFonts w:ascii="Tahoma" w:eastAsia="Tahoma" w:hAnsi="Tahoma" w:cs="Tahoma"/>
      <w:b/>
      <w:bCs/>
      <w:i w:val="0"/>
      <w:iCs w:val="0"/>
      <w:strike w:val="0"/>
      <w:dstrike w:val="0"/>
      <w:color w:val="000000"/>
      <w:spacing w:val="0"/>
      <w:w w:val="100"/>
      <w:position w:val="0"/>
      <w:sz w:val="14"/>
      <w:szCs w:val="14"/>
      <w:u w:val="none"/>
      <w:vertAlign w:val="baseline"/>
    </w:rPr>
  </w:style>
  <w:style w:type="character" w:customStyle="1" w:styleId="CharStyle124">
    <w:name w:val="CharStyle124"/>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151">
    <w:name w:val="CharStyle151"/>
    <w:rPr>
      <w:rFonts w:ascii="Tahoma" w:eastAsia="Tahoma" w:hAnsi="Tahoma" w:cs="Tahoma"/>
      <w:b/>
      <w:bCs/>
      <w:i w:val="0"/>
      <w:iCs w:val="0"/>
      <w:strike w:val="0"/>
      <w:dstrike w:val="0"/>
      <w:color w:val="000000"/>
      <w:spacing w:val="0"/>
      <w:w w:val="100"/>
      <w:position w:val="0"/>
      <w:sz w:val="10"/>
      <w:szCs w:val="10"/>
      <w:u w:val="none"/>
      <w:vertAlign w:val="baseline"/>
    </w:rPr>
  </w:style>
  <w:style w:type="character" w:customStyle="1" w:styleId="CharStyle374">
    <w:name w:val="CharStyle374"/>
    <w:rPr>
      <w:rFonts w:ascii="Tahoma" w:eastAsia="Tahoma" w:hAnsi="Tahoma" w:cs="Tahoma"/>
      <w:b w:val="0"/>
      <w:bCs w:val="0"/>
      <w:i w:val="0"/>
      <w:iCs w:val="0"/>
      <w:strike w:val="0"/>
      <w:dstrike w:val="0"/>
      <w:color w:val="000000"/>
      <w:spacing w:val="0"/>
      <w:w w:val="100"/>
      <w:position w:val="0"/>
      <w:sz w:val="10"/>
      <w:szCs w:val="10"/>
      <w:u w:val="none"/>
      <w:vertAlign w:val="baseline"/>
      <w:lang w:val="en-US" w:eastAsia="en-US" w:bidi="en-US"/>
    </w:rPr>
  </w:style>
  <w:style w:type="character" w:customStyle="1" w:styleId="CharStyle516">
    <w:name w:val="CharStyle516"/>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CharStyle659">
    <w:name w:val="CharStyle659"/>
    <w:rPr>
      <w:rFonts w:ascii="Tahoma" w:eastAsia="Tahoma" w:hAnsi="Tahoma" w:cs="Tahoma"/>
      <w:b w:val="0"/>
      <w:bCs w:val="0"/>
      <w:i w:val="0"/>
      <w:iCs w:val="0"/>
      <w:strike w:val="0"/>
      <w:dstrike w:val="0"/>
      <w:color w:val="000000"/>
      <w:spacing w:val="0"/>
      <w:w w:val="100"/>
      <w:position w:val="0"/>
      <w:sz w:val="14"/>
      <w:szCs w:val="14"/>
      <w:u w:val="none"/>
      <w:vertAlign w:val="baseline"/>
    </w:rPr>
  </w:style>
  <w:style w:type="character" w:customStyle="1" w:styleId="aa">
    <w:name w:val="Символ нумерации"/>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28z0">
    <w:name w:val="WW8Num28z0"/>
    <w:rPr>
      <w:rFonts w:ascii="Times New Roman" w:eastAsia="Times New Roman" w:hAnsi="Times New Roman" w:cs="Times New Roman"/>
      <w:sz w:val="20"/>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CharStyle5">
    <w:name w:val="CharStyle5"/>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rPr>
  </w:style>
  <w:style w:type="character" w:customStyle="1" w:styleId="s1">
    <w:name w:val="s1"/>
    <w:rPr>
      <w:rFonts w:ascii="Times New Roman" w:hAnsi="Times New Roman" w:cs="Times New Roman"/>
      <w:b/>
      <w:bCs/>
      <w:i w:val="0"/>
      <w:iCs w:val="0"/>
      <w:strike w:val="0"/>
      <w:dstrike w:val="0"/>
      <w:color w:val="000000"/>
      <w:sz w:val="20"/>
      <w:szCs w:val="20"/>
      <w:u w:val="none"/>
    </w:rPr>
  </w:style>
  <w:style w:type="character" w:customStyle="1" w:styleId="WW-0">
    <w:name w:val="WW-Символ сноски"/>
  </w:style>
  <w:style w:type="character" w:customStyle="1" w:styleId="WW8Num32z0">
    <w:name w:val="WW8Num32z0"/>
    <w:rPr>
      <w:rFonts w:ascii="Symbol" w:hAnsi="Symbol" w:cs="Symbol"/>
      <w:sz w:val="24"/>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4z0">
    <w:name w:val="WW8Num34z0"/>
    <w:rPr>
      <w:rFonts w:ascii="Symbol" w:hAnsi="Symbol" w:cs="Symbol"/>
      <w:b w:val="0"/>
      <w:sz w:val="24"/>
    </w:rPr>
  </w:style>
  <w:style w:type="character" w:customStyle="1" w:styleId="WW8Num34z1">
    <w:name w:val="WW8Num34z1"/>
    <w:rPr>
      <w:rFonts w:ascii="OpenSymbol" w:hAnsi="OpenSymbol" w:cs="OpenSymbol"/>
    </w:rPr>
  </w:style>
  <w:style w:type="character" w:customStyle="1" w:styleId="WW8Num34z3">
    <w:name w:val="WW8Num34z3"/>
    <w:rPr>
      <w:rFonts w:ascii="Symbol" w:hAnsi="Symbol" w:cs="OpenSymbol"/>
    </w:rPr>
  </w:style>
  <w:style w:type="character" w:customStyle="1" w:styleId="WW8Num41z0">
    <w:name w:val="WW8Num41z0"/>
    <w:rPr>
      <w:rFonts w:ascii="Symbol" w:hAnsi="Symbol" w:cs="Symbol"/>
      <w:sz w:val="24"/>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22">
    <w:name w:val="Основной шрифт абзаца2"/>
  </w:style>
  <w:style w:type="character" w:customStyle="1" w:styleId="fontstyle01">
    <w:name w:val="fontstyle01"/>
    <w:rPr>
      <w:rFonts w:ascii="TimesNewRomanPSMT" w:hAnsi="TimesNewRomanPSMT" w:cs="TimesNewRomanPSMT"/>
      <w:b w:val="0"/>
      <w:bCs w:val="0"/>
      <w:i w:val="0"/>
      <w:iCs w:val="0"/>
      <w:color w:val="000000"/>
      <w:sz w:val="28"/>
      <w:szCs w:val="28"/>
    </w:rPr>
  </w:style>
  <w:style w:type="character" w:customStyle="1" w:styleId="95pt">
    <w:name w:val="Основной текст + 9.5 pt"/>
    <w:rPr>
      <w:rFonts w:ascii="Calibri" w:eastAsia="Calibri" w:hAnsi="Calibri" w:cs="Calibri"/>
      <w:i w:val="0"/>
      <w:iCs w:val="0"/>
      <w:caps w:val="0"/>
      <w:smallCaps w:val="0"/>
      <w:color w:val="000000"/>
      <w:spacing w:val="0"/>
      <w:w w:val="100"/>
      <w:sz w:val="19"/>
      <w:szCs w:val="19"/>
      <w:shd w:val="clear" w:color="auto" w:fill="FFFFFF"/>
      <w:lang w:val="en-US" w:eastAsia="en-US" w:bidi="en-US"/>
    </w:rPr>
  </w:style>
  <w:style w:type="character" w:customStyle="1" w:styleId="17">
    <w:name w:val="Строгий1"/>
    <w:rPr>
      <w:b/>
      <w:bCs/>
    </w:rPr>
  </w:style>
  <w:style w:type="character" w:customStyle="1" w:styleId="FontStyle204">
    <w:name w:val="Font Style204"/>
    <w:rPr>
      <w:rFonts w:ascii="Times New Roman" w:hAnsi="Times New Roman" w:cs="Times New Roman"/>
      <w:sz w:val="26"/>
      <w:szCs w:val="26"/>
    </w:rPr>
  </w:style>
  <w:style w:type="character" w:customStyle="1" w:styleId="ab">
    <w:name w:val="Абзац списка Знак"/>
    <w:aliases w:val="Список МАРКЕРОВ Знак,4. List Paragraph Знак,List - Numbered Знак,Akapit z listą Знак,маркированный Знак,Elenco Normale Знак,Абзац с отступом Знак,Абзац списка3 Знак,List Paragraph Знак,corp de texte Знак,Абзац Знак,Абзац списка7 Знак"/>
    <w:uiPriority w:val="34"/>
    <w:rPr>
      <w:rFonts w:ascii="Liberation Serif" w:eastAsia="NSimSun" w:hAnsi="Liberation Serif" w:cs="Lucida Sans"/>
      <w:kern w:val="2"/>
      <w:sz w:val="24"/>
      <w:szCs w:val="24"/>
      <w:lang w:eastAsia="zh-CN" w:bidi="hi-IN"/>
    </w:rPr>
  </w:style>
  <w:style w:type="character" w:customStyle="1" w:styleId="ac">
    <w:name w:val="Основной текст Знак"/>
    <w:rPr>
      <w:rFonts w:ascii="Liberation Serif" w:eastAsia="NSimSun" w:hAnsi="Liberation Serif" w:cs="Lucida Sans"/>
      <w:kern w:val="2"/>
      <w:sz w:val="24"/>
      <w:szCs w:val="24"/>
      <w:lang w:eastAsia="zh-CN" w:bidi="hi-IN"/>
    </w:rPr>
  </w:style>
  <w:style w:type="character" w:customStyle="1" w:styleId="23">
    <w:name w:val="Основной текст (2)_"/>
    <w:rPr>
      <w:sz w:val="26"/>
      <w:shd w:val="clear" w:color="auto" w:fill="FFFFFF"/>
    </w:rPr>
  </w:style>
  <w:style w:type="character" w:customStyle="1" w:styleId="HTML">
    <w:name w:val="Стандартный HTML Знак"/>
    <w:rPr>
      <w:rFonts w:ascii="Courier New" w:eastAsia="NSimSun" w:hAnsi="Courier New" w:cs="Courier New"/>
      <w:kern w:val="2"/>
      <w:sz w:val="24"/>
      <w:szCs w:val="24"/>
      <w:lang w:eastAsia="zh-CN" w:bidi="hi-IN"/>
    </w:rPr>
  </w:style>
  <w:style w:type="character" w:customStyle="1" w:styleId="ad">
    <w:name w:val="Обычный (Интернет) Знак"/>
    <w:rPr>
      <w:rFonts w:ascii="Liberation Serif" w:eastAsia="NSimSun" w:hAnsi="Liberation Serif" w:cs="Liberation Serif"/>
      <w:kern w:val="2"/>
      <w:sz w:val="24"/>
      <w:lang w:eastAsia="zh-CN" w:bidi="hi-IN"/>
    </w:rPr>
  </w:style>
  <w:style w:type="character" w:customStyle="1" w:styleId="s0">
    <w:name w:val="s0"/>
    <w:rPr>
      <w:rFonts w:ascii="Times New Roman" w:hAnsi="Times New Roman" w:cs="Times New Roman"/>
      <w:b w:val="0"/>
      <w:bCs w:val="0"/>
      <w:i w:val="0"/>
      <w:iCs w:val="0"/>
      <w:strike w:val="0"/>
      <w:dstrike w:val="0"/>
      <w:color w:val="000000"/>
      <w:sz w:val="20"/>
      <w:szCs w:val="20"/>
      <w:u w:val="none"/>
    </w:rPr>
  </w:style>
  <w:style w:type="character" w:customStyle="1" w:styleId="ae">
    <w:name w:val="Без интервала Знак"/>
    <w:aliases w:val="норма Знак,Обя Знак,мелкий Знак,мой рабочий Знак,Айгерим Знак,свой Знак,14 TNR Знак,МОЙ СТИЛЬ Знак,Без интервала11 Знак,Без интеБез интервала Знак,Без интервала111 Знак"/>
    <w:link w:val="af"/>
    <w:uiPriority w:val="1"/>
    <w:rPr>
      <w:rFonts w:ascii="Calibri" w:eastAsia="Calibri" w:hAnsi="Calibri" w:cs="Calibri"/>
      <w:kern w:val="2"/>
      <w:sz w:val="22"/>
      <w:szCs w:val="22"/>
      <w:lang w:eastAsia="zh-CN"/>
    </w:rPr>
  </w:style>
  <w:style w:type="character" w:customStyle="1" w:styleId="af0">
    <w:name w:val="ОснТекст Знак"/>
    <w:rPr>
      <w:kern w:val="2"/>
      <w:lang w:eastAsia="zh-CN"/>
    </w:rPr>
  </w:style>
  <w:style w:type="character" w:customStyle="1" w:styleId="NoSpacingChar">
    <w:name w:val="No Spacing Char"/>
    <w:rPr>
      <w:rFonts w:ascii="Calibri" w:eastAsia="font275" w:hAnsi="Calibri" w:cs="font275"/>
      <w:sz w:val="22"/>
      <w:szCs w:val="22"/>
    </w:rPr>
  </w:style>
  <w:style w:type="character" w:customStyle="1" w:styleId="11pt3">
    <w:name w:val="Основной текст + 11 pt3"/>
    <w:rPr>
      <w:rFonts w:ascii="Times New Roman" w:hAnsi="Times New Roman" w:cs="Times New Roman"/>
      <w:b w:val="0"/>
      <w:bCs w:val="0"/>
      <w:sz w:val="22"/>
      <w:szCs w:val="22"/>
      <w:u w:val="none"/>
      <w:lang w:bidi="ar-SA"/>
    </w:rPr>
  </w:style>
  <w:style w:type="character" w:customStyle="1" w:styleId="18">
    <w:name w:val="Знак Знак Знак1 Знак Знак Знак Знак Знак Знак Знак Знак"/>
    <w:rPr>
      <w:rFonts w:eastAsia="Times New Roman"/>
      <w:sz w:val="28"/>
      <w:szCs w:val="28"/>
      <w:lang w:val="kk-KZ" w:eastAsia="ar-SA"/>
    </w:rPr>
  </w:style>
  <w:style w:type="character" w:customStyle="1" w:styleId="24">
    <w:name w:val="Основной текст 2 Знак"/>
    <w:rPr>
      <w:rFonts w:ascii="Liberation Serif" w:eastAsia="NSimSun" w:hAnsi="Liberation Serif" w:cs="Mangal"/>
      <w:kern w:val="2"/>
      <w:sz w:val="24"/>
      <w:szCs w:val="21"/>
      <w:lang w:eastAsia="zh-CN" w:bidi="hi-IN"/>
    </w:rPr>
  </w:style>
  <w:style w:type="character" w:customStyle="1" w:styleId="maintext">
    <w:name w:val="maintext"/>
  </w:style>
  <w:style w:type="character" w:customStyle="1" w:styleId="6qdm">
    <w:name w:val="_6qdm"/>
    <w:basedOn w:val="11"/>
  </w:style>
  <w:style w:type="character" w:customStyle="1" w:styleId="NoSpacingChar1">
    <w:name w:val="No Spacing Char1"/>
    <w:rPr>
      <w:rFonts w:ascii="Liberation Serif" w:hAnsi="Liberation Serif" w:cs="Calibri"/>
      <w:kern w:val="2"/>
      <w:szCs w:val="24"/>
      <w:lang w:eastAsia="zh-CN" w:bidi="hi-IN"/>
    </w:rPr>
  </w:style>
  <w:style w:type="character" w:customStyle="1" w:styleId="19">
    <w:name w:val="Обычный (веб) Знак1"/>
    <w:rPr>
      <w:rFonts w:ascii="Times New Roman" w:hAnsi="Times New Roman" w:cs="Times New Roman"/>
      <w:sz w:val="24"/>
      <w:szCs w:val="24"/>
      <w:lang w:eastAsia="ru-RU"/>
    </w:rPr>
  </w:style>
  <w:style w:type="character" w:customStyle="1" w:styleId="25">
    <w:name w:val="ОснТекст Знак2"/>
    <w:rPr>
      <w:rFonts w:ascii="Times New Roman" w:eastAsia="Times New Roman" w:hAnsi="Times New Roman" w:cs="Times New Roman"/>
      <w:b/>
      <w:sz w:val="28"/>
      <w:szCs w:val="28"/>
      <w:lang w:eastAsia="ru-RU"/>
    </w:rPr>
  </w:style>
  <w:style w:type="character" w:styleId="af1">
    <w:name w:val="Strong"/>
    <w:qFormat/>
    <w:rPr>
      <w:b/>
      <w:bCs/>
    </w:rPr>
  </w:style>
  <w:style w:type="character" w:customStyle="1" w:styleId="af2">
    <w:name w:val="Заголовок Знак"/>
    <w:rPr>
      <w:rFonts w:eastAsia="Times New Roman"/>
      <w:b/>
      <w:sz w:val="28"/>
    </w:rPr>
  </w:style>
  <w:style w:type="character" w:customStyle="1" w:styleId="z-">
    <w:name w:val="z-Начало формы Знак"/>
    <w:rPr>
      <w:rFonts w:ascii="Arial" w:eastAsia="Calibri" w:hAnsi="Arial" w:cs="Arial"/>
      <w:vanish/>
      <w:sz w:val="16"/>
      <w:szCs w:val="16"/>
      <w:lang w:eastAsia="en-US"/>
    </w:rPr>
  </w:style>
  <w:style w:type="character" w:customStyle="1" w:styleId="z-0">
    <w:name w:val="z-Конец формы Знак"/>
    <w:rPr>
      <w:rFonts w:ascii="Arial" w:eastAsia="Calibri" w:hAnsi="Arial" w:cs="Arial"/>
      <w:vanish/>
      <w:sz w:val="16"/>
      <w:szCs w:val="16"/>
      <w:lang w:eastAsia="en-US"/>
    </w:rPr>
  </w:style>
  <w:style w:type="character" w:customStyle="1" w:styleId="FontStyle12">
    <w:name w:val="Font Style12"/>
    <w:rPr>
      <w:rFonts w:ascii="Times New Roman" w:hAnsi="Times New Roman" w:cs="Times New Roman"/>
      <w:b/>
      <w:bCs/>
    </w:rPr>
  </w:style>
  <w:style w:type="character" w:customStyle="1" w:styleId="af3">
    <w:name w:val="Нижний колонтитул Знак"/>
    <w:rPr>
      <w:rFonts w:ascii="Liberation Serif" w:eastAsia="NSimSun" w:hAnsi="Liberation Serif" w:cs="Lucida Sans"/>
      <w:kern w:val="2"/>
      <w:sz w:val="24"/>
      <w:szCs w:val="24"/>
      <w:lang w:eastAsia="zh-CN" w:bidi="hi-IN"/>
    </w:rPr>
  </w:style>
  <w:style w:type="character" w:customStyle="1" w:styleId="af4">
    <w:name w:val="Текст сноски Знак"/>
    <w:rPr>
      <w:rFonts w:ascii="Liberation Serif" w:eastAsia="NSimSun" w:hAnsi="Liberation Serif" w:cs="Lucida Sans"/>
      <w:kern w:val="2"/>
      <w:lang w:eastAsia="zh-CN" w:bidi="hi-IN"/>
    </w:rPr>
  </w:style>
  <w:style w:type="character" w:customStyle="1" w:styleId="textexposedshow">
    <w:name w:val="text_exposed_show"/>
    <w:basedOn w:val="11"/>
  </w:style>
  <w:style w:type="character" w:customStyle="1" w:styleId="1a">
    <w:name w:val="Знак примечания1"/>
    <w:rPr>
      <w:sz w:val="16"/>
      <w:szCs w:val="16"/>
    </w:rPr>
  </w:style>
  <w:style w:type="character" w:customStyle="1" w:styleId="af5">
    <w:name w:val="Текст примечания Знак"/>
    <w:rPr>
      <w:rFonts w:ascii="Liberation Serif" w:eastAsia="NSimSun" w:hAnsi="Liberation Serif" w:cs="Mangal"/>
      <w:kern w:val="2"/>
      <w:szCs w:val="18"/>
      <w:lang w:eastAsia="zh-CN" w:bidi="hi-IN"/>
    </w:rPr>
  </w:style>
  <w:style w:type="character" w:customStyle="1" w:styleId="af6">
    <w:name w:val="Текст выноски Знак"/>
    <w:rPr>
      <w:rFonts w:ascii="Segoe UI" w:eastAsia="NSimSun" w:hAnsi="Segoe UI" w:cs="Mangal"/>
      <w:kern w:val="2"/>
      <w:sz w:val="18"/>
      <w:szCs w:val="16"/>
      <w:lang w:eastAsia="zh-CN" w:bidi="hi-IN"/>
    </w:rPr>
  </w:style>
  <w:style w:type="character" w:customStyle="1" w:styleId="af7">
    <w:name w:val="Тема примечания Знак"/>
    <w:rPr>
      <w:rFonts w:ascii="Liberation Serif" w:eastAsia="NSimSun" w:hAnsi="Liberation Serif" w:cs="Mangal"/>
      <w:b/>
      <w:bCs/>
      <w:kern w:val="2"/>
      <w:szCs w:val="18"/>
      <w:lang w:eastAsia="zh-CN" w:bidi="hi-IN"/>
    </w:rPr>
  </w:style>
  <w:style w:type="character" w:customStyle="1" w:styleId="223">
    <w:name w:val="Знак Знак223"/>
    <w:rPr>
      <w:rFonts w:ascii="NewtonCTT" w:hAnsi="NewtonCTT" w:cs="NewtonCTT"/>
      <w:b/>
      <w:i/>
      <w:sz w:val="24"/>
    </w:rPr>
  </w:style>
  <w:style w:type="character" w:customStyle="1" w:styleId="MissionpagetextboldChar">
    <w:name w:val="Mission page text bold Char"/>
    <w:rPr>
      <w:rFonts w:ascii="Gill Sans MT" w:eastAsia="Times New Roman" w:hAnsi="Gill Sans MT" w:cs="Gill Sans MT"/>
      <w:b/>
      <w:lang w:val="en-US" w:eastAsia="en-US"/>
    </w:rPr>
  </w:style>
  <w:style w:type="character" w:customStyle="1" w:styleId="un-news-full-width">
    <w:name w:val="un-news-full-width"/>
    <w:basedOn w:val="11"/>
  </w:style>
  <w:style w:type="character" w:customStyle="1" w:styleId="af8">
    <w:name w:val="Наименование Знак"/>
    <w:rPr>
      <w:b/>
      <w:kern w:val="2"/>
      <w:sz w:val="24"/>
      <w:lang w:eastAsia="zh-CN"/>
    </w:rPr>
  </w:style>
  <w:style w:type="character" w:customStyle="1" w:styleId="af9">
    <w:name w:val="+"/>
  </w:style>
  <w:style w:type="character" w:styleId="afa">
    <w:name w:val="endnote reference"/>
    <w:rPr>
      <w:vertAlign w:val="superscript"/>
    </w:rPr>
  </w:style>
  <w:style w:type="character" w:customStyle="1" w:styleId="1b">
    <w:name w:val="Заголовок 1 Знак"/>
    <w:rPr>
      <w:rFonts w:ascii="Cambria" w:eastAsia="font4398" w:hAnsi="Cambria" w:cs="font4398"/>
      <w:b/>
      <w:bCs/>
      <w:color w:val="365F91"/>
      <w:sz w:val="28"/>
      <w:szCs w:val="28"/>
    </w:rPr>
  </w:style>
  <w:style w:type="character" w:customStyle="1" w:styleId="WW-1">
    <w:name w:val="WW-Символ сноски1"/>
  </w:style>
  <w:style w:type="character" w:styleId="afb">
    <w:name w:val="FollowedHyperlink"/>
    <w:rPr>
      <w:color w:val="800000"/>
      <w:u w:val="single"/>
    </w:rPr>
  </w:style>
  <w:style w:type="paragraph" w:customStyle="1" w:styleId="26">
    <w:name w:val="Заголовок2"/>
    <w:basedOn w:val="a"/>
    <w:next w:val="10"/>
    <w:pPr>
      <w:keepNext/>
      <w:spacing w:before="240" w:after="120"/>
    </w:pPr>
    <w:rPr>
      <w:rFonts w:ascii="Liberation Sans" w:eastAsia="Microsoft YaHei" w:hAnsi="Liberation Sans"/>
      <w:sz w:val="28"/>
      <w:szCs w:val="28"/>
    </w:rPr>
  </w:style>
  <w:style w:type="paragraph" w:styleId="afc">
    <w:name w:val="Body Text"/>
    <w:basedOn w:val="a"/>
    <w:next w:val="10"/>
    <w:link w:val="1c"/>
  </w:style>
  <w:style w:type="paragraph" w:styleId="afd">
    <w:name w:val="List"/>
    <w:basedOn w:val="10"/>
    <w:next w:val="LTGliederung7"/>
  </w:style>
  <w:style w:type="paragraph" w:styleId="afe">
    <w:name w:val="caption"/>
    <w:basedOn w:val="a"/>
    <w:next w:val="LTGliederung70"/>
    <w:qFormat/>
    <w:pPr>
      <w:suppressLineNumbers/>
      <w:spacing w:before="120" w:after="120"/>
    </w:pPr>
    <w:rPr>
      <w:i/>
      <w:iCs/>
    </w:rPr>
  </w:style>
  <w:style w:type="paragraph" w:customStyle="1" w:styleId="27">
    <w:name w:val="Указатель2"/>
    <w:basedOn w:val="a"/>
    <w:next w:val="LTGliederung1"/>
    <w:pPr>
      <w:suppressLineNumbers/>
    </w:pPr>
  </w:style>
  <w:style w:type="paragraph" w:customStyle="1" w:styleId="LTHintergrund">
    <w:name w:val="Только заголовок~LT~Hintergrund"/>
    <w:next w:val="aff"/>
    <w:pPr>
      <w:suppressAutoHyphens/>
    </w:pPr>
    <w:rPr>
      <w:rFonts w:ascii="Liberation Serif" w:eastAsia="Tahoma" w:hAnsi="Liberation Serif" w:cs="Liberation Sans"/>
      <w:kern w:val="2"/>
      <w:sz w:val="24"/>
      <w:szCs w:val="24"/>
      <w:lang w:eastAsia="zh-CN" w:bidi="hi-IN"/>
    </w:rPr>
  </w:style>
  <w:style w:type="paragraph" w:customStyle="1" w:styleId="10">
    <w:name w:val="Название объекта1"/>
    <w:basedOn w:val="a"/>
    <w:next w:val="yellow1"/>
    <w:pPr>
      <w:suppressLineNumbers/>
      <w:spacing w:before="120" w:after="120"/>
    </w:pPr>
    <w:rPr>
      <w:i/>
      <w:iCs/>
    </w:rPr>
  </w:style>
  <w:style w:type="paragraph" w:customStyle="1" w:styleId="1d">
    <w:name w:val="Заголовок1"/>
    <w:basedOn w:val="a"/>
    <w:next w:val="10"/>
    <w:pPr>
      <w:keepNext/>
      <w:spacing w:before="240" w:after="120"/>
    </w:pPr>
    <w:rPr>
      <w:rFonts w:ascii="Liberation Sans" w:eastAsia="Microsoft YaHei" w:hAnsi="Liberation Sans" w:cs="Liberation Sans"/>
      <w:sz w:val="28"/>
      <w:szCs w:val="28"/>
    </w:rPr>
  </w:style>
  <w:style w:type="paragraph" w:customStyle="1" w:styleId="aff0">
    <w:name w:val="Контур жёлтый"/>
    <w:next w:val="BlankLTGliederung8"/>
    <w:pPr>
      <w:widowControl w:val="0"/>
      <w:suppressAutoHyphens/>
    </w:pPr>
    <w:rPr>
      <w:rFonts w:ascii="Liberation Serif" w:eastAsia="NSimSun" w:hAnsi="Liberation Serif" w:cs="Lucida Sans"/>
      <w:color w:val="B47804"/>
      <w:sz w:val="24"/>
      <w:szCs w:val="24"/>
      <w:lang w:eastAsia="zh-CN" w:bidi="hi-IN"/>
    </w:rPr>
  </w:style>
  <w:style w:type="paragraph" w:customStyle="1" w:styleId="aff1">
    <w:name w:val="Содержимое таблицы"/>
    <w:basedOn w:val="a"/>
    <w:next w:val="aff2"/>
    <w:pPr>
      <w:suppressLineNumbers/>
    </w:pPr>
  </w:style>
  <w:style w:type="paragraph" w:customStyle="1" w:styleId="aff3">
    <w:name w:val="Заливка зелёным"/>
    <w:next w:val="LTGliederung9"/>
    <w:pPr>
      <w:widowControl w:val="0"/>
      <w:suppressAutoHyphens/>
    </w:pPr>
    <w:rPr>
      <w:rFonts w:ascii="Liberation Serif" w:eastAsia="NSimSun" w:hAnsi="Liberation Serif" w:cs="Lucida Sans"/>
      <w:color w:val="FFFFFF"/>
      <w:sz w:val="24"/>
      <w:szCs w:val="24"/>
      <w:lang w:eastAsia="zh-CN" w:bidi="hi-IN"/>
    </w:rPr>
  </w:style>
  <w:style w:type="paragraph" w:customStyle="1" w:styleId="LTGliederung2">
    <w:name w:val="Заголовок и объект~LT~Gliederung 2"/>
    <w:next w:val="LTHintergrund0"/>
    <w:pPr>
      <w:widowControl w:val="0"/>
      <w:suppressAutoHyphens/>
      <w:spacing w:before="227"/>
    </w:pPr>
    <w:rPr>
      <w:rFonts w:ascii="Liberation Serif" w:eastAsia="NSimSun" w:hAnsi="Liberation Serif" w:cs="Lucida Sans"/>
      <w:sz w:val="48"/>
      <w:szCs w:val="24"/>
      <w:lang w:eastAsia="zh-CN" w:bidi="hi-IN"/>
    </w:rPr>
  </w:style>
  <w:style w:type="paragraph" w:customStyle="1" w:styleId="aff">
    <w:name w:val="Контур синий"/>
    <w:basedOn w:val="aff1"/>
    <w:next w:val="Style100"/>
    <w:rPr>
      <w:color w:val="355269"/>
    </w:rPr>
  </w:style>
  <w:style w:type="paragraph" w:customStyle="1" w:styleId="LTGliederung90">
    <w:name w:val="Только заголовок~LT~Gliederung 9"/>
    <w:next w:val="05EPRHeadingLevel2"/>
    <w:pPr>
      <w:widowControl w:val="0"/>
      <w:suppressAutoHyphens/>
    </w:pPr>
    <w:rPr>
      <w:rFonts w:ascii="Liberation Serif" w:eastAsia="NSimSun" w:hAnsi="Liberation Serif" w:cs="Lucida Sans"/>
      <w:sz w:val="24"/>
      <w:szCs w:val="24"/>
      <w:lang w:eastAsia="zh-CN" w:bidi="hi-IN"/>
    </w:rPr>
  </w:style>
  <w:style w:type="paragraph" w:customStyle="1" w:styleId="1e">
    <w:name w:val="Указатель1"/>
    <w:basedOn w:val="a"/>
    <w:next w:val="LTUntertitel"/>
    <w:pPr>
      <w:suppressLineNumbers/>
    </w:pPr>
  </w:style>
  <w:style w:type="paragraph" w:customStyle="1" w:styleId="6">
    <w:name w:val="Структура 6"/>
    <w:next w:val="28"/>
    <w:pPr>
      <w:widowControl w:val="0"/>
      <w:suppressAutoHyphens/>
    </w:pPr>
    <w:rPr>
      <w:rFonts w:ascii="Liberation Serif" w:eastAsia="NSimSun" w:hAnsi="Liberation Serif" w:cs="Lucida Sans"/>
      <w:sz w:val="24"/>
      <w:szCs w:val="24"/>
      <w:lang w:eastAsia="zh-CN" w:bidi="hi-IN"/>
    </w:rPr>
  </w:style>
  <w:style w:type="paragraph" w:customStyle="1" w:styleId="05EPRHeadingLevel2">
    <w:name w:val="(05) EPR Heading Level 2"/>
    <w:basedOn w:val="a"/>
    <w:next w:val="BlankLTGliederung4"/>
    <w:pPr>
      <w:ind w:firstLine="567"/>
    </w:pPr>
    <w:rPr>
      <w:rFonts w:eastAsia="SimSun"/>
      <w:i/>
      <w:szCs w:val="22"/>
      <w:lang w:val="en-US" w:eastAsia="en-US"/>
    </w:rPr>
  </w:style>
  <w:style w:type="paragraph" w:customStyle="1" w:styleId="aff4">
    <w:name w:val="Заголовок таблицы"/>
    <w:next w:val="LTHintergrundobjekte"/>
    <w:pPr>
      <w:widowControl w:val="0"/>
      <w:suppressAutoHyphens/>
      <w:jc w:val="center"/>
    </w:pPr>
    <w:rPr>
      <w:rFonts w:ascii="Liberation Serif" w:eastAsia="NSimSun" w:hAnsi="Liberation Serif" w:cs="Lucida Sans"/>
      <w:b/>
      <w:bCs/>
      <w:sz w:val="24"/>
      <w:szCs w:val="24"/>
      <w:lang w:eastAsia="zh-CN" w:bidi="hi-IN"/>
    </w:rPr>
  </w:style>
  <w:style w:type="paragraph" w:styleId="aff2">
    <w:name w:val="footnote text"/>
    <w:basedOn w:val="a"/>
    <w:next w:val="LTGliederung91"/>
    <w:link w:val="1f"/>
    <w:pPr>
      <w:suppressLineNumbers/>
      <w:ind w:left="339" w:hanging="339"/>
    </w:pPr>
    <w:rPr>
      <w:sz w:val="20"/>
      <w:szCs w:val="20"/>
    </w:rPr>
  </w:style>
  <w:style w:type="paragraph" w:customStyle="1" w:styleId="06EPRHeadinglevel3">
    <w:name w:val="(06) EPR Heading level 3"/>
    <w:basedOn w:val="a"/>
    <w:next w:val="LTHintergrundobjekte0"/>
    <w:pPr>
      <w:ind w:firstLine="567"/>
    </w:pPr>
    <w:rPr>
      <w:szCs w:val="22"/>
      <w:u w:val="single"/>
      <w:lang w:val="en-US" w:eastAsia="en-US"/>
    </w:rPr>
  </w:style>
  <w:style w:type="paragraph" w:customStyle="1" w:styleId="Standard1">
    <w:name w:val="Standard1"/>
    <w:next w:val="LTGliederung10"/>
    <w:pPr>
      <w:suppressAutoHyphens/>
      <w:jc w:val="both"/>
      <w:textAlignment w:val="baseline"/>
    </w:pPr>
    <w:rPr>
      <w:rFonts w:cs="Tahoma"/>
      <w:kern w:val="2"/>
      <w:sz w:val="24"/>
      <w:szCs w:val="24"/>
      <w:lang w:eastAsia="en-US" w:bidi="hi-IN"/>
    </w:rPr>
  </w:style>
  <w:style w:type="paragraph" w:customStyle="1" w:styleId="aff5">
    <w:name w:val="Верхний и нижний колонтитулы"/>
    <w:basedOn w:val="a"/>
    <w:next w:val="LTTitel"/>
  </w:style>
  <w:style w:type="paragraph" w:styleId="aff6">
    <w:name w:val="footer"/>
    <w:basedOn w:val="a"/>
    <w:next w:val="LTGliederung8"/>
    <w:link w:val="1f0"/>
    <w:pPr>
      <w:suppressLineNumbers/>
      <w:tabs>
        <w:tab w:val="center" w:pos="4960"/>
        <w:tab w:val="right" w:pos="9921"/>
      </w:tabs>
    </w:pPr>
  </w:style>
  <w:style w:type="paragraph" w:customStyle="1" w:styleId="1f1">
    <w:name w:val="Текст примечания1"/>
    <w:basedOn w:val="a"/>
    <w:next w:val="LTGliederung3"/>
    <w:rPr>
      <w:rFonts w:eastAsia="MS Mincho"/>
      <w:sz w:val="20"/>
      <w:szCs w:val="20"/>
      <w:lang w:eastAsia="ja-JP"/>
    </w:rPr>
  </w:style>
  <w:style w:type="paragraph" w:customStyle="1" w:styleId="aff7">
    <w:name w:val="ОснТекст"/>
    <w:next w:val="aff8"/>
    <w:pPr>
      <w:suppressAutoHyphens/>
      <w:ind w:firstLine="709"/>
      <w:jc w:val="both"/>
    </w:pPr>
    <w:rPr>
      <w:kern w:val="2"/>
      <w:sz w:val="24"/>
      <w:lang w:eastAsia="zh-CN"/>
    </w:rPr>
  </w:style>
  <w:style w:type="paragraph" w:customStyle="1" w:styleId="LTHintergrund1">
    <w:name w:val="Заголовок и объект~LT~Hintergrund"/>
    <w:next w:val="1f2"/>
    <w:pPr>
      <w:suppressAutoHyphens/>
    </w:pPr>
    <w:rPr>
      <w:rFonts w:ascii="Liberation Serif" w:eastAsia="Tahoma" w:hAnsi="Liberation Serif" w:cs="Liberation Sans"/>
      <w:kern w:val="2"/>
      <w:sz w:val="24"/>
      <w:szCs w:val="24"/>
      <w:lang w:eastAsia="zh-CN" w:bidi="hi-IN"/>
    </w:rPr>
  </w:style>
  <w:style w:type="paragraph" w:styleId="aff9">
    <w:name w:val="Body Text Indent"/>
    <w:basedOn w:val="a"/>
    <w:next w:val="gray3"/>
    <w:link w:val="affa"/>
    <w:pPr>
      <w:spacing w:after="120"/>
      <w:ind w:left="283"/>
    </w:pPr>
    <w:rPr>
      <w:rFonts w:ascii="Times New Roman" w:eastAsia="Times New Roman" w:hAnsi="Times New Roman" w:cs="Times New Roman"/>
      <w:lang w:eastAsia="ru-RU"/>
    </w:rPr>
  </w:style>
  <w:style w:type="paragraph" w:customStyle="1" w:styleId="LTGliederung6">
    <w:name w:val="Титульный слайд~LT~Gliederung 6"/>
    <w:next w:val="LTGliederung4"/>
    <w:pPr>
      <w:widowControl w:val="0"/>
      <w:suppressAutoHyphens/>
    </w:pPr>
    <w:rPr>
      <w:rFonts w:ascii="Liberation Serif" w:eastAsia="NSimSun" w:hAnsi="Liberation Serif" w:cs="Lucida Sans"/>
      <w:sz w:val="24"/>
      <w:szCs w:val="24"/>
      <w:lang w:eastAsia="zh-CN" w:bidi="hi-IN"/>
    </w:rPr>
  </w:style>
  <w:style w:type="paragraph" w:customStyle="1" w:styleId="1f3">
    <w:name w:val="Без интервала1"/>
    <w:next w:val="bw1"/>
    <w:pPr>
      <w:suppressAutoHyphens/>
    </w:pPr>
    <w:rPr>
      <w:rFonts w:ascii="Calibri" w:eastAsia="font275" w:hAnsi="Calibri" w:cs="font275"/>
      <w:sz w:val="22"/>
      <w:szCs w:val="22"/>
    </w:rPr>
  </w:style>
  <w:style w:type="paragraph" w:customStyle="1" w:styleId="affb">
    <w:name w:val="Единица измерения"/>
    <w:next w:val="gray1"/>
    <w:pPr>
      <w:widowControl w:val="0"/>
      <w:suppressAutoHyphens/>
      <w:spacing w:before="60" w:after="40"/>
      <w:jc w:val="right"/>
    </w:pPr>
    <w:rPr>
      <w:rFonts w:ascii="Liberation Serif" w:eastAsia="NSimSun" w:hAnsi="Liberation Serif" w:cs="Lucida Sans"/>
      <w:sz w:val="16"/>
      <w:szCs w:val="24"/>
      <w:lang w:eastAsia="zh-CN" w:bidi="hi-IN"/>
    </w:rPr>
  </w:style>
  <w:style w:type="paragraph" w:customStyle="1" w:styleId="aff8">
    <w:name w:val="ШапкаТаблицы"/>
    <w:next w:val="gray2"/>
    <w:pPr>
      <w:widowControl w:val="0"/>
      <w:suppressAutoHyphens/>
      <w:jc w:val="center"/>
    </w:pPr>
    <w:rPr>
      <w:rFonts w:ascii="Liberation Serif" w:eastAsia="NSimSun" w:hAnsi="Liberation Serif" w:cs="Lucida Sans"/>
      <w:sz w:val="16"/>
      <w:szCs w:val="24"/>
      <w:lang w:eastAsia="zh-CN" w:bidi="hi-IN"/>
    </w:rPr>
  </w:style>
  <w:style w:type="paragraph" w:customStyle="1" w:styleId="affc">
    <w:name w:val="Боковик"/>
    <w:basedOn w:val="aff8"/>
    <w:next w:val="gray2"/>
    <w:pPr>
      <w:jc w:val="left"/>
    </w:pPr>
  </w:style>
  <w:style w:type="paragraph" w:customStyle="1" w:styleId="Default">
    <w:name w:val="Default"/>
    <w:next w:val="bw2"/>
    <w:pPr>
      <w:suppressAutoHyphens/>
    </w:pPr>
    <w:rPr>
      <w:rFonts w:eastAsia="Calibri"/>
      <w:color w:val="000000"/>
      <w:kern w:val="2"/>
      <w:sz w:val="24"/>
      <w:szCs w:val="24"/>
    </w:rPr>
  </w:style>
  <w:style w:type="paragraph" w:customStyle="1" w:styleId="1f4">
    <w:name w:val="Обычный (Интернет)1"/>
    <w:basedOn w:val="a"/>
    <w:next w:val="bw3"/>
    <w:pPr>
      <w:spacing w:before="280" w:after="280"/>
    </w:pPr>
    <w:rPr>
      <w:rFonts w:cs="Times New Roman"/>
      <w:szCs w:val="20"/>
    </w:rPr>
  </w:style>
  <w:style w:type="paragraph" w:customStyle="1" w:styleId="Standard">
    <w:name w:val="Standard"/>
    <w:next w:val="AATitle"/>
    <w:uiPriority w:val="99"/>
    <w:pPr>
      <w:suppressAutoHyphens/>
      <w:jc w:val="both"/>
      <w:textAlignment w:val="baseline"/>
    </w:pPr>
    <w:rPr>
      <w:rFonts w:cs="Tahoma"/>
      <w:kern w:val="2"/>
      <w:sz w:val="24"/>
      <w:szCs w:val="24"/>
      <w:lang w:eastAsia="en-US" w:bidi="hi-IN"/>
    </w:rPr>
  </w:style>
  <w:style w:type="paragraph" w:customStyle="1" w:styleId="15EPRRecHeader">
    <w:name w:val="(15) EPR Rec Header"/>
    <w:basedOn w:val="a"/>
    <w:next w:val="orange1"/>
    <w:pPr>
      <w:jc w:val="both"/>
    </w:pPr>
    <w:rPr>
      <w:i/>
      <w:szCs w:val="22"/>
      <w:u w:val="single"/>
      <w:lang w:val="en-US" w:eastAsia="en-US"/>
    </w:rPr>
  </w:style>
  <w:style w:type="paragraph" w:customStyle="1" w:styleId="affd">
    <w:name w:val="Наименование"/>
    <w:basedOn w:val="aff8"/>
    <w:next w:val="aff8"/>
    <w:pPr>
      <w:spacing w:before="360" w:after="80"/>
    </w:pPr>
    <w:rPr>
      <w:b/>
      <w:sz w:val="24"/>
    </w:rPr>
  </w:style>
  <w:style w:type="paragraph" w:customStyle="1" w:styleId="Zagolovok1">
    <w:name w:val="Zagolovok1"/>
    <w:next w:val="turquoise2"/>
    <w:pPr>
      <w:suppressAutoHyphens/>
      <w:spacing w:before="680" w:after="160"/>
      <w:ind w:left="851" w:right="851"/>
      <w:jc w:val="center"/>
    </w:pPr>
    <w:rPr>
      <w:rFonts w:ascii="Arial" w:hAnsi="Arial" w:cs="Arial"/>
      <w:b/>
      <w:kern w:val="2"/>
      <w:sz w:val="28"/>
    </w:rPr>
  </w:style>
  <w:style w:type="paragraph" w:customStyle="1" w:styleId="HTML1">
    <w:name w:val="Стандартный HTML1"/>
    <w:basedOn w:val="a"/>
    <w:next w:val="turquois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First">
    <w:name w:val="FirstОснТекст"/>
    <w:basedOn w:val="aff8"/>
    <w:next w:val="aff8"/>
    <w:pPr>
      <w:spacing w:before="160"/>
    </w:pPr>
  </w:style>
  <w:style w:type="paragraph" w:customStyle="1" w:styleId="Para">
    <w:name w:val="Para"/>
    <w:basedOn w:val="a"/>
    <w:next w:val="blue2"/>
    <w:pPr>
      <w:spacing w:before="120" w:after="120"/>
      <w:ind w:left="680" w:right="680"/>
    </w:pPr>
    <w:rPr>
      <w:rFonts w:eastAsia="SimSun"/>
    </w:rPr>
  </w:style>
  <w:style w:type="paragraph" w:customStyle="1" w:styleId="TableCell">
    <w:name w:val="Table Cell"/>
    <w:basedOn w:val="a"/>
    <w:next w:val="blue3"/>
    <w:pPr>
      <w:keepNext/>
      <w:keepLines/>
      <w:tabs>
        <w:tab w:val="left" w:pos="340"/>
        <w:tab w:val="left" w:pos="680"/>
      </w:tabs>
      <w:spacing w:before="20" w:after="20"/>
      <w:jc w:val="right"/>
    </w:pPr>
    <w:rPr>
      <w:rFonts w:ascii="Arial Narrow" w:eastAsia="SimSun" w:hAnsi="Arial Narrow" w:cs="Arial"/>
      <w:sz w:val="17"/>
      <w:szCs w:val="18"/>
    </w:rPr>
  </w:style>
  <w:style w:type="paragraph" w:customStyle="1" w:styleId="Para0">
    <w:name w:val="Para #"/>
    <w:basedOn w:val="a"/>
    <w:next w:val="sun1"/>
    <w:pPr>
      <w:tabs>
        <w:tab w:val="left" w:pos="1361"/>
      </w:tabs>
      <w:spacing w:before="120" w:after="120"/>
      <w:ind w:right="680"/>
    </w:pPr>
    <w:rPr>
      <w:rFonts w:eastAsia="SimSun"/>
    </w:rPr>
  </w:style>
  <w:style w:type="paragraph" w:customStyle="1" w:styleId="CoverNormal">
    <w:name w:val="CoverNormal"/>
    <w:basedOn w:val="a"/>
    <w:next w:val="orange3"/>
    <w:rPr>
      <w:rFonts w:eastAsia="SimSun"/>
    </w:rPr>
  </w:style>
  <w:style w:type="paragraph" w:customStyle="1" w:styleId="LTTitel0">
    <w:name w:val="Пустой слайд~LT~Titel"/>
    <w:next w:val="230"/>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affe">
    <w:name w:val="Блочная цитата"/>
    <w:basedOn w:val="a"/>
    <w:next w:val="sun3"/>
    <w:pPr>
      <w:spacing w:after="283"/>
      <w:ind w:left="567" w:right="567"/>
    </w:pPr>
  </w:style>
  <w:style w:type="paragraph" w:customStyle="1" w:styleId="orange2">
    <w:name w:val="orange2"/>
    <w:next w:val="1f5"/>
    <w:pPr>
      <w:widowControl w:val="0"/>
      <w:suppressAutoHyphens/>
    </w:pPr>
    <w:rPr>
      <w:rFonts w:ascii="Liberation Serif" w:eastAsia="NSimSun" w:hAnsi="Liberation Serif" w:cs="Lucida Sans"/>
      <w:sz w:val="24"/>
      <w:szCs w:val="24"/>
      <w:lang w:eastAsia="zh-CN" w:bidi="hi-IN"/>
    </w:rPr>
  </w:style>
  <w:style w:type="paragraph" w:customStyle="1" w:styleId="31">
    <w:name w:val="Основной текст (3)"/>
    <w:next w:val="earth1"/>
    <w:pPr>
      <w:shd w:val="clear" w:color="auto" w:fill="FFFFFF"/>
      <w:suppressAutoHyphens/>
      <w:jc w:val="both"/>
    </w:pPr>
    <w:rPr>
      <w:rFonts w:ascii="Tahoma" w:eastAsia="Tahoma" w:hAnsi="Tahoma" w:cs="Tahoma"/>
      <w:kern w:val="2"/>
      <w:sz w:val="62"/>
      <w:szCs w:val="62"/>
      <w:lang w:eastAsia="zh-CN" w:bidi="hi-IN"/>
    </w:rPr>
  </w:style>
  <w:style w:type="paragraph" w:customStyle="1" w:styleId="CoverTitlePublication">
    <w:name w:val="CoverTitlePublication"/>
    <w:next w:val="1f6"/>
    <w:pPr>
      <w:widowControl w:val="0"/>
      <w:shd w:val="clear" w:color="auto" w:fill="FFFFFF"/>
      <w:suppressAutoHyphens/>
      <w:jc w:val="center"/>
    </w:pPr>
    <w:rPr>
      <w:rFonts w:ascii="Liberation Serif" w:eastAsia="NSimSun" w:hAnsi="Liberation Serif" w:cs="Lucida Sans"/>
      <w:b/>
      <w:sz w:val="52"/>
      <w:szCs w:val="24"/>
      <w:lang w:eastAsia="zh-CN" w:bidi="hi-IN"/>
    </w:rPr>
  </w:style>
  <w:style w:type="paragraph" w:customStyle="1" w:styleId="orange3">
    <w:name w:val="orange3"/>
    <w:basedOn w:val="31"/>
    <w:next w:val="1LTTitel"/>
  </w:style>
  <w:style w:type="paragraph" w:customStyle="1" w:styleId="32">
    <w:name w:val="Подпись к картинке (3)"/>
    <w:next w:val="earth3"/>
    <w:pPr>
      <w:shd w:val="clear" w:color="auto" w:fill="FFFFFF"/>
      <w:suppressAutoHyphens/>
      <w:ind w:hanging="140"/>
    </w:pPr>
    <w:rPr>
      <w:rFonts w:ascii="Tahoma" w:eastAsia="Tahoma" w:hAnsi="Tahoma" w:cs="Tahoma"/>
      <w:kern w:val="2"/>
      <w:sz w:val="14"/>
      <w:szCs w:val="14"/>
      <w:lang w:eastAsia="zh-CN" w:bidi="hi-IN"/>
    </w:rPr>
  </w:style>
  <w:style w:type="paragraph" w:customStyle="1" w:styleId="CoverSubtitlePublication">
    <w:name w:val="CoverSubtitlePublication"/>
    <w:next w:val="sun2"/>
    <w:pPr>
      <w:widowControl w:val="0"/>
      <w:shd w:val="clear" w:color="auto" w:fill="FFFFFF"/>
      <w:suppressAutoHyphens/>
    </w:pPr>
    <w:rPr>
      <w:rFonts w:ascii="Liberation Serif" w:eastAsia="NSimSun" w:hAnsi="Liberation Serif" w:cs="Lucida Sans"/>
      <w:sz w:val="40"/>
      <w:szCs w:val="24"/>
      <w:lang w:eastAsia="zh-CN" w:bidi="hi-IN"/>
    </w:rPr>
  </w:style>
  <w:style w:type="paragraph" w:customStyle="1" w:styleId="1f6">
    <w:name w:val="Заголовок №1"/>
    <w:next w:val="earth2"/>
    <w:pPr>
      <w:shd w:val="clear" w:color="auto" w:fill="FFFFFF"/>
      <w:suppressAutoHyphens/>
      <w:spacing w:line="763" w:lineRule="exact"/>
      <w:jc w:val="both"/>
    </w:pPr>
    <w:rPr>
      <w:rFonts w:ascii="Tahoma" w:eastAsia="Tahoma" w:hAnsi="Tahoma" w:cs="Tahoma"/>
      <w:kern w:val="2"/>
      <w:sz w:val="62"/>
      <w:szCs w:val="62"/>
      <w:lang w:eastAsia="zh-CN" w:bidi="hi-IN"/>
    </w:rPr>
  </w:style>
  <w:style w:type="paragraph" w:customStyle="1" w:styleId="210">
    <w:name w:val="Основной текст (2)1"/>
    <w:next w:val="green1"/>
    <w:pPr>
      <w:shd w:val="clear" w:color="auto" w:fill="FFFFFF"/>
      <w:suppressAutoHyphens/>
      <w:spacing w:line="331" w:lineRule="exact"/>
      <w:jc w:val="right"/>
    </w:pPr>
    <w:rPr>
      <w:rFonts w:ascii="Tahoma" w:eastAsia="Tahoma" w:hAnsi="Tahoma" w:cs="Tahoma"/>
      <w:kern w:val="2"/>
      <w:sz w:val="17"/>
      <w:szCs w:val="17"/>
      <w:lang w:eastAsia="zh-CN" w:bidi="hi-IN"/>
    </w:rPr>
  </w:style>
  <w:style w:type="paragraph" w:customStyle="1" w:styleId="afff">
    <w:name w:val="Подпись к картинке"/>
    <w:next w:val="green2"/>
    <w:pPr>
      <w:shd w:val="clear" w:color="auto" w:fill="FFFFFF"/>
      <w:suppressAutoHyphens/>
    </w:pPr>
    <w:rPr>
      <w:rFonts w:ascii="Tahoma" w:eastAsia="Tahoma" w:hAnsi="Tahoma" w:cs="Tahoma"/>
      <w:kern w:val="2"/>
      <w:sz w:val="14"/>
      <w:szCs w:val="14"/>
      <w:lang w:eastAsia="zh-CN" w:bidi="hi-IN"/>
    </w:rPr>
  </w:style>
  <w:style w:type="paragraph" w:customStyle="1" w:styleId="150">
    <w:name w:val="Основной текст (15)"/>
    <w:next w:val="seetang2"/>
    <w:pPr>
      <w:shd w:val="clear" w:color="auto" w:fill="FFFFFF"/>
      <w:suppressAutoHyphens/>
      <w:spacing w:line="144" w:lineRule="exact"/>
      <w:jc w:val="both"/>
    </w:pPr>
    <w:rPr>
      <w:rFonts w:ascii="Tahoma" w:eastAsia="Tahoma" w:hAnsi="Tahoma" w:cs="Tahoma"/>
      <w:b/>
      <w:bCs/>
      <w:kern w:val="2"/>
      <w:sz w:val="10"/>
      <w:szCs w:val="10"/>
      <w:lang w:eastAsia="zh-CN" w:bidi="hi-IN"/>
    </w:rPr>
  </w:style>
  <w:style w:type="paragraph" w:customStyle="1" w:styleId="160">
    <w:name w:val="Основной текст (16)"/>
    <w:next w:val="seetang3"/>
    <w:pPr>
      <w:shd w:val="clear" w:color="auto" w:fill="FFFFFF"/>
      <w:suppressAutoHyphens/>
      <w:spacing w:line="144" w:lineRule="exact"/>
      <w:jc w:val="right"/>
    </w:pPr>
    <w:rPr>
      <w:rFonts w:ascii="Tahoma" w:eastAsia="Tahoma" w:hAnsi="Tahoma" w:cs="Tahoma"/>
      <w:kern w:val="2"/>
      <w:sz w:val="10"/>
      <w:szCs w:val="10"/>
      <w:lang w:eastAsia="zh-CN" w:bidi="hi-IN"/>
    </w:rPr>
  </w:style>
  <w:style w:type="paragraph" w:customStyle="1" w:styleId="1f7">
    <w:name w:val="Абзац списка1"/>
    <w:basedOn w:val="a"/>
    <w:next w:val="lightblue2"/>
    <w:pPr>
      <w:ind w:left="720"/>
      <w:contextualSpacing/>
    </w:pPr>
  </w:style>
  <w:style w:type="paragraph" w:customStyle="1" w:styleId="01squarebullet">
    <w:name w:val="01 square bullet"/>
    <w:basedOn w:val="a"/>
    <w:next w:val="lightblue3"/>
    <w:pPr>
      <w:spacing w:before="120" w:after="60" w:line="264" w:lineRule="auto"/>
      <w:ind w:left="360" w:right="142" w:hanging="360"/>
      <w:jc w:val="both"/>
    </w:pPr>
    <w:rPr>
      <w:rFonts w:eastAsia="Calibri"/>
      <w:sz w:val="26"/>
      <w:szCs w:val="20"/>
    </w:rPr>
  </w:style>
  <w:style w:type="paragraph" w:customStyle="1" w:styleId="29">
    <w:name w:val="Без интервала2"/>
    <w:next w:val="yellow3"/>
    <w:pPr>
      <w:suppressAutoHyphens/>
    </w:pPr>
    <w:rPr>
      <w:rFonts w:ascii="Calibri" w:eastAsia="Calibri" w:hAnsi="Calibri"/>
      <w:kern w:val="2"/>
      <w:sz w:val="22"/>
      <w:szCs w:val="22"/>
      <w:lang w:eastAsia="zh-CN"/>
    </w:rPr>
  </w:style>
  <w:style w:type="paragraph" w:customStyle="1" w:styleId="1f8">
    <w:name w:val="Обычный (веб)1"/>
    <w:basedOn w:val="a"/>
    <w:next w:val="afff0"/>
    <w:rPr>
      <w:rFonts w:ascii="Times New Roman" w:eastAsia="Times New Roman" w:hAnsi="Times New Roman" w:cs="Times New Roman"/>
    </w:rPr>
  </w:style>
  <w:style w:type="paragraph" w:customStyle="1" w:styleId="western">
    <w:name w:val="western"/>
    <w:basedOn w:val="a"/>
    <w:next w:val="afff1"/>
    <w:pPr>
      <w:spacing w:before="280" w:after="280"/>
    </w:pPr>
    <w:rPr>
      <w:rFonts w:ascii="Times New Roman" w:eastAsia="Times New Roman" w:hAnsi="Times New Roman" w:cs="Times New Roman"/>
      <w:lang w:eastAsia="ru-RU"/>
    </w:rPr>
  </w:style>
  <w:style w:type="paragraph" w:customStyle="1" w:styleId="Normalpool">
    <w:name w:val="Normal_pool"/>
    <w:next w:val="seetang1"/>
    <w:pPr>
      <w:tabs>
        <w:tab w:val="left" w:pos="1247"/>
        <w:tab w:val="left" w:pos="1814"/>
        <w:tab w:val="left" w:pos="2381"/>
        <w:tab w:val="left" w:pos="2948"/>
        <w:tab w:val="left" w:pos="3515"/>
        <w:tab w:val="left" w:pos="4082"/>
      </w:tabs>
      <w:suppressAutoHyphens/>
    </w:pPr>
    <w:rPr>
      <w:kern w:val="2"/>
      <w:sz w:val="24"/>
      <w:lang w:eastAsia="zh-CN"/>
    </w:rPr>
  </w:style>
  <w:style w:type="paragraph" w:customStyle="1" w:styleId="green3">
    <w:name w:val="green3"/>
    <w:basedOn w:val="31"/>
    <w:next w:val="5LTHintergrundobjekte"/>
  </w:style>
  <w:style w:type="paragraph" w:customStyle="1" w:styleId="afff2">
    <w:name w:val="Контур зеленый"/>
    <w:basedOn w:val="aff1"/>
    <w:next w:val="BlankLTGliederung6"/>
    <w:rPr>
      <w:color w:val="127622"/>
    </w:rPr>
  </w:style>
  <w:style w:type="paragraph" w:customStyle="1" w:styleId="afff3">
    <w:name w:val="Объект без заливки и линий"/>
    <w:next w:val="9"/>
    <w:pPr>
      <w:widowControl w:val="0"/>
      <w:suppressAutoHyphens/>
    </w:pPr>
    <w:rPr>
      <w:rFonts w:ascii="Liberation Serif" w:eastAsia="NSimSun" w:hAnsi="Liberation Serif" w:cs="Lucida Sans"/>
      <w:sz w:val="24"/>
      <w:szCs w:val="24"/>
      <w:lang w:eastAsia="zh-CN" w:bidi="hi-IN"/>
    </w:rPr>
  </w:style>
  <w:style w:type="paragraph" w:customStyle="1" w:styleId="06EPRSubParaLevel2">
    <w:name w:val="(06) EPR SubPara Level 2"/>
    <w:next w:val="LTGliederung5"/>
    <w:pPr>
      <w:widowControl w:val="0"/>
      <w:suppressAutoHyphens/>
      <w:ind w:firstLine="720"/>
    </w:pPr>
    <w:rPr>
      <w:rFonts w:ascii="Liberation Serif" w:eastAsia="NSimSun" w:hAnsi="Liberation Serif" w:cs="Liberation Serif"/>
      <w:sz w:val="24"/>
      <w:szCs w:val="24"/>
      <w:u w:val="single"/>
      <w:lang w:val="en-US" w:eastAsia="zh-CN" w:bidi="hi-IN"/>
    </w:rPr>
  </w:style>
  <w:style w:type="paragraph" w:customStyle="1" w:styleId="AATitle">
    <w:name w:val="AA_Title"/>
    <w:next w:val="LTHintergrund2"/>
    <w:pPr>
      <w:keepNext/>
      <w:keepLines/>
      <w:widowControl w:val="0"/>
      <w:suppressAutoHyphens/>
      <w:ind w:right="5103"/>
    </w:pPr>
    <w:rPr>
      <w:rFonts w:ascii="Liberation Serif" w:eastAsia="NSimSun" w:hAnsi="Liberation Serif" w:cs="Lucida Sans"/>
      <w:b/>
      <w:sz w:val="24"/>
      <w:szCs w:val="24"/>
      <w:lang w:eastAsia="zh-CN" w:bidi="hi-IN"/>
    </w:rPr>
  </w:style>
  <w:style w:type="paragraph" w:customStyle="1" w:styleId="seetang1">
    <w:name w:val="seetang1"/>
    <w:basedOn w:val="31"/>
    <w:next w:val="5LTHintergrund"/>
  </w:style>
  <w:style w:type="paragraph" w:customStyle="1" w:styleId="lightblue1">
    <w:name w:val="lightblue1"/>
    <w:basedOn w:val="31"/>
    <w:next w:val="LTGliederung30"/>
  </w:style>
  <w:style w:type="paragraph" w:customStyle="1" w:styleId="AATitle2">
    <w:name w:val="AA_Title2"/>
    <w:next w:val="1f9"/>
    <w:pPr>
      <w:widowControl w:val="0"/>
      <w:suppressAutoHyphens/>
      <w:spacing w:before="120" w:after="120"/>
      <w:ind w:right="4536"/>
    </w:pPr>
    <w:rPr>
      <w:rFonts w:ascii="Liberation Serif" w:eastAsia="NSimSun" w:hAnsi="Liberation Serif" w:cs="Lucida Sans"/>
      <w:sz w:val="24"/>
      <w:szCs w:val="24"/>
      <w:lang w:eastAsia="zh-CN" w:bidi="hi-IN"/>
    </w:rPr>
  </w:style>
  <w:style w:type="paragraph" w:customStyle="1" w:styleId="LTHintergrund2">
    <w:name w:val="Титульный слайд~LT~Hintergrund"/>
    <w:next w:val="1LTUntertitel"/>
    <w:pPr>
      <w:suppressAutoHyphens/>
    </w:pPr>
    <w:rPr>
      <w:rFonts w:ascii="Liberation Serif" w:eastAsia="Tahoma" w:hAnsi="Liberation Serif" w:cs="Liberation Sans"/>
      <w:kern w:val="2"/>
      <w:sz w:val="24"/>
      <w:szCs w:val="24"/>
      <w:lang w:eastAsia="zh-CN" w:bidi="hi-IN"/>
    </w:rPr>
  </w:style>
  <w:style w:type="paragraph" w:customStyle="1" w:styleId="1fa">
    <w:name w:val="Обычный1"/>
    <w:next w:val="06EPRSubParaLevel2"/>
    <w:pPr>
      <w:suppressAutoHyphens/>
      <w:spacing w:line="200" w:lineRule="atLeast"/>
    </w:pPr>
    <w:rPr>
      <w:rFonts w:ascii="Lucida Sans" w:eastAsia="Tahoma" w:hAnsi="Lucida Sans" w:cs="Liberation Sans"/>
      <w:kern w:val="2"/>
      <w:sz w:val="36"/>
      <w:szCs w:val="24"/>
      <w:lang w:eastAsia="zh-CN" w:bidi="hi-IN"/>
    </w:rPr>
  </w:style>
  <w:style w:type="paragraph" w:customStyle="1" w:styleId="afff4">
    <w:name w:val="Объект без заливки"/>
    <w:basedOn w:val="06EPRSubParaLevel2"/>
    <w:next w:val="1fb"/>
  </w:style>
  <w:style w:type="paragraph" w:customStyle="1" w:styleId="yellow2">
    <w:name w:val="yellow2"/>
    <w:basedOn w:val="31"/>
    <w:next w:val="msonormalcxspmiddle"/>
  </w:style>
  <w:style w:type="paragraph" w:customStyle="1" w:styleId="afff5">
    <w:name w:val="Примечания"/>
    <w:next w:val="BlankLTGliederung3"/>
    <w:pPr>
      <w:suppressAutoHyphens/>
      <w:ind w:left="340" w:hanging="340"/>
    </w:pPr>
    <w:rPr>
      <w:rFonts w:ascii="Lucida Sans" w:eastAsia="Tahoma" w:hAnsi="Lucida Sans" w:cs="Liberation Sans"/>
      <w:kern w:val="2"/>
      <w:sz w:val="40"/>
      <w:szCs w:val="24"/>
      <w:lang w:eastAsia="zh-CN" w:bidi="hi-IN"/>
    </w:rPr>
  </w:style>
  <w:style w:type="paragraph" w:customStyle="1" w:styleId="41">
    <w:name w:val="Заглавие А4"/>
    <w:next w:val="afff6"/>
    <w:pPr>
      <w:widowControl w:val="0"/>
      <w:suppressAutoHyphens/>
    </w:pPr>
    <w:rPr>
      <w:rFonts w:ascii="Liberation Serif" w:eastAsia="NSimSun" w:hAnsi="Liberation Serif" w:cs="Lucida Sans"/>
      <w:sz w:val="87"/>
      <w:szCs w:val="24"/>
      <w:lang w:eastAsia="zh-CN" w:bidi="hi-IN"/>
    </w:rPr>
  </w:style>
  <w:style w:type="paragraph" w:customStyle="1" w:styleId="A40">
    <w:name w:val="A4"/>
    <w:pPr>
      <w:widowControl w:val="0"/>
      <w:suppressAutoHyphens/>
    </w:pPr>
    <w:rPr>
      <w:rFonts w:ascii="Noto Sans" w:eastAsia="NSimSun" w:hAnsi="Noto Sans" w:cs="Noto Sans"/>
      <w:sz w:val="36"/>
      <w:szCs w:val="24"/>
      <w:lang w:eastAsia="zh-CN" w:bidi="hi-IN"/>
    </w:rPr>
  </w:style>
  <w:style w:type="paragraph" w:customStyle="1" w:styleId="42">
    <w:name w:val="Текст А4"/>
    <w:basedOn w:val="A40"/>
    <w:next w:val="LTUntertitel0"/>
  </w:style>
  <w:style w:type="paragraph" w:customStyle="1" w:styleId="1fc">
    <w:name w:val="Текст1"/>
    <w:next w:val="42"/>
    <w:pPr>
      <w:widowControl w:val="0"/>
      <w:suppressAutoHyphens/>
    </w:pPr>
    <w:rPr>
      <w:rFonts w:ascii="Liberation Serif" w:eastAsia="NSimSun" w:hAnsi="Liberation Serif" w:cs="Lucida Sans"/>
      <w:sz w:val="24"/>
      <w:szCs w:val="24"/>
      <w:lang w:eastAsia="zh-CN" w:bidi="hi-IN"/>
    </w:rPr>
  </w:style>
  <w:style w:type="paragraph" w:customStyle="1" w:styleId="yellow1">
    <w:name w:val="yellow1"/>
    <w:basedOn w:val="31"/>
    <w:next w:val="CDMBTEXT"/>
  </w:style>
  <w:style w:type="paragraph" w:customStyle="1" w:styleId="43">
    <w:name w:val="Заголовок А4"/>
    <w:basedOn w:val="A40"/>
    <w:next w:val="8"/>
    <w:rPr>
      <w:sz w:val="48"/>
    </w:rPr>
  </w:style>
  <w:style w:type="paragraph" w:customStyle="1" w:styleId="A00">
    <w:name w:val="A0"/>
    <w:basedOn w:val="42"/>
    <w:next w:val="0"/>
    <w:rPr>
      <w:sz w:val="95"/>
    </w:rPr>
  </w:style>
  <w:style w:type="paragraph" w:customStyle="1" w:styleId="LTGliederung71">
    <w:name w:val="Только заголовок~LT~Gliederung 7"/>
    <w:next w:val="afff7"/>
    <w:pPr>
      <w:widowControl w:val="0"/>
      <w:suppressAutoHyphens/>
    </w:pPr>
    <w:rPr>
      <w:rFonts w:ascii="Liberation Serif" w:eastAsia="NSimSun" w:hAnsi="Liberation Serif" w:cs="Lucida Sans"/>
      <w:sz w:val="24"/>
      <w:szCs w:val="24"/>
      <w:lang w:eastAsia="zh-CN" w:bidi="hi-IN"/>
    </w:rPr>
  </w:style>
  <w:style w:type="paragraph" w:customStyle="1" w:styleId="00">
    <w:name w:val="Заглавие А0"/>
    <w:next w:val="LTNotizen"/>
    <w:pPr>
      <w:widowControl w:val="0"/>
      <w:suppressAutoHyphens/>
    </w:pPr>
    <w:rPr>
      <w:rFonts w:ascii="Liberation Serif" w:eastAsia="NSimSun" w:hAnsi="Liberation Serif" w:cs="Lucida Sans"/>
      <w:sz w:val="191"/>
      <w:szCs w:val="24"/>
      <w:lang w:eastAsia="zh-CN" w:bidi="hi-IN"/>
    </w:rPr>
  </w:style>
  <w:style w:type="paragraph" w:customStyle="1" w:styleId="0">
    <w:name w:val="Заголовок А0"/>
    <w:next w:val="LTGliederung11"/>
    <w:pPr>
      <w:widowControl w:val="0"/>
      <w:suppressAutoHyphens/>
    </w:pPr>
    <w:rPr>
      <w:rFonts w:ascii="Liberation Serif" w:eastAsia="NSimSun" w:hAnsi="Liberation Serif" w:cs="Lucida Sans"/>
      <w:sz w:val="143"/>
      <w:szCs w:val="24"/>
      <w:lang w:eastAsia="zh-CN" w:bidi="hi-IN"/>
    </w:rPr>
  </w:style>
  <w:style w:type="paragraph" w:customStyle="1" w:styleId="01">
    <w:name w:val="Текст А0"/>
    <w:basedOn w:val="0"/>
    <w:next w:val="LTNotizen0"/>
  </w:style>
  <w:style w:type="paragraph" w:customStyle="1" w:styleId="afff8">
    <w:name w:val="Графика"/>
    <w:next w:val="LTGliederung80"/>
    <w:pPr>
      <w:suppressAutoHyphens/>
    </w:pPr>
    <w:rPr>
      <w:rFonts w:ascii="Liberation Sans" w:eastAsia="Tahoma" w:hAnsi="Liberation Sans" w:cs="Liberation Sans"/>
      <w:kern w:val="2"/>
      <w:sz w:val="36"/>
      <w:szCs w:val="24"/>
      <w:lang w:eastAsia="zh-CN" w:bidi="hi-IN"/>
    </w:rPr>
  </w:style>
  <w:style w:type="paragraph" w:customStyle="1" w:styleId="afff9">
    <w:name w:val="Контур"/>
    <w:next w:val="aff1"/>
    <w:pPr>
      <w:widowControl w:val="0"/>
      <w:suppressAutoHyphens/>
    </w:pPr>
    <w:rPr>
      <w:rFonts w:ascii="Liberation Serif" w:eastAsia="NSimSun" w:hAnsi="Liberation Serif" w:cs="Lucida Sans"/>
      <w:sz w:val="24"/>
      <w:szCs w:val="24"/>
      <w:lang w:eastAsia="zh-CN" w:bidi="hi-IN"/>
    </w:rPr>
  </w:style>
  <w:style w:type="paragraph" w:customStyle="1" w:styleId="afffa">
    <w:name w:val="Заливка"/>
    <w:next w:val="LTGliederung2"/>
    <w:pPr>
      <w:widowControl w:val="0"/>
      <w:suppressAutoHyphens/>
    </w:pPr>
    <w:rPr>
      <w:rFonts w:ascii="Liberation Serif" w:eastAsia="NSimSun" w:hAnsi="Liberation Serif" w:cs="Lucida Sans"/>
      <w:sz w:val="24"/>
      <w:szCs w:val="24"/>
      <w:lang w:eastAsia="zh-CN" w:bidi="hi-IN"/>
    </w:rPr>
  </w:style>
  <w:style w:type="paragraph" w:customStyle="1" w:styleId="44">
    <w:name w:val="Структура 4"/>
    <w:next w:val="afffb"/>
    <w:pPr>
      <w:widowControl w:val="0"/>
      <w:suppressAutoHyphens/>
      <w:spacing w:before="113"/>
    </w:pPr>
    <w:rPr>
      <w:rFonts w:ascii="Liberation Serif" w:eastAsia="NSimSun" w:hAnsi="Liberation Serif" w:cs="Lucida Sans"/>
      <w:sz w:val="24"/>
      <w:szCs w:val="24"/>
      <w:lang w:eastAsia="zh-CN" w:bidi="hi-IN"/>
    </w:rPr>
  </w:style>
  <w:style w:type="paragraph" w:customStyle="1" w:styleId="afff7">
    <w:name w:val="Заливка синим"/>
    <w:basedOn w:val="LTGliederung2"/>
    <w:next w:val="LTGliederung81"/>
    <w:rPr>
      <w:color w:val="FFFFFF"/>
    </w:rPr>
  </w:style>
  <w:style w:type="paragraph" w:customStyle="1" w:styleId="afffc">
    <w:name w:val="Фигуры"/>
    <w:next w:val="44"/>
    <w:pPr>
      <w:widowControl w:val="0"/>
      <w:suppressAutoHyphens/>
    </w:pPr>
    <w:rPr>
      <w:rFonts w:ascii="Liberation Serif" w:eastAsia="NSimSun" w:hAnsi="Liberation Serif" w:cs="Lucida Sans"/>
      <w:b/>
      <w:sz w:val="28"/>
      <w:szCs w:val="24"/>
      <w:lang w:eastAsia="zh-CN" w:bidi="hi-IN"/>
    </w:rPr>
  </w:style>
  <w:style w:type="paragraph" w:customStyle="1" w:styleId="LTGliederung80">
    <w:name w:val="Только заголовок~LT~Gliederung 8"/>
    <w:next w:val="afffb"/>
    <w:pPr>
      <w:widowControl w:val="0"/>
      <w:suppressAutoHyphens/>
    </w:pPr>
    <w:rPr>
      <w:rFonts w:ascii="Liberation Serif" w:eastAsia="NSimSun" w:hAnsi="Liberation Serif" w:cs="Lucida Sans"/>
      <w:sz w:val="24"/>
      <w:szCs w:val="24"/>
      <w:lang w:eastAsia="zh-CN" w:bidi="hi-IN"/>
    </w:rPr>
  </w:style>
  <w:style w:type="paragraph" w:customStyle="1" w:styleId="afffd">
    <w:name w:val="Заливка жёлтым"/>
    <w:basedOn w:val="LTGliederung2"/>
    <w:next w:val="120"/>
    <w:rPr>
      <w:color w:val="FFFFFF"/>
    </w:rPr>
  </w:style>
  <w:style w:type="paragraph" w:customStyle="1" w:styleId="5">
    <w:name w:val="Структура 5"/>
    <w:next w:val="05EPRHeadingLevel2"/>
    <w:pPr>
      <w:widowControl w:val="0"/>
      <w:suppressAutoHyphens/>
      <w:spacing w:before="57"/>
    </w:pPr>
    <w:rPr>
      <w:rFonts w:ascii="Liberation Serif" w:eastAsia="NSimSun" w:hAnsi="Liberation Serif" w:cs="Lucida Sans"/>
      <w:sz w:val="24"/>
      <w:szCs w:val="24"/>
      <w:lang w:eastAsia="zh-CN" w:bidi="hi-IN"/>
    </w:rPr>
  </w:style>
  <w:style w:type="paragraph" w:customStyle="1" w:styleId="afffb">
    <w:name w:val="Заливка красным"/>
    <w:basedOn w:val="LTGliederung2"/>
    <w:next w:val="afffe"/>
    <w:rPr>
      <w:color w:val="FFFFFF"/>
    </w:rPr>
  </w:style>
  <w:style w:type="paragraph" w:customStyle="1" w:styleId="affff">
    <w:name w:val="Контур красный"/>
    <w:basedOn w:val="aff1"/>
    <w:next w:val="BlankLTGliederung7"/>
    <w:rPr>
      <w:color w:val="C9211E"/>
    </w:rPr>
  </w:style>
  <w:style w:type="paragraph" w:customStyle="1" w:styleId="affff0">
    <w:name w:val="Линии"/>
    <w:basedOn w:val="LTGliederung80"/>
    <w:next w:val="affff1"/>
  </w:style>
  <w:style w:type="paragraph" w:customStyle="1" w:styleId="affff2">
    <w:name w:val="Столбец"/>
    <w:basedOn w:val="aff8"/>
    <w:next w:val="BlankLTGliederung5"/>
    <w:pPr>
      <w:jc w:val="right"/>
    </w:pPr>
  </w:style>
  <w:style w:type="paragraph" w:customStyle="1" w:styleId="LTTitel1">
    <w:name w:val="Заголовок и объект~LT~Titel"/>
    <w:next w:val="BlankLTHintergrund"/>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LTGliederung7">
    <w:name w:val="Заголовок и объект~LT~Gliederung 7"/>
    <w:next w:val="LTGliederung50"/>
    <w:pPr>
      <w:widowControl w:val="0"/>
      <w:suppressAutoHyphens/>
    </w:pPr>
    <w:rPr>
      <w:rFonts w:ascii="Liberation Serif" w:eastAsia="NSimSun" w:hAnsi="Liberation Serif" w:cs="Lucida Sans"/>
      <w:sz w:val="24"/>
      <w:szCs w:val="24"/>
      <w:lang w:eastAsia="zh-CN" w:bidi="hi-IN"/>
    </w:rPr>
  </w:style>
  <w:style w:type="paragraph" w:customStyle="1" w:styleId="BlankLTGliederung5">
    <w:name w:val="Blank~LT~Gliederung 5"/>
    <w:next w:val="LTUntertitel1"/>
    <w:pPr>
      <w:widowControl w:val="0"/>
      <w:suppressAutoHyphens/>
      <w:spacing w:before="57"/>
    </w:pPr>
    <w:rPr>
      <w:rFonts w:ascii="Liberation Serif" w:eastAsia="NSimSun" w:hAnsi="Liberation Serif" w:cs="Lucida Sans"/>
      <w:sz w:val="24"/>
      <w:szCs w:val="24"/>
      <w:lang w:eastAsia="zh-CN" w:bidi="hi-IN"/>
    </w:rPr>
  </w:style>
  <w:style w:type="paragraph" w:customStyle="1" w:styleId="LTGliederung70">
    <w:name w:val="Титульный слайд~LT~Gliederung 7"/>
    <w:next w:val="LTNotizen1"/>
    <w:pPr>
      <w:widowControl w:val="0"/>
      <w:suppressAutoHyphens/>
    </w:pPr>
    <w:rPr>
      <w:rFonts w:ascii="Liberation Serif" w:eastAsia="NSimSun" w:hAnsi="Liberation Serif" w:cs="Lucida Sans"/>
      <w:sz w:val="24"/>
      <w:szCs w:val="24"/>
      <w:lang w:eastAsia="zh-CN" w:bidi="hi-IN"/>
    </w:rPr>
  </w:style>
  <w:style w:type="paragraph" w:customStyle="1" w:styleId="LTGliederung4">
    <w:name w:val="Титульный слайд~LT~Gliederung 4"/>
    <w:next w:val="LTGliederung31"/>
    <w:pPr>
      <w:widowControl w:val="0"/>
      <w:suppressAutoHyphens/>
      <w:spacing w:before="113"/>
    </w:pPr>
    <w:rPr>
      <w:rFonts w:ascii="Liberation Serif" w:eastAsia="NSimSun" w:hAnsi="Liberation Serif" w:cs="Lucida Sans"/>
      <w:sz w:val="24"/>
      <w:szCs w:val="24"/>
      <w:lang w:eastAsia="zh-CN" w:bidi="hi-IN"/>
    </w:rPr>
  </w:style>
  <w:style w:type="paragraph" w:customStyle="1" w:styleId="LTGliederung20">
    <w:name w:val="Титульный слайд~LT~Gliederung 2"/>
    <w:next w:val="LTNotizen2"/>
    <w:pPr>
      <w:widowControl w:val="0"/>
      <w:suppressAutoHyphens/>
      <w:spacing w:before="227"/>
    </w:pPr>
    <w:rPr>
      <w:rFonts w:ascii="Liberation Serif" w:eastAsia="NSimSun" w:hAnsi="Liberation Serif" w:cs="Lucida Sans"/>
      <w:sz w:val="48"/>
      <w:szCs w:val="24"/>
      <w:lang w:eastAsia="zh-CN" w:bidi="hi-IN"/>
    </w:rPr>
  </w:style>
  <w:style w:type="paragraph" w:customStyle="1" w:styleId="affff3">
    <w:name w:val="Стрелки"/>
    <w:next w:val="BlankLTGliederung9"/>
    <w:pPr>
      <w:widowControl w:val="0"/>
      <w:suppressAutoHyphens/>
    </w:pPr>
    <w:rPr>
      <w:rFonts w:ascii="Liberation Serif" w:eastAsia="NSimSun" w:hAnsi="Liberation Serif" w:cs="Lucida Sans"/>
      <w:sz w:val="24"/>
      <w:szCs w:val="24"/>
      <w:lang w:eastAsia="zh-CN" w:bidi="hi-IN"/>
    </w:rPr>
  </w:style>
  <w:style w:type="paragraph" w:customStyle="1" w:styleId="affff1">
    <w:name w:val="Штриховая линия"/>
    <w:next w:val="BlankLTTitel"/>
    <w:pPr>
      <w:widowControl w:val="0"/>
      <w:suppressAutoHyphens/>
    </w:pPr>
    <w:rPr>
      <w:rFonts w:ascii="Liberation Serif" w:eastAsia="NSimSun" w:hAnsi="Liberation Serif" w:cs="Lucida Sans"/>
      <w:sz w:val="24"/>
      <w:szCs w:val="24"/>
      <w:lang w:eastAsia="zh-CN" w:bidi="hi-IN"/>
    </w:rPr>
  </w:style>
  <w:style w:type="paragraph" w:customStyle="1" w:styleId="LTGliederung1">
    <w:name w:val="Титульный слайд~LT~Gliederung 1"/>
    <w:next w:val="affff3"/>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LTUntertitel">
    <w:name w:val="Заголовок и объект~LT~Untertitel"/>
    <w:next w:val="affff4"/>
    <w:pPr>
      <w:suppressAutoHyphens/>
      <w:jc w:val="center"/>
    </w:pPr>
    <w:rPr>
      <w:rFonts w:ascii="Lucida Sans" w:eastAsia="Tahoma" w:hAnsi="Lucida Sans" w:cs="Liberation Sans"/>
      <w:kern w:val="2"/>
      <w:sz w:val="64"/>
      <w:szCs w:val="24"/>
      <w:lang w:eastAsia="zh-CN" w:bidi="hi-IN"/>
    </w:rPr>
  </w:style>
  <w:style w:type="paragraph" w:customStyle="1" w:styleId="LTHintergrundobjekte">
    <w:name w:val="Титульный слайд~LT~Hintergrundobjekte"/>
    <w:next w:val="211"/>
    <w:pPr>
      <w:suppressAutoHyphens/>
    </w:pPr>
    <w:rPr>
      <w:rFonts w:ascii="Liberation Serif" w:eastAsia="Tahoma" w:hAnsi="Liberation Serif" w:cs="Liberation Sans"/>
      <w:kern w:val="2"/>
      <w:sz w:val="24"/>
      <w:szCs w:val="24"/>
      <w:lang w:eastAsia="zh-CN" w:bidi="hi-IN"/>
    </w:rPr>
  </w:style>
  <w:style w:type="paragraph" w:customStyle="1" w:styleId="LTGliederung91">
    <w:name w:val="Титульный слайд~LT~Gliederung 9"/>
    <w:next w:val="BlankLTUntertitel"/>
    <w:pPr>
      <w:widowControl w:val="0"/>
      <w:suppressAutoHyphens/>
    </w:pPr>
    <w:rPr>
      <w:rFonts w:ascii="Liberation Serif" w:eastAsia="NSimSun" w:hAnsi="Liberation Serif" w:cs="Lucida Sans"/>
      <w:sz w:val="24"/>
      <w:szCs w:val="24"/>
      <w:lang w:eastAsia="zh-CN" w:bidi="hi-IN"/>
    </w:rPr>
  </w:style>
  <w:style w:type="paragraph" w:customStyle="1" w:styleId="LTGliederung21">
    <w:name w:val="Пустой слайд~LT~Gliederung 2"/>
    <w:next w:val="LTUntertitel1"/>
    <w:pPr>
      <w:widowControl w:val="0"/>
      <w:suppressAutoHyphens/>
      <w:spacing w:before="227"/>
    </w:pPr>
    <w:rPr>
      <w:rFonts w:ascii="Liberation Serif" w:eastAsia="NSimSun" w:hAnsi="Liberation Serif" w:cs="Lucida Sans"/>
      <w:sz w:val="48"/>
      <w:szCs w:val="24"/>
      <w:lang w:eastAsia="zh-CN" w:bidi="hi-IN"/>
    </w:rPr>
  </w:style>
  <w:style w:type="paragraph" w:customStyle="1" w:styleId="LTGliederung51">
    <w:name w:val="Титульный слайд~LT~Gliederung 5"/>
    <w:next w:val="1f3"/>
    <w:pPr>
      <w:widowControl w:val="0"/>
      <w:suppressAutoHyphens/>
      <w:spacing w:before="57"/>
    </w:pPr>
    <w:rPr>
      <w:rFonts w:ascii="Liberation Serif" w:eastAsia="NSimSun" w:hAnsi="Liberation Serif" w:cs="Lucida Sans"/>
      <w:sz w:val="24"/>
      <w:szCs w:val="24"/>
      <w:lang w:eastAsia="zh-CN" w:bidi="hi-IN"/>
    </w:rPr>
  </w:style>
  <w:style w:type="paragraph" w:customStyle="1" w:styleId="LTGliederung31">
    <w:name w:val="Титульный слайд~LT~Gliederung 3"/>
    <w:next w:val="LTGliederung20"/>
    <w:pPr>
      <w:widowControl w:val="0"/>
      <w:suppressAutoHyphens/>
      <w:spacing w:before="170"/>
    </w:pPr>
    <w:rPr>
      <w:rFonts w:ascii="Liberation Serif" w:eastAsia="NSimSun" w:hAnsi="Liberation Serif" w:cs="Lucida Sans"/>
      <w:sz w:val="40"/>
      <w:szCs w:val="24"/>
      <w:lang w:eastAsia="zh-CN" w:bidi="hi-IN"/>
    </w:rPr>
  </w:style>
  <w:style w:type="paragraph" w:customStyle="1" w:styleId="LTNotizen2">
    <w:name w:val="Заголовок и объект~LT~Notizen"/>
    <w:next w:val="ConsPlusNormal"/>
    <w:pPr>
      <w:suppressAutoHyphens/>
      <w:ind w:left="340" w:hanging="340"/>
    </w:pPr>
    <w:rPr>
      <w:rFonts w:ascii="Lucida Sans" w:eastAsia="Tahoma" w:hAnsi="Lucida Sans" w:cs="Liberation Sans"/>
      <w:kern w:val="2"/>
      <w:sz w:val="40"/>
      <w:szCs w:val="24"/>
      <w:lang w:eastAsia="zh-CN" w:bidi="hi-IN"/>
    </w:rPr>
  </w:style>
  <w:style w:type="paragraph" w:customStyle="1" w:styleId="LTHintergrundobjekte0">
    <w:name w:val="Заголовок и объект~LT~Hintergrundobjekte"/>
    <w:next w:val="1fd"/>
    <w:pPr>
      <w:suppressAutoHyphens/>
    </w:pPr>
    <w:rPr>
      <w:rFonts w:ascii="Liberation Serif" w:eastAsia="Tahoma" w:hAnsi="Liberation Serif" w:cs="Liberation Sans"/>
      <w:kern w:val="2"/>
      <w:sz w:val="24"/>
      <w:szCs w:val="24"/>
      <w:lang w:eastAsia="zh-CN" w:bidi="hi-IN"/>
    </w:rPr>
  </w:style>
  <w:style w:type="paragraph" w:customStyle="1" w:styleId="LTGliederung10">
    <w:name w:val="Пустой слайд~LT~Gliederung 1"/>
    <w:next w:val="LTGliederung51"/>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BlankLTGliederung4">
    <w:name w:val="Blank~LT~Gliederung 4"/>
    <w:next w:val="LTGliederung51"/>
    <w:pPr>
      <w:widowControl w:val="0"/>
      <w:suppressAutoHyphens/>
      <w:spacing w:before="113"/>
    </w:pPr>
    <w:rPr>
      <w:rFonts w:ascii="Liberation Serif" w:eastAsia="NSimSun" w:hAnsi="Liberation Serif" w:cs="Lucida Sans"/>
      <w:sz w:val="24"/>
      <w:szCs w:val="24"/>
      <w:lang w:eastAsia="zh-CN" w:bidi="hi-IN"/>
    </w:rPr>
  </w:style>
  <w:style w:type="paragraph" w:customStyle="1" w:styleId="LTTitel">
    <w:name w:val="Титульный слайд~LT~Titel"/>
    <w:next w:val="LTUntertitel2"/>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LTGliederung8">
    <w:name w:val="Титульный слайд~LT~Gliederung 8"/>
    <w:next w:val="LTGliederung21"/>
    <w:pPr>
      <w:widowControl w:val="0"/>
      <w:suppressAutoHyphens/>
    </w:pPr>
    <w:rPr>
      <w:rFonts w:ascii="Liberation Serif" w:eastAsia="NSimSun" w:hAnsi="Liberation Serif" w:cs="Lucida Sans"/>
      <w:sz w:val="24"/>
      <w:szCs w:val="24"/>
      <w:lang w:eastAsia="zh-CN" w:bidi="hi-IN"/>
    </w:rPr>
  </w:style>
  <w:style w:type="paragraph" w:customStyle="1" w:styleId="LTNotizen1">
    <w:name w:val="Титульный слайд~LT~Notizen"/>
    <w:next w:val="1LTGliederung1"/>
    <w:pPr>
      <w:suppressAutoHyphens/>
      <w:ind w:left="340" w:hanging="340"/>
    </w:pPr>
    <w:rPr>
      <w:rFonts w:ascii="Lucida Sans" w:eastAsia="Tahoma" w:hAnsi="Lucida Sans" w:cs="Liberation Sans"/>
      <w:kern w:val="2"/>
      <w:sz w:val="40"/>
      <w:szCs w:val="24"/>
      <w:lang w:eastAsia="zh-CN" w:bidi="hi-IN"/>
    </w:rPr>
  </w:style>
  <w:style w:type="paragraph" w:customStyle="1" w:styleId="LTGliederung3">
    <w:name w:val="Пустой слайд~LT~Gliederung 3"/>
    <w:next w:val="LTGliederung82"/>
    <w:pPr>
      <w:widowControl w:val="0"/>
      <w:suppressAutoHyphens/>
      <w:spacing w:before="170"/>
    </w:pPr>
    <w:rPr>
      <w:rFonts w:ascii="Liberation Serif" w:eastAsia="NSimSun" w:hAnsi="Liberation Serif" w:cs="Lucida Sans"/>
      <w:sz w:val="40"/>
      <w:szCs w:val="24"/>
      <w:lang w:eastAsia="zh-CN" w:bidi="hi-IN"/>
    </w:rPr>
  </w:style>
  <w:style w:type="paragraph" w:customStyle="1" w:styleId="LTUntertitel1">
    <w:name w:val="Титульный слайд~LT~Untertitel"/>
    <w:next w:val="LTHintergrundobjekte1"/>
    <w:pPr>
      <w:suppressAutoHyphens/>
      <w:jc w:val="center"/>
    </w:pPr>
    <w:rPr>
      <w:rFonts w:ascii="Lucida Sans" w:eastAsia="Tahoma" w:hAnsi="Lucida Sans" w:cs="Liberation Sans"/>
      <w:kern w:val="2"/>
      <w:sz w:val="64"/>
      <w:szCs w:val="24"/>
      <w:lang w:eastAsia="zh-CN" w:bidi="hi-IN"/>
    </w:rPr>
  </w:style>
  <w:style w:type="paragraph" w:customStyle="1" w:styleId="default0">
    <w:name w:val="default"/>
    <w:next w:val="31"/>
    <w:pPr>
      <w:suppressAutoHyphens/>
      <w:spacing w:line="200" w:lineRule="atLeast"/>
    </w:pPr>
    <w:rPr>
      <w:rFonts w:ascii="Lucida Sans" w:eastAsia="Tahoma" w:hAnsi="Lucida Sans" w:cs="Liberation Sans"/>
      <w:kern w:val="2"/>
      <w:sz w:val="36"/>
      <w:szCs w:val="24"/>
      <w:lang w:eastAsia="zh-CN" w:bidi="hi-IN"/>
    </w:rPr>
  </w:style>
  <w:style w:type="paragraph" w:customStyle="1" w:styleId="gray1">
    <w:name w:val="gray1"/>
    <w:basedOn w:val="31"/>
    <w:next w:val="1LTGliederung8"/>
  </w:style>
  <w:style w:type="paragraph" w:customStyle="1" w:styleId="gray2">
    <w:name w:val="gray2"/>
    <w:basedOn w:val="31"/>
    <w:next w:val="1LTHintergrundobjekte"/>
  </w:style>
  <w:style w:type="paragraph" w:customStyle="1" w:styleId="gray3">
    <w:name w:val="gray3"/>
    <w:basedOn w:val="31"/>
    <w:next w:val="1LTGliederung9"/>
  </w:style>
  <w:style w:type="paragraph" w:customStyle="1" w:styleId="bw1">
    <w:name w:val="bw1"/>
    <w:basedOn w:val="31"/>
    <w:next w:val="z-1"/>
  </w:style>
  <w:style w:type="paragraph" w:customStyle="1" w:styleId="bw2">
    <w:name w:val="bw2"/>
    <w:basedOn w:val="31"/>
    <w:next w:val="z-10"/>
  </w:style>
  <w:style w:type="paragraph" w:customStyle="1" w:styleId="bw3">
    <w:name w:val="bw3"/>
    <w:basedOn w:val="31"/>
    <w:next w:val="j18"/>
  </w:style>
  <w:style w:type="paragraph" w:customStyle="1" w:styleId="orange1">
    <w:name w:val="orange1"/>
    <w:basedOn w:val="31"/>
    <w:next w:val="2a"/>
  </w:style>
  <w:style w:type="paragraph" w:customStyle="1" w:styleId="turquoise1">
    <w:name w:val="turquoise1"/>
    <w:basedOn w:val="31"/>
    <w:next w:val="1LTNotizen"/>
  </w:style>
  <w:style w:type="paragraph" w:customStyle="1" w:styleId="turquoise2">
    <w:name w:val="turquoise2"/>
    <w:basedOn w:val="31"/>
    <w:next w:val="1LTHintergrund"/>
  </w:style>
  <w:style w:type="paragraph" w:customStyle="1" w:styleId="turquoise3">
    <w:name w:val="turquoise3"/>
    <w:basedOn w:val="31"/>
    <w:next w:val="5LTGliederung1"/>
  </w:style>
  <w:style w:type="paragraph" w:customStyle="1" w:styleId="blue1">
    <w:name w:val="blue1"/>
    <w:basedOn w:val="31"/>
    <w:next w:val="5LTGliederung2"/>
  </w:style>
  <w:style w:type="paragraph" w:customStyle="1" w:styleId="blue2">
    <w:name w:val="blue2"/>
    <w:basedOn w:val="31"/>
    <w:next w:val="5LTGliederung3"/>
  </w:style>
  <w:style w:type="paragraph" w:customStyle="1" w:styleId="blue3">
    <w:name w:val="blue3"/>
    <w:basedOn w:val="31"/>
    <w:next w:val="5LTGliederung4"/>
  </w:style>
  <w:style w:type="paragraph" w:customStyle="1" w:styleId="sun1">
    <w:name w:val="sun1"/>
    <w:basedOn w:val="31"/>
    <w:next w:val="5LTGliederung5"/>
  </w:style>
  <w:style w:type="paragraph" w:customStyle="1" w:styleId="sun2">
    <w:name w:val="sun2"/>
    <w:basedOn w:val="31"/>
    <w:next w:val="5LTGliederung6"/>
  </w:style>
  <w:style w:type="paragraph" w:customStyle="1" w:styleId="sun3">
    <w:name w:val="sun3"/>
    <w:basedOn w:val="31"/>
    <w:next w:val="5LTGliederung7"/>
  </w:style>
  <w:style w:type="paragraph" w:customStyle="1" w:styleId="earth1">
    <w:name w:val="earth1"/>
    <w:basedOn w:val="31"/>
    <w:next w:val="5LTGliederung8"/>
  </w:style>
  <w:style w:type="paragraph" w:customStyle="1" w:styleId="earth2">
    <w:name w:val="earth2"/>
    <w:basedOn w:val="31"/>
    <w:next w:val="5LTGliederung9"/>
  </w:style>
  <w:style w:type="paragraph" w:customStyle="1" w:styleId="earth3">
    <w:name w:val="earth3"/>
    <w:basedOn w:val="31"/>
    <w:next w:val="5LTTitel"/>
  </w:style>
  <w:style w:type="paragraph" w:customStyle="1" w:styleId="green1">
    <w:name w:val="green1"/>
    <w:basedOn w:val="31"/>
    <w:next w:val="5LTUntertitel"/>
  </w:style>
  <w:style w:type="paragraph" w:customStyle="1" w:styleId="green2">
    <w:name w:val="green2"/>
    <w:basedOn w:val="31"/>
    <w:next w:val="5LTNotizen"/>
  </w:style>
  <w:style w:type="paragraph" w:customStyle="1" w:styleId="seetang2">
    <w:name w:val="seetang2"/>
    <w:basedOn w:val="31"/>
    <w:next w:val="LTGliederung12"/>
  </w:style>
  <w:style w:type="paragraph" w:customStyle="1" w:styleId="seetang3">
    <w:name w:val="seetang3"/>
    <w:basedOn w:val="31"/>
    <w:next w:val="LTGliederung22"/>
  </w:style>
  <w:style w:type="paragraph" w:customStyle="1" w:styleId="lightblue2">
    <w:name w:val="lightblue2"/>
    <w:basedOn w:val="31"/>
    <w:next w:val="LTGliederung40"/>
  </w:style>
  <w:style w:type="paragraph" w:customStyle="1" w:styleId="lightblue3">
    <w:name w:val="lightblue3"/>
    <w:basedOn w:val="31"/>
    <w:next w:val="LTHintergrundobjekte2"/>
  </w:style>
  <w:style w:type="paragraph" w:customStyle="1" w:styleId="yellow3">
    <w:name w:val="yellow3"/>
    <w:basedOn w:val="31"/>
    <w:next w:val="affff5"/>
  </w:style>
  <w:style w:type="paragraph" w:customStyle="1" w:styleId="afff0">
    <w:name w:val="Объекты фона"/>
    <w:next w:val="BlankLTGliederung1"/>
    <w:pPr>
      <w:suppressAutoHyphens/>
    </w:pPr>
    <w:rPr>
      <w:rFonts w:ascii="Liberation Serif" w:eastAsia="Tahoma" w:hAnsi="Liberation Serif" w:cs="Liberation Sans"/>
      <w:kern w:val="2"/>
      <w:sz w:val="24"/>
      <w:szCs w:val="24"/>
      <w:lang w:eastAsia="zh-CN" w:bidi="hi-IN"/>
    </w:rPr>
  </w:style>
  <w:style w:type="paragraph" w:customStyle="1" w:styleId="afff1">
    <w:name w:val="Фон"/>
    <w:next w:val="BlankLTGliederung2"/>
    <w:pPr>
      <w:suppressAutoHyphens/>
    </w:pPr>
    <w:rPr>
      <w:rFonts w:ascii="Liberation Serif" w:eastAsia="Tahoma" w:hAnsi="Liberation Serif" w:cs="Liberation Sans"/>
      <w:kern w:val="2"/>
      <w:sz w:val="24"/>
      <w:szCs w:val="24"/>
      <w:lang w:eastAsia="zh-CN" w:bidi="hi-IN"/>
    </w:rPr>
  </w:style>
  <w:style w:type="paragraph" w:customStyle="1" w:styleId="1f9">
    <w:name w:val="Структура 1"/>
    <w:next w:val="LTGliederung60"/>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LTGliederung5">
    <w:name w:val="Только заголовок~LT~Gliederung 5"/>
    <w:next w:val="LTGliederung60"/>
    <w:pPr>
      <w:widowControl w:val="0"/>
      <w:suppressAutoHyphens/>
      <w:spacing w:before="57"/>
    </w:pPr>
    <w:rPr>
      <w:rFonts w:ascii="Liberation Serif" w:eastAsia="NSimSun" w:hAnsi="Liberation Serif" w:cs="Lucida Sans"/>
      <w:sz w:val="24"/>
      <w:szCs w:val="24"/>
      <w:lang w:eastAsia="zh-CN" w:bidi="hi-IN"/>
    </w:rPr>
  </w:style>
  <w:style w:type="paragraph" w:customStyle="1" w:styleId="1fb">
    <w:name w:val="Абзац списка1"/>
    <w:basedOn w:val="a"/>
    <w:next w:val="affff6"/>
    <w:pPr>
      <w:spacing w:after="160"/>
      <w:ind w:left="720"/>
      <w:contextualSpacing/>
    </w:pPr>
  </w:style>
  <w:style w:type="paragraph" w:customStyle="1" w:styleId="9">
    <w:name w:val="Структура 9"/>
    <w:next w:val="BlankLTNotizen"/>
    <w:pPr>
      <w:widowControl w:val="0"/>
      <w:suppressAutoHyphens/>
    </w:pPr>
    <w:rPr>
      <w:rFonts w:ascii="Liberation Serif" w:eastAsia="NSimSun" w:hAnsi="Liberation Serif" w:cs="Lucida Sans"/>
      <w:sz w:val="24"/>
      <w:szCs w:val="24"/>
      <w:lang w:eastAsia="zh-CN" w:bidi="hi-IN"/>
    </w:rPr>
  </w:style>
  <w:style w:type="paragraph" w:customStyle="1" w:styleId="7">
    <w:name w:val="Структура 7"/>
    <w:next w:val="33"/>
    <w:pPr>
      <w:widowControl w:val="0"/>
      <w:suppressAutoHyphens/>
    </w:pPr>
    <w:rPr>
      <w:rFonts w:ascii="Liberation Serif" w:eastAsia="NSimSun" w:hAnsi="Liberation Serif" w:cs="Lucida Sans"/>
      <w:sz w:val="24"/>
      <w:szCs w:val="24"/>
      <w:lang w:eastAsia="zh-CN" w:bidi="hi-IN"/>
    </w:rPr>
  </w:style>
  <w:style w:type="paragraph" w:customStyle="1" w:styleId="28">
    <w:name w:val="Структура 2"/>
    <w:next w:val="LTTitel2"/>
    <w:pPr>
      <w:widowControl w:val="0"/>
      <w:suppressAutoHyphens/>
      <w:spacing w:before="227"/>
      <w:contextualSpacing/>
    </w:pPr>
    <w:rPr>
      <w:rFonts w:ascii="Liberation Serif" w:eastAsia="NSimSun" w:hAnsi="Liberation Serif" w:cs="Lucida Sans"/>
      <w:sz w:val="48"/>
      <w:szCs w:val="24"/>
      <w:lang w:eastAsia="zh-CN" w:bidi="hi-IN"/>
    </w:rPr>
  </w:style>
  <w:style w:type="paragraph" w:customStyle="1" w:styleId="LTGliederung60">
    <w:name w:val="Только заголовок~LT~Gliederung 6"/>
    <w:next w:val="LTTitel2"/>
    <w:pPr>
      <w:widowControl w:val="0"/>
      <w:suppressAutoHyphens/>
    </w:pPr>
    <w:rPr>
      <w:rFonts w:ascii="Liberation Serif" w:eastAsia="NSimSun" w:hAnsi="Liberation Serif" w:cs="Lucida Sans"/>
      <w:sz w:val="24"/>
      <w:szCs w:val="24"/>
      <w:lang w:eastAsia="zh-CN" w:bidi="hi-IN"/>
    </w:rPr>
  </w:style>
  <w:style w:type="paragraph" w:styleId="afff6">
    <w:name w:val="header"/>
    <w:basedOn w:val="a"/>
    <w:next w:val="LTHintergrund0"/>
    <w:link w:val="affff7"/>
    <w:pPr>
      <w:tabs>
        <w:tab w:val="center" w:pos="4680"/>
        <w:tab w:val="right" w:pos="9360"/>
      </w:tabs>
    </w:pPr>
    <w:rPr>
      <w:rFonts w:eastAsia="font275" w:cs="font275"/>
      <w:szCs w:val="22"/>
      <w:lang w:val="fr-FR" w:eastAsia="en-US"/>
    </w:rPr>
  </w:style>
  <w:style w:type="paragraph" w:customStyle="1" w:styleId="8">
    <w:name w:val="Структура 8"/>
    <w:next w:val="7"/>
    <w:pPr>
      <w:widowControl w:val="0"/>
      <w:suppressAutoHyphens/>
    </w:pPr>
    <w:rPr>
      <w:rFonts w:ascii="Liberation Serif" w:eastAsia="NSimSun" w:hAnsi="Liberation Serif" w:cs="Lucida Sans"/>
      <w:sz w:val="24"/>
      <w:szCs w:val="24"/>
      <w:lang w:eastAsia="zh-CN" w:bidi="hi-IN"/>
    </w:rPr>
  </w:style>
  <w:style w:type="paragraph" w:customStyle="1" w:styleId="33">
    <w:name w:val="Структура 3"/>
    <w:next w:val="afff7"/>
    <w:pPr>
      <w:widowControl w:val="0"/>
      <w:suppressAutoHyphens/>
      <w:spacing w:before="170"/>
    </w:pPr>
    <w:rPr>
      <w:rFonts w:ascii="Liberation Serif" w:eastAsia="NSimSun" w:hAnsi="Liberation Serif" w:cs="Lucida Sans"/>
      <w:sz w:val="40"/>
      <w:szCs w:val="24"/>
      <w:lang w:eastAsia="zh-CN" w:bidi="hi-IN"/>
    </w:rPr>
  </w:style>
  <w:style w:type="paragraph" w:customStyle="1" w:styleId="LTTitel2">
    <w:name w:val="Только заголовок~LT~Titel"/>
    <w:next w:val="28"/>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LTUntertitel0">
    <w:name w:val="Только заголовок~LT~Untertitel"/>
    <w:next w:val="33"/>
    <w:pPr>
      <w:suppressAutoHyphens/>
      <w:jc w:val="center"/>
    </w:pPr>
    <w:rPr>
      <w:rFonts w:ascii="Lucida Sans" w:eastAsia="Tahoma" w:hAnsi="Lucida Sans" w:cs="Liberation Sans"/>
      <w:kern w:val="2"/>
      <w:sz w:val="64"/>
      <w:szCs w:val="24"/>
      <w:lang w:eastAsia="zh-CN" w:bidi="hi-IN"/>
    </w:rPr>
  </w:style>
  <w:style w:type="paragraph" w:customStyle="1" w:styleId="LTNotizen">
    <w:name w:val="Только заголовок~LT~Notizen"/>
    <w:next w:val="7"/>
    <w:pPr>
      <w:suppressAutoHyphens/>
      <w:ind w:left="340" w:hanging="340"/>
    </w:pPr>
    <w:rPr>
      <w:rFonts w:ascii="Lucida Sans" w:eastAsia="Tahoma" w:hAnsi="Lucida Sans" w:cs="Liberation Sans"/>
      <w:kern w:val="2"/>
      <w:sz w:val="40"/>
      <w:szCs w:val="24"/>
      <w:lang w:eastAsia="zh-CN" w:bidi="hi-IN"/>
    </w:rPr>
  </w:style>
  <w:style w:type="paragraph" w:customStyle="1" w:styleId="LTGliederung11">
    <w:name w:val="Заголовок и объект~LT~Gliederung 1"/>
    <w:next w:val="aff"/>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LTNotizen0">
    <w:name w:val="Пустой слайд~LT~Notizen"/>
    <w:next w:val="Arial"/>
    <w:pPr>
      <w:suppressAutoHyphens/>
      <w:ind w:left="340" w:hanging="340"/>
    </w:pPr>
    <w:rPr>
      <w:rFonts w:ascii="Lucida Sans" w:eastAsia="Tahoma" w:hAnsi="Lucida Sans" w:cs="Liberation Sans"/>
      <w:kern w:val="2"/>
      <w:sz w:val="40"/>
      <w:szCs w:val="24"/>
      <w:lang w:eastAsia="zh-CN" w:bidi="hi-IN"/>
    </w:rPr>
  </w:style>
  <w:style w:type="paragraph" w:customStyle="1" w:styleId="LTGliederung81">
    <w:name w:val="Пустой слайд~LT~Gliederung 8"/>
    <w:next w:val="LTGliederung72"/>
    <w:pPr>
      <w:widowControl w:val="0"/>
      <w:suppressAutoHyphens/>
    </w:pPr>
    <w:rPr>
      <w:rFonts w:ascii="Liberation Serif" w:eastAsia="NSimSun" w:hAnsi="Liberation Serif" w:cs="Lucida Sans"/>
      <w:sz w:val="24"/>
      <w:szCs w:val="24"/>
      <w:lang w:eastAsia="zh-CN" w:bidi="hi-IN"/>
    </w:rPr>
  </w:style>
  <w:style w:type="paragraph" w:customStyle="1" w:styleId="LTGliederung61">
    <w:name w:val="Пустой слайд~LT~Gliederung 6"/>
    <w:next w:val="LTGliederung52"/>
    <w:pPr>
      <w:widowControl w:val="0"/>
      <w:suppressAutoHyphens/>
    </w:pPr>
    <w:rPr>
      <w:rFonts w:ascii="Liberation Serif" w:eastAsia="NSimSun" w:hAnsi="Liberation Serif" w:cs="Lucida Sans"/>
      <w:sz w:val="24"/>
      <w:szCs w:val="24"/>
      <w:lang w:eastAsia="zh-CN" w:bidi="hi-IN"/>
    </w:rPr>
  </w:style>
  <w:style w:type="paragraph" w:customStyle="1" w:styleId="LTGliederung41">
    <w:name w:val="Пустой слайд~LT~Gliederung 4"/>
    <w:next w:val="LTGliederung92"/>
    <w:pPr>
      <w:widowControl w:val="0"/>
      <w:suppressAutoHyphens/>
      <w:spacing w:before="113"/>
    </w:pPr>
    <w:rPr>
      <w:rFonts w:ascii="Liberation Serif" w:eastAsia="NSimSun" w:hAnsi="Liberation Serif" w:cs="Lucida Sans"/>
      <w:sz w:val="24"/>
      <w:szCs w:val="24"/>
      <w:lang w:eastAsia="zh-CN" w:bidi="hi-IN"/>
    </w:rPr>
  </w:style>
  <w:style w:type="paragraph" w:customStyle="1" w:styleId="LTGliederung82">
    <w:name w:val="Заголовок и объект~LT~Gliederung 8"/>
    <w:next w:val="LTGliederung62"/>
    <w:pPr>
      <w:widowControl w:val="0"/>
      <w:suppressAutoHyphens/>
    </w:pPr>
    <w:rPr>
      <w:rFonts w:ascii="Liberation Serif" w:eastAsia="NSimSun" w:hAnsi="Liberation Serif" w:cs="Lucida Sans"/>
      <w:sz w:val="24"/>
      <w:szCs w:val="24"/>
      <w:lang w:eastAsia="zh-CN" w:bidi="hi-IN"/>
    </w:rPr>
  </w:style>
  <w:style w:type="paragraph" w:customStyle="1" w:styleId="LTGliederung50">
    <w:name w:val="Заголовок и объект~LT~Gliederung 5"/>
    <w:next w:val="LTGliederung42"/>
    <w:pPr>
      <w:widowControl w:val="0"/>
      <w:suppressAutoHyphens/>
      <w:spacing w:before="57"/>
    </w:pPr>
    <w:rPr>
      <w:rFonts w:ascii="Liberation Serif" w:eastAsia="NSimSun" w:hAnsi="Liberation Serif" w:cs="Lucida Sans"/>
      <w:sz w:val="24"/>
      <w:szCs w:val="24"/>
      <w:lang w:eastAsia="zh-CN" w:bidi="hi-IN"/>
    </w:rPr>
  </w:style>
  <w:style w:type="paragraph" w:customStyle="1" w:styleId="LTGliederung32">
    <w:name w:val="Заголовок и объект~LT~Gliederung 3"/>
    <w:next w:val="affff6"/>
    <w:pPr>
      <w:widowControl w:val="0"/>
      <w:suppressAutoHyphens/>
      <w:spacing w:before="170"/>
    </w:pPr>
    <w:rPr>
      <w:rFonts w:ascii="Liberation Serif" w:eastAsia="NSimSun" w:hAnsi="Liberation Serif" w:cs="Lucida Sans"/>
      <w:sz w:val="40"/>
      <w:szCs w:val="24"/>
      <w:lang w:eastAsia="zh-CN" w:bidi="hi-IN"/>
    </w:rPr>
  </w:style>
  <w:style w:type="paragraph" w:customStyle="1" w:styleId="LTHintergrund0">
    <w:name w:val="Пустой слайд~LT~Hintergrund"/>
    <w:next w:val="Quelle"/>
    <w:pPr>
      <w:suppressAutoHyphens/>
    </w:pPr>
    <w:rPr>
      <w:rFonts w:ascii="Liberation Serif" w:eastAsia="Tahoma" w:hAnsi="Liberation Serif" w:cs="Liberation Sans"/>
      <w:kern w:val="2"/>
      <w:sz w:val="24"/>
      <w:szCs w:val="24"/>
      <w:lang w:eastAsia="zh-CN" w:bidi="hi-IN"/>
    </w:rPr>
  </w:style>
  <w:style w:type="paragraph" w:customStyle="1" w:styleId="LTGliederung9">
    <w:name w:val="Пустой слайд~LT~Gliederung 9"/>
    <w:next w:val="Missionpagetextbold"/>
    <w:pPr>
      <w:widowControl w:val="0"/>
      <w:suppressAutoHyphens/>
    </w:pPr>
    <w:rPr>
      <w:rFonts w:ascii="Liberation Serif" w:eastAsia="NSimSun" w:hAnsi="Liberation Serif" w:cs="Lucida Sans"/>
      <w:sz w:val="24"/>
      <w:szCs w:val="24"/>
      <w:lang w:eastAsia="zh-CN" w:bidi="hi-IN"/>
    </w:rPr>
  </w:style>
  <w:style w:type="paragraph" w:customStyle="1" w:styleId="LTGliederung72">
    <w:name w:val="Пустой слайд~LT~Gliederung 7"/>
    <w:next w:val="LTGliederung61"/>
    <w:pPr>
      <w:widowControl w:val="0"/>
      <w:suppressAutoHyphens/>
    </w:pPr>
    <w:rPr>
      <w:rFonts w:ascii="Liberation Serif" w:eastAsia="NSimSun" w:hAnsi="Liberation Serif" w:cs="Lucida Sans"/>
      <w:sz w:val="24"/>
      <w:szCs w:val="24"/>
      <w:lang w:eastAsia="zh-CN" w:bidi="hi-IN"/>
    </w:rPr>
  </w:style>
  <w:style w:type="paragraph" w:customStyle="1" w:styleId="LTGliederung52">
    <w:name w:val="Пустой слайд~LT~Gliederung 5"/>
    <w:next w:val="LTGliederung41"/>
    <w:pPr>
      <w:widowControl w:val="0"/>
      <w:suppressAutoHyphens/>
      <w:spacing w:before="57"/>
    </w:pPr>
    <w:rPr>
      <w:rFonts w:ascii="Liberation Serif" w:eastAsia="NSimSun" w:hAnsi="Liberation Serif" w:cs="Lucida Sans"/>
      <w:sz w:val="24"/>
      <w:szCs w:val="24"/>
      <w:lang w:eastAsia="zh-CN" w:bidi="hi-IN"/>
    </w:rPr>
  </w:style>
  <w:style w:type="paragraph" w:customStyle="1" w:styleId="LTGliederung92">
    <w:name w:val="Заголовок и объект~LT~Gliederung 9"/>
    <w:next w:val="BlankLTHintergrundobjekte"/>
    <w:pPr>
      <w:widowControl w:val="0"/>
      <w:suppressAutoHyphens/>
    </w:pPr>
    <w:rPr>
      <w:rFonts w:ascii="Liberation Serif" w:eastAsia="NSimSun" w:hAnsi="Liberation Serif" w:cs="Lucida Sans"/>
      <w:sz w:val="24"/>
      <w:szCs w:val="24"/>
      <w:lang w:eastAsia="zh-CN" w:bidi="hi-IN"/>
    </w:rPr>
  </w:style>
  <w:style w:type="paragraph" w:customStyle="1" w:styleId="LTGliederung62">
    <w:name w:val="Заголовок и объект~LT~Gliederung 6"/>
    <w:next w:val="BlankLTGliederung5"/>
    <w:pPr>
      <w:widowControl w:val="0"/>
      <w:suppressAutoHyphens/>
    </w:pPr>
    <w:rPr>
      <w:rFonts w:ascii="Liberation Serif" w:eastAsia="NSimSun" w:hAnsi="Liberation Serif" w:cs="Lucida Sans"/>
      <w:sz w:val="24"/>
      <w:szCs w:val="24"/>
      <w:lang w:eastAsia="zh-CN" w:bidi="hi-IN"/>
    </w:rPr>
  </w:style>
  <w:style w:type="paragraph" w:customStyle="1" w:styleId="LTGliederung42">
    <w:name w:val="Заголовок и объект~LT~Gliederung 4"/>
    <w:next w:val="LTGliederung32"/>
    <w:pPr>
      <w:widowControl w:val="0"/>
      <w:suppressAutoHyphens/>
      <w:spacing w:before="113"/>
      <w:contextualSpacing/>
    </w:pPr>
    <w:rPr>
      <w:rFonts w:ascii="Liberation Serif" w:eastAsia="NSimSun" w:hAnsi="Liberation Serif" w:cs="Lucida Sans"/>
      <w:sz w:val="24"/>
      <w:szCs w:val="24"/>
      <w:lang w:eastAsia="zh-CN" w:bidi="hi-IN"/>
    </w:rPr>
  </w:style>
  <w:style w:type="paragraph" w:customStyle="1" w:styleId="affff6">
    <w:name w:val="Текст в заданном формате"/>
    <w:basedOn w:val="a"/>
    <w:next w:val="LTGliederung32"/>
    <w:pPr>
      <w:widowControl w:val="0"/>
    </w:pPr>
    <w:rPr>
      <w:rFonts w:ascii="Liberation Mono" w:hAnsi="Liberation Mono" w:cs="Liberation Mono"/>
      <w:sz w:val="20"/>
      <w:szCs w:val="20"/>
    </w:rPr>
  </w:style>
  <w:style w:type="paragraph" w:customStyle="1" w:styleId="afffe">
    <w:name w:val="Врезанная сноска"/>
    <w:basedOn w:val="aff8"/>
    <w:next w:val="LTGliederung42"/>
    <w:pPr>
      <w:spacing w:before="120"/>
      <w:ind w:left="851"/>
      <w:jc w:val="left"/>
    </w:pPr>
    <w:rPr>
      <w:i/>
    </w:rPr>
  </w:style>
  <w:style w:type="paragraph" w:customStyle="1" w:styleId="120">
    <w:name w:val="Без интервала12"/>
    <w:next w:val="LTGliederung50"/>
    <w:pPr>
      <w:suppressAutoHyphens/>
    </w:pPr>
    <w:rPr>
      <w:rFonts w:ascii="Liberation Serif" w:hAnsi="Liberation Serif" w:cs="Calibri"/>
      <w:kern w:val="2"/>
      <w:sz w:val="24"/>
      <w:szCs w:val="24"/>
      <w:lang w:eastAsia="zh-CN" w:bidi="hi-IN"/>
    </w:rPr>
  </w:style>
  <w:style w:type="paragraph" w:customStyle="1" w:styleId="Style100">
    <w:name w:val="Style100"/>
    <w:basedOn w:val="a"/>
    <w:next w:val="LTGliederung62"/>
    <w:pPr>
      <w:widowControl w:val="0"/>
      <w:spacing w:line="311" w:lineRule="exact"/>
      <w:ind w:firstLine="701"/>
      <w:jc w:val="both"/>
    </w:pPr>
    <w:rPr>
      <w:rFonts w:ascii="Arial" w:hAnsi="Arial" w:cs="Arial"/>
      <w:lang w:bidi="ar-SA"/>
    </w:rPr>
  </w:style>
  <w:style w:type="paragraph" w:customStyle="1" w:styleId="BlankLTGliederung6">
    <w:name w:val="Blank~LT~Gliederung 6"/>
    <w:next w:val="LTGliederung82"/>
    <w:pPr>
      <w:widowControl w:val="0"/>
      <w:suppressAutoHyphens/>
    </w:pPr>
    <w:rPr>
      <w:rFonts w:ascii="Liberation Serif" w:eastAsia="NSimSun" w:hAnsi="Liberation Serif" w:cs="Lucida Sans"/>
      <w:sz w:val="24"/>
      <w:szCs w:val="24"/>
      <w:lang w:eastAsia="zh-CN" w:bidi="hi-IN"/>
    </w:rPr>
  </w:style>
  <w:style w:type="paragraph" w:customStyle="1" w:styleId="BlankLTGliederung7">
    <w:name w:val="Blank~LT~Gliederung 7"/>
    <w:next w:val="LTGliederung92"/>
    <w:pPr>
      <w:widowControl w:val="0"/>
      <w:suppressAutoHyphens/>
    </w:pPr>
    <w:rPr>
      <w:rFonts w:ascii="Liberation Serif" w:eastAsia="NSimSun" w:hAnsi="Liberation Serif" w:cs="Lucida Sans"/>
      <w:sz w:val="24"/>
      <w:szCs w:val="24"/>
      <w:lang w:eastAsia="zh-CN" w:bidi="hi-IN"/>
    </w:rPr>
  </w:style>
  <w:style w:type="paragraph" w:customStyle="1" w:styleId="BlankLTGliederung8">
    <w:name w:val="Blank~LT~Gliederung 8"/>
    <w:next w:val="LTGliederung41"/>
    <w:pPr>
      <w:widowControl w:val="0"/>
      <w:suppressAutoHyphens/>
    </w:pPr>
    <w:rPr>
      <w:rFonts w:ascii="Liberation Serif" w:eastAsia="NSimSun" w:hAnsi="Liberation Serif" w:cs="Lucida Sans"/>
      <w:sz w:val="24"/>
      <w:szCs w:val="24"/>
      <w:lang w:eastAsia="zh-CN" w:bidi="hi-IN"/>
    </w:rPr>
  </w:style>
  <w:style w:type="paragraph" w:customStyle="1" w:styleId="BlankLTGliederung9">
    <w:name w:val="Blank~LT~Gliederung 9"/>
    <w:next w:val="LTGliederung52"/>
    <w:pPr>
      <w:widowControl w:val="0"/>
      <w:suppressAutoHyphens/>
    </w:pPr>
    <w:rPr>
      <w:rFonts w:ascii="Liberation Serif" w:eastAsia="NSimSun" w:hAnsi="Liberation Serif" w:cs="Lucida Sans"/>
      <w:sz w:val="24"/>
      <w:szCs w:val="24"/>
      <w:lang w:eastAsia="zh-CN" w:bidi="hi-IN"/>
    </w:rPr>
  </w:style>
  <w:style w:type="paragraph" w:customStyle="1" w:styleId="BlankLTTitel">
    <w:name w:val="Blank~LT~Titel"/>
    <w:next w:val="LTGliederung61"/>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BlankLTUntertitel">
    <w:name w:val="Blank~LT~Untertitel"/>
    <w:next w:val="LTGliederung72"/>
    <w:pPr>
      <w:suppressAutoHyphens/>
      <w:jc w:val="center"/>
    </w:pPr>
    <w:rPr>
      <w:rFonts w:ascii="Lucida Sans" w:eastAsia="Tahoma" w:hAnsi="Lucida Sans" w:cs="Liberation Sans"/>
      <w:kern w:val="2"/>
      <w:sz w:val="64"/>
      <w:szCs w:val="24"/>
      <w:lang w:eastAsia="zh-CN" w:bidi="hi-IN"/>
    </w:rPr>
  </w:style>
  <w:style w:type="paragraph" w:customStyle="1" w:styleId="LTUntertitel2">
    <w:name w:val="Пустой слайд~LT~Untertitel"/>
    <w:next w:val="51"/>
    <w:pPr>
      <w:suppressAutoHyphens/>
      <w:jc w:val="center"/>
    </w:pPr>
    <w:rPr>
      <w:rFonts w:ascii="Lucida Sans" w:eastAsia="Tahoma" w:hAnsi="Lucida Sans" w:cs="Liberation Sans"/>
      <w:kern w:val="2"/>
      <w:sz w:val="64"/>
      <w:szCs w:val="24"/>
      <w:lang w:eastAsia="zh-CN" w:bidi="hi-IN"/>
    </w:rPr>
  </w:style>
  <w:style w:type="paragraph" w:customStyle="1" w:styleId="LTHintergrundobjekte1">
    <w:name w:val="Пустой слайд~LT~Hintergrundobjekte"/>
    <w:next w:val="1fe"/>
    <w:pPr>
      <w:suppressAutoHyphens/>
    </w:pPr>
    <w:rPr>
      <w:rFonts w:ascii="Liberation Serif" w:eastAsia="Tahoma" w:hAnsi="Liberation Serif" w:cs="Liberation Sans"/>
      <w:kern w:val="2"/>
      <w:sz w:val="24"/>
      <w:szCs w:val="24"/>
      <w:lang w:eastAsia="zh-CN" w:bidi="hi-IN"/>
    </w:rPr>
  </w:style>
  <w:style w:type="paragraph" w:customStyle="1" w:styleId="1LTGliederung1">
    <w:name w:val="1_Заголовок и объект~LT~Gliederung 1"/>
    <w:next w:val="msobodytextindentcxsplast"/>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211">
    <w:name w:val="Основной текст 21"/>
    <w:basedOn w:val="a"/>
    <w:next w:val="msobodytextindentcxsplast"/>
    <w:pPr>
      <w:spacing w:after="120" w:line="480" w:lineRule="auto"/>
    </w:pPr>
    <w:rPr>
      <w:rFonts w:cs="Mangal"/>
      <w:szCs w:val="21"/>
    </w:rPr>
  </w:style>
  <w:style w:type="paragraph" w:customStyle="1" w:styleId="1LTUntertitel">
    <w:name w:val="1_Заголовок и объект~LT~Untertitel"/>
    <w:next w:val="1LTGliederung6"/>
    <w:pPr>
      <w:suppressAutoHyphens/>
      <w:jc w:val="center"/>
    </w:pPr>
    <w:rPr>
      <w:rFonts w:ascii="Lucida Sans" w:eastAsia="Tahoma" w:hAnsi="Lucida Sans" w:cs="Liberation Sans"/>
      <w:kern w:val="2"/>
      <w:sz w:val="64"/>
      <w:szCs w:val="24"/>
      <w:lang w:eastAsia="zh-CN" w:bidi="hi-IN"/>
    </w:rPr>
  </w:style>
  <w:style w:type="paragraph" w:customStyle="1" w:styleId="1LTGliederung8">
    <w:name w:val="1_Заголовок и объект~LT~Gliederung 8"/>
    <w:next w:val="1LTGliederung7"/>
    <w:pPr>
      <w:widowControl w:val="0"/>
      <w:suppressAutoHyphens/>
    </w:pPr>
    <w:rPr>
      <w:rFonts w:ascii="Liberation Serif" w:eastAsia="NSimSun" w:hAnsi="Liberation Serif" w:cs="Lucida Sans"/>
      <w:sz w:val="24"/>
      <w:szCs w:val="24"/>
      <w:lang w:eastAsia="zh-CN" w:bidi="hi-IN"/>
    </w:rPr>
  </w:style>
  <w:style w:type="paragraph" w:customStyle="1" w:styleId="1LTGliederung6">
    <w:name w:val="1_Заголовок и объект~LT~Gliederung 6"/>
    <w:next w:val="1LTGliederung5"/>
    <w:pPr>
      <w:widowControl w:val="0"/>
      <w:suppressAutoHyphens/>
    </w:pPr>
    <w:rPr>
      <w:rFonts w:ascii="Liberation Serif" w:eastAsia="NSimSun" w:hAnsi="Liberation Serif" w:cs="Lucida Sans"/>
      <w:sz w:val="24"/>
      <w:szCs w:val="24"/>
      <w:lang w:eastAsia="zh-CN" w:bidi="hi-IN"/>
    </w:rPr>
  </w:style>
  <w:style w:type="paragraph" w:customStyle="1" w:styleId="1LTGliederung4">
    <w:name w:val="1_Заголовок и объект~LT~Gliederung 4"/>
    <w:next w:val="1LTGliederung3"/>
    <w:pPr>
      <w:widowControl w:val="0"/>
      <w:suppressAutoHyphens/>
      <w:spacing w:before="113"/>
    </w:pPr>
    <w:rPr>
      <w:rFonts w:ascii="Liberation Serif" w:eastAsia="NSimSun" w:hAnsi="Liberation Serif" w:cs="Lucida Sans"/>
      <w:sz w:val="24"/>
      <w:szCs w:val="24"/>
      <w:lang w:eastAsia="zh-CN" w:bidi="hi-IN"/>
    </w:rPr>
  </w:style>
  <w:style w:type="paragraph" w:customStyle="1" w:styleId="1LTGliederung2">
    <w:name w:val="1_Заголовок и объект~LT~Gliederung 2"/>
    <w:next w:val="affff8"/>
    <w:pPr>
      <w:widowControl w:val="0"/>
      <w:suppressAutoHyphens/>
      <w:spacing w:before="227"/>
    </w:pPr>
    <w:rPr>
      <w:rFonts w:ascii="Liberation Serif" w:eastAsia="NSimSun" w:hAnsi="Liberation Serif" w:cs="Lucida Sans"/>
      <w:sz w:val="48"/>
      <w:szCs w:val="24"/>
      <w:lang w:eastAsia="zh-CN" w:bidi="hi-IN"/>
    </w:rPr>
  </w:style>
  <w:style w:type="paragraph" w:customStyle="1" w:styleId="msobodytextindentcxsplast">
    <w:name w:val="msobodytextindentcxsplast"/>
    <w:basedOn w:val="a"/>
    <w:next w:val="affff8"/>
    <w:pPr>
      <w:suppressAutoHyphens w:val="0"/>
      <w:overflowPunct/>
      <w:spacing w:before="280" w:after="280"/>
    </w:pPr>
    <w:rPr>
      <w:rFonts w:ascii="Times New Roman" w:eastAsia="Calibri" w:hAnsi="Times New Roman" w:cs="Times New Roman"/>
      <w:kern w:val="0"/>
      <w:lang w:eastAsia="ru-RU" w:bidi="ar-SA"/>
    </w:rPr>
  </w:style>
  <w:style w:type="paragraph" w:customStyle="1" w:styleId="1LTHintergrundobjekte">
    <w:name w:val="1_Заголовок и объект~LT~Hintergrundobjekte"/>
    <w:next w:val="1LTGliederung7"/>
    <w:pPr>
      <w:suppressAutoHyphens/>
    </w:pPr>
    <w:rPr>
      <w:rFonts w:ascii="Liberation Serif" w:eastAsia="Tahoma" w:hAnsi="Liberation Serif" w:cs="Liberation Sans"/>
      <w:kern w:val="2"/>
      <w:sz w:val="24"/>
      <w:szCs w:val="24"/>
      <w:lang w:eastAsia="zh-CN" w:bidi="hi-IN"/>
    </w:rPr>
  </w:style>
  <w:style w:type="paragraph" w:customStyle="1" w:styleId="1LTGliederung9">
    <w:name w:val="1_Заголовок и объект~LT~Gliederung 9"/>
    <w:next w:val="affff9"/>
    <w:pPr>
      <w:widowControl w:val="0"/>
      <w:suppressAutoHyphens/>
    </w:pPr>
    <w:rPr>
      <w:rFonts w:ascii="Liberation Serif" w:eastAsia="NSimSun" w:hAnsi="Liberation Serif" w:cs="Lucida Sans"/>
      <w:sz w:val="24"/>
      <w:szCs w:val="24"/>
      <w:lang w:eastAsia="zh-CN" w:bidi="hi-IN"/>
    </w:rPr>
  </w:style>
  <w:style w:type="paragraph" w:customStyle="1" w:styleId="1LTGliederung7">
    <w:name w:val="1_Заголовок и объект~LT~Gliederung 7"/>
    <w:next w:val="1LTGliederung6"/>
    <w:pPr>
      <w:widowControl w:val="0"/>
      <w:suppressAutoHyphens/>
    </w:pPr>
    <w:rPr>
      <w:rFonts w:ascii="Liberation Serif" w:eastAsia="NSimSun" w:hAnsi="Liberation Serif" w:cs="Lucida Sans"/>
      <w:sz w:val="24"/>
      <w:szCs w:val="24"/>
      <w:lang w:eastAsia="zh-CN" w:bidi="hi-IN"/>
    </w:rPr>
  </w:style>
  <w:style w:type="paragraph" w:customStyle="1" w:styleId="1LTGliederung5">
    <w:name w:val="1_Заголовок и объект~LT~Gliederung 5"/>
    <w:next w:val="1LTGliederung4"/>
    <w:pPr>
      <w:widowControl w:val="0"/>
      <w:suppressAutoHyphens/>
      <w:spacing w:before="57"/>
    </w:pPr>
    <w:rPr>
      <w:rFonts w:ascii="Liberation Serif" w:eastAsia="NSimSun" w:hAnsi="Liberation Serif" w:cs="Lucida Sans"/>
      <w:sz w:val="24"/>
      <w:szCs w:val="24"/>
      <w:lang w:eastAsia="zh-CN" w:bidi="hi-IN"/>
    </w:rPr>
  </w:style>
  <w:style w:type="paragraph" w:customStyle="1" w:styleId="1LTGliederung3">
    <w:name w:val="1_Заголовок и объект~LT~Gliederung 3"/>
    <w:next w:val="1LTGliederung2"/>
    <w:pPr>
      <w:widowControl w:val="0"/>
      <w:suppressAutoHyphens/>
      <w:spacing w:before="170"/>
    </w:pPr>
    <w:rPr>
      <w:rFonts w:ascii="Liberation Serif" w:eastAsia="NSimSun" w:hAnsi="Liberation Serif" w:cs="Lucida Sans"/>
      <w:sz w:val="40"/>
      <w:szCs w:val="24"/>
      <w:lang w:eastAsia="zh-CN" w:bidi="hi-IN"/>
    </w:rPr>
  </w:style>
  <w:style w:type="paragraph" w:styleId="affff8">
    <w:name w:val="Title"/>
    <w:aliases w:val="Title"/>
    <w:basedOn w:val="a"/>
    <w:next w:val="LTGliederung90"/>
    <w:link w:val="1ff"/>
    <w:uiPriority w:val="10"/>
    <w:qFormat/>
    <w:pPr>
      <w:suppressAutoHyphens w:val="0"/>
      <w:overflowPunct/>
      <w:jc w:val="center"/>
    </w:pPr>
    <w:rPr>
      <w:rFonts w:ascii="Times New Roman" w:eastAsia="Times New Roman" w:hAnsi="Times New Roman" w:cs="Times New Roman"/>
      <w:b/>
      <w:kern w:val="0"/>
      <w:sz w:val="28"/>
      <w:szCs w:val="20"/>
      <w:lang w:eastAsia="ru-RU" w:bidi="ar-SA"/>
    </w:rPr>
  </w:style>
  <w:style w:type="paragraph" w:customStyle="1" w:styleId="z-1">
    <w:name w:val="z-Начало формы1"/>
    <w:basedOn w:val="a"/>
    <w:next w:val="a"/>
    <w:pPr>
      <w:pBdr>
        <w:top w:val="none" w:sz="0" w:space="0" w:color="000000"/>
        <w:left w:val="none" w:sz="0" w:space="0" w:color="000000"/>
        <w:bottom w:val="single" w:sz="6" w:space="1" w:color="000000"/>
        <w:right w:val="none" w:sz="0" w:space="0" w:color="000000"/>
      </w:pBdr>
      <w:suppressAutoHyphens w:val="0"/>
      <w:overflowPunct/>
      <w:spacing w:line="276" w:lineRule="auto"/>
      <w:jc w:val="center"/>
    </w:pPr>
    <w:rPr>
      <w:rFonts w:ascii="Arial" w:eastAsia="Calibri" w:hAnsi="Arial" w:cs="Arial"/>
      <w:vanish/>
      <w:kern w:val="0"/>
      <w:sz w:val="16"/>
      <w:szCs w:val="16"/>
      <w:lang w:eastAsia="en-US" w:bidi="ar-SA"/>
    </w:rPr>
  </w:style>
  <w:style w:type="paragraph" w:customStyle="1" w:styleId="z-10">
    <w:name w:val="z-Конец формы1"/>
    <w:basedOn w:val="a"/>
    <w:next w:val="a"/>
    <w:pPr>
      <w:pBdr>
        <w:top w:val="single" w:sz="6" w:space="1" w:color="000000"/>
        <w:left w:val="none" w:sz="0" w:space="0" w:color="000000"/>
        <w:bottom w:val="none" w:sz="0" w:space="0" w:color="000000"/>
        <w:right w:val="none" w:sz="0" w:space="0" w:color="000000"/>
      </w:pBdr>
      <w:suppressAutoHyphens w:val="0"/>
      <w:overflowPunct/>
      <w:spacing w:line="276" w:lineRule="auto"/>
      <w:jc w:val="center"/>
    </w:pPr>
    <w:rPr>
      <w:rFonts w:ascii="Arial" w:eastAsia="Calibri" w:hAnsi="Arial" w:cs="Arial"/>
      <w:vanish/>
      <w:kern w:val="0"/>
      <w:sz w:val="16"/>
      <w:szCs w:val="16"/>
      <w:lang w:eastAsia="en-US" w:bidi="ar-SA"/>
    </w:rPr>
  </w:style>
  <w:style w:type="paragraph" w:customStyle="1" w:styleId="j18">
    <w:name w:val="j18"/>
    <w:basedOn w:val="a"/>
    <w:next w:val="1LTGliederung5"/>
    <w:pPr>
      <w:suppressAutoHyphens w:val="0"/>
      <w:overflowPunct/>
      <w:spacing w:before="280" w:after="280"/>
    </w:pPr>
    <w:rPr>
      <w:rFonts w:ascii="Times New Roman" w:eastAsia="Times New Roman" w:hAnsi="Times New Roman" w:cs="Times New Roman"/>
      <w:kern w:val="0"/>
      <w:lang w:eastAsia="ru-RU" w:bidi="ar-SA"/>
    </w:rPr>
  </w:style>
  <w:style w:type="paragraph" w:customStyle="1" w:styleId="2a">
    <w:name w:val="Текст примечания2"/>
    <w:basedOn w:val="a"/>
    <w:next w:val="1LTGliederung6"/>
    <w:rPr>
      <w:rFonts w:cs="Mangal"/>
      <w:sz w:val="20"/>
      <w:szCs w:val="18"/>
    </w:rPr>
  </w:style>
  <w:style w:type="paragraph" w:customStyle="1" w:styleId="1f5">
    <w:name w:val="Текст выноски1"/>
    <w:basedOn w:val="a"/>
    <w:next w:val="1LTGliederung7"/>
    <w:rPr>
      <w:rFonts w:ascii="Segoe UI" w:hAnsi="Segoe UI" w:cs="Mangal"/>
      <w:sz w:val="18"/>
      <w:szCs w:val="16"/>
    </w:rPr>
  </w:style>
  <w:style w:type="paragraph" w:customStyle="1" w:styleId="1LTTitel">
    <w:name w:val="1_Заголовок и объект~LT~Titel"/>
    <w:next w:val="1ff0"/>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1LTNotizen">
    <w:name w:val="1_Заголовок и объект~LT~Notizen"/>
    <w:next w:val="5LTGliederung1"/>
    <w:pPr>
      <w:suppressAutoHyphens/>
      <w:ind w:left="340" w:hanging="340"/>
    </w:pPr>
    <w:rPr>
      <w:rFonts w:ascii="Lucida Sans" w:eastAsia="Tahoma" w:hAnsi="Lucida Sans" w:cs="Liberation Sans"/>
      <w:kern w:val="2"/>
      <w:sz w:val="40"/>
      <w:szCs w:val="24"/>
      <w:lang w:eastAsia="zh-CN" w:bidi="hi-IN"/>
    </w:rPr>
  </w:style>
  <w:style w:type="paragraph" w:customStyle="1" w:styleId="1LTHintergrund">
    <w:name w:val="1_Заголовок и объект~LT~Hintergrund"/>
    <w:next w:val="5LTGliederung7"/>
    <w:pPr>
      <w:suppressAutoHyphens/>
    </w:pPr>
    <w:rPr>
      <w:rFonts w:ascii="Liberation Serif" w:eastAsia="Tahoma" w:hAnsi="Liberation Serif" w:cs="Liberation Sans"/>
      <w:kern w:val="2"/>
      <w:sz w:val="24"/>
      <w:szCs w:val="24"/>
      <w:lang w:eastAsia="zh-CN" w:bidi="hi-IN"/>
    </w:rPr>
  </w:style>
  <w:style w:type="paragraph" w:customStyle="1" w:styleId="5LTGliederung1">
    <w:name w:val="5_Заголовок и объект~LT~Gliederung 1"/>
    <w:next w:val="5LTGliederung8"/>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5LTGliederung2">
    <w:name w:val="5_Заголовок и объект~LT~Gliederung 2"/>
    <w:next w:val="5LTGliederung9"/>
    <w:pPr>
      <w:widowControl w:val="0"/>
      <w:suppressAutoHyphens/>
      <w:spacing w:before="227"/>
    </w:pPr>
    <w:rPr>
      <w:rFonts w:ascii="Liberation Serif" w:eastAsia="NSimSun" w:hAnsi="Liberation Serif" w:cs="Lucida Sans"/>
      <w:sz w:val="48"/>
      <w:szCs w:val="24"/>
      <w:lang w:eastAsia="zh-CN" w:bidi="hi-IN"/>
    </w:rPr>
  </w:style>
  <w:style w:type="paragraph" w:customStyle="1" w:styleId="5LTGliederung3">
    <w:name w:val="5_Заголовок и объект~LT~Gliederung 3"/>
    <w:next w:val="5LTTitel"/>
    <w:pPr>
      <w:widowControl w:val="0"/>
      <w:suppressAutoHyphens/>
      <w:spacing w:before="170"/>
    </w:pPr>
    <w:rPr>
      <w:rFonts w:ascii="Liberation Serif" w:eastAsia="NSimSun" w:hAnsi="Liberation Serif" w:cs="Lucida Sans"/>
      <w:sz w:val="40"/>
      <w:szCs w:val="24"/>
      <w:lang w:eastAsia="zh-CN" w:bidi="hi-IN"/>
    </w:rPr>
  </w:style>
  <w:style w:type="paragraph" w:customStyle="1" w:styleId="5LTGliederung4">
    <w:name w:val="5_Заголовок и объект~LT~Gliederung 4"/>
    <w:next w:val="5LTUntertitel"/>
    <w:pPr>
      <w:widowControl w:val="0"/>
      <w:suppressAutoHyphens/>
      <w:spacing w:before="113"/>
    </w:pPr>
    <w:rPr>
      <w:rFonts w:ascii="Liberation Serif" w:eastAsia="NSimSun" w:hAnsi="Liberation Serif" w:cs="Lucida Sans"/>
      <w:sz w:val="24"/>
      <w:szCs w:val="24"/>
      <w:lang w:eastAsia="zh-CN" w:bidi="hi-IN"/>
    </w:rPr>
  </w:style>
  <w:style w:type="paragraph" w:customStyle="1" w:styleId="5LTGliederung5">
    <w:name w:val="5_Заголовок и объект~LT~Gliederung 5"/>
    <w:next w:val="5LTNotizen"/>
    <w:pPr>
      <w:widowControl w:val="0"/>
      <w:suppressAutoHyphens/>
      <w:spacing w:before="57"/>
    </w:pPr>
    <w:rPr>
      <w:rFonts w:ascii="Liberation Serif" w:eastAsia="NSimSun" w:hAnsi="Liberation Serif" w:cs="Lucida Sans"/>
      <w:sz w:val="24"/>
      <w:szCs w:val="24"/>
      <w:lang w:eastAsia="zh-CN" w:bidi="hi-IN"/>
    </w:rPr>
  </w:style>
  <w:style w:type="paragraph" w:customStyle="1" w:styleId="5LTGliederung6">
    <w:name w:val="5_Заголовок и объект~LT~Gliederung 6"/>
    <w:next w:val="5LTHintergrundobjekte"/>
    <w:pPr>
      <w:widowControl w:val="0"/>
      <w:suppressAutoHyphens/>
    </w:pPr>
    <w:rPr>
      <w:rFonts w:ascii="Liberation Serif" w:eastAsia="NSimSun" w:hAnsi="Liberation Serif" w:cs="Lucida Sans"/>
      <w:sz w:val="24"/>
      <w:szCs w:val="24"/>
      <w:lang w:eastAsia="zh-CN" w:bidi="hi-IN"/>
    </w:rPr>
  </w:style>
  <w:style w:type="paragraph" w:customStyle="1" w:styleId="5LTGliederung7">
    <w:name w:val="5_Заголовок и объект~LT~Gliederung 7"/>
    <w:next w:val="5LTHintergrund"/>
    <w:pPr>
      <w:widowControl w:val="0"/>
      <w:suppressAutoHyphens/>
    </w:pPr>
    <w:rPr>
      <w:rFonts w:ascii="Liberation Serif" w:eastAsia="NSimSun" w:hAnsi="Liberation Serif" w:cs="Lucida Sans"/>
      <w:sz w:val="24"/>
      <w:szCs w:val="24"/>
      <w:lang w:eastAsia="zh-CN" w:bidi="hi-IN"/>
    </w:rPr>
  </w:style>
  <w:style w:type="paragraph" w:customStyle="1" w:styleId="5LTGliederung8">
    <w:name w:val="5_Заголовок и объект~LT~Gliederung 8"/>
    <w:next w:val="LTGliederung12"/>
    <w:pPr>
      <w:widowControl w:val="0"/>
      <w:suppressAutoHyphens/>
    </w:pPr>
    <w:rPr>
      <w:rFonts w:ascii="Liberation Serif" w:eastAsia="NSimSun" w:hAnsi="Liberation Serif" w:cs="Lucida Sans"/>
      <w:sz w:val="24"/>
      <w:szCs w:val="24"/>
      <w:lang w:eastAsia="zh-CN" w:bidi="hi-IN"/>
    </w:rPr>
  </w:style>
  <w:style w:type="paragraph" w:customStyle="1" w:styleId="5LTGliederung9">
    <w:name w:val="5_Заголовок и объект~LT~Gliederung 9"/>
    <w:next w:val="LTGliederung22"/>
    <w:pPr>
      <w:widowControl w:val="0"/>
      <w:suppressAutoHyphens/>
    </w:pPr>
    <w:rPr>
      <w:rFonts w:ascii="Liberation Serif" w:eastAsia="NSimSun" w:hAnsi="Liberation Serif" w:cs="Lucida Sans"/>
      <w:sz w:val="24"/>
      <w:szCs w:val="24"/>
      <w:lang w:eastAsia="zh-CN" w:bidi="hi-IN"/>
    </w:rPr>
  </w:style>
  <w:style w:type="paragraph" w:customStyle="1" w:styleId="5LTTitel">
    <w:name w:val="5_Заголовок и объект~LT~Titel"/>
    <w:next w:val="LTGliederung30"/>
    <w:pPr>
      <w:suppressAutoHyphens/>
      <w:spacing w:line="200" w:lineRule="atLeast"/>
    </w:pPr>
    <w:rPr>
      <w:rFonts w:ascii="Lucida Sans" w:eastAsia="Tahoma" w:hAnsi="Lucida Sans" w:cs="Liberation Sans"/>
      <w:color w:val="000000"/>
      <w:kern w:val="2"/>
      <w:sz w:val="36"/>
      <w:szCs w:val="24"/>
      <w:lang w:eastAsia="zh-CN" w:bidi="hi-IN"/>
    </w:rPr>
  </w:style>
  <w:style w:type="paragraph" w:customStyle="1" w:styleId="5LTUntertitel">
    <w:name w:val="5_Заголовок и объект~LT~Untertitel"/>
    <w:next w:val="LTGliederung40"/>
    <w:pPr>
      <w:suppressAutoHyphens/>
      <w:jc w:val="center"/>
    </w:pPr>
    <w:rPr>
      <w:rFonts w:ascii="Lucida Sans" w:eastAsia="Tahoma" w:hAnsi="Lucida Sans" w:cs="Liberation Sans"/>
      <w:kern w:val="2"/>
      <w:sz w:val="64"/>
      <w:szCs w:val="24"/>
      <w:lang w:eastAsia="zh-CN" w:bidi="hi-IN"/>
    </w:rPr>
  </w:style>
  <w:style w:type="paragraph" w:customStyle="1" w:styleId="5LTNotizen">
    <w:name w:val="5_Заголовок и объект~LT~Notizen"/>
    <w:next w:val="LTHintergrundobjekte2"/>
    <w:pPr>
      <w:suppressAutoHyphens/>
      <w:ind w:left="340" w:hanging="340"/>
    </w:pPr>
    <w:rPr>
      <w:rFonts w:ascii="Lucida Sans" w:eastAsia="Tahoma" w:hAnsi="Lucida Sans" w:cs="Liberation Sans"/>
      <w:kern w:val="2"/>
      <w:sz w:val="40"/>
      <w:szCs w:val="24"/>
      <w:lang w:eastAsia="zh-CN" w:bidi="hi-IN"/>
    </w:rPr>
  </w:style>
  <w:style w:type="paragraph" w:customStyle="1" w:styleId="5LTHintergrundobjekte">
    <w:name w:val="5_Заголовок и объект~LT~Hintergrundobjekte"/>
    <w:next w:val="CDMBTEXT"/>
    <w:pPr>
      <w:suppressAutoHyphens/>
    </w:pPr>
    <w:rPr>
      <w:rFonts w:ascii="Liberation Serif" w:eastAsia="Tahoma" w:hAnsi="Liberation Serif" w:cs="Liberation Sans"/>
      <w:kern w:val="2"/>
      <w:sz w:val="24"/>
      <w:szCs w:val="24"/>
      <w:lang w:eastAsia="zh-CN" w:bidi="hi-IN"/>
    </w:rPr>
  </w:style>
  <w:style w:type="paragraph" w:customStyle="1" w:styleId="5LTHintergrund">
    <w:name w:val="5_Заголовок и объект~LT~Hintergrund"/>
    <w:next w:val="msonormalcxspmiddle"/>
    <w:pPr>
      <w:suppressAutoHyphens/>
    </w:pPr>
    <w:rPr>
      <w:rFonts w:ascii="Liberation Serif" w:eastAsia="Tahoma" w:hAnsi="Liberation Serif" w:cs="Liberation Sans"/>
      <w:kern w:val="2"/>
      <w:sz w:val="24"/>
      <w:szCs w:val="24"/>
      <w:lang w:eastAsia="zh-CN" w:bidi="hi-IN"/>
    </w:rPr>
  </w:style>
  <w:style w:type="paragraph" w:customStyle="1" w:styleId="LTGliederung12">
    <w:name w:val="Только заголовок~LT~Gliederung 1"/>
    <w:next w:val="affff5"/>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LTGliederung22">
    <w:name w:val="Только заголовок~LT~Gliederung 2"/>
    <w:next w:val="BlankLTGliederung1"/>
    <w:pPr>
      <w:widowControl w:val="0"/>
      <w:suppressAutoHyphens/>
      <w:spacing w:before="227"/>
    </w:pPr>
    <w:rPr>
      <w:rFonts w:ascii="Liberation Serif" w:eastAsia="NSimSun" w:hAnsi="Liberation Serif" w:cs="Lucida Sans"/>
      <w:sz w:val="48"/>
      <w:szCs w:val="24"/>
      <w:lang w:eastAsia="zh-CN" w:bidi="hi-IN"/>
    </w:rPr>
  </w:style>
  <w:style w:type="paragraph" w:customStyle="1" w:styleId="LTGliederung30">
    <w:name w:val="Только заголовок~LT~Gliederung 3"/>
    <w:next w:val="BlankLTGliederung2"/>
    <w:pPr>
      <w:widowControl w:val="0"/>
      <w:suppressAutoHyphens/>
      <w:spacing w:before="170"/>
    </w:pPr>
    <w:rPr>
      <w:rFonts w:ascii="Liberation Serif" w:eastAsia="NSimSun" w:hAnsi="Liberation Serif" w:cs="Lucida Sans"/>
      <w:sz w:val="40"/>
      <w:szCs w:val="24"/>
      <w:lang w:eastAsia="zh-CN" w:bidi="hi-IN"/>
    </w:rPr>
  </w:style>
  <w:style w:type="paragraph" w:customStyle="1" w:styleId="LTGliederung40">
    <w:name w:val="Только заголовок~LT~Gliederung 4"/>
    <w:next w:val="BlankLTGliederung3"/>
    <w:pPr>
      <w:widowControl w:val="0"/>
      <w:suppressAutoHyphens/>
      <w:spacing w:before="113"/>
    </w:pPr>
    <w:rPr>
      <w:rFonts w:ascii="Liberation Serif" w:eastAsia="NSimSun" w:hAnsi="Liberation Serif" w:cs="Lucida Sans"/>
      <w:sz w:val="24"/>
      <w:szCs w:val="24"/>
      <w:lang w:eastAsia="zh-CN" w:bidi="hi-IN"/>
    </w:rPr>
  </w:style>
  <w:style w:type="paragraph" w:customStyle="1" w:styleId="LTHintergrundobjekte2">
    <w:name w:val="Только заголовок~LT~Hintergrundobjekte"/>
    <w:next w:val="BlankLTNotizen"/>
    <w:pPr>
      <w:suppressAutoHyphens/>
    </w:pPr>
    <w:rPr>
      <w:rFonts w:ascii="Liberation Serif" w:eastAsia="Tahoma" w:hAnsi="Liberation Serif" w:cs="Liberation Sans"/>
      <w:kern w:val="2"/>
      <w:sz w:val="24"/>
      <w:szCs w:val="24"/>
      <w:lang w:eastAsia="zh-CN" w:bidi="hi-IN"/>
    </w:rPr>
  </w:style>
  <w:style w:type="paragraph" w:customStyle="1" w:styleId="CDMBTEXT">
    <w:name w:val="CDM B/TEXT"/>
    <w:basedOn w:val="a"/>
    <w:next w:val="BlankLTHintergrundobjekte"/>
    <w:pPr>
      <w:spacing w:after="240" w:line="280" w:lineRule="exact"/>
    </w:pPr>
    <w:rPr>
      <w:rFonts w:ascii="Book Antiqua" w:eastAsia="Calibri" w:hAnsi="Book Antiqua" w:cs="Times New Roman"/>
      <w:szCs w:val="20"/>
      <w:lang w:val="en-US" w:eastAsia="en-US"/>
    </w:rPr>
  </w:style>
  <w:style w:type="paragraph" w:customStyle="1" w:styleId="msonormalcxspmiddle">
    <w:name w:val="msonormalcxspmiddle"/>
    <w:basedOn w:val="a"/>
    <w:next w:val="BlankLTHintergrund"/>
    <w:pPr>
      <w:spacing w:before="280" w:after="280"/>
    </w:pPr>
    <w:rPr>
      <w:rFonts w:eastAsia="Times New Roman"/>
    </w:rPr>
  </w:style>
  <w:style w:type="paragraph" w:customStyle="1" w:styleId="affff5">
    <w:name w:val="Горизонтальная линия"/>
    <w:basedOn w:val="a"/>
    <w:next w:val="10"/>
    <w:pPr>
      <w:suppressLineNumbers/>
      <w:pBdr>
        <w:top w:val="none" w:sz="0" w:space="0" w:color="000000"/>
        <w:left w:val="none" w:sz="0" w:space="0" w:color="000000"/>
        <w:bottom w:val="double" w:sz="2" w:space="0" w:color="808080"/>
        <w:right w:val="none" w:sz="0" w:space="0" w:color="000000"/>
      </w:pBdr>
      <w:spacing w:after="283"/>
    </w:pPr>
    <w:rPr>
      <w:sz w:val="12"/>
      <w:szCs w:val="12"/>
    </w:rPr>
  </w:style>
  <w:style w:type="paragraph" w:customStyle="1" w:styleId="BlankLTGliederung1">
    <w:name w:val="Blank~LT~Gliederung 1"/>
    <w:next w:val="ConsPlusNormal"/>
    <w:pPr>
      <w:suppressAutoHyphens/>
      <w:spacing w:before="283" w:line="200" w:lineRule="atLeast"/>
    </w:pPr>
    <w:rPr>
      <w:rFonts w:ascii="Lucida Sans" w:eastAsia="Tahoma" w:hAnsi="Lucida Sans" w:cs="Liberation Sans"/>
      <w:color w:val="000000"/>
      <w:kern w:val="2"/>
      <w:sz w:val="64"/>
      <w:szCs w:val="24"/>
      <w:lang w:eastAsia="zh-CN" w:bidi="hi-IN"/>
    </w:rPr>
  </w:style>
  <w:style w:type="paragraph" w:customStyle="1" w:styleId="BlankLTGliederung2">
    <w:name w:val="Blank~LT~Gliederung 2"/>
    <w:next w:val="1fd"/>
    <w:pPr>
      <w:widowControl w:val="0"/>
      <w:suppressAutoHyphens/>
      <w:spacing w:before="227"/>
    </w:pPr>
    <w:rPr>
      <w:rFonts w:ascii="Liberation Serif" w:eastAsia="NSimSun" w:hAnsi="Liberation Serif" w:cs="Lucida Sans"/>
      <w:sz w:val="48"/>
      <w:szCs w:val="24"/>
      <w:lang w:eastAsia="zh-CN" w:bidi="hi-IN"/>
    </w:rPr>
  </w:style>
  <w:style w:type="paragraph" w:customStyle="1" w:styleId="BlankLTGliederung3">
    <w:name w:val="Blank~LT~Gliederung 3"/>
    <w:next w:val="1f2"/>
    <w:pPr>
      <w:widowControl w:val="0"/>
      <w:suppressAutoHyphens/>
      <w:spacing w:before="170"/>
    </w:pPr>
    <w:rPr>
      <w:rFonts w:ascii="Liberation Serif" w:eastAsia="NSimSun" w:hAnsi="Liberation Serif" w:cs="Lucida Sans"/>
      <w:sz w:val="40"/>
      <w:szCs w:val="24"/>
      <w:lang w:eastAsia="zh-CN" w:bidi="hi-IN"/>
    </w:rPr>
  </w:style>
  <w:style w:type="paragraph" w:customStyle="1" w:styleId="BlankLTNotizen">
    <w:name w:val="Blank~LT~Notizen"/>
    <w:next w:val="Missionpagetextbold"/>
    <w:pPr>
      <w:suppressAutoHyphens/>
      <w:ind w:left="340" w:hanging="340"/>
    </w:pPr>
    <w:rPr>
      <w:rFonts w:ascii="Lucida Sans" w:eastAsia="Tahoma" w:hAnsi="Lucida Sans" w:cs="Liberation Sans"/>
      <w:kern w:val="2"/>
      <w:sz w:val="40"/>
      <w:szCs w:val="24"/>
      <w:lang w:eastAsia="zh-CN" w:bidi="hi-IN"/>
    </w:rPr>
  </w:style>
  <w:style w:type="paragraph" w:customStyle="1" w:styleId="BlankLTHintergrundobjekte">
    <w:name w:val="Blank~LT~Hintergrundobjekte"/>
    <w:next w:val="230"/>
    <w:pPr>
      <w:suppressAutoHyphens/>
    </w:pPr>
    <w:rPr>
      <w:rFonts w:ascii="Liberation Serif" w:eastAsia="Tahoma" w:hAnsi="Liberation Serif" w:cs="Liberation Sans"/>
      <w:kern w:val="2"/>
      <w:sz w:val="24"/>
      <w:szCs w:val="24"/>
      <w:lang w:eastAsia="zh-CN" w:bidi="hi-IN"/>
    </w:rPr>
  </w:style>
  <w:style w:type="paragraph" w:customStyle="1" w:styleId="BlankLTHintergrund">
    <w:name w:val="Blank~LT~Hintergrund"/>
    <w:next w:val="51"/>
    <w:pPr>
      <w:suppressAutoHyphens/>
    </w:pPr>
    <w:rPr>
      <w:rFonts w:ascii="Liberation Serif" w:eastAsia="Tahoma" w:hAnsi="Liberation Serif" w:cs="Liberation Sans"/>
      <w:kern w:val="2"/>
      <w:sz w:val="24"/>
      <w:szCs w:val="24"/>
      <w:lang w:eastAsia="zh-CN" w:bidi="hi-IN"/>
    </w:rPr>
  </w:style>
  <w:style w:type="paragraph" w:customStyle="1" w:styleId="affff4">
    <w:name w:val="Содержимое врезки"/>
    <w:basedOn w:val="a"/>
    <w:next w:val="Arial"/>
  </w:style>
  <w:style w:type="paragraph" w:customStyle="1" w:styleId="ConsPlusNormal">
    <w:name w:val="ConsPlusNormal"/>
    <w:next w:val="1fe"/>
    <w:pPr>
      <w:widowControl w:val="0"/>
      <w:suppressAutoHyphens/>
      <w:ind w:firstLine="720"/>
    </w:pPr>
    <w:rPr>
      <w:rFonts w:ascii="Arial" w:eastAsia="Calibri" w:hAnsi="Arial" w:cs="Arial"/>
      <w:sz w:val="24"/>
    </w:rPr>
  </w:style>
  <w:style w:type="paragraph" w:customStyle="1" w:styleId="1fd">
    <w:name w:val="Знак Знак Знак1 Знак Знак Знак Знак Знак Знак Знак"/>
    <w:basedOn w:val="a"/>
    <w:next w:val="Quelle"/>
    <w:pPr>
      <w:suppressAutoHyphens w:val="0"/>
      <w:overflowPunct/>
      <w:ind w:firstLine="709"/>
      <w:jc w:val="both"/>
    </w:pPr>
    <w:rPr>
      <w:rFonts w:ascii="Times New Roman" w:eastAsia="Times New Roman" w:hAnsi="Times New Roman" w:cs="Times New Roman"/>
      <w:kern w:val="0"/>
      <w:sz w:val="28"/>
      <w:szCs w:val="28"/>
      <w:lang w:val="kk-KZ" w:eastAsia="ar-SA" w:bidi="ar-SA"/>
    </w:rPr>
  </w:style>
  <w:style w:type="paragraph" w:customStyle="1" w:styleId="1f2">
    <w:name w:val="Тема примечания1"/>
    <w:next w:val="affff9"/>
    <w:pPr>
      <w:widowControl w:val="0"/>
      <w:suppressAutoHyphens/>
    </w:pPr>
    <w:rPr>
      <w:rFonts w:ascii="Liberation Serif" w:eastAsia="NSimSun" w:hAnsi="Liberation Serif" w:cs="Lucida Sans"/>
      <w:b/>
      <w:bCs/>
      <w:sz w:val="24"/>
      <w:szCs w:val="24"/>
      <w:lang w:eastAsia="zh-CN" w:bidi="hi-IN"/>
    </w:rPr>
  </w:style>
  <w:style w:type="paragraph" w:customStyle="1" w:styleId="Missionpagetextbold">
    <w:name w:val="Mission page text bold"/>
    <w:basedOn w:val="a"/>
    <w:next w:val="1ff0"/>
    <w:pPr>
      <w:tabs>
        <w:tab w:val="left" w:pos="2610"/>
      </w:tabs>
      <w:suppressAutoHyphens w:val="0"/>
      <w:overflowPunct/>
    </w:pPr>
    <w:rPr>
      <w:rFonts w:ascii="Gill Sans MT" w:eastAsia="Times New Roman" w:hAnsi="Gill Sans MT" w:cs="Times New Roman"/>
      <w:b/>
      <w:kern w:val="0"/>
      <w:sz w:val="20"/>
      <w:szCs w:val="20"/>
      <w:lang w:val="en-US" w:eastAsia="en-US" w:bidi="ar-SA"/>
    </w:rPr>
  </w:style>
  <w:style w:type="paragraph" w:customStyle="1" w:styleId="230">
    <w:name w:val="Основной текст 23"/>
    <w:basedOn w:val="a"/>
    <w:next w:val="Arial"/>
    <w:pPr>
      <w:suppressAutoHyphens w:val="0"/>
      <w:overflowPunct/>
      <w:ind w:firstLine="720"/>
      <w:jc w:val="both"/>
    </w:pPr>
    <w:rPr>
      <w:rFonts w:ascii="Times New Roman" w:eastAsia="Times New Roman" w:hAnsi="Times New Roman" w:cs="Times New Roman"/>
      <w:kern w:val="0"/>
      <w:sz w:val="28"/>
      <w:szCs w:val="20"/>
      <w:lang w:eastAsia="ru-RU" w:bidi="ar-SA"/>
    </w:rPr>
  </w:style>
  <w:style w:type="paragraph" w:customStyle="1" w:styleId="51">
    <w:name w:val="Маркированный список 51"/>
    <w:basedOn w:val="a"/>
    <w:next w:val="1fe"/>
    <w:pPr>
      <w:ind w:left="1132" w:hanging="283"/>
      <w:contextualSpacing/>
    </w:pPr>
    <w:rPr>
      <w:rFonts w:cs="Mangal"/>
      <w:szCs w:val="21"/>
    </w:rPr>
  </w:style>
  <w:style w:type="paragraph" w:customStyle="1" w:styleId="Arial">
    <w:name w:val="обычный + Arial"/>
    <w:basedOn w:val="a"/>
    <w:next w:val="Quelle"/>
    <w:pPr>
      <w:suppressAutoHyphens w:val="0"/>
      <w:overflowPunct/>
      <w:spacing w:line="360" w:lineRule="auto"/>
      <w:ind w:firstLine="720"/>
      <w:jc w:val="both"/>
    </w:pPr>
    <w:rPr>
      <w:rFonts w:ascii="Arial" w:eastAsia="Times New Roman" w:hAnsi="Arial" w:cs="Times New Roman"/>
      <w:kern w:val="0"/>
      <w:sz w:val="20"/>
      <w:szCs w:val="20"/>
      <w:lang w:eastAsia="ru-RU" w:bidi="ar-SA"/>
    </w:rPr>
  </w:style>
  <w:style w:type="paragraph" w:customStyle="1" w:styleId="1fe">
    <w:name w:val="Маркированный список1"/>
    <w:basedOn w:val="a"/>
    <w:next w:val="affff9"/>
  </w:style>
  <w:style w:type="paragraph" w:customStyle="1" w:styleId="Quelle">
    <w:name w:val="Quelle"/>
    <w:basedOn w:val="a"/>
    <w:next w:val="1ff0"/>
    <w:pPr>
      <w:spacing w:before="120" w:after="360"/>
      <w:jc w:val="right"/>
    </w:pPr>
    <w:rPr>
      <w:sz w:val="20"/>
    </w:rPr>
  </w:style>
  <w:style w:type="paragraph" w:styleId="affff9">
    <w:name w:val="endnote text"/>
    <w:basedOn w:val="a"/>
    <w:next w:val="BodyTextIndent22"/>
    <w:link w:val="affffa"/>
    <w:pPr>
      <w:suppressLineNumbers/>
      <w:ind w:left="339" w:hanging="339"/>
    </w:pPr>
    <w:rPr>
      <w:sz w:val="20"/>
      <w:szCs w:val="20"/>
    </w:rPr>
  </w:style>
  <w:style w:type="paragraph" w:customStyle="1" w:styleId="1ff0">
    <w:name w:val="Без имени1"/>
    <w:basedOn w:val="Standard1"/>
    <w:next w:val="212"/>
  </w:style>
  <w:style w:type="paragraph" w:customStyle="1" w:styleId="BodyTextIndent22">
    <w:name w:val="Body Text Indent 22"/>
    <w:basedOn w:val="a"/>
    <w:next w:val="rvps6"/>
    <w:pPr>
      <w:ind w:firstLine="709"/>
      <w:jc w:val="both"/>
    </w:pPr>
    <w:rPr>
      <w:sz w:val="28"/>
      <w:szCs w:val="20"/>
    </w:rPr>
  </w:style>
  <w:style w:type="paragraph" w:customStyle="1" w:styleId="212">
    <w:name w:val="Основной текст с отступом 212"/>
    <w:basedOn w:val="a"/>
    <w:next w:val="220"/>
    <w:pPr>
      <w:ind w:firstLine="709"/>
      <w:jc w:val="both"/>
    </w:pPr>
    <w:rPr>
      <w:sz w:val="28"/>
      <w:szCs w:val="20"/>
    </w:rPr>
  </w:style>
  <w:style w:type="paragraph" w:customStyle="1" w:styleId="rvps6">
    <w:name w:val="rvps6"/>
    <w:basedOn w:val="a"/>
    <w:next w:val="affffb"/>
    <w:pPr>
      <w:ind w:firstLine="705"/>
      <w:jc w:val="both"/>
    </w:pPr>
    <w:rPr>
      <w:rFonts w:ascii="Times New Roman" w:eastAsia="Times New Roman" w:hAnsi="Times New Roman" w:cs="Times New Roman"/>
    </w:rPr>
  </w:style>
  <w:style w:type="paragraph" w:customStyle="1" w:styleId="220">
    <w:name w:val="Основной текст (2)2"/>
    <w:next w:val="2b"/>
    <w:pPr>
      <w:widowControl w:val="0"/>
      <w:suppressAutoHyphens/>
      <w:spacing w:line="331" w:lineRule="exact"/>
      <w:jc w:val="right"/>
    </w:pPr>
    <w:rPr>
      <w:rFonts w:ascii="Tahoma" w:eastAsia="Tahoma" w:hAnsi="Tahoma"/>
      <w:color w:val="000000"/>
      <w:sz w:val="17"/>
      <w:szCs w:val="17"/>
    </w:rPr>
  </w:style>
  <w:style w:type="paragraph" w:styleId="affffb">
    <w:name w:val="Normal (Web)"/>
    <w:aliases w:val="Normal (Web)"/>
    <w:basedOn w:val="a"/>
    <w:next w:val="LTGliederung13"/>
    <w:uiPriority w:val="99"/>
    <w:pPr>
      <w:suppressAutoHyphens w:val="0"/>
      <w:overflowPunct/>
      <w:spacing w:before="100" w:after="100"/>
    </w:pPr>
    <w:rPr>
      <w:rFonts w:ascii="Times New Roman" w:eastAsia="Times New Roman" w:hAnsi="Times New Roman" w:cs="Times New Roman"/>
      <w:kern w:val="0"/>
      <w:lang w:bidi="ar-SA"/>
    </w:rPr>
  </w:style>
  <w:style w:type="paragraph" w:customStyle="1" w:styleId="2b">
    <w:name w:val="Обычный2"/>
    <w:next w:val="LTGliederung2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Arial" w:eastAsia="Tahoma" w:hAnsi="Arial" w:cs="Calibri"/>
      <w:color w:val="000000"/>
      <w:sz w:val="36"/>
      <w:szCs w:val="24"/>
      <w:lang w:eastAsia="zh-CN" w:bidi="hi-IN"/>
    </w:rPr>
  </w:style>
  <w:style w:type="paragraph" w:customStyle="1" w:styleId="LTGliederung13">
    <w:name w:val="Обычный~LT~Gliederung 1"/>
    <w:next w:val="LTGliederung33"/>
    <w:pPr>
      <w:widowControl w:val="0"/>
      <w:tabs>
        <w:tab w:val="left" w:pos="1825"/>
        <w:tab w:val="left" w:pos="4742"/>
        <w:tab w:val="left" w:pos="7660"/>
        <w:tab w:val="left" w:pos="10577"/>
        <w:tab w:val="left" w:pos="13495"/>
      </w:tabs>
      <w:suppressAutoHyphens/>
      <w:spacing w:before="325"/>
    </w:pPr>
    <w:rPr>
      <w:rFonts w:ascii="Lucida Sans" w:eastAsia="Tahoma" w:hAnsi="Lucida Sans" w:cs="Calibri"/>
      <w:color w:val="000000"/>
      <w:sz w:val="130"/>
      <w:szCs w:val="24"/>
      <w:lang w:eastAsia="zh-CN" w:bidi="hi-IN"/>
    </w:rPr>
  </w:style>
  <w:style w:type="paragraph" w:customStyle="1" w:styleId="LTGliederung23">
    <w:name w:val="Обычный~LT~Gliederung 2"/>
    <w:next w:val="LTGliederung43"/>
    <w:pPr>
      <w:widowControl w:val="0"/>
      <w:tabs>
        <w:tab w:val="left" w:pos="550"/>
        <w:tab w:val="left" w:pos="3467"/>
        <w:tab w:val="left" w:pos="6385"/>
        <w:tab w:val="left" w:pos="9302"/>
        <w:tab w:val="left" w:pos="12220"/>
      </w:tabs>
      <w:suppressAutoHyphens/>
      <w:spacing w:before="279"/>
    </w:pPr>
    <w:rPr>
      <w:rFonts w:ascii="Lucida Sans" w:eastAsia="NSimSun" w:hAnsi="Lucida Sans" w:cs="Lucida Sans"/>
      <w:color w:val="000000"/>
      <w:sz w:val="112"/>
      <w:szCs w:val="24"/>
      <w:lang w:eastAsia="zh-CN" w:bidi="hi-IN"/>
    </w:rPr>
  </w:style>
  <w:style w:type="paragraph" w:customStyle="1" w:styleId="LTGliederung33">
    <w:name w:val="Обычный~LT~Gliederung 3"/>
    <w:next w:val="LTGliederung53"/>
    <w:pPr>
      <w:widowControl w:val="0"/>
      <w:tabs>
        <w:tab w:val="left" w:pos="2187"/>
        <w:tab w:val="left" w:pos="5105"/>
        <w:tab w:val="left" w:pos="8022"/>
        <w:tab w:val="left" w:pos="10939"/>
      </w:tabs>
      <w:suppressAutoHyphens/>
      <w:spacing w:before="245"/>
    </w:pPr>
    <w:rPr>
      <w:rFonts w:ascii="Lucida Sans" w:eastAsia="NSimSun" w:hAnsi="Lucida Sans" w:cs="Lucida Sans"/>
      <w:color w:val="000000"/>
      <w:sz w:val="98"/>
      <w:szCs w:val="24"/>
      <w:lang w:eastAsia="zh-CN" w:bidi="hi-IN"/>
    </w:rPr>
  </w:style>
  <w:style w:type="paragraph" w:customStyle="1" w:styleId="LTGliederung43">
    <w:name w:val="Обычный~LT~Gliederung 4"/>
    <w:next w:val="LTGliederung63"/>
    <w:pPr>
      <w:widowControl w:val="0"/>
      <w:tabs>
        <w:tab w:val="left" w:pos="730"/>
        <w:tab w:val="left" w:pos="3647"/>
        <w:tab w:val="left" w:pos="6564"/>
        <w:tab w:val="left" w:pos="9482"/>
      </w:tabs>
      <w:suppressAutoHyphens/>
      <w:spacing w:before="200"/>
    </w:pPr>
    <w:rPr>
      <w:rFonts w:ascii="Lucida Sans" w:eastAsia="NSimSun" w:hAnsi="Lucida Sans" w:cs="Lucida Sans"/>
      <w:color w:val="000000"/>
      <w:sz w:val="80"/>
      <w:szCs w:val="24"/>
      <w:lang w:eastAsia="zh-CN" w:bidi="hi-IN"/>
    </w:rPr>
  </w:style>
  <w:style w:type="paragraph" w:customStyle="1" w:styleId="LTGliederung53">
    <w:name w:val="Обычный~LT~Gliederung 5"/>
    <w:next w:val="LTGliederung73"/>
    <w:pPr>
      <w:widowControl w:val="0"/>
      <w:tabs>
        <w:tab w:val="left" w:pos="2185"/>
        <w:tab w:val="left" w:pos="5102"/>
        <w:tab w:val="left" w:pos="8020"/>
      </w:tabs>
      <w:suppressAutoHyphens/>
      <w:spacing w:before="200"/>
    </w:pPr>
    <w:rPr>
      <w:rFonts w:ascii="Lucida Sans" w:eastAsia="NSimSun" w:hAnsi="Lucida Sans" w:cs="Lucida Sans"/>
      <w:color w:val="000000"/>
      <w:sz w:val="80"/>
      <w:szCs w:val="24"/>
      <w:lang w:eastAsia="zh-CN" w:bidi="hi-IN"/>
    </w:rPr>
  </w:style>
  <w:style w:type="paragraph" w:customStyle="1" w:styleId="LTGliederung63">
    <w:name w:val="Обычный~LT~Gliederung 6"/>
    <w:next w:val="LTGliederung83"/>
    <w:pPr>
      <w:widowControl w:val="0"/>
      <w:suppressAutoHyphens/>
      <w:spacing w:before="200"/>
    </w:pPr>
    <w:rPr>
      <w:rFonts w:ascii="Lucida Sans" w:eastAsia="NSimSun" w:hAnsi="Lucida Sans" w:cs="Lucida Sans"/>
      <w:color w:val="000000"/>
      <w:sz w:val="80"/>
      <w:szCs w:val="24"/>
      <w:lang w:eastAsia="zh-CN" w:bidi="hi-IN"/>
    </w:rPr>
  </w:style>
  <w:style w:type="paragraph" w:customStyle="1" w:styleId="LTGliederung73">
    <w:name w:val="Обычный~LT~Gliederung 7"/>
    <w:next w:val="LTGliederung93"/>
    <w:pPr>
      <w:widowControl w:val="0"/>
      <w:suppressAutoHyphens/>
      <w:spacing w:before="200"/>
    </w:pPr>
    <w:rPr>
      <w:rFonts w:ascii="Lucida Sans" w:eastAsia="NSimSun" w:hAnsi="Lucida Sans" w:cs="Lucida Sans"/>
      <w:color w:val="000000"/>
      <w:sz w:val="80"/>
      <w:szCs w:val="24"/>
      <w:lang w:eastAsia="zh-CN" w:bidi="hi-IN"/>
    </w:rPr>
  </w:style>
  <w:style w:type="paragraph" w:customStyle="1" w:styleId="LTGliederung83">
    <w:name w:val="Обычный~LT~Gliederung 8"/>
    <w:next w:val="LTTitel3"/>
    <w:pPr>
      <w:widowControl w:val="0"/>
      <w:suppressAutoHyphens/>
      <w:spacing w:before="200"/>
    </w:pPr>
    <w:rPr>
      <w:rFonts w:ascii="Lucida Sans" w:eastAsia="NSimSun" w:hAnsi="Lucida Sans" w:cs="Lucida Sans"/>
      <w:color w:val="000000"/>
      <w:sz w:val="80"/>
      <w:szCs w:val="24"/>
      <w:lang w:eastAsia="zh-CN" w:bidi="hi-IN"/>
    </w:rPr>
  </w:style>
  <w:style w:type="paragraph" w:customStyle="1" w:styleId="LTGliederung93">
    <w:name w:val="Обычный~LT~Gliederung 9"/>
    <w:next w:val="LTUntertitel3"/>
    <w:pPr>
      <w:widowControl w:val="0"/>
      <w:suppressAutoHyphens/>
      <w:spacing w:before="200"/>
    </w:pPr>
    <w:rPr>
      <w:rFonts w:ascii="Lucida Sans" w:eastAsia="NSimSun" w:hAnsi="Lucida Sans" w:cs="Lucida Sans"/>
      <w:color w:val="000000"/>
      <w:sz w:val="80"/>
      <w:szCs w:val="24"/>
      <w:lang w:eastAsia="zh-CN" w:bidi="hi-IN"/>
    </w:rPr>
  </w:style>
  <w:style w:type="paragraph" w:customStyle="1" w:styleId="LTTitel3">
    <w:name w:val="Обычный~LT~Titel"/>
    <w:next w:val="LTNotizen3"/>
    <w:pPr>
      <w:widowControl w:val="0"/>
      <w:tabs>
        <w:tab w:val="left" w:pos="0"/>
        <w:tab w:val="left" w:pos="2917"/>
        <w:tab w:val="left" w:pos="5835"/>
        <w:tab w:val="left" w:pos="8752"/>
        <w:tab w:val="left" w:pos="11670"/>
        <w:tab w:val="left" w:pos="14587"/>
      </w:tabs>
      <w:suppressAutoHyphens/>
      <w:jc w:val="center"/>
    </w:pPr>
    <w:rPr>
      <w:rFonts w:ascii="Lucida Sans" w:eastAsia="Tahoma" w:hAnsi="Lucida Sans" w:cs="Calibri"/>
      <w:color w:val="000000"/>
      <w:sz w:val="178"/>
      <w:szCs w:val="24"/>
      <w:lang w:eastAsia="zh-CN" w:bidi="hi-IN"/>
    </w:rPr>
  </w:style>
  <w:style w:type="paragraph" w:customStyle="1" w:styleId="LTUntertitel3">
    <w:name w:val="Обычный~LT~Untertitel"/>
    <w:next w:val="LTHintergrundobjekte3"/>
    <w:pPr>
      <w:widowControl w:val="0"/>
      <w:tabs>
        <w:tab w:val="left" w:pos="0"/>
        <w:tab w:val="left" w:pos="2917"/>
        <w:tab w:val="left" w:pos="5835"/>
        <w:tab w:val="left" w:pos="8752"/>
        <w:tab w:val="left" w:pos="11670"/>
        <w:tab w:val="left" w:pos="14587"/>
      </w:tabs>
      <w:suppressAutoHyphens/>
      <w:spacing w:before="325"/>
      <w:jc w:val="center"/>
    </w:pPr>
    <w:rPr>
      <w:rFonts w:ascii="Lucida Sans" w:eastAsia="Tahoma" w:hAnsi="Lucida Sans" w:cs="Calibri"/>
      <w:color w:val="000000"/>
      <w:sz w:val="130"/>
      <w:szCs w:val="24"/>
      <w:lang w:eastAsia="zh-CN" w:bidi="hi-IN"/>
    </w:rPr>
  </w:style>
  <w:style w:type="paragraph" w:customStyle="1" w:styleId="LTNotizen3">
    <w:name w:val="Обычный~LT~Notizen"/>
    <w:next w:val="LTHintergrund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42"/>
    </w:pPr>
    <w:rPr>
      <w:rFonts w:ascii="Lucida Sans" w:eastAsia="Tahoma" w:hAnsi="Lucida Sans" w:cs="Calibri"/>
      <w:color w:val="000000"/>
      <w:sz w:val="38"/>
      <w:szCs w:val="24"/>
      <w:lang w:eastAsia="zh-CN" w:bidi="hi-IN"/>
    </w:rPr>
  </w:style>
  <w:style w:type="paragraph" w:customStyle="1" w:styleId="LTHintergrundobjekte3">
    <w:name w:val="Обычный~LT~Hintergrundobjekte"/>
    <w:next w:val="1LTGliederung1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Arial" w:eastAsia="Tahoma" w:hAnsi="Arial" w:cs="Calibri"/>
      <w:color w:val="000000"/>
      <w:sz w:val="36"/>
      <w:szCs w:val="24"/>
      <w:lang w:eastAsia="zh-CN" w:bidi="hi-IN"/>
    </w:rPr>
  </w:style>
  <w:style w:type="paragraph" w:customStyle="1" w:styleId="LTHintergrund3">
    <w:name w:val="Обычный~LT~Hintergrund"/>
    <w:next w:val="1LTGliederung20"/>
    <w:pPr>
      <w:widowControl w:val="0"/>
      <w:suppressAutoHyphens/>
      <w:jc w:val="center"/>
    </w:pPr>
    <w:rPr>
      <w:rFonts w:ascii="Liberation Serif" w:eastAsia="Tahoma" w:hAnsi="Liberation Serif" w:cs="Calibri"/>
      <w:sz w:val="24"/>
      <w:szCs w:val="24"/>
      <w:lang w:eastAsia="zh-CN" w:bidi="hi-IN"/>
    </w:rPr>
  </w:style>
  <w:style w:type="paragraph" w:customStyle="1" w:styleId="1LTGliederung10">
    <w:name w:val="Заглавие1~LT~Gliederung 1"/>
    <w:next w:val="1LTGliederung30"/>
    <w:pPr>
      <w:widowControl w:val="0"/>
      <w:tabs>
        <w:tab w:val="left" w:pos="1825"/>
        <w:tab w:val="left" w:pos="4742"/>
        <w:tab w:val="left" w:pos="7660"/>
        <w:tab w:val="left" w:pos="10577"/>
        <w:tab w:val="left" w:pos="13495"/>
      </w:tabs>
      <w:suppressAutoHyphens/>
      <w:spacing w:before="325"/>
    </w:pPr>
    <w:rPr>
      <w:rFonts w:ascii="Lucida Sans" w:eastAsia="Tahoma" w:hAnsi="Lucida Sans" w:cs="Calibri"/>
      <w:color w:val="000000"/>
      <w:kern w:val="2"/>
      <w:sz w:val="130"/>
      <w:szCs w:val="24"/>
      <w:lang w:eastAsia="zh-CN" w:bidi="hi-IN"/>
    </w:rPr>
  </w:style>
  <w:style w:type="paragraph" w:customStyle="1" w:styleId="1LTGliederung20">
    <w:name w:val="Заглавие1~LT~Gliederung 2"/>
    <w:next w:val="1LTGliederung40"/>
    <w:pPr>
      <w:widowControl w:val="0"/>
      <w:tabs>
        <w:tab w:val="left" w:pos="550"/>
        <w:tab w:val="left" w:pos="3467"/>
        <w:tab w:val="left" w:pos="6385"/>
        <w:tab w:val="left" w:pos="9302"/>
        <w:tab w:val="left" w:pos="12220"/>
      </w:tabs>
      <w:suppressAutoHyphens/>
      <w:spacing w:before="279"/>
    </w:pPr>
    <w:rPr>
      <w:rFonts w:ascii="Lucida Sans" w:eastAsia="NSimSun" w:hAnsi="Lucida Sans" w:cs="Lucida Sans"/>
      <w:color w:val="000000"/>
      <w:kern w:val="2"/>
      <w:sz w:val="112"/>
      <w:szCs w:val="24"/>
      <w:lang w:eastAsia="zh-CN" w:bidi="hi-IN"/>
    </w:rPr>
  </w:style>
  <w:style w:type="paragraph" w:customStyle="1" w:styleId="1LTGliederung30">
    <w:name w:val="Заглавие1~LT~Gliederung 3"/>
    <w:next w:val="1LTGliederung50"/>
    <w:pPr>
      <w:widowControl w:val="0"/>
      <w:tabs>
        <w:tab w:val="left" w:pos="2187"/>
        <w:tab w:val="left" w:pos="5105"/>
        <w:tab w:val="left" w:pos="8022"/>
        <w:tab w:val="left" w:pos="10939"/>
      </w:tabs>
      <w:suppressAutoHyphens/>
      <w:spacing w:before="245"/>
    </w:pPr>
    <w:rPr>
      <w:rFonts w:ascii="Lucida Sans" w:eastAsia="NSimSun" w:hAnsi="Lucida Sans" w:cs="Lucida Sans"/>
      <w:color w:val="000000"/>
      <w:kern w:val="2"/>
      <w:sz w:val="98"/>
      <w:szCs w:val="24"/>
      <w:lang w:eastAsia="zh-CN" w:bidi="hi-IN"/>
    </w:rPr>
  </w:style>
  <w:style w:type="paragraph" w:customStyle="1" w:styleId="1LTGliederung40">
    <w:name w:val="Заглавие1~LT~Gliederung 4"/>
    <w:next w:val="1LTGliederung60"/>
    <w:pPr>
      <w:widowControl w:val="0"/>
      <w:tabs>
        <w:tab w:val="left" w:pos="730"/>
        <w:tab w:val="left" w:pos="3647"/>
        <w:tab w:val="left" w:pos="6564"/>
        <w:tab w:val="left" w:pos="9482"/>
      </w:tabs>
      <w:suppressAutoHyphens/>
      <w:spacing w:before="200"/>
    </w:pPr>
    <w:rPr>
      <w:rFonts w:ascii="Lucida Sans" w:eastAsia="NSimSun" w:hAnsi="Lucida Sans" w:cs="Lucida Sans"/>
      <w:color w:val="000000"/>
      <w:kern w:val="2"/>
      <w:sz w:val="80"/>
      <w:szCs w:val="24"/>
      <w:lang w:eastAsia="zh-CN" w:bidi="hi-IN"/>
    </w:rPr>
  </w:style>
  <w:style w:type="paragraph" w:customStyle="1" w:styleId="1LTGliederung50">
    <w:name w:val="Заглавие1~LT~Gliederung 5"/>
    <w:next w:val="1LTGliederung70"/>
    <w:pPr>
      <w:widowControl w:val="0"/>
      <w:tabs>
        <w:tab w:val="left" w:pos="2185"/>
        <w:tab w:val="left" w:pos="5102"/>
        <w:tab w:val="left" w:pos="8020"/>
      </w:tabs>
      <w:suppressAutoHyphens/>
      <w:spacing w:before="200"/>
    </w:pPr>
    <w:rPr>
      <w:rFonts w:ascii="Lucida Sans" w:eastAsia="NSimSun" w:hAnsi="Lucida Sans" w:cs="Lucida Sans"/>
      <w:color w:val="000000"/>
      <w:kern w:val="2"/>
      <w:sz w:val="80"/>
      <w:szCs w:val="24"/>
      <w:lang w:eastAsia="zh-CN" w:bidi="hi-IN"/>
    </w:rPr>
  </w:style>
  <w:style w:type="paragraph" w:customStyle="1" w:styleId="1LTGliederung60">
    <w:name w:val="Заглавие1~LT~Gliederung 6"/>
    <w:next w:val="1LTGliederung80"/>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1LTGliederung70">
    <w:name w:val="Заглавие1~LT~Gliederung 7"/>
    <w:next w:val="1LTGliederung90"/>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1LTGliederung80">
    <w:name w:val="Заглавие1~LT~Gliederung 8"/>
    <w:next w:val="1LTTitel0"/>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1LTGliederung90">
    <w:name w:val="Заглавие1~LT~Gliederung 9"/>
    <w:next w:val="1LTUntertitel0"/>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1LTTitel0">
    <w:name w:val="Заглавие1~LT~Titel"/>
    <w:next w:val="1LTNotizen0"/>
    <w:pPr>
      <w:widowControl w:val="0"/>
      <w:tabs>
        <w:tab w:val="left" w:pos="0"/>
        <w:tab w:val="left" w:pos="2917"/>
        <w:tab w:val="left" w:pos="5835"/>
        <w:tab w:val="left" w:pos="8752"/>
        <w:tab w:val="left" w:pos="11670"/>
        <w:tab w:val="left" w:pos="14587"/>
      </w:tabs>
      <w:suppressAutoHyphens/>
      <w:jc w:val="center"/>
    </w:pPr>
    <w:rPr>
      <w:rFonts w:ascii="Lucida Sans" w:eastAsia="Tahoma" w:hAnsi="Lucida Sans" w:cs="Calibri"/>
      <w:color w:val="000000"/>
      <w:kern w:val="2"/>
      <w:sz w:val="178"/>
      <w:szCs w:val="24"/>
      <w:lang w:eastAsia="zh-CN" w:bidi="hi-IN"/>
    </w:rPr>
  </w:style>
  <w:style w:type="paragraph" w:customStyle="1" w:styleId="1LTUntertitel0">
    <w:name w:val="Заглавие1~LT~Untertitel"/>
    <w:next w:val="1LTHintergrundobjekte0"/>
    <w:pPr>
      <w:widowControl w:val="0"/>
      <w:tabs>
        <w:tab w:val="left" w:pos="0"/>
        <w:tab w:val="left" w:pos="2917"/>
        <w:tab w:val="left" w:pos="5835"/>
        <w:tab w:val="left" w:pos="8752"/>
        <w:tab w:val="left" w:pos="11670"/>
        <w:tab w:val="left" w:pos="14587"/>
      </w:tabs>
      <w:suppressAutoHyphens/>
      <w:spacing w:before="325"/>
      <w:jc w:val="center"/>
    </w:pPr>
    <w:rPr>
      <w:rFonts w:ascii="Lucida Sans" w:eastAsia="Tahoma" w:hAnsi="Lucida Sans" w:cs="Calibri"/>
      <w:color w:val="000000"/>
      <w:kern w:val="2"/>
      <w:sz w:val="130"/>
      <w:szCs w:val="24"/>
      <w:lang w:eastAsia="zh-CN" w:bidi="hi-IN"/>
    </w:rPr>
  </w:style>
  <w:style w:type="paragraph" w:customStyle="1" w:styleId="1LTNotizen0">
    <w:name w:val="Заглавие1~LT~Notizen"/>
    <w:next w:val="1LTHintergrund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42"/>
    </w:pPr>
    <w:rPr>
      <w:rFonts w:ascii="Lucida Sans" w:eastAsia="Tahoma" w:hAnsi="Lucida Sans" w:cs="Calibri"/>
      <w:color w:val="000000"/>
      <w:kern w:val="2"/>
      <w:sz w:val="38"/>
      <w:szCs w:val="24"/>
      <w:lang w:eastAsia="zh-CN" w:bidi="hi-IN"/>
    </w:rPr>
  </w:style>
  <w:style w:type="paragraph" w:customStyle="1" w:styleId="1LTHintergrundobjekte0">
    <w:name w:val="Заглавие1~LT~Hintergrundobjekte"/>
    <w:next w:val="2LTGliederung1"/>
    <w:pPr>
      <w:widowControl w:val="0"/>
      <w:suppressAutoHyphens/>
    </w:pPr>
    <w:rPr>
      <w:rFonts w:ascii="Liberation Serif" w:eastAsia="Tahoma" w:hAnsi="Liberation Serif" w:cs="Calibri"/>
      <w:kern w:val="2"/>
      <w:sz w:val="24"/>
      <w:szCs w:val="24"/>
      <w:lang w:eastAsia="zh-CN" w:bidi="hi-IN"/>
    </w:rPr>
  </w:style>
  <w:style w:type="paragraph" w:customStyle="1" w:styleId="1LTHintergrund0">
    <w:name w:val="Заглавие1~LT~Hintergrund"/>
    <w:next w:val="2LTGliederung2"/>
    <w:pPr>
      <w:widowControl w:val="0"/>
      <w:suppressAutoHyphens/>
      <w:jc w:val="center"/>
    </w:pPr>
    <w:rPr>
      <w:rFonts w:ascii="Liberation Serif" w:eastAsia="Tahoma" w:hAnsi="Liberation Serif" w:cs="Calibri"/>
      <w:sz w:val="24"/>
      <w:szCs w:val="24"/>
      <w:lang w:eastAsia="zh-CN" w:bidi="hi-IN"/>
    </w:rPr>
  </w:style>
  <w:style w:type="paragraph" w:customStyle="1" w:styleId="2LTGliederung1">
    <w:name w:val="Заглавие2~LT~Gliederung 1"/>
    <w:next w:val="2LTGliederung3"/>
    <w:pPr>
      <w:widowControl w:val="0"/>
      <w:tabs>
        <w:tab w:val="left" w:pos="1825"/>
        <w:tab w:val="left" w:pos="4742"/>
        <w:tab w:val="left" w:pos="7660"/>
        <w:tab w:val="left" w:pos="10577"/>
        <w:tab w:val="left" w:pos="13495"/>
      </w:tabs>
      <w:suppressAutoHyphens/>
      <w:spacing w:before="325"/>
    </w:pPr>
    <w:rPr>
      <w:rFonts w:ascii="Lucida Sans" w:eastAsia="Tahoma" w:hAnsi="Lucida Sans" w:cs="Calibri"/>
      <w:color w:val="000000"/>
      <w:kern w:val="2"/>
      <w:sz w:val="130"/>
      <w:szCs w:val="24"/>
      <w:lang w:eastAsia="zh-CN" w:bidi="hi-IN"/>
    </w:rPr>
  </w:style>
  <w:style w:type="paragraph" w:customStyle="1" w:styleId="2LTGliederung2">
    <w:name w:val="Заглавие2~LT~Gliederung 2"/>
    <w:next w:val="2LTGliederung4"/>
    <w:pPr>
      <w:widowControl w:val="0"/>
      <w:tabs>
        <w:tab w:val="left" w:pos="550"/>
        <w:tab w:val="left" w:pos="3467"/>
        <w:tab w:val="left" w:pos="6385"/>
        <w:tab w:val="left" w:pos="9302"/>
        <w:tab w:val="left" w:pos="12220"/>
      </w:tabs>
      <w:suppressAutoHyphens/>
      <w:spacing w:before="279"/>
    </w:pPr>
    <w:rPr>
      <w:rFonts w:ascii="Lucida Sans" w:eastAsia="NSimSun" w:hAnsi="Lucida Sans" w:cs="Lucida Sans"/>
      <w:color w:val="000000"/>
      <w:kern w:val="2"/>
      <w:sz w:val="112"/>
      <w:szCs w:val="24"/>
      <w:lang w:eastAsia="zh-CN" w:bidi="hi-IN"/>
    </w:rPr>
  </w:style>
  <w:style w:type="paragraph" w:customStyle="1" w:styleId="2LTGliederung3">
    <w:name w:val="Заглавие2~LT~Gliederung 3"/>
    <w:next w:val="2LTGliederung5"/>
    <w:pPr>
      <w:widowControl w:val="0"/>
      <w:tabs>
        <w:tab w:val="left" w:pos="2187"/>
        <w:tab w:val="left" w:pos="5105"/>
        <w:tab w:val="left" w:pos="8022"/>
        <w:tab w:val="left" w:pos="10939"/>
      </w:tabs>
      <w:suppressAutoHyphens/>
      <w:spacing w:before="245"/>
    </w:pPr>
    <w:rPr>
      <w:rFonts w:ascii="Lucida Sans" w:eastAsia="NSimSun" w:hAnsi="Lucida Sans" w:cs="Lucida Sans"/>
      <w:color w:val="000000"/>
      <w:kern w:val="2"/>
      <w:sz w:val="98"/>
      <w:szCs w:val="24"/>
      <w:lang w:eastAsia="zh-CN" w:bidi="hi-IN"/>
    </w:rPr>
  </w:style>
  <w:style w:type="paragraph" w:customStyle="1" w:styleId="2LTGliederung4">
    <w:name w:val="Заглавие2~LT~Gliederung 4"/>
    <w:next w:val="2LTGliederung6"/>
    <w:pPr>
      <w:widowControl w:val="0"/>
      <w:tabs>
        <w:tab w:val="left" w:pos="730"/>
        <w:tab w:val="left" w:pos="3647"/>
        <w:tab w:val="left" w:pos="6564"/>
        <w:tab w:val="left" w:pos="9482"/>
      </w:tabs>
      <w:suppressAutoHyphens/>
      <w:spacing w:before="200"/>
    </w:pPr>
    <w:rPr>
      <w:rFonts w:ascii="Lucida Sans" w:eastAsia="NSimSun" w:hAnsi="Lucida Sans" w:cs="Lucida Sans"/>
      <w:color w:val="000000"/>
      <w:kern w:val="2"/>
      <w:sz w:val="80"/>
      <w:szCs w:val="24"/>
      <w:lang w:eastAsia="zh-CN" w:bidi="hi-IN"/>
    </w:rPr>
  </w:style>
  <w:style w:type="paragraph" w:customStyle="1" w:styleId="2LTGliederung5">
    <w:name w:val="Заглавие2~LT~Gliederung 5"/>
    <w:next w:val="2LTGliederung7"/>
    <w:pPr>
      <w:widowControl w:val="0"/>
      <w:tabs>
        <w:tab w:val="left" w:pos="2185"/>
        <w:tab w:val="left" w:pos="5102"/>
        <w:tab w:val="left" w:pos="8020"/>
      </w:tabs>
      <w:suppressAutoHyphens/>
      <w:spacing w:before="200"/>
    </w:pPr>
    <w:rPr>
      <w:rFonts w:ascii="Lucida Sans" w:eastAsia="NSimSun" w:hAnsi="Lucida Sans" w:cs="Lucida Sans"/>
      <w:color w:val="000000"/>
      <w:kern w:val="2"/>
      <w:sz w:val="80"/>
      <w:szCs w:val="24"/>
      <w:lang w:eastAsia="zh-CN" w:bidi="hi-IN"/>
    </w:rPr>
  </w:style>
  <w:style w:type="paragraph" w:customStyle="1" w:styleId="2LTGliederung6">
    <w:name w:val="Заглавие2~LT~Gliederung 6"/>
    <w:next w:val="2LTGliederung8"/>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2LTGliederung7">
    <w:name w:val="Заглавие2~LT~Gliederung 7"/>
    <w:next w:val="2LTGliederung9"/>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2LTGliederung8">
    <w:name w:val="Заглавие2~LT~Gliederung 8"/>
    <w:next w:val="2LTTitel"/>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2LTGliederung9">
    <w:name w:val="Заглавие2~LT~Gliederung 9"/>
    <w:next w:val="2LTUntertitel"/>
    <w:pPr>
      <w:widowControl w:val="0"/>
      <w:suppressAutoHyphens/>
      <w:spacing w:before="200"/>
    </w:pPr>
    <w:rPr>
      <w:rFonts w:ascii="Lucida Sans" w:eastAsia="NSimSun" w:hAnsi="Lucida Sans" w:cs="Lucida Sans"/>
      <w:color w:val="000000"/>
      <w:kern w:val="2"/>
      <w:sz w:val="80"/>
      <w:szCs w:val="24"/>
      <w:lang w:eastAsia="zh-CN" w:bidi="hi-IN"/>
    </w:rPr>
  </w:style>
  <w:style w:type="paragraph" w:customStyle="1" w:styleId="2LTTitel">
    <w:name w:val="Заглавие2~LT~Titel"/>
    <w:next w:val="2LTNotizen"/>
    <w:pPr>
      <w:widowControl w:val="0"/>
      <w:tabs>
        <w:tab w:val="left" w:pos="0"/>
        <w:tab w:val="left" w:pos="2917"/>
        <w:tab w:val="left" w:pos="5835"/>
        <w:tab w:val="left" w:pos="8752"/>
        <w:tab w:val="left" w:pos="11670"/>
        <w:tab w:val="left" w:pos="14587"/>
      </w:tabs>
      <w:suppressAutoHyphens/>
      <w:jc w:val="center"/>
    </w:pPr>
    <w:rPr>
      <w:rFonts w:ascii="Lucida Sans" w:eastAsia="Tahoma" w:hAnsi="Lucida Sans" w:cs="Calibri"/>
      <w:color w:val="000000"/>
      <w:kern w:val="2"/>
      <w:sz w:val="178"/>
      <w:szCs w:val="24"/>
      <w:lang w:eastAsia="zh-CN" w:bidi="hi-IN"/>
    </w:rPr>
  </w:style>
  <w:style w:type="paragraph" w:customStyle="1" w:styleId="2LTUntertitel">
    <w:name w:val="Заглавие2~LT~Untertitel"/>
    <w:next w:val="2LTHintergrundobjekte"/>
    <w:pPr>
      <w:widowControl w:val="0"/>
      <w:tabs>
        <w:tab w:val="left" w:pos="0"/>
        <w:tab w:val="left" w:pos="2917"/>
        <w:tab w:val="left" w:pos="5835"/>
        <w:tab w:val="left" w:pos="8752"/>
        <w:tab w:val="left" w:pos="11670"/>
        <w:tab w:val="left" w:pos="14587"/>
      </w:tabs>
      <w:suppressAutoHyphens/>
      <w:spacing w:before="325"/>
      <w:jc w:val="center"/>
    </w:pPr>
    <w:rPr>
      <w:rFonts w:ascii="Lucida Sans" w:eastAsia="Tahoma" w:hAnsi="Lucida Sans" w:cs="Calibri"/>
      <w:color w:val="000000"/>
      <w:kern w:val="2"/>
      <w:sz w:val="130"/>
      <w:szCs w:val="24"/>
      <w:lang w:eastAsia="zh-CN" w:bidi="hi-IN"/>
    </w:rPr>
  </w:style>
  <w:style w:type="paragraph" w:customStyle="1" w:styleId="2LTNotizen">
    <w:name w:val="Заглавие2~LT~Notizen"/>
    <w:next w:val="2LTHintergrun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42"/>
    </w:pPr>
    <w:rPr>
      <w:rFonts w:ascii="Lucida Sans" w:eastAsia="Tahoma" w:hAnsi="Lucida Sans" w:cs="Calibri"/>
      <w:color w:val="000000"/>
      <w:kern w:val="2"/>
      <w:sz w:val="38"/>
      <w:szCs w:val="24"/>
      <w:lang w:eastAsia="zh-CN" w:bidi="hi-IN"/>
    </w:rPr>
  </w:style>
  <w:style w:type="paragraph" w:customStyle="1" w:styleId="2LTHintergrundobjekte">
    <w:name w:val="Заглавие2~LT~Hintergrundobjekte"/>
    <w:next w:val="3LTGliederung1"/>
    <w:pPr>
      <w:widowControl w:val="0"/>
      <w:suppressAutoHyphens/>
    </w:pPr>
    <w:rPr>
      <w:rFonts w:ascii="Liberation Serif" w:eastAsia="Tahoma" w:hAnsi="Liberation Serif" w:cs="Calibri"/>
      <w:kern w:val="2"/>
      <w:sz w:val="24"/>
      <w:szCs w:val="24"/>
      <w:lang w:eastAsia="zh-CN" w:bidi="hi-IN"/>
    </w:rPr>
  </w:style>
  <w:style w:type="paragraph" w:customStyle="1" w:styleId="2LTHintergrund">
    <w:name w:val="Заглавие2~LT~Hintergrund"/>
    <w:next w:val="3LTGliederung1"/>
    <w:pPr>
      <w:widowControl w:val="0"/>
      <w:suppressAutoHyphens/>
      <w:jc w:val="center"/>
    </w:pPr>
    <w:rPr>
      <w:rFonts w:ascii="Liberation Serif" w:eastAsia="Tahoma" w:hAnsi="Liberation Serif" w:cs="Calibri"/>
      <w:sz w:val="24"/>
      <w:szCs w:val="24"/>
      <w:lang w:eastAsia="zh-CN" w:bidi="hi-IN"/>
    </w:rPr>
  </w:style>
  <w:style w:type="paragraph" w:customStyle="1" w:styleId="3LTGliederung1">
    <w:name w:val="Заглавие3~LT~Gliederung 1"/>
    <w:next w:val="3LTGliederung2"/>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pPr>
    <w:rPr>
      <w:rFonts w:ascii="DejaVu Sans" w:eastAsia="Tahoma" w:hAnsi="DejaVu Sans" w:cs="Tahoma"/>
      <w:color w:val="000000"/>
      <w:kern w:val="2"/>
      <w:sz w:val="56"/>
      <w:szCs w:val="24"/>
      <w:lang w:eastAsia="zh-CN" w:bidi="hi-IN"/>
    </w:rPr>
  </w:style>
  <w:style w:type="paragraph" w:customStyle="1" w:styleId="3LTGliederung2">
    <w:name w:val="Заглавие3~LT~Gliederung 2"/>
    <w:next w:val="3LTGliederung3"/>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92" w:lineRule="auto"/>
      <w:ind w:left="1170" w:hanging="450"/>
    </w:pPr>
    <w:rPr>
      <w:rFonts w:ascii="DejaVu Sans" w:eastAsia="NSimSun" w:hAnsi="DejaVu Sans" w:cs="DejaVu Sans"/>
      <w:color w:val="000000"/>
      <w:kern w:val="2"/>
      <w:sz w:val="40"/>
      <w:szCs w:val="24"/>
      <w:lang w:eastAsia="zh-CN" w:bidi="hi-IN"/>
    </w:rPr>
  </w:style>
  <w:style w:type="paragraph" w:customStyle="1" w:styleId="3LTGliederung3">
    <w:name w:val="Заглавие3~LT~Gliederung 3"/>
    <w:next w:val="3LTGliederung4"/>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92" w:lineRule="auto"/>
      <w:ind w:left="1800" w:hanging="360"/>
    </w:pPr>
    <w:rPr>
      <w:rFonts w:ascii="DejaVu Sans" w:eastAsia="NSimSun" w:hAnsi="DejaVu Sans" w:cs="DejaVu Sans"/>
      <w:color w:val="000000"/>
      <w:kern w:val="2"/>
      <w:sz w:val="36"/>
      <w:szCs w:val="24"/>
      <w:lang w:eastAsia="zh-CN" w:bidi="hi-IN"/>
    </w:rPr>
  </w:style>
  <w:style w:type="paragraph" w:customStyle="1" w:styleId="3LTGliederung4">
    <w:name w:val="Заглавие3~LT~Gliederung 4"/>
    <w:next w:val="3LTGliederung5"/>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92" w:lineRule="auto"/>
      <w:ind w:left="2520" w:hanging="360"/>
    </w:pPr>
    <w:rPr>
      <w:rFonts w:ascii="DejaVu Sans" w:eastAsia="NSimSun" w:hAnsi="DejaVu Sans" w:cs="DejaVu Sans"/>
      <w:color w:val="000000"/>
      <w:kern w:val="2"/>
      <w:sz w:val="36"/>
      <w:szCs w:val="24"/>
      <w:lang w:eastAsia="zh-CN" w:bidi="hi-IN"/>
    </w:rPr>
  </w:style>
  <w:style w:type="paragraph" w:customStyle="1" w:styleId="3LTGliederung5">
    <w:name w:val="Заглавие3~LT~Gliederung 5"/>
    <w:next w:val="3LTGliederung6"/>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3LTGliederung6">
    <w:name w:val="Заглавие3~LT~Gliederung 6"/>
    <w:next w:val="3LTGliederung7"/>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3LTGliederung7">
    <w:name w:val="Заглавие3~LT~Gliederung 7"/>
    <w:next w:val="3LTGliederung8"/>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3LTGliederung8">
    <w:name w:val="Заглавие3~LT~Gliederung 8"/>
    <w:next w:val="3LTGliederung9"/>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3LTGliederung9">
    <w:name w:val="Заглавие3~LT~Gliederung 9"/>
    <w:next w:val="3LTTitel"/>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3LTTitel">
    <w:name w:val="Заглавие3~LT~Titel"/>
    <w:next w:val="3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DejaVu Sans" w:eastAsia="Tahoma" w:hAnsi="DejaVu Sans" w:cs="Tahoma"/>
      <w:color w:val="000000"/>
      <w:kern w:val="2"/>
      <w:sz w:val="36"/>
      <w:szCs w:val="24"/>
      <w:lang w:eastAsia="zh-CN" w:bidi="hi-IN"/>
    </w:rPr>
  </w:style>
  <w:style w:type="paragraph" w:customStyle="1" w:styleId="3LTUntertitel">
    <w:name w:val="Заглавие3~LT~Untertitel"/>
    <w:next w:val="3LTNotizen"/>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jc w:val="center"/>
    </w:pPr>
    <w:rPr>
      <w:rFonts w:ascii="DejaVu Sans" w:eastAsia="Tahoma" w:hAnsi="DejaVu Sans" w:cs="Tahoma"/>
      <w:color w:val="000000"/>
      <w:kern w:val="2"/>
      <w:sz w:val="56"/>
      <w:szCs w:val="24"/>
      <w:lang w:eastAsia="zh-CN" w:bidi="hi-IN"/>
    </w:rPr>
  </w:style>
  <w:style w:type="paragraph" w:customStyle="1" w:styleId="3LTNotizen">
    <w:name w:val="Заглавие3~LT~Notizen"/>
    <w:next w:val="3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3LTHintergrundobjekte">
    <w:name w:val="Заглавие3~LT~Hintergrundobjekte"/>
    <w:next w:val="3LTHintergrund"/>
    <w:pPr>
      <w:widowControl w:val="0"/>
      <w:suppressAutoHyphens/>
    </w:pPr>
    <w:rPr>
      <w:rFonts w:ascii="Liberation Serif" w:eastAsia="Tahoma" w:hAnsi="Liberation Serif" w:cs="Tahoma"/>
      <w:kern w:val="2"/>
      <w:sz w:val="24"/>
      <w:szCs w:val="24"/>
      <w:lang w:eastAsia="zh-CN" w:bidi="hi-IN"/>
    </w:rPr>
  </w:style>
  <w:style w:type="paragraph" w:customStyle="1" w:styleId="3LTHintergrund">
    <w:name w:val="Заглавие3~LT~Hintergrund"/>
    <w:next w:val="4LTGliederung1"/>
    <w:pPr>
      <w:widowControl w:val="0"/>
      <w:suppressAutoHyphens/>
      <w:jc w:val="center"/>
    </w:pPr>
    <w:rPr>
      <w:rFonts w:ascii="Liberation Serif" w:eastAsia="Tahoma" w:hAnsi="Liberation Serif" w:cs="Tahoma"/>
      <w:sz w:val="24"/>
      <w:szCs w:val="24"/>
      <w:lang w:eastAsia="zh-CN" w:bidi="hi-IN"/>
    </w:rPr>
  </w:style>
  <w:style w:type="paragraph" w:customStyle="1" w:styleId="4LTGliederung1">
    <w:name w:val="Заглавие4~LT~Gliederung 1"/>
    <w:next w:val="4LTGliederung2"/>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pPr>
    <w:rPr>
      <w:rFonts w:ascii="Microsoft YaHei" w:eastAsia="Tahoma" w:hAnsi="Microsoft YaHei" w:cs="Tahoma"/>
      <w:color w:val="000000"/>
      <w:kern w:val="2"/>
      <w:sz w:val="56"/>
      <w:szCs w:val="24"/>
      <w:lang w:eastAsia="zh-CN" w:bidi="hi-IN"/>
    </w:rPr>
  </w:style>
  <w:style w:type="paragraph" w:customStyle="1" w:styleId="4LTGliederung2">
    <w:name w:val="Заглавие4~LT~Gliederung 2"/>
    <w:next w:val="4LTGliederung3"/>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80" w:lineRule="auto"/>
      <w:ind w:left="1170" w:hanging="450"/>
    </w:pPr>
    <w:rPr>
      <w:rFonts w:ascii="Microsoft YaHei" w:eastAsia="NSimSun" w:hAnsi="Microsoft YaHei" w:cs="Microsoft YaHei"/>
      <w:color w:val="000000"/>
      <w:kern w:val="2"/>
      <w:sz w:val="40"/>
      <w:szCs w:val="24"/>
      <w:lang w:eastAsia="zh-CN" w:bidi="hi-IN"/>
    </w:rPr>
  </w:style>
  <w:style w:type="paragraph" w:customStyle="1" w:styleId="4LTGliederung3">
    <w:name w:val="Заглавие4~LT~Gliederung 3"/>
    <w:next w:val="4LTGliederung4"/>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80" w:lineRule="auto"/>
      <w:ind w:left="1800" w:hanging="360"/>
    </w:pPr>
    <w:rPr>
      <w:rFonts w:ascii="Microsoft YaHei" w:eastAsia="NSimSun" w:hAnsi="Microsoft YaHei" w:cs="Microsoft YaHei"/>
      <w:color w:val="000000"/>
      <w:kern w:val="2"/>
      <w:sz w:val="36"/>
      <w:szCs w:val="24"/>
      <w:lang w:eastAsia="zh-CN" w:bidi="hi-IN"/>
    </w:rPr>
  </w:style>
  <w:style w:type="paragraph" w:customStyle="1" w:styleId="4LTGliederung4">
    <w:name w:val="Заглавие4~LT~Gliederung 4"/>
    <w:next w:val="4LTGliederung5"/>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80" w:lineRule="auto"/>
      <w:ind w:left="2520" w:hanging="360"/>
    </w:pPr>
    <w:rPr>
      <w:rFonts w:ascii="Microsoft YaHei" w:eastAsia="NSimSun" w:hAnsi="Microsoft YaHei" w:cs="Microsoft YaHei"/>
      <w:color w:val="000000"/>
      <w:kern w:val="2"/>
      <w:sz w:val="36"/>
      <w:szCs w:val="24"/>
      <w:lang w:eastAsia="zh-CN" w:bidi="hi-IN"/>
    </w:rPr>
  </w:style>
  <w:style w:type="paragraph" w:customStyle="1" w:styleId="4LTGliederung5">
    <w:name w:val="Заглавие4~LT~Gliederung 5"/>
    <w:next w:val="4LTGliederung6"/>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4LTGliederung6">
    <w:name w:val="Заглавие4~LT~Gliederung 6"/>
    <w:next w:val="4LTGliederung7"/>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4LTGliederung7">
    <w:name w:val="Заглавие4~LT~Gliederung 7"/>
    <w:next w:val="4LTGliederung8"/>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4LTGliederung8">
    <w:name w:val="Заглавие4~LT~Gliederung 8"/>
    <w:next w:val="4LTGliederung9"/>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4LTGliederung9">
    <w:name w:val="Заглавие4~LT~Gliederung 9"/>
    <w:next w:val="4LTTitel"/>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4LTTitel">
    <w:name w:val="Заглавие4~LT~Titel"/>
    <w:next w:val="4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Microsoft YaHei" w:eastAsia="Tahoma" w:hAnsi="Microsoft YaHei" w:cs="Tahoma"/>
      <w:color w:val="000000"/>
      <w:kern w:val="2"/>
      <w:sz w:val="36"/>
      <w:szCs w:val="24"/>
      <w:lang w:eastAsia="zh-CN" w:bidi="hi-IN"/>
    </w:rPr>
  </w:style>
  <w:style w:type="paragraph" w:customStyle="1" w:styleId="4LTUntertitel">
    <w:name w:val="Заглавие4~LT~Untertitel"/>
    <w:next w:val="4LTNotizen"/>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jc w:val="center"/>
    </w:pPr>
    <w:rPr>
      <w:rFonts w:ascii="Microsoft YaHei" w:eastAsia="Tahoma" w:hAnsi="Microsoft YaHei" w:cs="Tahoma"/>
      <w:color w:val="000000"/>
      <w:kern w:val="2"/>
      <w:sz w:val="56"/>
      <w:szCs w:val="24"/>
      <w:lang w:eastAsia="zh-CN" w:bidi="hi-IN"/>
    </w:rPr>
  </w:style>
  <w:style w:type="paragraph" w:customStyle="1" w:styleId="4LTNotizen">
    <w:name w:val="Заглавие4~LT~Notizen"/>
    <w:next w:val="4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4LTHintergrundobjekte">
    <w:name w:val="Заглавие4~LT~Hintergrundobjekte"/>
    <w:next w:val="4LTHintergrund"/>
    <w:pPr>
      <w:widowControl w:val="0"/>
      <w:suppressAutoHyphens/>
    </w:pPr>
    <w:rPr>
      <w:rFonts w:ascii="Liberation Serif" w:eastAsia="Tahoma" w:hAnsi="Liberation Serif" w:cs="Tahoma"/>
      <w:kern w:val="2"/>
      <w:sz w:val="24"/>
      <w:szCs w:val="24"/>
      <w:lang w:eastAsia="zh-CN" w:bidi="hi-IN"/>
    </w:rPr>
  </w:style>
  <w:style w:type="paragraph" w:customStyle="1" w:styleId="4LTHintergrund">
    <w:name w:val="Заглавие4~LT~Hintergrund"/>
    <w:next w:val="5LTGliederung10"/>
    <w:pPr>
      <w:widowControl w:val="0"/>
      <w:suppressAutoHyphens/>
      <w:jc w:val="center"/>
    </w:pPr>
    <w:rPr>
      <w:rFonts w:ascii="Liberation Serif" w:eastAsia="Tahoma" w:hAnsi="Liberation Serif" w:cs="Tahoma"/>
      <w:sz w:val="24"/>
      <w:szCs w:val="24"/>
      <w:lang w:eastAsia="zh-CN" w:bidi="hi-IN"/>
    </w:rPr>
  </w:style>
  <w:style w:type="paragraph" w:customStyle="1" w:styleId="5LTGliederung10">
    <w:name w:val="Заглавие5~LT~Gliederung 1"/>
    <w:next w:val="5LTGliederung20"/>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pPr>
    <w:rPr>
      <w:rFonts w:ascii="Microsoft YaHei" w:eastAsia="Tahoma" w:hAnsi="Microsoft YaHei" w:cs="Tahoma"/>
      <w:color w:val="000000"/>
      <w:kern w:val="2"/>
      <w:sz w:val="56"/>
      <w:szCs w:val="24"/>
      <w:lang w:eastAsia="zh-CN" w:bidi="hi-IN"/>
    </w:rPr>
  </w:style>
  <w:style w:type="paragraph" w:customStyle="1" w:styleId="5LTGliederung20">
    <w:name w:val="Заглавие5~LT~Gliederung 2"/>
    <w:next w:val="5LTGliederung30"/>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80" w:lineRule="auto"/>
      <w:ind w:left="1170" w:hanging="450"/>
    </w:pPr>
    <w:rPr>
      <w:rFonts w:ascii="Microsoft YaHei" w:eastAsia="NSimSun" w:hAnsi="Microsoft YaHei" w:cs="Microsoft YaHei"/>
      <w:color w:val="000000"/>
      <w:kern w:val="2"/>
      <w:sz w:val="40"/>
      <w:szCs w:val="24"/>
      <w:lang w:eastAsia="zh-CN" w:bidi="hi-IN"/>
    </w:rPr>
  </w:style>
  <w:style w:type="paragraph" w:customStyle="1" w:styleId="5LTGliederung30">
    <w:name w:val="Заглавие5~LT~Gliederung 3"/>
    <w:next w:val="5LTGliederung40"/>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80" w:lineRule="auto"/>
      <w:ind w:left="1800" w:hanging="360"/>
    </w:pPr>
    <w:rPr>
      <w:rFonts w:ascii="Microsoft YaHei" w:eastAsia="NSimSun" w:hAnsi="Microsoft YaHei" w:cs="Microsoft YaHei"/>
      <w:color w:val="000000"/>
      <w:kern w:val="2"/>
      <w:sz w:val="36"/>
      <w:szCs w:val="24"/>
      <w:lang w:eastAsia="zh-CN" w:bidi="hi-IN"/>
    </w:rPr>
  </w:style>
  <w:style w:type="paragraph" w:customStyle="1" w:styleId="5LTGliederung40">
    <w:name w:val="Заглавие5~LT~Gliederung 4"/>
    <w:next w:val="5LTGliederung50"/>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80" w:lineRule="auto"/>
      <w:ind w:left="2520" w:hanging="360"/>
    </w:pPr>
    <w:rPr>
      <w:rFonts w:ascii="Microsoft YaHei" w:eastAsia="NSimSun" w:hAnsi="Microsoft YaHei" w:cs="Microsoft YaHei"/>
      <w:color w:val="000000"/>
      <w:kern w:val="2"/>
      <w:sz w:val="36"/>
      <w:szCs w:val="24"/>
      <w:lang w:eastAsia="zh-CN" w:bidi="hi-IN"/>
    </w:rPr>
  </w:style>
  <w:style w:type="paragraph" w:customStyle="1" w:styleId="5LTGliederung50">
    <w:name w:val="Заглавие5~LT~Gliederung 5"/>
    <w:next w:val="5LTGliederung60"/>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5LTGliederung60">
    <w:name w:val="Заглавие5~LT~Gliederung 6"/>
    <w:next w:val="5LTGliederung70"/>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5LTGliederung70">
    <w:name w:val="Заглавие5~LT~Gliederung 7"/>
    <w:next w:val="5LTGliederung80"/>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5LTGliederung80">
    <w:name w:val="Заглавие5~LT~Gliederung 8"/>
    <w:next w:val="5LTGliederung90"/>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5LTGliederung90">
    <w:name w:val="Заглавие5~LT~Gliederung 9"/>
    <w:next w:val="5LTTitel0"/>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5LTTitel0">
    <w:name w:val="Заглавие5~LT~Titel"/>
    <w:next w:val="5LTUntertitel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Microsoft YaHei" w:eastAsia="Tahoma" w:hAnsi="Microsoft YaHei" w:cs="Tahoma"/>
      <w:color w:val="000000"/>
      <w:kern w:val="2"/>
      <w:sz w:val="36"/>
      <w:szCs w:val="24"/>
      <w:lang w:eastAsia="zh-CN" w:bidi="hi-IN"/>
    </w:rPr>
  </w:style>
  <w:style w:type="paragraph" w:customStyle="1" w:styleId="5LTUntertitel0">
    <w:name w:val="Заглавие5~LT~Untertitel"/>
    <w:next w:val="5LTNotizen0"/>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jc w:val="center"/>
    </w:pPr>
    <w:rPr>
      <w:rFonts w:ascii="Microsoft YaHei" w:eastAsia="Tahoma" w:hAnsi="Microsoft YaHei" w:cs="Tahoma"/>
      <w:color w:val="000000"/>
      <w:kern w:val="2"/>
      <w:sz w:val="56"/>
      <w:szCs w:val="24"/>
      <w:lang w:eastAsia="zh-CN" w:bidi="hi-IN"/>
    </w:rPr>
  </w:style>
  <w:style w:type="paragraph" w:customStyle="1" w:styleId="5LTNotizen0">
    <w:name w:val="Заглавие5~LT~Notizen"/>
    <w:next w:val="5LTHintergrundobjekt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5LTHintergrundobjekte0">
    <w:name w:val="Заглавие5~LT~Hintergrundobjekte"/>
    <w:next w:val="5LTHintergrund0"/>
    <w:pPr>
      <w:widowControl w:val="0"/>
      <w:suppressAutoHyphens/>
    </w:pPr>
    <w:rPr>
      <w:rFonts w:ascii="Liberation Serif" w:eastAsia="Tahoma" w:hAnsi="Liberation Serif" w:cs="Tahoma"/>
      <w:kern w:val="2"/>
      <w:sz w:val="24"/>
      <w:szCs w:val="24"/>
      <w:lang w:eastAsia="zh-CN" w:bidi="hi-IN"/>
    </w:rPr>
  </w:style>
  <w:style w:type="paragraph" w:customStyle="1" w:styleId="5LTHintergrund0">
    <w:name w:val="Заглавие5~LT~Hintergrund"/>
    <w:next w:val="6LTGliederung1"/>
    <w:pPr>
      <w:widowControl w:val="0"/>
      <w:suppressAutoHyphens/>
      <w:jc w:val="center"/>
    </w:pPr>
    <w:rPr>
      <w:rFonts w:ascii="Liberation Serif" w:eastAsia="Tahoma" w:hAnsi="Liberation Serif" w:cs="Tahoma"/>
      <w:sz w:val="24"/>
      <w:szCs w:val="24"/>
      <w:lang w:eastAsia="zh-CN" w:bidi="hi-IN"/>
    </w:rPr>
  </w:style>
  <w:style w:type="paragraph" w:customStyle="1" w:styleId="6LTGliederung1">
    <w:name w:val="Заглавие6~LT~Gliederung 1"/>
    <w:next w:val="6LTGliederung2"/>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pPr>
    <w:rPr>
      <w:rFonts w:ascii="DejaVu Sans" w:eastAsia="Tahoma" w:hAnsi="DejaVu Sans" w:cs="Tahoma"/>
      <w:color w:val="000000"/>
      <w:kern w:val="2"/>
      <w:sz w:val="56"/>
      <w:szCs w:val="24"/>
      <w:lang w:eastAsia="zh-CN" w:bidi="hi-IN"/>
    </w:rPr>
  </w:style>
  <w:style w:type="paragraph" w:customStyle="1" w:styleId="6LTGliederung2">
    <w:name w:val="Заглавие6~LT~Gliederung 2"/>
    <w:next w:val="6LTGliederung3"/>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92" w:lineRule="auto"/>
      <w:ind w:left="1170" w:hanging="450"/>
    </w:pPr>
    <w:rPr>
      <w:rFonts w:ascii="DejaVu Sans" w:eastAsia="NSimSun" w:hAnsi="DejaVu Sans" w:cs="DejaVu Sans"/>
      <w:color w:val="000000"/>
      <w:kern w:val="2"/>
      <w:sz w:val="40"/>
      <w:szCs w:val="24"/>
      <w:lang w:eastAsia="zh-CN" w:bidi="hi-IN"/>
    </w:rPr>
  </w:style>
  <w:style w:type="paragraph" w:customStyle="1" w:styleId="6LTGliederung3">
    <w:name w:val="Заглавие6~LT~Gliederung 3"/>
    <w:next w:val="6LTGliederung4"/>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92" w:lineRule="auto"/>
      <w:ind w:left="1800" w:hanging="360"/>
    </w:pPr>
    <w:rPr>
      <w:rFonts w:ascii="DejaVu Sans" w:eastAsia="NSimSun" w:hAnsi="DejaVu Sans" w:cs="DejaVu Sans"/>
      <w:color w:val="000000"/>
      <w:kern w:val="2"/>
      <w:sz w:val="36"/>
      <w:szCs w:val="24"/>
      <w:lang w:eastAsia="zh-CN" w:bidi="hi-IN"/>
    </w:rPr>
  </w:style>
  <w:style w:type="paragraph" w:customStyle="1" w:styleId="6LTGliederung4">
    <w:name w:val="Заглавие6~LT~Gliederung 4"/>
    <w:next w:val="6LTGliederung5"/>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92" w:lineRule="auto"/>
      <w:ind w:left="2520" w:hanging="360"/>
    </w:pPr>
    <w:rPr>
      <w:rFonts w:ascii="DejaVu Sans" w:eastAsia="NSimSun" w:hAnsi="DejaVu Sans" w:cs="DejaVu Sans"/>
      <w:color w:val="000000"/>
      <w:kern w:val="2"/>
      <w:sz w:val="36"/>
      <w:szCs w:val="24"/>
      <w:lang w:eastAsia="zh-CN" w:bidi="hi-IN"/>
    </w:rPr>
  </w:style>
  <w:style w:type="paragraph" w:customStyle="1" w:styleId="6LTGliederung5">
    <w:name w:val="Заглавие6~LT~Gliederung 5"/>
    <w:next w:val="6LTGliederung6"/>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6LTGliederung6">
    <w:name w:val="Заглавие6~LT~Gliederung 6"/>
    <w:next w:val="6LTGliederung7"/>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6LTGliederung7">
    <w:name w:val="Заглавие6~LT~Gliederung 7"/>
    <w:next w:val="6LTGliederung8"/>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6LTGliederung8">
    <w:name w:val="Заглавие6~LT~Gliederung 8"/>
    <w:next w:val="6LTGliederung9"/>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6LTGliederung9">
    <w:name w:val="Заглавие6~LT~Gliederung 9"/>
    <w:next w:val="6LTTitel"/>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6LTTitel">
    <w:name w:val="Заглавие6~LT~Titel"/>
    <w:next w:val="6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DejaVu Sans" w:eastAsia="Tahoma" w:hAnsi="DejaVu Sans" w:cs="Tahoma"/>
      <w:color w:val="000000"/>
      <w:kern w:val="2"/>
      <w:sz w:val="36"/>
      <w:szCs w:val="24"/>
      <w:lang w:eastAsia="zh-CN" w:bidi="hi-IN"/>
    </w:rPr>
  </w:style>
  <w:style w:type="paragraph" w:customStyle="1" w:styleId="6LTUntertitel">
    <w:name w:val="Заглавие6~LT~Untertitel"/>
    <w:next w:val="6LTNotizen"/>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jc w:val="center"/>
    </w:pPr>
    <w:rPr>
      <w:rFonts w:ascii="DejaVu Sans" w:eastAsia="Tahoma" w:hAnsi="DejaVu Sans" w:cs="Tahoma"/>
      <w:color w:val="000000"/>
      <w:kern w:val="2"/>
      <w:sz w:val="56"/>
      <w:szCs w:val="24"/>
      <w:lang w:eastAsia="zh-CN" w:bidi="hi-IN"/>
    </w:rPr>
  </w:style>
  <w:style w:type="paragraph" w:customStyle="1" w:styleId="6LTNotizen">
    <w:name w:val="Заглавие6~LT~Notizen"/>
    <w:next w:val="6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6LTHintergrundobjekte">
    <w:name w:val="Заглавие6~LT~Hintergrundobjekte"/>
    <w:next w:val="6LTHintergrund"/>
    <w:pPr>
      <w:widowControl w:val="0"/>
      <w:suppressAutoHyphens/>
    </w:pPr>
    <w:rPr>
      <w:rFonts w:ascii="Liberation Serif" w:eastAsia="Tahoma" w:hAnsi="Liberation Serif" w:cs="Tahoma"/>
      <w:kern w:val="2"/>
      <w:sz w:val="24"/>
      <w:szCs w:val="24"/>
      <w:lang w:eastAsia="zh-CN" w:bidi="hi-IN"/>
    </w:rPr>
  </w:style>
  <w:style w:type="paragraph" w:customStyle="1" w:styleId="6LTHintergrund">
    <w:name w:val="Заглавие6~LT~Hintergrund"/>
    <w:next w:val="7LTGliederung1"/>
    <w:pPr>
      <w:widowControl w:val="0"/>
      <w:suppressAutoHyphens/>
      <w:jc w:val="center"/>
    </w:pPr>
    <w:rPr>
      <w:rFonts w:ascii="Liberation Serif" w:eastAsia="Tahoma" w:hAnsi="Liberation Serif" w:cs="Tahoma"/>
      <w:sz w:val="24"/>
      <w:szCs w:val="24"/>
      <w:lang w:eastAsia="zh-CN" w:bidi="hi-IN"/>
    </w:rPr>
  </w:style>
  <w:style w:type="paragraph" w:customStyle="1" w:styleId="7LTGliederung1">
    <w:name w:val="Заглавие7~LT~Gliederung 1"/>
    <w:next w:val="7LTGliederung2"/>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pPr>
    <w:rPr>
      <w:rFonts w:ascii="DejaVu Sans" w:eastAsia="Tahoma" w:hAnsi="DejaVu Sans" w:cs="Tahoma"/>
      <w:color w:val="000000"/>
      <w:kern w:val="2"/>
      <w:sz w:val="56"/>
      <w:szCs w:val="24"/>
      <w:lang w:eastAsia="zh-CN" w:bidi="hi-IN"/>
    </w:rPr>
  </w:style>
  <w:style w:type="paragraph" w:customStyle="1" w:styleId="7LTGliederung2">
    <w:name w:val="Заглавие7~LT~Gliederung 2"/>
    <w:next w:val="7LTGliederung3"/>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92" w:lineRule="auto"/>
      <w:ind w:left="1170" w:hanging="450"/>
    </w:pPr>
    <w:rPr>
      <w:rFonts w:ascii="DejaVu Sans" w:eastAsia="NSimSun" w:hAnsi="DejaVu Sans" w:cs="DejaVu Sans"/>
      <w:color w:val="000000"/>
      <w:kern w:val="2"/>
      <w:sz w:val="40"/>
      <w:szCs w:val="24"/>
      <w:lang w:eastAsia="zh-CN" w:bidi="hi-IN"/>
    </w:rPr>
  </w:style>
  <w:style w:type="paragraph" w:customStyle="1" w:styleId="7LTGliederung3">
    <w:name w:val="Заглавие7~LT~Gliederung 3"/>
    <w:next w:val="7LTGliederung4"/>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92" w:lineRule="auto"/>
      <w:ind w:left="1800" w:hanging="360"/>
    </w:pPr>
    <w:rPr>
      <w:rFonts w:ascii="DejaVu Sans" w:eastAsia="NSimSun" w:hAnsi="DejaVu Sans" w:cs="DejaVu Sans"/>
      <w:color w:val="000000"/>
      <w:kern w:val="2"/>
      <w:sz w:val="36"/>
      <w:szCs w:val="24"/>
      <w:lang w:eastAsia="zh-CN" w:bidi="hi-IN"/>
    </w:rPr>
  </w:style>
  <w:style w:type="paragraph" w:customStyle="1" w:styleId="7LTGliederung4">
    <w:name w:val="Заглавие7~LT~Gliederung 4"/>
    <w:next w:val="7LTGliederung5"/>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92" w:lineRule="auto"/>
      <w:ind w:left="2520" w:hanging="360"/>
    </w:pPr>
    <w:rPr>
      <w:rFonts w:ascii="DejaVu Sans" w:eastAsia="NSimSun" w:hAnsi="DejaVu Sans" w:cs="DejaVu Sans"/>
      <w:color w:val="000000"/>
      <w:kern w:val="2"/>
      <w:sz w:val="36"/>
      <w:szCs w:val="24"/>
      <w:lang w:eastAsia="zh-CN" w:bidi="hi-IN"/>
    </w:rPr>
  </w:style>
  <w:style w:type="paragraph" w:customStyle="1" w:styleId="7LTGliederung5">
    <w:name w:val="Заглавие7~LT~Gliederung 5"/>
    <w:next w:val="7LTGliederung6"/>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7LTGliederung6">
    <w:name w:val="Заглавие7~LT~Gliederung 6"/>
    <w:next w:val="7LTGliederung7"/>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7LTGliederung7">
    <w:name w:val="Заглавие7~LT~Gliederung 7"/>
    <w:next w:val="7LTGliederung8"/>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7LTGliederung8">
    <w:name w:val="Заглавие7~LT~Gliederung 8"/>
    <w:next w:val="7LTGliederung9"/>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7LTGliederung9">
    <w:name w:val="Заглавие7~LT~Gliederung 9"/>
    <w:next w:val="7LTTitel"/>
    <w:pPr>
      <w:widowControl w:val="0"/>
      <w:suppressAutoHyphens/>
      <w:spacing w:before="57" w:line="192" w:lineRule="auto"/>
      <w:ind w:left="3240" w:hanging="360"/>
    </w:pPr>
    <w:rPr>
      <w:rFonts w:ascii="DejaVu Sans" w:eastAsia="NSimSun" w:hAnsi="DejaVu Sans" w:cs="DejaVu Sans"/>
      <w:color w:val="000000"/>
      <w:kern w:val="2"/>
      <w:sz w:val="40"/>
      <w:szCs w:val="24"/>
      <w:lang w:eastAsia="zh-CN" w:bidi="hi-IN"/>
    </w:rPr>
  </w:style>
  <w:style w:type="paragraph" w:customStyle="1" w:styleId="7LTTitel">
    <w:name w:val="Заглавие7~LT~Titel"/>
    <w:next w:val="7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DejaVu Sans" w:eastAsia="Tahoma" w:hAnsi="DejaVu Sans" w:cs="Tahoma"/>
      <w:color w:val="000000"/>
      <w:kern w:val="2"/>
      <w:sz w:val="36"/>
      <w:szCs w:val="24"/>
      <w:lang w:eastAsia="zh-CN" w:bidi="hi-IN"/>
    </w:rPr>
  </w:style>
  <w:style w:type="paragraph" w:customStyle="1" w:styleId="7LTUntertitel">
    <w:name w:val="Заглавие7~LT~Untertitel"/>
    <w:next w:val="7LTNotizen"/>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jc w:val="center"/>
    </w:pPr>
    <w:rPr>
      <w:rFonts w:ascii="DejaVu Sans" w:eastAsia="Tahoma" w:hAnsi="DejaVu Sans" w:cs="Tahoma"/>
      <w:color w:val="000000"/>
      <w:kern w:val="2"/>
      <w:sz w:val="56"/>
      <w:szCs w:val="24"/>
      <w:lang w:eastAsia="zh-CN" w:bidi="hi-IN"/>
    </w:rPr>
  </w:style>
  <w:style w:type="paragraph" w:customStyle="1" w:styleId="7LTNotizen">
    <w:name w:val="Заглавие7~LT~Notizen"/>
    <w:next w:val="7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7LTHintergrundobjekte">
    <w:name w:val="Заглавие7~LT~Hintergrundobjekte"/>
    <w:next w:val="7LTHintergrund"/>
    <w:pPr>
      <w:widowControl w:val="0"/>
      <w:suppressAutoHyphens/>
    </w:pPr>
    <w:rPr>
      <w:rFonts w:ascii="Liberation Serif" w:eastAsia="Tahoma" w:hAnsi="Liberation Serif" w:cs="Tahoma"/>
      <w:kern w:val="2"/>
      <w:sz w:val="24"/>
      <w:szCs w:val="24"/>
      <w:lang w:eastAsia="zh-CN" w:bidi="hi-IN"/>
    </w:rPr>
  </w:style>
  <w:style w:type="paragraph" w:customStyle="1" w:styleId="7LTHintergrund">
    <w:name w:val="Заглавие7~LT~Hintergrund"/>
    <w:next w:val="8LTGliederung1"/>
    <w:pPr>
      <w:widowControl w:val="0"/>
      <w:suppressAutoHyphens/>
      <w:jc w:val="center"/>
    </w:pPr>
    <w:rPr>
      <w:rFonts w:ascii="Liberation Serif" w:eastAsia="Tahoma" w:hAnsi="Liberation Serif" w:cs="Tahoma"/>
      <w:sz w:val="24"/>
      <w:szCs w:val="24"/>
      <w:lang w:eastAsia="zh-CN" w:bidi="hi-IN"/>
    </w:rPr>
  </w:style>
  <w:style w:type="paragraph" w:customStyle="1" w:styleId="8LTGliederung1">
    <w:name w:val="Заглавие8~LT~Gliederung 1"/>
    <w:next w:val="8LTGliederung2"/>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pPr>
    <w:rPr>
      <w:rFonts w:ascii="Microsoft YaHei" w:eastAsia="Tahoma" w:hAnsi="Microsoft YaHei" w:cs="Tahoma"/>
      <w:color w:val="000000"/>
      <w:kern w:val="2"/>
      <w:sz w:val="56"/>
      <w:szCs w:val="24"/>
      <w:lang w:eastAsia="zh-CN" w:bidi="hi-IN"/>
    </w:rPr>
  </w:style>
  <w:style w:type="paragraph" w:customStyle="1" w:styleId="8LTGliederung2">
    <w:name w:val="Заглавие8~LT~Gliederung 2"/>
    <w:next w:val="8LTGliederung3"/>
    <w:pPr>
      <w:widowControl w:val="0"/>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uppressAutoHyphens/>
      <w:spacing w:before="227" w:line="180" w:lineRule="auto"/>
      <w:ind w:left="1170" w:hanging="450"/>
    </w:pPr>
    <w:rPr>
      <w:rFonts w:ascii="Microsoft YaHei" w:eastAsia="NSimSun" w:hAnsi="Microsoft YaHei" w:cs="Microsoft YaHei"/>
      <w:color w:val="000000"/>
      <w:kern w:val="2"/>
      <w:sz w:val="40"/>
      <w:szCs w:val="24"/>
      <w:lang w:eastAsia="zh-CN" w:bidi="hi-IN"/>
    </w:rPr>
  </w:style>
  <w:style w:type="paragraph" w:customStyle="1" w:styleId="8LTGliederung3">
    <w:name w:val="Заглавие8~LT~Gliederung 3"/>
    <w:next w:val="8LTGliederung4"/>
    <w:pPr>
      <w:widowControl w:val="0"/>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uppressAutoHyphens/>
      <w:spacing w:before="170" w:line="180" w:lineRule="auto"/>
      <w:ind w:left="1800" w:hanging="360"/>
    </w:pPr>
    <w:rPr>
      <w:rFonts w:ascii="Microsoft YaHei" w:eastAsia="NSimSun" w:hAnsi="Microsoft YaHei" w:cs="Microsoft YaHei"/>
      <w:color w:val="000000"/>
      <w:kern w:val="2"/>
      <w:sz w:val="36"/>
      <w:szCs w:val="24"/>
      <w:lang w:eastAsia="zh-CN" w:bidi="hi-IN"/>
    </w:rPr>
  </w:style>
  <w:style w:type="paragraph" w:customStyle="1" w:styleId="8LTGliederung4">
    <w:name w:val="Заглавие8~LT~Gliederung 4"/>
    <w:next w:val="8LTGliederung5"/>
    <w:pPr>
      <w:widowControl w:val="0"/>
      <w:tabs>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uppressAutoHyphens/>
      <w:spacing w:before="115" w:line="180" w:lineRule="auto"/>
      <w:ind w:left="2520" w:hanging="360"/>
    </w:pPr>
    <w:rPr>
      <w:rFonts w:ascii="Microsoft YaHei" w:eastAsia="NSimSun" w:hAnsi="Microsoft YaHei" w:cs="Microsoft YaHei"/>
      <w:color w:val="000000"/>
      <w:kern w:val="2"/>
      <w:sz w:val="36"/>
      <w:szCs w:val="24"/>
      <w:lang w:eastAsia="zh-CN" w:bidi="hi-IN"/>
    </w:rPr>
  </w:style>
  <w:style w:type="paragraph" w:customStyle="1" w:styleId="8LTGliederung5">
    <w:name w:val="Заглавие8~LT~Gliederung 5"/>
    <w:next w:val="8LTGliederung6"/>
    <w:pPr>
      <w:widowControl w:val="0"/>
      <w:tabs>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8LTGliederung6">
    <w:name w:val="Заглавие8~LT~Gliederung 6"/>
    <w:next w:val="8LTGliederung7"/>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8LTGliederung7">
    <w:name w:val="Заглавие8~LT~Gliederung 7"/>
    <w:next w:val="8LTGliederung8"/>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8LTGliederung8">
    <w:name w:val="Заглавие8~LT~Gliederung 8"/>
    <w:next w:val="8LTGliederung9"/>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8LTGliederung9">
    <w:name w:val="Заглавие8~LT~Gliederung 9"/>
    <w:next w:val="8LTTitel"/>
    <w:pPr>
      <w:widowControl w:val="0"/>
      <w:suppressAutoHyphens/>
      <w:spacing w:before="57" w:line="180" w:lineRule="auto"/>
      <w:ind w:left="3240" w:hanging="360"/>
    </w:pPr>
    <w:rPr>
      <w:rFonts w:ascii="Microsoft YaHei" w:eastAsia="NSimSun" w:hAnsi="Microsoft YaHei" w:cs="Microsoft YaHei"/>
      <w:color w:val="000000"/>
      <w:kern w:val="2"/>
      <w:sz w:val="40"/>
      <w:szCs w:val="24"/>
      <w:lang w:eastAsia="zh-CN" w:bidi="hi-IN"/>
    </w:rPr>
  </w:style>
  <w:style w:type="paragraph" w:customStyle="1" w:styleId="8LTTitel">
    <w:name w:val="Заглавие8~LT~Titel"/>
    <w:next w:val="8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Microsoft YaHei" w:eastAsia="Tahoma" w:hAnsi="Microsoft YaHei" w:cs="Tahoma"/>
      <w:color w:val="000000"/>
      <w:kern w:val="2"/>
      <w:sz w:val="36"/>
      <w:szCs w:val="24"/>
      <w:lang w:eastAsia="zh-CN" w:bidi="hi-IN"/>
    </w:rPr>
  </w:style>
  <w:style w:type="paragraph" w:customStyle="1" w:styleId="8LTUntertitel">
    <w:name w:val="Заглавие8~LT~Untertitel"/>
    <w:next w:val="8LTNotizen"/>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jc w:val="center"/>
    </w:pPr>
    <w:rPr>
      <w:rFonts w:ascii="Microsoft YaHei" w:eastAsia="Tahoma" w:hAnsi="Microsoft YaHei" w:cs="Tahoma"/>
      <w:color w:val="000000"/>
      <w:kern w:val="2"/>
      <w:sz w:val="56"/>
      <w:szCs w:val="24"/>
      <w:lang w:eastAsia="zh-CN" w:bidi="hi-IN"/>
    </w:rPr>
  </w:style>
  <w:style w:type="paragraph" w:customStyle="1" w:styleId="8LTNotizen">
    <w:name w:val="Заглавие8~LT~Notizen"/>
    <w:next w:val="8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Tahoma"/>
      <w:color w:val="000000"/>
      <w:kern w:val="2"/>
      <w:sz w:val="24"/>
      <w:szCs w:val="24"/>
      <w:lang w:eastAsia="zh-CN" w:bidi="hi-IN"/>
    </w:rPr>
  </w:style>
  <w:style w:type="paragraph" w:customStyle="1" w:styleId="8LTHintergrundobjekte">
    <w:name w:val="Заглавие8~LT~Hintergrundobjekte"/>
    <w:next w:val="8LTHintergrund"/>
    <w:pPr>
      <w:widowControl w:val="0"/>
      <w:suppressAutoHyphens/>
    </w:pPr>
    <w:rPr>
      <w:rFonts w:ascii="Liberation Serif" w:eastAsia="Tahoma" w:hAnsi="Liberation Serif" w:cs="Tahoma"/>
      <w:kern w:val="2"/>
      <w:sz w:val="24"/>
      <w:szCs w:val="24"/>
      <w:lang w:eastAsia="zh-CN" w:bidi="hi-IN"/>
    </w:rPr>
  </w:style>
  <w:style w:type="paragraph" w:customStyle="1" w:styleId="8LTHintergrund">
    <w:name w:val="Заглавие8~LT~Hintergrund"/>
    <w:pPr>
      <w:widowControl w:val="0"/>
      <w:suppressAutoHyphens/>
      <w:jc w:val="center"/>
    </w:pPr>
    <w:rPr>
      <w:rFonts w:ascii="Liberation Serif" w:eastAsia="Tahoma" w:hAnsi="Liberation Serif" w:cs="Tahoma"/>
      <w:sz w:val="24"/>
      <w:szCs w:val="24"/>
      <w:lang w:eastAsia="zh-CN" w:bidi="hi-IN"/>
    </w:rPr>
  </w:style>
  <w:style w:type="paragraph" w:customStyle="1" w:styleId="9LTGliederung1">
    <w:name w:val="Заглавие9~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377" w:line="192" w:lineRule="auto"/>
      <w:ind w:left="540" w:hanging="540"/>
    </w:pPr>
    <w:rPr>
      <w:rFonts w:ascii="Microsoft YaHei" w:eastAsia="Tahoma" w:hAnsi="Microsoft YaHei" w:cs="+mn-lt"/>
      <w:color w:val="000000"/>
      <w:kern w:val="2"/>
      <w:sz w:val="86"/>
      <w:szCs w:val="24"/>
      <w:lang w:eastAsia="zh-CN" w:bidi="hi-IN"/>
    </w:rPr>
  </w:style>
  <w:style w:type="paragraph" w:customStyle="1" w:styleId="9LTGliederung2">
    <w:name w:val="Заглавие9~LT~Gliederung 2"/>
    <w:basedOn w:val="9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302"/>
      <w:ind w:left="1170" w:hanging="450"/>
    </w:pPr>
    <w:rPr>
      <w:rFonts w:cs="Microsoft YaHei"/>
      <w:sz w:val="64"/>
    </w:rPr>
  </w:style>
  <w:style w:type="paragraph" w:customStyle="1" w:styleId="9LTGliederung3">
    <w:name w:val="Заглавие9~LT~Gliederung 3"/>
    <w:basedOn w:val="9LTGliederung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227"/>
      <w:ind w:left="1800" w:hanging="360"/>
    </w:pPr>
    <w:rPr>
      <w:sz w:val="54"/>
    </w:rPr>
  </w:style>
  <w:style w:type="paragraph" w:customStyle="1" w:styleId="9LTGliederung4">
    <w:name w:val="Заглавие9~LT~Gliederung 4"/>
    <w:basedOn w:val="9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52"/>
      <w:ind w:left="2520"/>
    </w:pPr>
  </w:style>
  <w:style w:type="paragraph" w:customStyle="1" w:styleId="9LTGliederung5">
    <w:name w:val="Заглавие9~LT~Gliederung 5"/>
    <w:basedOn w:val="9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75"/>
      <w:ind w:left="3240"/>
    </w:pPr>
  </w:style>
  <w:style w:type="paragraph" w:customStyle="1" w:styleId="9LTGliederung6">
    <w:name w:val="Заглавие9~LT~Gliederung 6"/>
    <w:basedOn w:val="9LTGliederung5"/>
  </w:style>
  <w:style w:type="paragraph" w:customStyle="1" w:styleId="9LTGliederung7">
    <w:name w:val="Заглавие9~LT~Gliederung 7"/>
    <w:basedOn w:val="9LTGliederung6"/>
  </w:style>
  <w:style w:type="paragraph" w:customStyle="1" w:styleId="9LTGliederung8">
    <w:name w:val="Заглавие9~LT~Gliederung 8"/>
    <w:basedOn w:val="9LTGliederung7"/>
  </w:style>
  <w:style w:type="paragraph" w:customStyle="1" w:styleId="9LTGliederung9">
    <w:name w:val="Заглавие9~LT~Gliederung 9"/>
    <w:basedOn w:val="9LTGliederung8"/>
  </w:style>
  <w:style w:type="paragraph" w:customStyle="1" w:styleId="9LTTitel">
    <w:name w:val="Заглавие9~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Microsoft YaHei" w:eastAsia="Tahoma" w:hAnsi="Microsoft YaHei" w:cs="+mn-lt"/>
      <w:color w:val="000000"/>
      <w:kern w:val="2"/>
      <w:sz w:val="44"/>
      <w:szCs w:val="24"/>
      <w:lang w:eastAsia="zh-CN" w:bidi="hi-IN"/>
    </w:rPr>
  </w:style>
  <w:style w:type="paragraph" w:customStyle="1" w:styleId="9LTUntertitel">
    <w:name w:val="Заглавие9~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jc w:val="center"/>
    </w:pPr>
    <w:rPr>
      <w:rFonts w:ascii="Microsoft YaHei" w:eastAsia="Tahoma" w:hAnsi="Microsoft YaHei" w:cs="+mn-lt"/>
      <w:color w:val="000000"/>
      <w:kern w:val="2"/>
      <w:sz w:val="64"/>
      <w:szCs w:val="24"/>
      <w:lang w:eastAsia="zh-CN" w:bidi="hi-IN"/>
    </w:rPr>
  </w:style>
  <w:style w:type="paragraph" w:customStyle="1" w:styleId="9LTNotizen">
    <w:name w:val="Заглавие9~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mn-lt"/>
      <w:color w:val="000000"/>
      <w:kern w:val="2"/>
      <w:sz w:val="24"/>
      <w:szCs w:val="24"/>
      <w:lang w:eastAsia="zh-CN" w:bidi="hi-IN"/>
    </w:rPr>
  </w:style>
  <w:style w:type="paragraph" w:customStyle="1" w:styleId="9LTHintergrundobjekte">
    <w:name w:val="Заглавие9~LT~Hintergrundobjekte"/>
    <w:pPr>
      <w:widowControl w:val="0"/>
      <w:suppressAutoHyphens/>
    </w:pPr>
    <w:rPr>
      <w:rFonts w:ascii="Liberation Serif" w:eastAsia="Tahoma" w:hAnsi="Liberation Serif" w:cs="+mn-lt"/>
      <w:kern w:val="2"/>
      <w:sz w:val="24"/>
      <w:szCs w:val="24"/>
      <w:lang w:eastAsia="zh-CN" w:bidi="hi-IN"/>
    </w:rPr>
  </w:style>
  <w:style w:type="paragraph" w:customStyle="1" w:styleId="9LTHintergrund">
    <w:name w:val="Заглавие9~LT~Hintergrund"/>
    <w:pPr>
      <w:widowControl w:val="0"/>
      <w:suppressAutoHyphens/>
      <w:jc w:val="center"/>
    </w:pPr>
    <w:rPr>
      <w:rFonts w:ascii="Liberation Serif" w:eastAsia="Tahoma" w:hAnsi="Liberation Serif" w:cs="+mn-lt"/>
      <w:sz w:val="24"/>
      <w:szCs w:val="24"/>
      <w:lang w:eastAsia="zh-CN" w:bidi="hi-IN"/>
    </w:rPr>
  </w:style>
  <w:style w:type="paragraph" w:customStyle="1" w:styleId="3LTGliederung10">
    <w:name w:val="Заглавие3_~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pPr>
    <w:rPr>
      <w:rFonts w:ascii="DejaVu Sans" w:eastAsia="Tahoma" w:hAnsi="DejaVu Sans" w:cs="+mn-lt"/>
      <w:color w:val="000000"/>
      <w:kern w:val="2"/>
      <w:sz w:val="56"/>
      <w:szCs w:val="24"/>
      <w:lang w:eastAsia="zh-CN" w:bidi="hi-IN"/>
    </w:rPr>
  </w:style>
  <w:style w:type="paragraph" w:customStyle="1" w:styleId="3LTGliederung20">
    <w:name w:val="Заглавие3_~LT~Gliederung 2"/>
    <w:basedOn w:val="3LTGliederung10"/>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rFonts w:cs="DejaVu Sans"/>
      <w:sz w:val="40"/>
    </w:rPr>
  </w:style>
  <w:style w:type="paragraph" w:customStyle="1" w:styleId="3LTGliederung30">
    <w:name w:val="Заглавие3_~LT~Gliederung 3"/>
    <w:basedOn w:val="3LTGliederung20"/>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36"/>
    </w:rPr>
  </w:style>
  <w:style w:type="paragraph" w:customStyle="1" w:styleId="3LTGliederung40">
    <w:name w:val="Заглавие3_~LT~Gliederung 4"/>
    <w:basedOn w:val="3LTGliederung30"/>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style>
  <w:style w:type="paragraph" w:customStyle="1" w:styleId="3LTGliederung50">
    <w:name w:val="Заглавие3_~LT~Gliederung 5"/>
    <w:basedOn w:val="3LTGliederung40"/>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rPr>
      <w:sz w:val="40"/>
    </w:rPr>
  </w:style>
  <w:style w:type="paragraph" w:customStyle="1" w:styleId="3LTGliederung60">
    <w:name w:val="Заглавие3_~LT~Gliederung 6"/>
    <w:basedOn w:val="3LTGliederung50"/>
  </w:style>
  <w:style w:type="paragraph" w:customStyle="1" w:styleId="3LTGliederung70">
    <w:name w:val="Заглавие3_~LT~Gliederung 7"/>
    <w:basedOn w:val="3LTGliederung60"/>
  </w:style>
  <w:style w:type="paragraph" w:customStyle="1" w:styleId="3LTGliederung80">
    <w:name w:val="Заглавие3_~LT~Gliederung 8"/>
    <w:basedOn w:val="3LTGliederung70"/>
  </w:style>
  <w:style w:type="paragraph" w:customStyle="1" w:styleId="3LTGliederung90">
    <w:name w:val="Заглавие3_~LT~Gliederung 9"/>
    <w:basedOn w:val="3LTGliederung80"/>
  </w:style>
  <w:style w:type="paragraph" w:customStyle="1" w:styleId="3LTTitel0">
    <w:name w:val="Заглавие3_~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DejaVu Sans" w:eastAsia="Tahoma" w:hAnsi="DejaVu Sans" w:cs="+mn-lt"/>
      <w:color w:val="000000"/>
      <w:kern w:val="2"/>
      <w:sz w:val="36"/>
      <w:szCs w:val="24"/>
      <w:lang w:eastAsia="zh-CN" w:bidi="hi-IN"/>
    </w:rPr>
  </w:style>
  <w:style w:type="paragraph" w:customStyle="1" w:styleId="3LTUntertitel0">
    <w:name w:val="Заглавие3_~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92" w:lineRule="auto"/>
      <w:ind w:left="540" w:hanging="540"/>
      <w:jc w:val="center"/>
    </w:pPr>
    <w:rPr>
      <w:rFonts w:ascii="DejaVu Sans" w:eastAsia="Tahoma" w:hAnsi="DejaVu Sans" w:cs="+mn-lt"/>
      <w:color w:val="000000"/>
      <w:kern w:val="2"/>
      <w:sz w:val="56"/>
      <w:szCs w:val="24"/>
      <w:lang w:eastAsia="zh-CN" w:bidi="hi-IN"/>
    </w:rPr>
  </w:style>
  <w:style w:type="paragraph" w:customStyle="1" w:styleId="3LTNotizen0">
    <w:name w:val="Заглавие3_~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mn-lt"/>
      <w:color w:val="000000"/>
      <w:kern w:val="2"/>
      <w:sz w:val="24"/>
      <w:szCs w:val="24"/>
      <w:lang w:eastAsia="zh-CN" w:bidi="hi-IN"/>
    </w:rPr>
  </w:style>
  <w:style w:type="paragraph" w:customStyle="1" w:styleId="3LTHintergrundobjekte0">
    <w:name w:val="Заглавие3_~LT~Hintergrundobjekte"/>
    <w:pPr>
      <w:widowControl w:val="0"/>
      <w:suppressAutoHyphens/>
    </w:pPr>
    <w:rPr>
      <w:rFonts w:ascii="Liberation Serif" w:eastAsia="Tahoma" w:hAnsi="Liberation Serif" w:cs="+mn-lt"/>
      <w:kern w:val="2"/>
      <w:sz w:val="24"/>
      <w:szCs w:val="24"/>
      <w:lang w:eastAsia="zh-CN" w:bidi="hi-IN"/>
    </w:rPr>
  </w:style>
  <w:style w:type="paragraph" w:customStyle="1" w:styleId="3LTHintergrund0">
    <w:name w:val="Заглавие3_~LT~Hintergrund"/>
    <w:pPr>
      <w:widowControl w:val="0"/>
      <w:suppressAutoHyphens/>
      <w:jc w:val="center"/>
    </w:pPr>
    <w:rPr>
      <w:rFonts w:ascii="Liberation Serif" w:eastAsia="Tahoma" w:hAnsi="Liberation Serif" w:cs="+mn-lt"/>
      <w:sz w:val="24"/>
      <w:szCs w:val="24"/>
      <w:lang w:eastAsia="zh-CN" w:bidi="hi-IN"/>
    </w:rPr>
  </w:style>
  <w:style w:type="paragraph" w:customStyle="1" w:styleId="1ff1">
    <w:name w:val="Обычный_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Microsoft YaHei" w:eastAsia="Tahoma" w:hAnsi="Microsoft YaHei" w:cs="+mn-lt"/>
      <w:color w:val="FFFFFF"/>
      <w:sz w:val="36"/>
      <w:szCs w:val="24"/>
      <w:lang w:eastAsia="zh-CN" w:bidi="hi-IN"/>
    </w:rPr>
  </w:style>
  <w:style w:type="paragraph" w:customStyle="1" w:styleId="4LTGliederung10">
    <w:name w:val="Заглавие4_~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pPr>
    <w:rPr>
      <w:rFonts w:ascii="Microsoft YaHei" w:eastAsia="Tahoma" w:hAnsi="Microsoft YaHei" w:cs="+mn-lt"/>
      <w:color w:val="000000"/>
      <w:kern w:val="2"/>
      <w:sz w:val="56"/>
      <w:szCs w:val="24"/>
      <w:lang w:eastAsia="zh-CN" w:bidi="hi-IN"/>
    </w:rPr>
  </w:style>
  <w:style w:type="paragraph" w:customStyle="1" w:styleId="4LTGliederung20">
    <w:name w:val="Заглавие4_~LT~Gliederung 2"/>
    <w:basedOn w:val="4LTGliederung10"/>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rFonts w:cs="Microsoft YaHei"/>
      <w:sz w:val="40"/>
    </w:rPr>
  </w:style>
  <w:style w:type="paragraph" w:customStyle="1" w:styleId="4LTGliederung30">
    <w:name w:val="Заглавие4_~LT~Gliederung 3"/>
    <w:basedOn w:val="4LTGliederung20"/>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36"/>
    </w:rPr>
  </w:style>
  <w:style w:type="paragraph" w:customStyle="1" w:styleId="4LTGliederung40">
    <w:name w:val="Заглавие4_~LT~Gliederung 4"/>
    <w:basedOn w:val="4LTGliederung30"/>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style>
  <w:style w:type="paragraph" w:customStyle="1" w:styleId="4LTGliederung50">
    <w:name w:val="Заглавие4_~LT~Gliederung 5"/>
    <w:basedOn w:val="4LTGliederung40"/>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rPr>
      <w:sz w:val="40"/>
    </w:rPr>
  </w:style>
  <w:style w:type="paragraph" w:customStyle="1" w:styleId="4LTGliederung60">
    <w:name w:val="Заглавие4_~LT~Gliederung 6"/>
    <w:basedOn w:val="4LTGliederung50"/>
  </w:style>
  <w:style w:type="paragraph" w:customStyle="1" w:styleId="4LTGliederung70">
    <w:name w:val="Заглавие4_~LT~Gliederung 7"/>
    <w:basedOn w:val="4LTGliederung60"/>
  </w:style>
  <w:style w:type="paragraph" w:customStyle="1" w:styleId="4LTGliederung80">
    <w:name w:val="Заглавие4_~LT~Gliederung 8"/>
    <w:basedOn w:val="4LTGliederung70"/>
  </w:style>
  <w:style w:type="paragraph" w:customStyle="1" w:styleId="4LTGliederung90">
    <w:name w:val="Заглавие4_~LT~Gliederung 9"/>
    <w:basedOn w:val="4LTGliederung80"/>
  </w:style>
  <w:style w:type="paragraph" w:customStyle="1" w:styleId="4LTTitel0">
    <w:name w:val="Заглавие4_~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Microsoft YaHei" w:eastAsia="Tahoma" w:hAnsi="Microsoft YaHei" w:cs="+mn-lt"/>
      <w:color w:val="000000"/>
      <w:kern w:val="2"/>
      <w:sz w:val="36"/>
      <w:szCs w:val="24"/>
      <w:lang w:eastAsia="zh-CN" w:bidi="hi-IN"/>
    </w:rPr>
  </w:style>
  <w:style w:type="paragraph" w:customStyle="1" w:styleId="4LTUntertitel0">
    <w:name w:val="Заглавие4_~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285" w:line="180" w:lineRule="auto"/>
      <w:ind w:left="540" w:hanging="540"/>
      <w:jc w:val="center"/>
    </w:pPr>
    <w:rPr>
      <w:rFonts w:ascii="Microsoft YaHei" w:eastAsia="Tahoma" w:hAnsi="Microsoft YaHei" w:cs="+mn-lt"/>
      <w:color w:val="000000"/>
      <w:kern w:val="2"/>
      <w:sz w:val="56"/>
      <w:szCs w:val="24"/>
      <w:lang w:eastAsia="zh-CN" w:bidi="hi-IN"/>
    </w:rPr>
  </w:style>
  <w:style w:type="paragraph" w:customStyle="1" w:styleId="4LTNotizen0">
    <w:name w:val="Заглавие4_~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mn-lt"/>
      <w:color w:val="000000"/>
      <w:kern w:val="2"/>
      <w:sz w:val="24"/>
      <w:szCs w:val="24"/>
      <w:lang w:eastAsia="zh-CN" w:bidi="hi-IN"/>
    </w:rPr>
  </w:style>
  <w:style w:type="paragraph" w:customStyle="1" w:styleId="4LTHintergrundobjekte0">
    <w:name w:val="Заглавие4_~LT~Hintergrundobjekte"/>
    <w:pPr>
      <w:widowControl w:val="0"/>
      <w:suppressAutoHyphens/>
    </w:pPr>
    <w:rPr>
      <w:rFonts w:ascii="Liberation Serif" w:eastAsia="Tahoma" w:hAnsi="Liberation Serif" w:cs="+mn-lt"/>
      <w:kern w:val="2"/>
      <w:sz w:val="24"/>
      <w:szCs w:val="24"/>
      <w:lang w:eastAsia="zh-CN" w:bidi="hi-IN"/>
    </w:rPr>
  </w:style>
  <w:style w:type="paragraph" w:customStyle="1" w:styleId="4LTHintergrund0">
    <w:name w:val="Заглавие4_~LT~Hintergrund"/>
    <w:pPr>
      <w:widowControl w:val="0"/>
      <w:suppressAutoHyphens/>
      <w:jc w:val="center"/>
    </w:pPr>
    <w:rPr>
      <w:rFonts w:ascii="Liberation Serif" w:eastAsia="Tahoma" w:hAnsi="Liberation Serif" w:cs="+mn-lt"/>
      <w:sz w:val="24"/>
      <w:szCs w:val="24"/>
      <w:lang w:eastAsia="zh-CN" w:bidi="hi-IN"/>
    </w:rPr>
  </w:style>
  <w:style w:type="paragraph" w:customStyle="1" w:styleId="2c">
    <w:name w:val="Обычный_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pPr>
    <w:rPr>
      <w:rFonts w:ascii="Microsoft YaHei" w:eastAsia="Tahoma" w:hAnsi="Microsoft YaHei" w:cs="+mn-lt"/>
      <w:color w:val="FFFFFF"/>
      <w:sz w:val="36"/>
      <w:szCs w:val="24"/>
      <w:lang w:eastAsia="zh-CN" w:bidi="hi-IN"/>
    </w:rPr>
  </w:style>
  <w:style w:type="paragraph" w:customStyle="1" w:styleId="34">
    <w:name w:val="Обычный_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Lucida Sans" w:eastAsia="Tahoma" w:hAnsi="Lucida Sans" w:cs="+mn-lt"/>
      <w:color w:val="000000"/>
      <w:sz w:val="36"/>
      <w:szCs w:val="24"/>
      <w:lang w:eastAsia="zh-CN" w:bidi="hi-IN"/>
    </w:rPr>
  </w:style>
  <w:style w:type="paragraph" w:styleId="af">
    <w:name w:val="No Spacing"/>
    <w:aliases w:val="норма,Обя,мелкий,мой рабочий,Айгерим,свой,14 TNR,МОЙ СТИЛЬ,Без интервала11,Без интеБез интервала,Без интервала111"/>
    <w:link w:val="ae"/>
    <w:uiPriority w:val="1"/>
    <w:qFormat/>
    <w:rsid w:val="00DB5D2C"/>
    <w:rPr>
      <w:rFonts w:ascii="Calibri" w:eastAsia="Calibri" w:hAnsi="Calibri" w:cs="Calibri"/>
      <w:kern w:val="2"/>
      <w:sz w:val="22"/>
      <w:szCs w:val="22"/>
      <w:lang w:eastAsia="zh-CN"/>
    </w:rPr>
  </w:style>
  <w:style w:type="table" w:styleId="affffc">
    <w:name w:val="Table Grid"/>
    <w:basedOn w:val="a1"/>
    <w:uiPriority w:val="39"/>
    <w:rsid w:val="006E7B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4B6636"/>
    <w:rPr>
      <w:rFonts w:ascii="Liberation Serif" w:eastAsia="NSimSun" w:hAnsi="Liberation Serif" w:cs="Liberation Serif"/>
      <w:b/>
      <w:bCs/>
      <w:kern w:val="2"/>
      <w:sz w:val="36"/>
      <w:szCs w:val="36"/>
      <w:lang w:eastAsia="zh-CN" w:bidi="hi-IN"/>
    </w:rPr>
  </w:style>
  <w:style w:type="character" w:customStyle="1" w:styleId="30">
    <w:name w:val="Заголовок 3 Знак"/>
    <w:link w:val="3"/>
    <w:rsid w:val="004B6636"/>
    <w:rPr>
      <w:rFonts w:ascii="Liberation Serif" w:eastAsia="NSimSun" w:hAnsi="Liberation Serif" w:cs="Liberation Serif"/>
      <w:b/>
      <w:bCs/>
      <w:kern w:val="2"/>
      <w:sz w:val="24"/>
      <w:szCs w:val="24"/>
      <w:lang w:eastAsia="zh-CN" w:bidi="hi-IN"/>
    </w:rPr>
  </w:style>
  <w:style w:type="character" w:customStyle="1" w:styleId="40">
    <w:name w:val="Заголовок 4 Знак"/>
    <w:link w:val="4"/>
    <w:rsid w:val="004B6636"/>
    <w:rPr>
      <w:rFonts w:ascii="Liberation Serif" w:eastAsia="NSimSun" w:hAnsi="Liberation Serif" w:cs="Liberation Serif"/>
      <w:b/>
      <w:bCs/>
      <w:kern w:val="2"/>
      <w:sz w:val="24"/>
      <w:szCs w:val="24"/>
      <w:lang w:eastAsia="zh-CN" w:bidi="hi-IN"/>
    </w:rPr>
  </w:style>
  <w:style w:type="character" w:customStyle="1" w:styleId="1c">
    <w:name w:val="Основной текст Знак1"/>
    <w:link w:val="afc"/>
    <w:rsid w:val="004B6636"/>
    <w:rPr>
      <w:rFonts w:ascii="Liberation Serif" w:eastAsia="NSimSun" w:hAnsi="Liberation Serif" w:cs="Lucida Sans"/>
      <w:kern w:val="2"/>
      <w:sz w:val="24"/>
      <w:szCs w:val="24"/>
      <w:lang w:eastAsia="zh-CN" w:bidi="hi-IN"/>
    </w:rPr>
  </w:style>
  <w:style w:type="character" w:customStyle="1" w:styleId="1f">
    <w:name w:val="Текст сноски Знак1"/>
    <w:link w:val="aff2"/>
    <w:rsid w:val="004B6636"/>
    <w:rPr>
      <w:rFonts w:ascii="Liberation Serif" w:eastAsia="NSimSun" w:hAnsi="Liberation Serif" w:cs="Lucida Sans"/>
      <w:kern w:val="2"/>
      <w:lang w:eastAsia="zh-CN" w:bidi="hi-IN"/>
    </w:rPr>
  </w:style>
  <w:style w:type="character" w:customStyle="1" w:styleId="1f0">
    <w:name w:val="Нижний колонтитул Знак1"/>
    <w:link w:val="aff6"/>
    <w:rsid w:val="004B6636"/>
    <w:rPr>
      <w:rFonts w:ascii="Liberation Serif" w:eastAsia="NSimSun" w:hAnsi="Liberation Serif" w:cs="Lucida Sans"/>
      <w:kern w:val="2"/>
      <w:sz w:val="24"/>
      <w:szCs w:val="24"/>
      <w:lang w:eastAsia="zh-CN" w:bidi="hi-IN"/>
    </w:rPr>
  </w:style>
  <w:style w:type="character" w:customStyle="1" w:styleId="affa">
    <w:name w:val="Основной текст с отступом Знак"/>
    <w:link w:val="aff9"/>
    <w:rsid w:val="004B6636"/>
    <w:rPr>
      <w:kern w:val="2"/>
      <w:sz w:val="24"/>
      <w:szCs w:val="24"/>
      <w:lang w:bidi="hi-IN"/>
    </w:rPr>
  </w:style>
  <w:style w:type="character" w:customStyle="1" w:styleId="affff7">
    <w:name w:val="Верхний колонтитул Знак"/>
    <w:link w:val="afff6"/>
    <w:rsid w:val="004B6636"/>
    <w:rPr>
      <w:rFonts w:ascii="Liberation Serif" w:eastAsia="font275" w:hAnsi="Liberation Serif" w:cs="font275"/>
      <w:kern w:val="2"/>
      <w:sz w:val="24"/>
      <w:szCs w:val="22"/>
      <w:lang w:val="fr-FR" w:eastAsia="en-US" w:bidi="hi-IN"/>
    </w:rPr>
  </w:style>
  <w:style w:type="paragraph" w:customStyle="1" w:styleId="1ff2">
    <w:name w:val="1"/>
    <w:basedOn w:val="a"/>
    <w:next w:val="LTGliederung13"/>
    <w:rsid w:val="004B6636"/>
    <w:pPr>
      <w:suppressAutoHyphens w:val="0"/>
      <w:overflowPunct/>
      <w:spacing w:before="100" w:after="100"/>
    </w:pPr>
    <w:rPr>
      <w:rFonts w:ascii="Times New Roman" w:eastAsia="Times New Roman" w:hAnsi="Times New Roman" w:cs="Times New Roman"/>
      <w:kern w:val="0"/>
      <w:lang w:bidi="ar-SA"/>
    </w:rPr>
  </w:style>
  <w:style w:type="character" w:customStyle="1" w:styleId="affffa">
    <w:name w:val="Текст концевой сноски Знак"/>
    <w:link w:val="affff9"/>
    <w:rsid w:val="004B6636"/>
    <w:rPr>
      <w:rFonts w:ascii="Liberation Serif" w:eastAsia="NSimSun" w:hAnsi="Liberation Serif" w:cs="Lucida Sans"/>
      <w:kern w:val="2"/>
      <w:lang w:eastAsia="zh-CN" w:bidi="hi-IN"/>
    </w:rPr>
  </w:style>
  <w:style w:type="character" w:customStyle="1" w:styleId="1ff">
    <w:name w:val="Заголовок Знак1"/>
    <w:aliases w:val="Title Знак"/>
    <w:link w:val="affff8"/>
    <w:uiPriority w:val="10"/>
    <w:rsid w:val="004B6636"/>
    <w:rPr>
      <w:b/>
      <w:sz w:val="28"/>
    </w:rPr>
  </w:style>
  <w:style w:type="paragraph" w:customStyle="1" w:styleId="TableContents">
    <w:name w:val="Table Contents"/>
    <w:basedOn w:val="Standard"/>
    <w:rsid w:val="004B6636"/>
    <w:pPr>
      <w:widowControl w:val="0"/>
      <w:suppressLineNumbers/>
      <w:autoSpaceDN w:val="0"/>
      <w:jc w:val="left"/>
      <w:textAlignment w:val="auto"/>
    </w:pPr>
    <w:rPr>
      <w:rFonts w:ascii="Liberation Serif" w:hAnsi="Liberation Serif" w:cs="Lucida Sans"/>
      <w:kern w:val="3"/>
      <w:lang w:eastAsia="zh-CN"/>
    </w:rPr>
  </w:style>
  <w:style w:type="paragraph" w:styleId="affffd">
    <w:name w:val="List Paragraph"/>
    <w:aliases w:val="Список МАРКЕРОВ,4. List Paragraph,List - Numbered,Akapit z listą,маркированный,Elenco Normale,Абзац с отступом,Абзац списка3,corp de texte,Абзац,Содержание. 2 уровень,Абзац списка7,Абзац списка71,Абзац списка8"/>
    <w:basedOn w:val="a"/>
    <w:uiPriority w:val="34"/>
    <w:qFormat/>
    <w:rsid w:val="00FE187F"/>
    <w:pPr>
      <w:suppressAutoHyphens w:val="0"/>
      <w:overflowPunct/>
      <w:spacing w:after="160" w:line="256" w:lineRule="auto"/>
      <w:ind w:left="720"/>
      <w:contextualSpacing/>
    </w:pPr>
    <w:rPr>
      <w:rFonts w:ascii="Calibri" w:eastAsia="Calibri" w:hAnsi="Calibri" w:cs="Times New Roman"/>
      <w:kern w:val="0"/>
      <w:sz w:val="22"/>
      <w:szCs w:val="22"/>
      <w:lang w:eastAsia="en-US" w:bidi="ar-SA"/>
    </w:rPr>
  </w:style>
  <w:style w:type="paragraph" w:styleId="affffe">
    <w:name w:val="Balloon Text"/>
    <w:basedOn w:val="a"/>
    <w:link w:val="1ff3"/>
    <w:uiPriority w:val="99"/>
    <w:semiHidden/>
    <w:unhideWhenUsed/>
    <w:rsid w:val="00575864"/>
    <w:rPr>
      <w:rFonts w:ascii="Segoe UI" w:hAnsi="Segoe UI" w:cs="Mangal"/>
      <w:sz w:val="18"/>
      <w:szCs w:val="16"/>
    </w:rPr>
  </w:style>
  <w:style w:type="character" w:customStyle="1" w:styleId="1ff3">
    <w:name w:val="Текст выноски Знак1"/>
    <w:link w:val="affffe"/>
    <w:uiPriority w:val="99"/>
    <w:semiHidden/>
    <w:rsid w:val="00575864"/>
    <w:rPr>
      <w:rFonts w:ascii="Segoe UI" w:eastAsia="NSimSun" w:hAnsi="Segoe UI" w:cs="Mangal"/>
      <w:kern w:val="2"/>
      <w:sz w:val="18"/>
      <w:szCs w:val="16"/>
      <w:lang w:eastAsia="zh-CN" w:bidi="hi-IN"/>
    </w:rPr>
  </w:style>
  <w:style w:type="paragraph" w:customStyle="1" w:styleId="2d">
    <w:name w:val="Без интервала2"/>
    <w:next w:val="a"/>
    <w:rsid w:val="00743245"/>
    <w:pPr>
      <w:suppressAutoHyphens/>
    </w:pPr>
    <w:rPr>
      <w:rFonts w:ascii="Calibri" w:eastAsia="Calibri" w:hAnsi="Calibri"/>
      <w:kern w:val="2"/>
      <w:sz w:val="22"/>
      <w:szCs w:val="22"/>
      <w:lang w:eastAsia="zh-CN"/>
    </w:rPr>
  </w:style>
  <w:style w:type="character" w:styleId="afffff">
    <w:name w:val="annotation reference"/>
    <w:uiPriority w:val="99"/>
    <w:semiHidden/>
    <w:unhideWhenUsed/>
    <w:rsid w:val="005B5FA3"/>
    <w:rPr>
      <w:sz w:val="16"/>
      <w:szCs w:val="16"/>
    </w:rPr>
  </w:style>
  <w:style w:type="paragraph" w:styleId="afffff0">
    <w:name w:val="annotation text"/>
    <w:basedOn w:val="a"/>
    <w:link w:val="1ff4"/>
    <w:uiPriority w:val="99"/>
    <w:semiHidden/>
    <w:unhideWhenUsed/>
    <w:rsid w:val="005B5FA3"/>
    <w:rPr>
      <w:rFonts w:cs="Mangal"/>
      <w:sz w:val="20"/>
      <w:szCs w:val="18"/>
    </w:rPr>
  </w:style>
  <w:style w:type="character" w:customStyle="1" w:styleId="1ff4">
    <w:name w:val="Текст примечания Знак1"/>
    <w:link w:val="afffff0"/>
    <w:uiPriority w:val="99"/>
    <w:semiHidden/>
    <w:rsid w:val="005B5FA3"/>
    <w:rPr>
      <w:rFonts w:ascii="Liberation Serif" w:eastAsia="NSimSun" w:hAnsi="Liberation Serif" w:cs="Mangal"/>
      <w:kern w:val="2"/>
      <w:szCs w:val="18"/>
      <w:lang w:val="ru-RU" w:eastAsia="zh-CN" w:bidi="hi-IN"/>
    </w:rPr>
  </w:style>
  <w:style w:type="paragraph" w:styleId="afffff1">
    <w:name w:val="annotation subject"/>
    <w:basedOn w:val="afffff0"/>
    <w:next w:val="afffff0"/>
    <w:link w:val="1ff5"/>
    <w:uiPriority w:val="99"/>
    <w:semiHidden/>
    <w:unhideWhenUsed/>
    <w:rsid w:val="005B5FA3"/>
    <w:rPr>
      <w:b/>
      <w:bCs/>
    </w:rPr>
  </w:style>
  <w:style w:type="character" w:customStyle="1" w:styleId="1ff5">
    <w:name w:val="Тема примечания Знак1"/>
    <w:link w:val="afffff1"/>
    <w:uiPriority w:val="99"/>
    <w:semiHidden/>
    <w:rsid w:val="005B5FA3"/>
    <w:rPr>
      <w:rFonts w:ascii="Liberation Serif" w:eastAsia="NSimSun" w:hAnsi="Liberation Serif" w:cs="Mangal"/>
      <w:b/>
      <w:bCs/>
      <w:kern w:val="2"/>
      <w:szCs w:val="18"/>
      <w:lang w:val="ru-RU" w:eastAsia="zh-CN" w:bidi="hi-IN"/>
    </w:rPr>
  </w:style>
  <w:style w:type="paragraph" w:styleId="afffff2">
    <w:name w:val="Revision"/>
    <w:hidden/>
    <w:uiPriority w:val="99"/>
    <w:semiHidden/>
    <w:rsid w:val="00BD63F0"/>
    <w:rPr>
      <w:rFonts w:ascii="Liberation Serif" w:eastAsia="NSimSun" w:hAnsi="Liberation Serif" w:cs="Mangal"/>
      <w:kern w:val="2"/>
      <w:sz w:val="24"/>
      <w:szCs w:val="21"/>
      <w:lang w:eastAsia="zh-CN" w:bidi="hi-IN"/>
    </w:rPr>
  </w:style>
  <w:style w:type="character" w:styleId="afffff3">
    <w:name w:val="Unresolved Mention"/>
    <w:basedOn w:val="a0"/>
    <w:uiPriority w:val="99"/>
    <w:semiHidden/>
    <w:unhideWhenUsed/>
    <w:rsid w:val="007520AD"/>
    <w:rPr>
      <w:color w:val="605E5C"/>
      <w:shd w:val="clear" w:color="auto" w:fill="E1DFDD"/>
    </w:rPr>
  </w:style>
  <w:style w:type="character" w:customStyle="1" w:styleId="posttitle-text">
    <w:name w:val="post__title-text"/>
    <w:basedOn w:val="a0"/>
    <w:rsid w:val="00C45EC0"/>
  </w:style>
  <w:style w:type="paragraph" w:customStyle="1" w:styleId="xmsobodytext">
    <w:name w:val="x_msobodytext"/>
    <w:basedOn w:val="a"/>
    <w:rsid w:val="00E95C2A"/>
    <w:pPr>
      <w:suppressAutoHyphens w:val="0"/>
      <w:overflowPunct/>
      <w:spacing w:before="100" w:beforeAutospacing="1" w:after="100" w:afterAutospacing="1"/>
    </w:pPr>
    <w:rPr>
      <w:rFonts w:ascii="Times New Roman" w:eastAsia="Times New Roman" w:hAnsi="Times New Roman" w:cs="Times New Roman"/>
      <w:kern w:val="0"/>
      <w:lang w:eastAsia="ru-RU" w:bidi="ar-SA"/>
    </w:rPr>
  </w:style>
  <w:style w:type="paragraph" w:styleId="afffff4">
    <w:name w:val="TOC Heading"/>
    <w:basedOn w:val="1"/>
    <w:next w:val="a"/>
    <w:uiPriority w:val="39"/>
    <w:unhideWhenUsed/>
    <w:qFormat/>
    <w:rsid w:val="00A12740"/>
    <w:pPr>
      <w:keepNext/>
      <w:keepLines/>
      <w:suppressAutoHyphens w:val="0"/>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eastAsia="ru-RU" w:bidi="ar-SA"/>
    </w:rPr>
  </w:style>
  <w:style w:type="paragraph" w:styleId="1ff6">
    <w:name w:val="toc 1"/>
    <w:basedOn w:val="a"/>
    <w:next w:val="a"/>
    <w:autoRedefine/>
    <w:uiPriority w:val="39"/>
    <w:unhideWhenUsed/>
    <w:rsid w:val="00A12740"/>
    <w:pPr>
      <w:spacing w:after="100"/>
    </w:pPr>
    <w:rPr>
      <w:rFonts w:cs="Mangal"/>
      <w:szCs w:val="21"/>
    </w:rPr>
  </w:style>
  <w:style w:type="paragraph" w:styleId="2e">
    <w:name w:val="toc 2"/>
    <w:basedOn w:val="a"/>
    <w:next w:val="a"/>
    <w:autoRedefine/>
    <w:uiPriority w:val="39"/>
    <w:unhideWhenUsed/>
    <w:rsid w:val="00A12740"/>
    <w:pPr>
      <w:spacing w:after="100"/>
      <w:ind w:left="240"/>
    </w:pPr>
    <w:rPr>
      <w:rFonts w:cs="Mangal"/>
      <w:szCs w:val="21"/>
    </w:rPr>
  </w:style>
  <w:style w:type="character" w:customStyle="1" w:styleId="1ff7">
    <w:name w:val="Неразрешенное упоминание1"/>
    <w:basedOn w:val="a0"/>
    <w:uiPriority w:val="99"/>
    <w:semiHidden/>
    <w:unhideWhenUsed/>
    <w:rsid w:val="001D7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5657">
      <w:bodyDiv w:val="1"/>
      <w:marLeft w:val="0"/>
      <w:marRight w:val="0"/>
      <w:marTop w:val="0"/>
      <w:marBottom w:val="0"/>
      <w:divBdr>
        <w:top w:val="none" w:sz="0" w:space="0" w:color="auto"/>
        <w:left w:val="none" w:sz="0" w:space="0" w:color="auto"/>
        <w:bottom w:val="none" w:sz="0" w:space="0" w:color="auto"/>
        <w:right w:val="none" w:sz="0" w:space="0" w:color="auto"/>
      </w:divBdr>
    </w:div>
    <w:div w:id="16932276">
      <w:bodyDiv w:val="1"/>
      <w:marLeft w:val="0"/>
      <w:marRight w:val="0"/>
      <w:marTop w:val="0"/>
      <w:marBottom w:val="0"/>
      <w:divBdr>
        <w:top w:val="none" w:sz="0" w:space="0" w:color="auto"/>
        <w:left w:val="none" w:sz="0" w:space="0" w:color="auto"/>
        <w:bottom w:val="none" w:sz="0" w:space="0" w:color="auto"/>
        <w:right w:val="none" w:sz="0" w:space="0" w:color="auto"/>
      </w:divBdr>
    </w:div>
    <w:div w:id="34696720">
      <w:bodyDiv w:val="1"/>
      <w:marLeft w:val="0"/>
      <w:marRight w:val="0"/>
      <w:marTop w:val="0"/>
      <w:marBottom w:val="0"/>
      <w:divBdr>
        <w:top w:val="none" w:sz="0" w:space="0" w:color="auto"/>
        <w:left w:val="none" w:sz="0" w:space="0" w:color="auto"/>
        <w:bottom w:val="none" w:sz="0" w:space="0" w:color="auto"/>
        <w:right w:val="none" w:sz="0" w:space="0" w:color="auto"/>
      </w:divBdr>
    </w:div>
    <w:div w:id="54623037">
      <w:bodyDiv w:val="1"/>
      <w:marLeft w:val="0"/>
      <w:marRight w:val="0"/>
      <w:marTop w:val="0"/>
      <w:marBottom w:val="0"/>
      <w:divBdr>
        <w:top w:val="none" w:sz="0" w:space="0" w:color="auto"/>
        <w:left w:val="none" w:sz="0" w:space="0" w:color="auto"/>
        <w:bottom w:val="none" w:sz="0" w:space="0" w:color="auto"/>
        <w:right w:val="none" w:sz="0" w:space="0" w:color="auto"/>
      </w:divBdr>
    </w:div>
    <w:div w:id="101650019">
      <w:bodyDiv w:val="1"/>
      <w:marLeft w:val="0"/>
      <w:marRight w:val="0"/>
      <w:marTop w:val="0"/>
      <w:marBottom w:val="0"/>
      <w:divBdr>
        <w:top w:val="none" w:sz="0" w:space="0" w:color="auto"/>
        <w:left w:val="none" w:sz="0" w:space="0" w:color="auto"/>
        <w:bottom w:val="none" w:sz="0" w:space="0" w:color="auto"/>
        <w:right w:val="none" w:sz="0" w:space="0" w:color="auto"/>
      </w:divBdr>
    </w:div>
    <w:div w:id="128981402">
      <w:bodyDiv w:val="1"/>
      <w:marLeft w:val="0"/>
      <w:marRight w:val="0"/>
      <w:marTop w:val="0"/>
      <w:marBottom w:val="0"/>
      <w:divBdr>
        <w:top w:val="none" w:sz="0" w:space="0" w:color="auto"/>
        <w:left w:val="none" w:sz="0" w:space="0" w:color="auto"/>
        <w:bottom w:val="none" w:sz="0" w:space="0" w:color="auto"/>
        <w:right w:val="none" w:sz="0" w:space="0" w:color="auto"/>
      </w:divBdr>
    </w:div>
    <w:div w:id="183517774">
      <w:bodyDiv w:val="1"/>
      <w:marLeft w:val="0"/>
      <w:marRight w:val="0"/>
      <w:marTop w:val="0"/>
      <w:marBottom w:val="0"/>
      <w:divBdr>
        <w:top w:val="none" w:sz="0" w:space="0" w:color="auto"/>
        <w:left w:val="none" w:sz="0" w:space="0" w:color="auto"/>
        <w:bottom w:val="none" w:sz="0" w:space="0" w:color="auto"/>
        <w:right w:val="none" w:sz="0" w:space="0" w:color="auto"/>
      </w:divBdr>
    </w:div>
    <w:div w:id="235437080">
      <w:bodyDiv w:val="1"/>
      <w:marLeft w:val="0"/>
      <w:marRight w:val="0"/>
      <w:marTop w:val="0"/>
      <w:marBottom w:val="0"/>
      <w:divBdr>
        <w:top w:val="none" w:sz="0" w:space="0" w:color="auto"/>
        <w:left w:val="none" w:sz="0" w:space="0" w:color="auto"/>
        <w:bottom w:val="none" w:sz="0" w:space="0" w:color="auto"/>
        <w:right w:val="none" w:sz="0" w:space="0" w:color="auto"/>
      </w:divBdr>
    </w:div>
    <w:div w:id="275337834">
      <w:bodyDiv w:val="1"/>
      <w:marLeft w:val="0"/>
      <w:marRight w:val="0"/>
      <w:marTop w:val="0"/>
      <w:marBottom w:val="0"/>
      <w:divBdr>
        <w:top w:val="none" w:sz="0" w:space="0" w:color="auto"/>
        <w:left w:val="none" w:sz="0" w:space="0" w:color="auto"/>
        <w:bottom w:val="none" w:sz="0" w:space="0" w:color="auto"/>
        <w:right w:val="none" w:sz="0" w:space="0" w:color="auto"/>
      </w:divBdr>
    </w:div>
    <w:div w:id="325599742">
      <w:bodyDiv w:val="1"/>
      <w:marLeft w:val="0"/>
      <w:marRight w:val="0"/>
      <w:marTop w:val="0"/>
      <w:marBottom w:val="0"/>
      <w:divBdr>
        <w:top w:val="none" w:sz="0" w:space="0" w:color="auto"/>
        <w:left w:val="none" w:sz="0" w:space="0" w:color="auto"/>
        <w:bottom w:val="none" w:sz="0" w:space="0" w:color="auto"/>
        <w:right w:val="none" w:sz="0" w:space="0" w:color="auto"/>
      </w:divBdr>
    </w:div>
    <w:div w:id="409085555">
      <w:bodyDiv w:val="1"/>
      <w:marLeft w:val="0"/>
      <w:marRight w:val="0"/>
      <w:marTop w:val="0"/>
      <w:marBottom w:val="0"/>
      <w:divBdr>
        <w:top w:val="none" w:sz="0" w:space="0" w:color="auto"/>
        <w:left w:val="none" w:sz="0" w:space="0" w:color="auto"/>
        <w:bottom w:val="none" w:sz="0" w:space="0" w:color="auto"/>
        <w:right w:val="none" w:sz="0" w:space="0" w:color="auto"/>
      </w:divBdr>
    </w:div>
    <w:div w:id="649334843">
      <w:bodyDiv w:val="1"/>
      <w:marLeft w:val="0"/>
      <w:marRight w:val="0"/>
      <w:marTop w:val="0"/>
      <w:marBottom w:val="0"/>
      <w:divBdr>
        <w:top w:val="none" w:sz="0" w:space="0" w:color="auto"/>
        <w:left w:val="none" w:sz="0" w:space="0" w:color="auto"/>
        <w:bottom w:val="none" w:sz="0" w:space="0" w:color="auto"/>
        <w:right w:val="none" w:sz="0" w:space="0" w:color="auto"/>
      </w:divBdr>
    </w:div>
    <w:div w:id="670452261">
      <w:bodyDiv w:val="1"/>
      <w:marLeft w:val="0"/>
      <w:marRight w:val="0"/>
      <w:marTop w:val="0"/>
      <w:marBottom w:val="0"/>
      <w:divBdr>
        <w:top w:val="none" w:sz="0" w:space="0" w:color="auto"/>
        <w:left w:val="none" w:sz="0" w:space="0" w:color="auto"/>
        <w:bottom w:val="none" w:sz="0" w:space="0" w:color="auto"/>
        <w:right w:val="none" w:sz="0" w:space="0" w:color="auto"/>
      </w:divBdr>
    </w:div>
    <w:div w:id="711927684">
      <w:bodyDiv w:val="1"/>
      <w:marLeft w:val="0"/>
      <w:marRight w:val="0"/>
      <w:marTop w:val="0"/>
      <w:marBottom w:val="0"/>
      <w:divBdr>
        <w:top w:val="none" w:sz="0" w:space="0" w:color="auto"/>
        <w:left w:val="none" w:sz="0" w:space="0" w:color="auto"/>
        <w:bottom w:val="none" w:sz="0" w:space="0" w:color="auto"/>
        <w:right w:val="none" w:sz="0" w:space="0" w:color="auto"/>
      </w:divBdr>
    </w:div>
    <w:div w:id="745106235">
      <w:bodyDiv w:val="1"/>
      <w:marLeft w:val="0"/>
      <w:marRight w:val="0"/>
      <w:marTop w:val="0"/>
      <w:marBottom w:val="0"/>
      <w:divBdr>
        <w:top w:val="none" w:sz="0" w:space="0" w:color="auto"/>
        <w:left w:val="none" w:sz="0" w:space="0" w:color="auto"/>
        <w:bottom w:val="none" w:sz="0" w:space="0" w:color="auto"/>
        <w:right w:val="none" w:sz="0" w:space="0" w:color="auto"/>
      </w:divBdr>
    </w:div>
    <w:div w:id="755710047">
      <w:bodyDiv w:val="1"/>
      <w:marLeft w:val="0"/>
      <w:marRight w:val="0"/>
      <w:marTop w:val="0"/>
      <w:marBottom w:val="0"/>
      <w:divBdr>
        <w:top w:val="none" w:sz="0" w:space="0" w:color="auto"/>
        <w:left w:val="none" w:sz="0" w:space="0" w:color="auto"/>
        <w:bottom w:val="none" w:sz="0" w:space="0" w:color="auto"/>
        <w:right w:val="none" w:sz="0" w:space="0" w:color="auto"/>
      </w:divBdr>
    </w:div>
    <w:div w:id="757025618">
      <w:bodyDiv w:val="1"/>
      <w:marLeft w:val="0"/>
      <w:marRight w:val="0"/>
      <w:marTop w:val="0"/>
      <w:marBottom w:val="0"/>
      <w:divBdr>
        <w:top w:val="none" w:sz="0" w:space="0" w:color="auto"/>
        <w:left w:val="none" w:sz="0" w:space="0" w:color="auto"/>
        <w:bottom w:val="none" w:sz="0" w:space="0" w:color="auto"/>
        <w:right w:val="none" w:sz="0" w:space="0" w:color="auto"/>
      </w:divBdr>
    </w:div>
    <w:div w:id="803163587">
      <w:bodyDiv w:val="1"/>
      <w:marLeft w:val="0"/>
      <w:marRight w:val="0"/>
      <w:marTop w:val="0"/>
      <w:marBottom w:val="0"/>
      <w:divBdr>
        <w:top w:val="none" w:sz="0" w:space="0" w:color="auto"/>
        <w:left w:val="none" w:sz="0" w:space="0" w:color="auto"/>
        <w:bottom w:val="none" w:sz="0" w:space="0" w:color="auto"/>
        <w:right w:val="none" w:sz="0" w:space="0" w:color="auto"/>
      </w:divBdr>
    </w:div>
    <w:div w:id="852770622">
      <w:bodyDiv w:val="1"/>
      <w:marLeft w:val="0"/>
      <w:marRight w:val="0"/>
      <w:marTop w:val="0"/>
      <w:marBottom w:val="0"/>
      <w:divBdr>
        <w:top w:val="none" w:sz="0" w:space="0" w:color="auto"/>
        <w:left w:val="none" w:sz="0" w:space="0" w:color="auto"/>
        <w:bottom w:val="none" w:sz="0" w:space="0" w:color="auto"/>
        <w:right w:val="none" w:sz="0" w:space="0" w:color="auto"/>
      </w:divBdr>
    </w:div>
    <w:div w:id="885216109">
      <w:bodyDiv w:val="1"/>
      <w:marLeft w:val="0"/>
      <w:marRight w:val="0"/>
      <w:marTop w:val="0"/>
      <w:marBottom w:val="0"/>
      <w:divBdr>
        <w:top w:val="none" w:sz="0" w:space="0" w:color="auto"/>
        <w:left w:val="none" w:sz="0" w:space="0" w:color="auto"/>
        <w:bottom w:val="none" w:sz="0" w:space="0" w:color="auto"/>
        <w:right w:val="none" w:sz="0" w:space="0" w:color="auto"/>
      </w:divBdr>
    </w:div>
    <w:div w:id="887642116">
      <w:bodyDiv w:val="1"/>
      <w:marLeft w:val="0"/>
      <w:marRight w:val="0"/>
      <w:marTop w:val="0"/>
      <w:marBottom w:val="0"/>
      <w:divBdr>
        <w:top w:val="none" w:sz="0" w:space="0" w:color="auto"/>
        <w:left w:val="none" w:sz="0" w:space="0" w:color="auto"/>
        <w:bottom w:val="none" w:sz="0" w:space="0" w:color="auto"/>
        <w:right w:val="none" w:sz="0" w:space="0" w:color="auto"/>
      </w:divBdr>
    </w:div>
    <w:div w:id="898830578">
      <w:bodyDiv w:val="1"/>
      <w:marLeft w:val="0"/>
      <w:marRight w:val="0"/>
      <w:marTop w:val="0"/>
      <w:marBottom w:val="0"/>
      <w:divBdr>
        <w:top w:val="none" w:sz="0" w:space="0" w:color="auto"/>
        <w:left w:val="none" w:sz="0" w:space="0" w:color="auto"/>
        <w:bottom w:val="none" w:sz="0" w:space="0" w:color="auto"/>
        <w:right w:val="none" w:sz="0" w:space="0" w:color="auto"/>
      </w:divBdr>
    </w:div>
    <w:div w:id="952708215">
      <w:bodyDiv w:val="1"/>
      <w:marLeft w:val="0"/>
      <w:marRight w:val="0"/>
      <w:marTop w:val="0"/>
      <w:marBottom w:val="0"/>
      <w:divBdr>
        <w:top w:val="none" w:sz="0" w:space="0" w:color="auto"/>
        <w:left w:val="none" w:sz="0" w:space="0" w:color="auto"/>
        <w:bottom w:val="none" w:sz="0" w:space="0" w:color="auto"/>
        <w:right w:val="none" w:sz="0" w:space="0" w:color="auto"/>
      </w:divBdr>
    </w:div>
    <w:div w:id="993800322">
      <w:bodyDiv w:val="1"/>
      <w:marLeft w:val="0"/>
      <w:marRight w:val="0"/>
      <w:marTop w:val="0"/>
      <w:marBottom w:val="0"/>
      <w:divBdr>
        <w:top w:val="none" w:sz="0" w:space="0" w:color="auto"/>
        <w:left w:val="none" w:sz="0" w:space="0" w:color="auto"/>
        <w:bottom w:val="none" w:sz="0" w:space="0" w:color="auto"/>
        <w:right w:val="none" w:sz="0" w:space="0" w:color="auto"/>
      </w:divBdr>
    </w:div>
    <w:div w:id="1017388976">
      <w:bodyDiv w:val="1"/>
      <w:marLeft w:val="0"/>
      <w:marRight w:val="0"/>
      <w:marTop w:val="0"/>
      <w:marBottom w:val="0"/>
      <w:divBdr>
        <w:top w:val="none" w:sz="0" w:space="0" w:color="auto"/>
        <w:left w:val="none" w:sz="0" w:space="0" w:color="auto"/>
        <w:bottom w:val="none" w:sz="0" w:space="0" w:color="auto"/>
        <w:right w:val="none" w:sz="0" w:space="0" w:color="auto"/>
      </w:divBdr>
    </w:div>
    <w:div w:id="1027098305">
      <w:bodyDiv w:val="1"/>
      <w:marLeft w:val="0"/>
      <w:marRight w:val="0"/>
      <w:marTop w:val="0"/>
      <w:marBottom w:val="0"/>
      <w:divBdr>
        <w:top w:val="none" w:sz="0" w:space="0" w:color="auto"/>
        <w:left w:val="none" w:sz="0" w:space="0" w:color="auto"/>
        <w:bottom w:val="none" w:sz="0" w:space="0" w:color="auto"/>
        <w:right w:val="none" w:sz="0" w:space="0" w:color="auto"/>
      </w:divBdr>
    </w:div>
    <w:div w:id="1040134092">
      <w:bodyDiv w:val="1"/>
      <w:marLeft w:val="0"/>
      <w:marRight w:val="0"/>
      <w:marTop w:val="0"/>
      <w:marBottom w:val="0"/>
      <w:divBdr>
        <w:top w:val="none" w:sz="0" w:space="0" w:color="auto"/>
        <w:left w:val="none" w:sz="0" w:space="0" w:color="auto"/>
        <w:bottom w:val="none" w:sz="0" w:space="0" w:color="auto"/>
        <w:right w:val="none" w:sz="0" w:space="0" w:color="auto"/>
      </w:divBdr>
    </w:div>
    <w:div w:id="1113749009">
      <w:bodyDiv w:val="1"/>
      <w:marLeft w:val="0"/>
      <w:marRight w:val="0"/>
      <w:marTop w:val="0"/>
      <w:marBottom w:val="0"/>
      <w:divBdr>
        <w:top w:val="none" w:sz="0" w:space="0" w:color="auto"/>
        <w:left w:val="none" w:sz="0" w:space="0" w:color="auto"/>
        <w:bottom w:val="none" w:sz="0" w:space="0" w:color="auto"/>
        <w:right w:val="none" w:sz="0" w:space="0" w:color="auto"/>
      </w:divBdr>
    </w:div>
    <w:div w:id="1145512004">
      <w:bodyDiv w:val="1"/>
      <w:marLeft w:val="0"/>
      <w:marRight w:val="0"/>
      <w:marTop w:val="0"/>
      <w:marBottom w:val="0"/>
      <w:divBdr>
        <w:top w:val="none" w:sz="0" w:space="0" w:color="auto"/>
        <w:left w:val="none" w:sz="0" w:space="0" w:color="auto"/>
        <w:bottom w:val="none" w:sz="0" w:space="0" w:color="auto"/>
        <w:right w:val="none" w:sz="0" w:space="0" w:color="auto"/>
      </w:divBdr>
    </w:div>
    <w:div w:id="1149594666">
      <w:bodyDiv w:val="1"/>
      <w:marLeft w:val="0"/>
      <w:marRight w:val="0"/>
      <w:marTop w:val="0"/>
      <w:marBottom w:val="0"/>
      <w:divBdr>
        <w:top w:val="none" w:sz="0" w:space="0" w:color="auto"/>
        <w:left w:val="none" w:sz="0" w:space="0" w:color="auto"/>
        <w:bottom w:val="none" w:sz="0" w:space="0" w:color="auto"/>
        <w:right w:val="none" w:sz="0" w:space="0" w:color="auto"/>
      </w:divBdr>
    </w:div>
    <w:div w:id="1242637056">
      <w:bodyDiv w:val="1"/>
      <w:marLeft w:val="0"/>
      <w:marRight w:val="0"/>
      <w:marTop w:val="0"/>
      <w:marBottom w:val="0"/>
      <w:divBdr>
        <w:top w:val="none" w:sz="0" w:space="0" w:color="auto"/>
        <w:left w:val="none" w:sz="0" w:space="0" w:color="auto"/>
        <w:bottom w:val="none" w:sz="0" w:space="0" w:color="auto"/>
        <w:right w:val="none" w:sz="0" w:space="0" w:color="auto"/>
      </w:divBdr>
    </w:div>
    <w:div w:id="1303197738">
      <w:bodyDiv w:val="1"/>
      <w:marLeft w:val="0"/>
      <w:marRight w:val="0"/>
      <w:marTop w:val="0"/>
      <w:marBottom w:val="0"/>
      <w:divBdr>
        <w:top w:val="none" w:sz="0" w:space="0" w:color="auto"/>
        <w:left w:val="none" w:sz="0" w:space="0" w:color="auto"/>
        <w:bottom w:val="none" w:sz="0" w:space="0" w:color="auto"/>
        <w:right w:val="none" w:sz="0" w:space="0" w:color="auto"/>
      </w:divBdr>
    </w:div>
    <w:div w:id="1322588772">
      <w:bodyDiv w:val="1"/>
      <w:marLeft w:val="0"/>
      <w:marRight w:val="0"/>
      <w:marTop w:val="0"/>
      <w:marBottom w:val="0"/>
      <w:divBdr>
        <w:top w:val="none" w:sz="0" w:space="0" w:color="auto"/>
        <w:left w:val="none" w:sz="0" w:space="0" w:color="auto"/>
        <w:bottom w:val="none" w:sz="0" w:space="0" w:color="auto"/>
        <w:right w:val="none" w:sz="0" w:space="0" w:color="auto"/>
      </w:divBdr>
    </w:div>
    <w:div w:id="1359815956">
      <w:bodyDiv w:val="1"/>
      <w:marLeft w:val="0"/>
      <w:marRight w:val="0"/>
      <w:marTop w:val="0"/>
      <w:marBottom w:val="0"/>
      <w:divBdr>
        <w:top w:val="none" w:sz="0" w:space="0" w:color="auto"/>
        <w:left w:val="none" w:sz="0" w:space="0" w:color="auto"/>
        <w:bottom w:val="none" w:sz="0" w:space="0" w:color="auto"/>
        <w:right w:val="none" w:sz="0" w:space="0" w:color="auto"/>
      </w:divBdr>
    </w:div>
    <w:div w:id="1372875445">
      <w:bodyDiv w:val="1"/>
      <w:marLeft w:val="0"/>
      <w:marRight w:val="0"/>
      <w:marTop w:val="0"/>
      <w:marBottom w:val="0"/>
      <w:divBdr>
        <w:top w:val="none" w:sz="0" w:space="0" w:color="auto"/>
        <w:left w:val="none" w:sz="0" w:space="0" w:color="auto"/>
        <w:bottom w:val="none" w:sz="0" w:space="0" w:color="auto"/>
        <w:right w:val="none" w:sz="0" w:space="0" w:color="auto"/>
      </w:divBdr>
    </w:div>
    <w:div w:id="1443112665">
      <w:bodyDiv w:val="1"/>
      <w:marLeft w:val="0"/>
      <w:marRight w:val="0"/>
      <w:marTop w:val="0"/>
      <w:marBottom w:val="0"/>
      <w:divBdr>
        <w:top w:val="none" w:sz="0" w:space="0" w:color="auto"/>
        <w:left w:val="none" w:sz="0" w:space="0" w:color="auto"/>
        <w:bottom w:val="none" w:sz="0" w:space="0" w:color="auto"/>
        <w:right w:val="none" w:sz="0" w:space="0" w:color="auto"/>
      </w:divBdr>
    </w:div>
    <w:div w:id="1559702296">
      <w:bodyDiv w:val="1"/>
      <w:marLeft w:val="0"/>
      <w:marRight w:val="0"/>
      <w:marTop w:val="0"/>
      <w:marBottom w:val="0"/>
      <w:divBdr>
        <w:top w:val="none" w:sz="0" w:space="0" w:color="auto"/>
        <w:left w:val="none" w:sz="0" w:space="0" w:color="auto"/>
        <w:bottom w:val="none" w:sz="0" w:space="0" w:color="auto"/>
        <w:right w:val="none" w:sz="0" w:space="0" w:color="auto"/>
      </w:divBdr>
    </w:div>
    <w:div w:id="1588230144">
      <w:bodyDiv w:val="1"/>
      <w:marLeft w:val="0"/>
      <w:marRight w:val="0"/>
      <w:marTop w:val="0"/>
      <w:marBottom w:val="0"/>
      <w:divBdr>
        <w:top w:val="none" w:sz="0" w:space="0" w:color="auto"/>
        <w:left w:val="none" w:sz="0" w:space="0" w:color="auto"/>
        <w:bottom w:val="none" w:sz="0" w:space="0" w:color="auto"/>
        <w:right w:val="none" w:sz="0" w:space="0" w:color="auto"/>
      </w:divBdr>
    </w:div>
    <w:div w:id="1623882768">
      <w:bodyDiv w:val="1"/>
      <w:marLeft w:val="0"/>
      <w:marRight w:val="0"/>
      <w:marTop w:val="0"/>
      <w:marBottom w:val="0"/>
      <w:divBdr>
        <w:top w:val="none" w:sz="0" w:space="0" w:color="auto"/>
        <w:left w:val="none" w:sz="0" w:space="0" w:color="auto"/>
        <w:bottom w:val="none" w:sz="0" w:space="0" w:color="auto"/>
        <w:right w:val="none" w:sz="0" w:space="0" w:color="auto"/>
      </w:divBdr>
    </w:div>
    <w:div w:id="1701007226">
      <w:bodyDiv w:val="1"/>
      <w:marLeft w:val="0"/>
      <w:marRight w:val="0"/>
      <w:marTop w:val="0"/>
      <w:marBottom w:val="0"/>
      <w:divBdr>
        <w:top w:val="none" w:sz="0" w:space="0" w:color="auto"/>
        <w:left w:val="none" w:sz="0" w:space="0" w:color="auto"/>
        <w:bottom w:val="none" w:sz="0" w:space="0" w:color="auto"/>
        <w:right w:val="none" w:sz="0" w:space="0" w:color="auto"/>
      </w:divBdr>
    </w:div>
    <w:div w:id="1731727960">
      <w:bodyDiv w:val="1"/>
      <w:marLeft w:val="0"/>
      <w:marRight w:val="0"/>
      <w:marTop w:val="0"/>
      <w:marBottom w:val="0"/>
      <w:divBdr>
        <w:top w:val="none" w:sz="0" w:space="0" w:color="auto"/>
        <w:left w:val="none" w:sz="0" w:space="0" w:color="auto"/>
        <w:bottom w:val="none" w:sz="0" w:space="0" w:color="auto"/>
        <w:right w:val="none" w:sz="0" w:space="0" w:color="auto"/>
      </w:divBdr>
    </w:div>
    <w:div w:id="1734697202">
      <w:bodyDiv w:val="1"/>
      <w:marLeft w:val="0"/>
      <w:marRight w:val="0"/>
      <w:marTop w:val="0"/>
      <w:marBottom w:val="0"/>
      <w:divBdr>
        <w:top w:val="none" w:sz="0" w:space="0" w:color="auto"/>
        <w:left w:val="none" w:sz="0" w:space="0" w:color="auto"/>
        <w:bottom w:val="none" w:sz="0" w:space="0" w:color="auto"/>
        <w:right w:val="none" w:sz="0" w:space="0" w:color="auto"/>
      </w:divBdr>
    </w:div>
    <w:div w:id="1790540315">
      <w:bodyDiv w:val="1"/>
      <w:marLeft w:val="0"/>
      <w:marRight w:val="0"/>
      <w:marTop w:val="0"/>
      <w:marBottom w:val="0"/>
      <w:divBdr>
        <w:top w:val="none" w:sz="0" w:space="0" w:color="auto"/>
        <w:left w:val="none" w:sz="0" w:space="0" w:color="auto"/>
        <w:bottom w:val="none" w:sz="0" w:space="0" w:color="auto"/>
        <w:right w:val="none" w:sz="0" w:space="0" w:color="auto"/>
      </w:divBdr>
    </w:div>
    <w:div w:id="1847748597">
      <w:bodyDiv w:val="1"/>
      <w:marLeft w:val="0"/>
      <w:marRight w:val="0"/>
      <w:marTop w:val="0"/>
      <w:marBottom w:val="0"/>
      <w:divBdr>
        <w:top w:val="none" w:sz="0" w:space="0" w:color="auto"/>
        <w:left w:val="none" w:sz="0" w:space="0" w:color="auto"/>
        <w:bottom w:val="none" w:sz="0" w:space="0" w:color="auto"/>
        <w:right w:val="none" w:sz="0" w:space="0" w:color="auto"/>
      </w:divBdr>
    </w:div>
    <w:div w:id="1936399673">
      <w:bodyDiv w:val="1"/>
      <w:marLeft w:val="0"/>
      <w:marRight w:val="0"/>
      <w:marTop w:val="0"/>
      <w:marBottom w:val="0"/>
      <w:divBdr>
        <w:top w:val="none" w:sz="0" w:space="0" w:color="auto"/>
        <w:left w:val="none" w:sz="0" w:space="0" w:color="auto"/>
        <w:bottom w:val="none" w:sz="0" w:space="0" w:color="auto"/>
        <w:right w:val="none" w:sz="0" w:space="0" w:color="auto"/>
      </w:divBdr>
    </w:div>
    <w:div w:id="2023434840">
      <w:bodyDiv w:val="1"/>
      <w:marLeft w:val="0"/>
      <w:marRight w:val="0"/>
      <w:marTop w:val="0"/>
      <w:marBottom w:val="0"/>
      <w:divBdr>
        <w:top w:val="none" w:sz="0" w:space="0" w:color="auto"/>
        <w:left w:val="none" w:sz="0" w:space="0" w:color="auto"/>
        <w:bottom w:val="none" w:sz="0" w:space="0" w:color="auto"/>
        <w:right w:val="none" w:sz="0" w:space="0" w:color="auto"/>
      </w:divBdr>
    </w:div>
    <w:div w:id="211597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ste-ex.kz/" TargetMode="External"/><Relationship Id="rId21" Type="http://schemas.openxmlformats.org/officeDocument/2006/relationships/image" Target="media/image3.emf"/><Relationship Id="rId42" Type="http://schemas.openxmlformats.org/officeDocument/2006/relationships/image" Target="media/image15.png"/><Relationship Id="rId47" Type="http://schemas.openxmlformats.org/officeDocument/2006/relationships/hyperlink" Target="https://www.facebook.com/hashtag/&#1094;&#1077;&#1085;&#1090;&#1088;&#1072;&#1083;&#1100;&#1085;&#1086;&#1081;&#1072;&#1079;&#1080;&#1080;?source=feed_text&amp;epa=HASHTAG" TargetMode="External"/><Relationship Id="rId63" Type="http://schemas.openxmlformats.org/officeDocument/2006/relationships/hyperlink" Target="http://www4.unfccc.int/nap/Documents%20NAP/Supplements/Understanding_mandates_NAPs.pdf" TargetMode="External"/><Relationship Id="rId68" Type="http://schemas.openxmlformats.org/officeDocument/2006/relationships/hyperlink" Target="http://ec.europa.eu/environment/eia/pdf/EIA%20Guidance.pdf" TargetMode="External"/><Relationship Id="rId84" Type="http://schemas.openxmlformats.org/officeDocument/2006/relationships/fontTable" Target="fontTable.xml"/><Relationship Id="rId16" Type="http://schemas.openxmlformats.org/officeDocument/2006/relationships/hyperlink" Target="https://ria.ru/organization_Rosstandart" TargetMode="External"/><Relationship Id="rId11" Type="http://schemas.openxmlformats.org/officeDocument/2006/relationships/hyperlink" Target="http://www.kz.undp.org/content/kazakhstan/en/home/%20operations/projects/environment_and_energy.html" TargetMode="External"/><Relationship Id="rId32" Type="http://schemas.openxmlformats.org/officeDocument/2006/relationships/image" Target="media/image12.jpeg"/><Relationship Id="rId37" Type="http://schemas.openxmlformats.org/officeDocument/2006/relationships/hyperlink" Target="https://newclimateeconomy.report/2018/executive-summary/" TargetMode="External"/><Relationship Id="rId53" Type="http://schemas.openxmlformats.org/officeDocument/2006/relationships/hyperlink" Target="https://www.facebook.com/hashtag/&#1101;&#1082;&#1086;&#1083;&#1086;&#1075;&#1080;&#1095;&#1077;&#1089;&#1082;&#1086;&#1075;&#1086;_&#1086;&#1073;&#1088;&#1072;&#1079;&#1086;&#1074;&#1072;&#1085;&#1080;&#1103;?__eep__=6&amp;__cft__%5b0%5d=AZVQfOEnk61-NKnbxY_jhbLBJhh14Xhy93v47FJpnm3Ks-wn9TNx3f0ewnT5OuK9HFEU1Ak1oc0jiGdwzhFADO7FAEcm7jrVXaSjbQqX5ktb4bybmeiSfmejI0yxD5ZT7cvi30afeow1ofFBryahJncAexecz76q6wRkpbQmkJ4XtUiMOed1mrb2giHdtabPoG6PMt9rfxaQGm7Poyi9UmEZ&amp;__tn__=*NK-R" TargetMode="External"/><Relationship Id="rId58" Type="http://schemas.openxmlformats.org/officeDocument/2006/relationships/hyperlink" Target="http://visit.sko/" TargetMode="External"/><Relationship Id="rId74" Type="http://schemas.openxmlformats.org/officeDocument/2006/relationships/hyperlink" Target="https://sustainabledevelopment.un.org/content/documents/%2023453KAZAKHSTAN_VNR_Kazkahstan_web_site_2019.pdf" TargetMode="Externa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stat.gov.kz/" TargetMode="External"/><Relationship Id="rId14" Type="http://schemas.openxmlformats.org/officeDocument/2006/relationships/hyperlink" Target="https://www.deutschland.de/ru/topic/politika/koalicionnyi-dogovor-evropa-vnesnaa-politika-migracia"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yperlink" Target="https://www.ipcc.ch/sr15/" TargetMode="External"/><Relationship Id="rId43" Type="http://schemas.openxmlformats.org/officeDocument/2006/relationships/hyperlink" Target="https://www.facebook.com/iucn.org/?__cft__%5b0%5d=AZXzO22BNxDULuw2VcZ4VVAEt_PoL9KuzdUbXBdk5KlQw4T73YeBh-wVj9SN8QMxDfJ3LMvWZ1-Sc764ZTfwiPI3jRPxHVWj9oEWHVArFY8Q5RN77P_IC75hptK3wW6p38H2D3MgPFxrlAkX0KqR9CMEWFpfa-WahYIFvwTC6RBv1MvvgU4IbXUfVzwMINs6hgZtqSJlLXVE0d-_muPB_GKsJ__FRYpygPtamB5rE4Slmw&amp;__tn__=kK-R" TargetMode="External"/><Relationship Id="rId48" Type="http://schemas.openxmlformats.org/officeDocument/2006/relationships/hyperlink" Target="http://www.ziyatker.org" TargetMode="External"/><Relationship Id="rId56" Type="http://schemas.openxmlformats.org/officeDocument/2006/relationships/hyperlink" Target="http://naturkaz.info/?nacionalmznye_parki/park_borovoe" TargetMode="External"/><Relationship Id="rId64" Type="http://schemas.openxmlformats.org/officeDocument/2006/relationships/hyperlink" Target="http://www.unesco.kz/culture/projects/whc/Proceedings_rus.pdf" TargetMode="External"/><Relationship Id="rId69" Type="http://schemas.openxmlformats.org/officeDocument/2006/relationships/hyperlink" Target="http://www.kz.undp.org/content/kazakhstan/en/home/operations/%20projects/environment_and_energy.html" TargetMode="External"/><Relationship Id="rId77" Type="http://schemas.openxmlformats.org/officeDocument/2006/relationships/hyperlink" Target="https://www.ifad.org/en/web/knowledge/publication/asset/41204194" TargetMode="External"/><Relationship Id="rId8" Type="http://schemas.openxmlformats.org/officeDocument/2006/relationships/image" Target="media/image1.emf"/><Relationship Id="rId51" Type="http://schemas.openxmlformats.org/officeDocument/2006/relationships/hyperlink" Target="https://papersmart.unon.org/resolution/uploads/k1804136_-_unep-ea.4-17_-_advance.pdf" TargetMode="External"/><Relationship Id="rId72" Type="http://schemas.openxmlformats.org/officeDocument/2006/relationships/hyperlink" Target="https://unfccc.int/documents?search2=&amp;search3=&amp;f%5B0%5D=country%3A1379"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at.gov.kz/" TargetMode="External"/><Relationship Id="rId17" Type="http://schemas.openxmlformats.org/officeDocument/2006/relationships/hyperlink" Target="http://stat.gov.kz/" TargetMode="External"/><Relationship Id="rId25" Type="http://schemas.openxmlformats.org/officeDocument/2006/relationships/image" Target="media/image7.emf"/><Relationship Id="rId33" Type="http://schemas.openxmlformats.org/officeDocument/2006/relationships/chart" Target="charts/chart1.xml"/><Relationship Id="rId38" Type="http://schemas.openxmlformats.org/officeDocument/2006/relationships/hyperlink" Target="file:///C:\AppData\AppData\AppData\Downloads\_blank" TargetMode="External"/><Relationship Id="rId46" Type="http://schemas.openxmlformats.org/officeDocument/2006/relationships/hyperlink" Target="https://papersmart.unon.org/resolution/uploads/k1804136_-_unep-ea.4-17_-_advance.pdf" TargetMode="External"/><Relationship Id="rId59" Type="http://schemas.openxmlformats.org/officeDocument/2006/relationships/hyperlink" Target="https://ru.wikipedia.org/wiki/&#1058;&#1091;&#1088;&#1082;&#1077;&#1089;&#1090;&#1072;&#1085;_(&#1075;&#1086;&#1088;&#1086;&#1076;)" TargetMode="External"/><Relationship Id="rId67" Type="http://schemas.openxmlformats.org/officeDocument/2006/relationships/hyperlink" Target="https://www.unece.org/fileadmin/DAM/env/" TargetMode="External"/><Relationship Id="rId20" Type="http://schemas.openxmlformats.org/officeDocument/2006/relationships/hyperlink" Target="http://stat.gov.kz/" TargetMode="External"/><Relationship Id="rId41" Type="http://schemas.openxmlformats.org/officeDocument/2006/relationships/image" Target="media/image14.emf"/><Relationship Id="rId54" Type="http://schemas.openxmlformats.org/officeDocument/2006/relationships/hyperlink" Target="https://ru.wikipedia.org/wiki/&#1050;&#1072;&#1079;&#1072;&#1093;&#1089;&#1090;&#1072;&#1085;" TargetMode="External"/><Relationship Id="rId62" Type="http://schemas.openxmlformats.org/officeDocument/2006/relationships/hyperlink" Target="https://www.kt.kz/rus/ecology/v_almaty_gotovyatsya_vypustit_na_marshruty_pervye_10_1377884475.html" TargetMode="External"/><Relationship Id="rId70" Type="http://schemas.openxmlformats.org/officeDocument/2006/relationships/hyperlink" Target="http://kazee.kz/karta-energoeffektivnosti" TargetMode="External"/><Relationship Id="rId75" Type="http://schemas.openxmlformats.org/officeDocument/2006/relationships/hyperlink" Target="http://www.oecd.org/dac/environment-development/integrating-climate-change-adaptation-into-development-co-operation-policy-guidance-9789264054950-en.htm"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ia.ru/organization_Roskachestvo" TargetMode="Externa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hyperlink" Target="https://www.ipcc.ch/sr15/" TargetMode="External"/><Relationship Id="rId49" Type="http://schemas.openxmlformats.org/officeDocument/2006/relationships/hyperlink" Target="http://www.ziyatker.org" TargetMode="External"/><Relationship Id="rId57" Type="http://schemas.openxmlformats.org/officeDocument/2006/relationships/hyperlink" Target="http://naturkaz.info/?nacionalmznye_parki/park_kokshetau" TargetMode="External"/><Relationship Id="rId10" Type="http://schemas.openxmlformats.org/officeDocument/2006/relationships/hyperlink" Target="http://stat.gov.kz/" TargetMode="External"/><Relationship Id="rId31" Type="http://schemas.openxmlformats.org/officeDocument/2006/relationships/hyperlink" Target="https://auto.mail.ru/article/72790-kogda_zapretyat_benzinovye_mashiny_i_pochemu/" TargetMode="External"/><Relationship Id="rId44" Type="http://schemas.openxmlformats.org/officeDocument/2006/relationships/hyperlink" Target="https://www.facebook.com/iucn.org/?__cft__%5b0%5d=AZXzO22BNxDULuw2VcZ4VVAEt_PoL9KuzdUbXBdk5KlQw4T73YeBh-wVj9SN8QMxDfJ3LMvWZ1-Sc764ZTfwiPI3jRPxHVWj9oEWHVArFY8Q5RN77P_IC75hptK3wW6p38H2D3MgPFxrlAkX0KqR9CMEWFpfa-WahYIFvwTC6RBv1MvvgU4IbXUfVzwMINs6hgZtqSJlLXVE0d-_muPB_GKsJ__FRYpygPtamB5rE4Slmw&amp;__tn__=kK-R" TargetMode="External"/><Relationship Id="rId52" Type="http://schemas.openxmlformats.org/officeDocument/2006/relationships/hyperlink" Target="https://www.facebook.com/hashtag/&#1082;&#1083;&#1080;&#1084;&#1072;&#1090;&#1080;&#1095;&#1077;&#1089;&#1082;&#1072;&#1103;_&#1096;&#1082;&#1072;&#1090;&#1091;&#1083;&#1082;&#1072;?__eep__=6&amp;__cft__%5b0%5d=AZVQfOEnk61-NKnbxY_jhbLBJhh14Xhy93v47FJpnm3Ks-wn9TNx3f0ewnT5OuK9HFEU1Ak1oc0jiGdwzhFADO7FAEcm7jrVXaSjbQqX5ktb4bybmeiSfmejI0yxD5ZT7cvi30afeow1ofFBryahJncAexecz76q6wRkpbQmkJ4XtUiMOed1mrb2giHdtabPoG6PMt9rfxaQGm7Poyi9UmEZ&amp;__tn__=*NK-R" TargetMode="External"/><Relationship Id="rId60" Type="http://schemas.openxmlformats.org/officeDocument/2006/relationships/hyperlink" Target="https://www.kt.kz/rus/ecology/zapusk_proektov_expo_pomozhet_snizitj_ekologicheskuju_nagruzku_na_okruzhajushtuju_sredu_almati_1153658997.html" TargetMode="External"/><Relationship Id="rId65" Type="http://schemas.openxmlformats.org/officeDocument/2006/relationships/hyperlink" Target="http://adilet.zan.kz/rus/docs/P1800000470" TargetMode="External"/><Relationship Id="rId73" Type="http://schemas.openxmlformats.org/officeDocument/2006/relationships/hyperlink" Target="http://adilet.zan.kz/rus/docs/P1700000406"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at.gov.kz/" TargetMode="External"/><Relationship Id="rId13" Type="http://schemas.openxmlformats.org/officeDocument/2006/relationships/hyperlink" Target="https://www.deutschland.de/ru/taxonomy/term/45/cto-my-delaem-nemeckaa-strategia-ustoicivogo-razvitia" TargetMode="External"/><Relationship Id="rId18" Type="http://schemas.openxmlformats.org/officeDocument/2006/relationships/image" Target="media/image2.emf"/><Relationship Id="rId39" Type="http://schemas.openxmlformats.org/officeDocument/2006/relationships/hyperlink" Target="https://www.dw.com/ru/&#1082;&#1086;&#1085;&#1092;&#1077;&#1088;&#1077;&#1085;&#1094;&#1080;&#1103;-&#1087;&#1086;-&#1082;&#1083;&#1080;&#1084;&#1072;&#1090;&#1091;-&#1074;-&#1084;&#1072;&#1076;&#1088;&#1080;&#1076;&#1077;-&#1096;&#1072;&#1085;&#1089;-&#1076;&#1083;&#1103;-&#1087;&#1072;&#1088;&#1080;&#1078;&#1089;&#1082;&#1086;&#1075;&#1086;-&#1089;&#1086;&#1075;&#1083;&#1072;&#1096;&#1077;&#1085;&#1080;&#1103;/a-51438719" TargetMode="External"/><Relationship Id="rId34" Type="http://schemas.openxmlformats.org/officeDocument/2006/relationships/hyperlink" Target="https://www.ipcc.ch/" TargetMode="External"/><Relationship Id="rId50" Type="http://schemas.openxmlformats.org/officeDocument/2006/relationships/hyperlink" Target="http://carbonfootprint.org/" TargetMode="External"/><Relationship Id="rId55" Type="http://schemas.openxmlformats.org/officeDocument/2006/relationships/hyperlink" Target="https://ru.wikipedia.org/wiki/2017_&#1075;&#1086;&#1076;" TargetMode="External"/><Relationship Id="rId76" Type="http://schemas.openxmlformats.org/officeDocument/2006/relationships/hyperlink" Target="http://www.who.int/mediacentre/factsheets/fs290/ru/" TargetMode="External"/><Relationship Id="rId7" Type="http://schemas.openxmlformats.org/officeDocument/2006/relationships/endnotes" Target="endnotes.xml"/><Relationship Id="rId71" Type="http://schemas.openxmlformats.org/officeDocument/2006/relationships/hyperlink" Target="http://energo.gov.kz/index.php?id=11860"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6.png"/><Relationship Id="rId40" Type="http://schemas.openxmlformats.org/officeDocument/2006/relationships/image" Target="media/image13.jpeg"/><Relationship Id="rId45" Type="http://schemas.openxmlformats.org/officeDocument/2006/relationships/hyperlink" Target="http://whc.unesco.org/en/tentativelists/state=kz" TargetMode="External"/><Relationship Id="rId66" Type="http://schemas.openxmlformats.org/officeDocument/2006/relationships/hyperlink" Target="https://www.unenvironment.org/ru/resources/doklad-peredovye-rubezhi-201819-goda-namechayuschiesya-problemy-imeyuschie-ekologicheskoe" TargetMode="External"/><Relationship Id="rId61" Type="http://schemas.openxmlformats.org/officeDocument/2006/relationships/hyperlink" Target="https://www.kt.kz/rus/society/akimat_almati_v_mae_opredelit_pobeditelja_konkursa_gchp_po_stroiteljstvu_lrt_1153668428.html" TargetMode="External"/><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renen.ru/ustanovlennaya-moshhnost-vie-v-mire-prevysila-2500-gvt-po-itogam-2019-g-irena/?fbclid=IwAR2SIK5TMvWHXGUkEsqvB0pOwZL-9kzCyT-cC2fNx-Q964XX7PMJGX9k68g" TargetMode="External"/><Relationship Id="rId18" Type="http://schemas.openxmlformats.org/officeDocument/2006/relationships/hyperlink" Target="http://www.basel.int/TheConvention/ConferenceoftheParties/Meetings/COP14/tabid/7520/Default.aspx" TargetMode="External"/><Relationship Id="rId26" Type="http://schemas.openxmlformats.org/officeDocument/2006/relationships/hyperlink" Target="http://ec.europa.eu/environment/eia/pdf/EIA%20Guidance.pdf" TargetMode="External"/><Relationship Id="rId39" Type="http://schemas.openxmlformats.org/officeDocument/2006/relationships/hyperlink" Target="https://vlast.kz/novosti/35081-solnecnuu-elektrostanciu-na-100-mvt-vveli-v-ekspluataciu-v-almatinskoj-oblasti.html?fbclid=IwAR2HVLKe2MIf7JBZMrg-3mlh-Tfxh-6yNvj0m237Bx1rCVTMd63NcdrFjyE" TargetMode="External"/><Relationship Id="rId21" Type="http://schemas.openxmlformats.org/officeDocument/2006/relationships/hyperlink" Target="https://building-tech.org/60-vseh-prodannyh-v-norvegii-avtomobilej-polnostju-elektricheskie/" TargetMode="External"/><Relationship Id="rId34" Type="http://schemas.openxmlformats.org/officeDocument/2006/relationships/hyperlink" Target="https://www.kt.kz/rus/ecology/v_almaty_nachal_otkrylsya_seminar_po_voprosam_biosfernyh_1377884994.html" TargetMode="External"/><Relationship Id="rId7" Type="http://schemas.openxmlformats.org/officeDocument/2006/relationships/hyperlink" Target="https://ria.ru/20191209/1562135965.html" TargetMode="External"/><Relationship Id="rId12" Type="http://schemas.openxmlformats.org/officeDocument/2006/relationships/hyperlink" Target="https://eenergy.media/2019/06/19/investitsii-v-vie-po-itogam-2018-goda-serezno-sokratilis/?fbclid=IwAR3TzdDFzp-R1ZXyXpJCfXm6Eujb_HKoX028DnotEiricv1SsilHcGtmTw8" TargetMode="External"/><Relationship Id="rId17" Type="http://schemas.openxmlformats.org/officeDocument/2006/relationships/hyperlink" Target="http://greenergy.com.ua/novosti/yuzhnaya-koreya-perevodit-ugol-ny-e-e-lektrostantsii-na-biomassu/" TargetMode="External"/><Relationship Id="rId25" Type="http://schemas.openxmlformats.org/officeDocument/2006/relationships/hyperlink" Target="http://ec.europa.eu/environment/eia/pdf/EIA%20Guidance.pdf" TargetMode="External"/><Relationship Id="rId33" Type="http://schemas.openxmlformats.org/officeDocument/2006/relationships/hyperlink" Target="https://www.unece.org/info/media/presscurrent-press-h/forestry-and-timber/2019/unece-and-fao-take-stock-of-the-state-of-forests-of-the-caucasus-and-central-asia-in-first-ever-study/doc.html?fbclid=IwAR0wl8mWPT4oT1y0qLuepy3z_yDQKtTdT6CdBP3E9UUMdYu_kqdIjBsrD80" TargetMode="External"/><Relationship Id="rId38" Type="http://schemas.openxmlformats.org/officeDocument/2006/relationships/hyperlink" Target="http://zhetysu.gov.kz/ru/content/itogi-2018-goda-16.html" TargetMode="External"/><Relationship Id="rId2" Type="http://schemas.openxmlformats.org/officeDocument/2006/relationships/hyperlink" Target="https://3dnews.ru/1003417?from=related-grid-auto&amp;from-source=1004693" TargetMode="External"/><Relationship Id="rId16" Type="http://schemas.openxmlformats.org/officeDocument/2006/relationships/hyperlink" Target="https://in-power.ru/news/ugol/20587-v-2018-godu-v-ssha-ozhidaetsja-rekordnoe-zakrytie-ugolnyh-elektrostancii.html" TargetMode="External"/><Relationship Id="rId20" Type="http://schemas.openxmlformats.org/officeDocument/2006/relationships/hyperlink" Target="http://www.whogis.com/mediacentre/news/releases/2016/air-pollution-rising/ru/" TargetMode="External"/><Relationship Id="rId29" Type="http://schemas.openxmlformats.org/officeDocument/2006/relationships/hyperlink" Target="http://livingasia.online/2019/05/27/kto_sledit_za_klimatom/?fbclid=IwAR3IcPVoRxINfCcMRJX1tpsNlEWIWVQJncbXhgQUlWC8WleWP72_1EwwVdw" TargetMode="External"/><Relationship Id="rId1" Type="http://schemas.openxmlformats.org/officeDocument/2006/relationships/hyperlink" Target="file:///C:\Downloads\%09https:\sustainabledevelopment.un.org\content\documents\23453KAZAKHSTAN_VNR_Kazkahstan_web_site_2019.pdf" TargetMode="External"/><Relationship Id="rId6" Type="http://schemas.openxmlformats.org/officeDocument/2006/relationships/hyperlink" Target="https://www.bmel.de/DE/Landwirtschaft/Nachhaltige-Landnutzung/Oekolandbau/_Texte/VeroeffentlichungZukunftsstrategieOekologischerLandbau.html" TargetMode="External"/><Relationship Id="rId11" Type="http://schemas.openxmlformats.org/officeDocument/2006/relationships/hyperlink" Target="http://adilet.zan.kz/rus/docs/P1800000470" TargetMode="External"/><Relationship Id="rId24" Type="http://schemas.openxmlformats.org/officeDocument/2006/relationships/hyperlink" Target="https://www.iea.org/news/defying-expectations-of-a-rise-global-carbon-dioxide-emissions-flatlined-in-2019" TargetMode="External"/><Relationship Id="rId32" Type="http://schemas.openxmlformats.org/officeDocument/2006/relationships/hyperlink" Target="https://eco.akipress.org/news:1547213/?from=%20eco&amp;place=newsload" TargetMode="External"/><Relationship Id="rId37" Type="http://schemas.openxmlformats.org/officeDocument/2006/relationships/hyperlink" Target="https://www.inform.kz/ru/itogi-ekspo-2017-predstavili-v-mezhdunarodnom-byuro-vystavok_a3072543" TargetMode="External"/><Relationship Id="rId40" Type="http://schemas.openxmlformats.org/officeDocument/2006/relationships/hyperlink" Target="http://zhetysu.gov.kz/ru/content/itogi-2018-goda-22.html" TargetMode="External"/><Relationship Id="rId5" Type="http://schemas.openxmlformats.org/officeDocument/2006/relationships/hyperlink" Target="https://www.deutschland.de/ru/topic/okruzausaa-sreda/kak-germaniya-rasshiryaet-zelenoe-selskoe-khozyaystvo" TargetMode="External"/><Relationship Id="rId15" Type="http://schemas.openxmlformats.org/officeDocument/2006/relationships/hyperlink" Target="https://eenergy.media/2019/08/04/bloomberg-k-2040-godu-obem-sistem-hraneniya-energii-vyrastet-v-122-raza/?fbclid=IwAR09HE4ExLSeETvozg1Mo72MDNeG1UgrxrY8KJYPv4A3aynQcApdPYC6uWU" TargetMode="External"/><Relationship Id="rId23" Type="http://schemas.openxmlformats.org/officeDocument/2006/relationships/hyperlink" Target="https://www.ipcc.ch/sr15/" TargetMode="External"/><Relationship Id="rId28" Type="http://schemas.openxmlformats.org/officeDocument/2006/relationships/hyperlink" Target="http://www.oecd.org/dac/environment-development/integrating-climate-change-adaptation-into-development-co-operation-policy-guidance-9789264054950-en.htm" TargetMode="External"/><Relationship Id="rId36" Type="http://schemas.openxmlformats.org/officeDocument/2006/relationships/hyperlink" Target="https://eco.akipress.org/news:1547213/?from=%20eco&amp;place=newsload" TargetMode="External"/><Relationship Id="rId10" Type="http://schemas.openxmlformats.org/officeDocument/2006/relationships/hyperlink" Target="http://eco3.org/reec-buildings" TargetMode="External"/><Relationship Id="rId19" Type="http://schemas.openxmlformats.org/officeDocument/2006/relationships/hyperlink" Target="http://chm.pops.int/Implementation/BATBEP/BATBEPGuidelinesArticle5/tabid/187/Default.aspx" TargetMode="External"/><Relationship Id="rId31" Type="http://schemas.openxmlformats.org/officeDocument/2006/relationships/hyperlink" Target="https://climateactiontracker.org/countries/kazakhstan/" TargetMode="External"/><Relationship Id="rId4" Type="http://schemas.openxmlformats.org/officeDocument/2006/relationships/hyperlink" Target="https://greenkaz.org/index.php/press-centr/novosti-v-strane/item/1987-razvitie-organicheskogo-selskogo-khozyajstva-v-kazakhstane" TargetMode="External"/><Relationship Id="rId9" Type="http://schemas.openxmlformats.org/officeDocument/2006/relationships/hyperlink" Target="file:///C:\Users\m.mukhamejanova\Downloads\%09http:\www.fao.org\europe\news\detail-news\ru\c\1184939\" TargetMode="External"/><Relationship Id="rId14" Type="http://schemas.openxmlformats.org/officeDocument/2006/relationships/hyperlink" Target="http://www.ng.ru/ng_energiya/2019-06-10/15_7595_finland.html?fbclid=IwAR3gCFw2K0I7N64vr8Phg4E66cUN-WeN20nr6FAyXXCuCY-_1nEUQuWngX8" TargetMode="External"/><Relationship Id="rId22" Type="http://schemas.openxmlformats.org/officeDocument/2006/relationships/hyperlink" Target="https://unfccc.int/ghg-inventories-annex-i-parties/2020" TargetMode="External"/><Relationship Id="rId27" Type="http://schemas.openxmlformats.org/officeDocument/2006/relationships/hyperlink" Target="http://www4.unfccc.int/nap/Documents%20NAP/Supplements/Understanding_mandates_NAPs.pdf" TargetMode="External"/><Relationship Id="rId30" Type="http://schemas.openxmlformats.org/officeDocument/2006/relationships/hyperlink" Target="https://www.dw.com/ru/&#1075;&#1077;&#1088;&#1084;&#1072;&#1085;&#1080;&#1103;-&#1089;&#1080;&#1083;&#1100;&#1085;&#1086;-&#1086;&#1090;&#1089;&#1090;&#1072;&#1077;&#1090;-&#1074;-&#1084;&#1080;&#1088;&#1086;&#1074;&#1086;&#1084;-&#1082;&#1083;&#1080;&#1084;&#1072;&#1090;&#1080;&#1095;&#1077;&#1089;&#1082;&#1086;&#1084;-&#1088;&#1077;&#1081;&#1090;&#1080;&#1085;&#1075;&#1077;/a-51631530" TargetMode="External"/><Relationship Id="rId35" Type="http://schemas.openxmlformats.org/officeDocument/2006/relationships/hyperlink" Target="https://www.iflscience.com/environment/norway-is-the-first-country-to-commit-to-zero-deforestation/?fbclid=IwAR3TtBuD0YiDeRbDzEsfjvoRm_dfvnbldFCHwUbCTpmdxytBQmsYnnWw2cQ" TargetMode="External"/><Relationship Id="rId8" Type="http://schemas.openxmlformats.org/officeDocument/2006/relationships/hyperlink" Target="https://soz.bio/rossiyskie-uchenye-dokazali-polzu-or/?utm_source=sendpulse&amp;utm_medium=email&amp;utm_campaign=novosti-soyuz-organicheskogo-z&amp;fbclid=IwAR0Bqr3HwfQDYvjcpPSriTVmM_q4RdCZelOouYuBRM7G5Z5is8hM_5O23Cw" TargetMode="External"/><Relationship Id="rId3" Type="http://schemas.openxmlformats.org/officeDocument/2006/relationships/hyperlink" Target="https://3dnews.ru/1003417?from=related-grid-auto&amp;from-source=100469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49513465157698"/>
          <c:y val="4.8586572438162542E-2"/>
          <c:w val="0.83492501540201391"/>
          <c:h val="0.76517173979577691"/>
        </c:manualLayout>
      </c:layout>
      <c:barChart>
        <c:barDir val="col"/>
        <c:grouping val="stacked"/>
        <c:varyColors val="0"/>
        <c:ser>
          <c:idx val="0"/>
          <c:order val="0"/>
          <c:tx>
            <c:strRef>
              <c:f>Лист1!$A$16</c:f>
              <c:strCache>
                <c:ptCount val="1"/>
                <c:pt idx="0">
                  <c:v>Энергетика</c:v>
                </c:pt>
              </c:strCache>
            </c:strRef>
          </c:tx>
          <c:spPr>
            <a:ln>
              <a:solidFill>
                <a:sysClr val="windowText" lastClr="000000"/>
              </a:solidFill>
            </a:ln>
          </c:spPr>
          <c:invertIfNegative val="0"/>
          <c:cat>
            <c:numRef>
              <c:f>Лист1!$B$15:$AD$15</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Лист1!$B$16:$AD$16</c:f>
              <c:numCache>
                <c:formatCode>General</c:formatCode>
                <c:ptCount val="29"/>
                <c:pt idx="0">
                  <c:v>333240.64233131713</c:v>
                </c:pt>
                <c:pt idx="1">
                  <c:v>322598.81875588692</c:v>
                </c:pt>
                <c:pt idx="2">
                  <c:v>295549.2799769644</c:v>
                </c:pt>
                <c:pt idx="3">
                  <c:v>263886.84509103489</c:v>
                </c:pt>
                <c:pt idx="4">
                  <c:v>227737.21596430641</c:v>
                </c:pt>
                <c:pt idx="5">
                  <c:v>212792.32854529828</c:v>
                </c:pt>
                <c:pt idx="6">
                  <c:v>199943.54454899373</c:v>
                </c:pt>
                <c:pt idx="7">
                  <c:v>192039.50741783774</c:v>
                </c:pt>
                <c:pt idx="8">
                  <c:v>190642.18426225605</c:v>
                </c:pt>
                <c:pt idx="9">
                  <c:v>160545.09956973145</c:v>
                </c:pt>
                <c:pt idx="10">
                  <c:v>192988.12329678528</c:v>
                </c:pt>
                <c:pt idx="11">
                  <c:v>152112.54212471013</c:v>
                </c:pt>
                <c:pt idx="12">
                  <c:v>168466.58953471002</c:v>
                </c:pt>
                <c:pt idx="13">
                  <c:v>188262.07448842566</c:v>
                </c:pt>
                <c:pt idx="14">
                  <c:v>198444.89487680103</c:v>
                </c:pt>
                <c:pt idx="15">
                  <c:v>210378.68538404911</c:v>
                </c:pt>
                <c:pt idx="16">
                  <c:v>230886.5474107319</c:v>
                </c:pt>
                <c:pt idx="17">
                  <c:v>237503.68822612404</c:v>
                </c:pt>
                <c:pt idx="18">
                  <c:v>241408.58638879433</c:v>
                </c:pt>
                <c:pt idx="19">
                  <c:v>235980.13619412348</c:v>
                </c:pt>
                <c:pt idx="20">
                  <c:v>265085.25241744425</c:v>
                </c:pt>
                <c:pt idx="21">
                  <c:v>256358.35834367233</c:v>
                </c:pt>
                <c:pt idx="22">
                  <c:v>262407.35840434651</c:v>
                </c:pt>
                <c:pt idx="23">
                  <c:v>268738.40110031894</c:v>
                </c:pt>
                <c:pt idx="24">
                  <c:v>292205.9912092312</c:v>
                </c:pt>
                <c:pt idx="25">
                  <c:v>297861.27087925398</c:v>
                </c:pt>
                <c:pt idx="26">
                  <c:v>297284.70551055222</c:v>
                </c:pt>
                <c:pt idx="27">
                  <c:v>316946.08472962922</c:v>
                </c:pt>
                <c:pt idx="28">
                  <c:v>331185.67580806016</c:v>
                </c:pt>
              </c:numCache>
            </c:numRef>
          </c:val>
          <c:extLst>
            <c:ext xmlns:c16="http://schemas.microsoft.com/office/drawing/2014/chart" uri="{C3380CC4-5D6E-409C-BE32-E72D297353CC}">
              <c16:uniqueId val="{00000000-4270-4BF8-BFC4-92AD0E039C77}"/>
            </c:ext>
          </c:extLst>
        </c:ser>
        <c:ser>
          <c:idx val="1"/>
          <c:order val="1"/>
          <c:tx>
            <c:strRef>
              <c:f>Лист1!$A$17</c:f>
              <c:strCache>
                <c:ptCount val="1"/>
                <c:pt idx="0">
                  <c:v>ППИП</c:v>
                </c:pt>
              </c:strCache>
            </c:strRef>
          </c:tx>
          <c:spPr>
            <a:ln>
              <a:solidFill>
                <a:sysClr val="windowText" lastClr="000000"/>
              </a:solidFill>
            </a:ln>
          </c:spPr>
          <c:invertIfNegative val="0"/>
          <c:cat>
            <c:numRef>
              <c:f>Лист1!$B$15:$AD$15</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Лист1!$B$17:$AD$17</c:f>
              <c:numCache>
                <c:formatCode>General</c:formatCode>
                <c:ptCount val="29"/>
                <c:pt idx="0">
                  <c:v>20055.580699999999</c:v>
                </c:pt>
                <c:pt idx="1">
                  <c:v>19098.0363</c:v>
                </c:pt>
                <c:pt idx="2">
                  <c:v>16843.2415</c:v>
                </c:pt>
                <c:pt idx="3">
                  <c:v>12745.678099999996</c:v>
                </c:pt>
                <c:pt idx="4">
                  <c:v>8546.7533000000003</c:v>
                </c:pt>
                <c:pt idx="5">
                  <c:v>9064.6325300000008</c:v>
                </c:pt>
                <c:pt idx="6">
                  <c:v>7681.40229</c:v>
                </c:pt>
                <c:pt idx="7">
                  <c:v>10360.736358000004</c:v>
                </c:pt>
                <c:pt idx="8">
                  <c:v>9452.8203549999962</c:v>
                </c:pt>
                <c:pt idx="9">
                  <c:v>11444.590120000001</c:v>
                </c:pt>
                <c:pt idx="10">
                  <c:v>12179.057609999994</c:v>
                </c:pt>
                <c:pt idx="11">
                  <c:v>12621.337315000001</c:v>
                </c:pt>
                <c:pt idx="12">
                  <c:v>13703.290325</c:v>
                </c:pt>
                <c:pt idx="13">
                  <c:v>15302.987134999992</c:v>
                </c:pt>
                <c:pt idx="14">
                  <c:v>15733.58725276</c:v>
                </c:pt>
                <c:pt idx="15">
                  <c:v>16693.293792200009</c:v>
                </c:pt>
                <c:pt idx="16">
                  <c:v>17903.733855800001</c:v>
                </c:pt>
                <c:pt idx="17">
                  <c:v>18899.040902600005</c:v>
                </c:pt>
                <c:pt idx="18">
                  <c:v>18599.650387199996</c:v>
                </c:pt>
                <c:pt idx="19">
                  <c:v>17383.409164199998</c:v>
                </c:pt>
                <c:pt idx="20">
                  <c:v>18742.136722200001</c:v>
                </c:pt>
                <c:pt idx="21">
                  <c:v>19077.120922399994</c:v>
                </c:pt>
                <c:pt idx="22">
                  <c:v>19022.783986999999</c:v>
                </c:pt>
                <c:pt idx="23">
                  <c:v>21189.184967599991</c:v>
                </c:pt>
                <c:pt idx="24">
                  <c:v>20555.888143400007</c:v>
                </c:pt>
                <c:pt idx="25">
                  <c:v>22420.596666199996</c:v>
                </c:pt>
                <c:pt idx="26">
                  <c:v>23016.775610199998</c:v>
                </c:pt>
                <c:pt idx="27">
                  <c:v>23394.340572128</c:v>
                </c:pt>
                <c:pt idx="28">
                  <c:v>22372.615994724008</c:v>
                </c:pt>
              </c:numCache>
            </c:numRef>
          </c:val>
          <c:extLst>
            <c:ext xmlns:c16="http://schemas.microsoft.com/office/drawing/2014/chart" uri="{C3380CC4-5D6E-409C-BE32-E72D297353CC}">
              <c16:uniqueId val="{00000001-4270-4BF8-BFC4-92AD0E039C77}"/>
            </c:ext>
          </c:extLst>
        </c:ser>
        <c:ser>
          <c:idx val="2"/>
          <c:order val="2"/>
          <c:tx>
            <c:strRef>
              <c:f>Лист1!$A$18</c:f>
              <c:strCache>
                <c:ptCount val="1"/>
                <c:pt idx="0">
                  <c:v>Сельское хозяйство</c:v>
                </c:pt>
              </c:strCache>
            </c:strRef>
          </c:tx>
          <c:spPr>
            <a:ln>
              <a:solidFill>
                <a:sysClr val="windowText" lastClr="000000"/>
              </a:solidFill>
            </a:ln>
          </c:spPr>
          <c:invertIfNegative val="0"/>
          <c:cat>
            <c:numRef>
              <c:f>Лист1!$B$15:$AD$15</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Лист1!$B$18:$AD$18</c:f>
              <c:numCache>
                <c:formatCode>General</c:formatCode>
                <c:ptCount val="29"/>
                <c:pt idx="0">
                  <c:v>43868.997759999998</c:v>
                </c:pt>
                <c:pt idx="1">
                  <c:v>42532.971429999998</c:v>
                </c:pt>
                <c:pt idx="2">
                  <c:v>43199.988900000011</c:v>
                </c:pt>
                <c:pt idx="3">
                  <c:v>41478.826110000002</c:v>
                </c:pt>
                <c:pt idx="4">
                  <c:v>33645.287739999992</c:v>
                </c:pt>
                <c:pt idx="5">
                  <c:v>29670.484250000001</c:v>
                </c:pt>
                <c:pt idx="6">
                  <c:v>25614.769969999994</c:v>
                </c:pt>
                <c:pt idx="7">
                  <c:v>23919.804459999996</c:v>
                </c:pt>
                <c:pt idx="8">
                  <c:v>24574.454860000005</c:v>
                </c:pt>
                <c:pt idx="9">
                  <c:v>27473.382280000005</c:v>
                </c:pt>
                <c:pt idx="10">
                  <c:v>29522.899829999991</c:v>
                </c:pt>
                <c:pt idx="11">
                  <c:v>29275.088710000007</c:v>
                </c:pt>
                <c:pt idx="12">
                  <c:v>29545.021799999999</c:v>
                </c:pt>
                <c:pt idx="13">
                  <c:v>30044.315939999993</c:v>
                </c:pt>
                <c:pt idx="14">
                  <c:v>30326.789259999994</c:v>
                </c:pt>
                <c:pt idx="15">
                  <c:v>30540.29911</c:v>
                </c:pt>
                <c:pt idx="16">
                  <c:v>30870.52245</c:v>
                </c:pt>
                <c:pt idx="17">
                  <c:v>31026.585920000001</c:v>
                </c:pt>
                <c:pt idx="18">
                  <c:v>30606.914120000001</c:v>
                </c:pt>
                <c:pt idx="19">
                  <c:v>30511.144219999991</c:v>
                </c:pt>
                <c:pt idx="20">
                  <c:v>30821.554220000002</c:v>
                </c:pt>
                <c:pt idx="21">
                  <c:v>30225.282449999999</c:v>
                </c:pt>
                <c:pt idx="22">
                  <c:v>30179.140229999994</c:v>
                </c:pt>
                <c:pt idx="23">
                  <c:v>30879.305090000005</c:v>
                </c:pt>
                <c:pt idx="24">
                  <c:v>31963.70277</c:v>
                </c:pt>
                <c:pt idx="25">
                  <c:v>32819.716469999999</c:v>
                </c:pt>
                <c:pt idx="26">
                  <c:v>33636.153400000003</c:v>
                </c:pt>
                <c:pt idx="27">
                  <c:v>34937.018670000012</c:v>
                </c:pt>
                <c:pt idx="28">
                  <c:v>36223.389560000003</c:v>
                </c:pt>
              </c:numCache>
            </c:numRef>
          </c:val>
          <c:extLst>
            <c:ext xmlns:c16="http://schemas.microsoft.com/office/drawing/2014/chart" uri="{C3380CC4-5D6E-409C-BE32-E72D297353CC}">
              <c16:uniqueId val="{00000002-4270-4BF8-BFC4-92AD0E039C77}"/>
            </c:ext>
          </c:extLst>
        </c:ser>
        <c:ser>
          <c:idx val="3"/>
          <c:order val="3"/>
          <c:tx>
            <c:strRef>
              <c:f>Лист1!$A$19</c:f>
              <c:strCache>
                <c:ptCount val="1"/>
                <c:pt idx="0">
                  <c:v>ЗИЗЛХ</c:v>
                </c:pt>
              </c:strCache>
            </c:strRef>
          </c:tx>
          <c:spPr>
            <a:ln>
              <a:solidFill>
                <a:sysClr val="windowText" lastClr="000000"/>
              </a:solidFill>
            </a:ln>
          </c:spPr>
          <c:invertIfNegative val="0"/>
          <c:cat>
            <c:numRef>
              <c:f>Лист1!$B$15:$AD$15</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Лист1!$B$19:$AD$19</c:f>
              <c:numCache>
                <c:formatCode>General</c:formatCode>
                <c:ptCount val="29"/>
                <c:pt idx="0">
                  <c:v>-15619.546800000015</c:v>
                </c:pt>
                <c:pt idx="1">
                  <c:v>-15044.25546666668</c:v>
                </c:pt>
                <c:pt idx="2">
                  <c:v>-14479.401133333344</c:v>
                </c:pt>
                <c:pt idx="3">
                  <c:v>-13945.661266666679</c:v>
                </c:pt>
                <c:pt idx="4">
                  <c:v>-11790.929066666677</c:v>
                </c:pt>
                <c:pt idx="5">
                  <c:v>-9560.9022000000095</c:v>
                </c:pt>
                <c:pt idx="6">
                  <c:v>-908.3900000000009</c:v>
                </c:pt>
                <c:pt idx="7">
                  <c:v>8429.802000000007</c:v>
                </c:pt>
                <c:pt idx="8">
                  <c:v>16613.93973333334</c:v>
                </c:pt>
                <c:pt idx="9">
                  <c:v>28755.093266666692</c:v>
                </c:pt>
                <c:pt idx="10">
                  <c:v>40765.045066666687</c:v>
                </c:pt>
                <c:pt idx="11">
                  <c:v>37874.083600000034</c:v>
                </c:pt>
                <c:pt idx="12">
                  <c:v>34891.317800000033</c:v>
                </c:pt>
                <c:pt idx="13">
                  <c:v>32118.03093333335</c:v>
                </c:pt>
                <c:pt idx="14">
                  <c:v>23093.816466666682</c:v>
                </c:pt>
                <c:pt idx="15">
                  <c:v>14337.747066666683</c:v>
                </c:pt>
                <c:pt idx="16">
                  <c:v>5618.3959333333405</c:v>
                </c:pt>
                <c:pt idx="17">
                  <c:v>-3150.0216000000032</c:v>
                </c:pt>
                <c:pt idx="18">
                  <c:v>-12137.249933333344</c:v>
                </c:pt>
                <c:pt idx="19">
                  <c:v>-18164.930666666682</c:v>
                </c:pt>
                <c:pt idx="20">
                  <c:v>-17721.878733333346</c:v>
                </c:pt>
                <c:pt idx="21">
                  <c:v>-16333.42780000001</c:v>
                </c:pt>
                <c:pt idx="22">
                  <c:v>-13296.37746666668</c:v>
                </c:pt>
                <c:pt idx="23">
                  <c:v>-12468.107733333345</c:v>
                </c:pt>
                <c:pt idx="24">
                  <c:v>-8335.8510666666698</c:v>
                </c:pt>
                <c:pt idx="25">
                  <c:v>-5261.3462000000054</c:v>
                </c:pt>
                <c:pt idx="26">
                  <c:v>-2430.5535333333373</c:v>
                </c:pt>
                <c:pt idx="27">
                  <c:v>720.38086666666766</c:v>
                </c:pt>
                <c:pt idx="28">
                  <c:v>5315.4317333333365</c:v>
                </c:pt>
              </c:numCache>
            </c:numRef>
          </c:val>
          <c:extLst>
            <c:ext xmlns:c16="http://schemas.microsoft.com/office/drawing/2014/chart" uri="{C3380CC4-5D6E-409C-BE32-E72D297353CC}">
              <c16:uniqueId val="{00000003-4270-4BF8-BFC4-92AD0E039C77}"/>
            </c:ext>
          </c:extLst>
        </c:ser>
        <c:ser>
          <c:idx val="4"/>
          <c:order val="4"/>
          <c:tx>
            <c:strRef>
              <c:f>Лист1!$A$20</c:f>
              <c:strCache>
                <c:ptCount val="1"/>
                <c:pt idx="0">
                  <c:v>Отходы</c:v>
                </c:pt>
              </c:strCache>
            </c:strRef>
          </c:tx>
          <c:spPr>
            <a:ln>
              <a:solidFill>
                <a:sysClr val="windowText" lastClr="000000"/>
              </a:solidFill>
            </a:ln>
          </c:spPr>
          <c:invertIfNegative val="0"/>
          <c:cat>
            <c:numRef>
              <c:f>Лист1!$B$15:$AD$15</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Лист1!$B$20:$AD$20</c:f>
              <c:numCache>
                <c:formatCode>General</c:formatCode>
                <c:ptCount val="29"/>
                <c:pt idx="0">
                  <c:v>4706.2037249999994</c:v>
                </c:pt>
                <c:pt idx="1">
                  <c:v>4752.1086000000014</c:v>
                </c:pt>
                <c:pt idx="2">
                  <c:v>4549.799</c:v>
                </c:pt>
                <c:pt idx="3">
                  <c:v>4367.2249500000007</c:v>
                </c:pt>
                <c:pt idx="4">
                  <c:v>4277.1984500000008</c:v>
                </c:pt>
                <c:pt idx="5">
                  <c:v>4281.2063500000004</c:v>
                </c:pt>
                <c:pt idx="6">
                  <c:v>4287.6407500000005</c:v>
                </c:pt>
                <c:pt idx="7">
                  <c:v>4313.8129500000014</c:v>
                </c:pt>
                <c:pt idx="8">
                  <c:v>4257.1942100000024</c:v>
                </c:pt>
                <c:pt idx="9">
                  <c:v>4272.1087600000001</c:v>
                </c:pt>
                <c:pt idx="10">
                  <c:v>4289.2557800000004</c:v>
                </c:pt>
                <c:pt idx="11">
                  <c:v>4331.6293800000003</c:v>
                </c:pt>
                <c:pt idx="12">
                  <c:v>4327.5956300000025</c:v>
                </c:pt>
                <c:pt idx="13">
                  <c:v>4370.9010400000006</c:v>
                </c:pt>
                <c:pt idx="14">
                  <c:v>4458.7045000000007</c:v>
                </c:pt>
                <c:pt idx="15">
                  <c:v>4503.9718799999991</c:v>
                </c:pt>
                <c:pt idx="16">
                  <c:v>4646.7222260000035</c:v>
                </c:pt>
                <c:pt idx="17">
                  <c:v>4775.3053660000014</c:v>
                </c:pt>
                <c:pt idx="18">
                  <c:v>4980.4532660000004</c:v>
                </c:pt>
                <c:pt idx="19">
                  <c:v>5321.7315260000014</c:v>
                </c:pt>
                <c:pt idx="20">
                  <c:v>5610.3765440000016</c:v>
                </c:pt>
                <c:pt idx="21">
                  <c:v>5777.0545320000001</c:v>
                </c:pt>
                <c:pt idx="22">
                  <c:v>5979.896074000002</c:v>
                </c:pt>
                <c:pt idx="23">
                  <c:v>6179.0990220000003</c:v>
                </c:pt>
                <c:pt idx="24">
                  <c:v>6388.1451240000033</c:v>
                </c:pt>
                <c:pt idx="25">
                  <c:v>6479.0997000000016</c:v>
                </c:pt>
                <c:pt idx="26">
                  <c:v>6583.0732930000004</c:v>
                </c:pt>
                <c:pt idx="27">
                  <c:v>6654.0735439999999</c:v>
                </c:pt>
                <c:pt idx="28">
                  <c:v>6788.7840000000006</c:v>
                </c:pt>
              </c:numCache>
            </c:numRef>
          </c:val>
          <c:extLst>
            <c:ext xmlns:c16="http://schemas.microsoft.com/office/drawing/2014/chart" uri="{C3380CC4-5D6E-409C-BE32-E72D297353CC}">
              <c16:uniqueId val="{00000004-4270-4BF8-BFC4-92AD0E039C77}"/>
            </c:ext>
          </c:extLst>
        </c:ser>
        <c:dLbls>
          <c:showLegendKey val="0"/>
          <c:showVal val="0"/>
          <c:showCatName val="0"/>
          <c:showSerName val="0"/>
          <c:showPercent val="0"/>
          <c:showBubbleSize val="0"/>
        </c:dLbls>
        <c:gapWidth val="150"/>
        <c:overlap val="100"/>
        <c:axId val="187737600"/>
        <c:axId val="187739520"/>
      </c:barChart>
      <c:catAx>
        <c:axId val="187737600"/>
        <c:scaling>
          <c:orientation val="minMax"/>
        </c:scaling>
        <c:delete val="0"/>
        <c:axPos val="b"/>
        <c:numFmt formatCode="General" sourceLinked="1"/>
        <c:majorTickMark val="out"/>
        <c:minorTickMark val="none"/>
        <c:tickLblPos val="nextTo"/>
        <c:crossAx val="187739520"/>
        <c:crosses val="autoZero"/>
        <c:auto val="1"/>
        <c:lblAlgn val="ctr"/>
        <c:lblOffset val="100"/>
        <c:noMultiLvlLbl val="0"/>
      </c:catAx>
      <c:valAx>
        <c:axId val="187739520"/>
        <c:scaling>
          <c:orientation val="minMax"/>
        </c:scaling>
        <c:delete val="0"/>
        <c:axPos val="l"/>
        <c:majorGridlines/>
        <c:title>
          <c:tx>
            <c:rich>
              <a:bodyPr/>
              <a:lstStyle/>
              <a:p>
                <a:pPr>
                  <a:defRPr sz="900" b="1" i="0" u="none" strike="noStrike" baseline="0">
                    <a:solidFill>
                      <a:srgbClr val="000000"/>
                    </a:solidFill>
                    <a:latin typeface="Times New Roman"/>
                    <a:ea typeface="Times New Roman"/>
                    <a:cs typeface="Times New Roman"/>
                  </a:defRPr>
                </a:pPr>
                <a:r>
                  <a:rPr lang="ru-RU"/>
                  <a:t>Эмиссии ПГ, тыс. т СО2-экв.
</a:t>
                </a:r>
              </a:p>
            </c:rich>
          </c:tx>
          <c:layout>
            <c:manualLayout>
              <c:xMode val="edge"/>
              <c:yMode val="edge"/>
              <c:x val="1.5005382341233763E-2"/>
              <c:y val="0.12580565147189615"/>
            </c:manualLayout>
          </c:layout>
          <c:overlay val="0"/>
        </c:title>
        <c:numFmt formatCode="General" sourceLinked="1"/>
        <c:majorTickMark val="out"/>
        <c:minorTickMark val="none"/>
        <c:tickLblPos val="nextTo"/>
        <c:crossAx val="187737600"/>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8CA58-A2A3-4719-8929-1FDB0BF3D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171325</Words>
  <Characters>976558</Characters>
  <Application>Microsoft Office Word</Application>
  <DocSecurity>0</DocSecurity>
  <Lines>8137</Lines>
  <Paragraphs>2291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shaimerden kuanganov</cp:lastModifiedBy>
  <cp:revision>3</cp:revision>
  <cp:lastPrinted>2020-12-02T07:31:00Z</cp:lastPrinted>
  <dcterms:created xsi:type="dcterms:W3CDTF">2021-01-14T14:43:00Z</dcterms:created>
  <dcterms:modified xsi:type="dcterms:W3CDTF">2021-01-14T14:43:00Z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