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B1" w:rsidRPr="00E566C8" w:rsidRDefault="00B30FA7" w:rsidP="00AB34B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2026</w:t>
      </w:r>
      <w:r w:rsidR="00AB34B1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жылғы </w:t>
      </w:r>
      <w:r w:rsidR="00BE66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қаңтар</w:t>
      </w:r>
      <w:r w:rsidR="00AB34B1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AB34B1" w:rsidRPr="00E566C8" w:rsidRDefault="00AB34B1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AB34B1" w:rsidRPr="00E566C8" w:rsidRDefault="00AB34B1" w:rsidP="00AB34B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дан бастап, (</w:t>
      </w:r>
      <w:r w:rsidRP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AB34B1" w:rsidRDefault="00AB34B1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FE1EEC" w:rsidRPr="00E566C8" w:rsidRDefault="00FE1EEC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4B1" w:rsidRPr="00E566C8" w:rsidRDefault="008E3449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179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AB34B1" w:rsidRPr="00E566C8" w:rsidRDefault="008E3449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218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AB34B1" w:rsidRPr="00E566C8" w:rsidRDefault="00AB34B1" w:rsidP="00AB34B1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B30FA7">
        <w:rPr>
          <w:rFonts w:ascii="Times New Roman" w:eastAsia="Calibri" w:hAnsi="Times New Roman" w:cs="Times New Roman"/>
          <w:b/>
          <w:sz w:val="24"/>
          <w:szCs w:val="24"/>
          <w:lang w:val="kk-KZ"/>
        </w:rPr>
        <w:t>98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AB34B1" w:rsidRPr="00E566C8" w:rsidRDefault="008E3449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38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AB34B1" w:rsidRPr="00E566C8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proofErr w:type="gramStart"/>
      <w:r w:rsidR="00B30FA7">
        <w:rPr>
          <w:rFonts w:ascii="Times New Roman" w:eastAsia="Calibri" w:hAnsi="Times New Roman" w:cs="Times New Roman"/>
          <w:b/>
          <w:sz w:val="24"/>
          <w:szCs w:val="24"/>
          <w:lang w:val="kk-KZ"/>
        </w:rPr>
        <w:t>60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</w:t>
      </w:r>
      <w:proofErr w:type="gramEnd"/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хаттама бойынша. </w:t>
      </w:r>
    </w:p>
    <w:p w:rsidR="00AB34B1" w:rsidRPr="00E566C8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AB34B1" w:rsidRPr="00E566C8" w:rsidTr="001D5784">
        <w:trPr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AB34B1" w:rsidRPr="00E566C8" w:rsidTr="001D5784">
        <w:trPr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E566C8" w:rsidTr="001D5784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  <w:vAlign w:val="center"/>
          </w:tcPr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6B4163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6B4163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465A7F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35FEA" w:rsidRPr="00E566C8" w:rsidTr="001D5784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6C3E0D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105E18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D5566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35FEA" w:rsidRPr="00E566C8" w:rsidTr="00F36698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F366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F366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D5566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180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935FEA" w:rsidRPr="00E566C8" w:rsidTr="001D5784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10281B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2162BF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935FEA" w:rsidRPr="00E566C8" w:rsidTr="001D578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9D6D2F" w:rsidRDefault="00935FEA" w:rsidP="00935FE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35FEA" w:rsidRPr="00E566C8" w:rsidTr="001D5784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935FEA" w:rsidRPr="00E566C8" w:rsidTr="00F3669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F366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F366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</w:tr>
      <w:tr w:rsidR="00935FEA" w:rsidRPr="00E566C8" w:rsidTr="00F3669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F366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F366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B30F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</w:tr>
      <w:tr w:rsidR="00935FEA" w:rsidRPr="00E566C8" w:rsidTr="00F36698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F366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F366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1801A4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</w:tr>
      <w:tr w:rsidR="00935FEA" w:rsidRPr="00E566C8" w:rsidTr="001D578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474674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</w:tr>
      <w:tr w:rsidR="00935FEA" w:rsidRPr="00E566C8" w:rsidTr="001D578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35FEA" w:rsidRPr="00E566C8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935FEA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935FEA" w:rsidRPr="00E566C8" w:rsidTr="001D5784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935FEA" w:rsidRPr="00E566C8" w:rsidRDefault="008E3449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Қаңтар </w:t>
            </w:r>
            <w:r w:rsidR="00935FEA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935FEA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935FEA"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</w:t>
            </w:r>
            <w:r w:rsidR="008E34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FEA" w:rsidRPr="007640F9" w:rsidRDefault="00B30FA7" w:rsidP="00935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</w:tr>
    </w:tbl>
    <w:p w:rsidR="00EB6E22" w:rsidRDefault="00EB6E22" w:rsidP="00AB34B1">
      <w:pPr>
        <w:ind w:firstLine="709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EB6E22" w:rsidRDefault="00EB6E22" w:rsidP="00AB34B1">
      <w:pPr>
        <w:ind w:firstLine="709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EB6E22" w:rsidRDefault="00EB6E22" w:rsidP="00AB34B1">
      <w:pPr>
        <w:ind w:firstLine="709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EB6E22" w:rsidRDefault="00EB6E22" w:rsidP="00AB34B1">
      <w:pPr>
        <w:ind w:firstLine="709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</w:p>
    <w:p w:rsidR="00EB6E22" w:rsidRPr="00E566C8" w:rsidRDefault="00EB6E22" w:rsidP="00EB6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B6E22" w:rsidRDefault="00EB6E22" w:rsidP="00935F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Алматы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16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Атырау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Жамбыл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9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Қарағанды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Қостанай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Маңғыстау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Түркістан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28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Шымкент қаласы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4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Жетісу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4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Абай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25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Ұлытау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).</w:t>
      </w:r>
    </w:p>
    <w:p w:rsidR="00AB34B1" w:rsidRPr="00AC5EDF" w:rsidRDefault="00AB34B1" w:rsidP="00935F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Осылайша, Қағидалардың 46-тармағының бұзушылықтары анықталды - </w:t>
      </w:r>
      <w:r w:rsidRPr="00203593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ЖАО интернет-ресурстарында </w:t>
      </w:r>
      <w:r w:rsidRPr="002035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жария талқылаулар хаттамаларының болмауы: </w:t>
      </w:r>
      <w:r w:rsidR="00935FEA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Ақтөбе облысы (2), Алматы облысы (17), Атырсау облысы (3), Шығыс Қазақстан облысы (4), Жамбыл облысы (10), Қарағанды облысы (7), Қостанай облысы (1), Маңғыстау об</w:t>
      </w:r>
      <w:r w:rsidR="00D55669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лысы (1), Түркістан облысы (1), Абай облысы </w:t>
      </w:r>
      <w:r w:rsidR="00935FEA" w:rsidRPr="00935FEA">
        <w:rPr>
          <w:rFonts w:ascii="Times New Roman" w:eastAsia="Calibri" w:hAnsi="Times New Roman" w:cs="Times New Roman"/>
          <w:i/>
          <w:sz w:val="24"/>
          <w:szCs w:val="24"/>
          <w:lang w:val="kk-KZ"/>
        </w:rPr>
        <w:t>(17)</w:t>
      </w:r>
      <w:r w:rsidR="00935FEA"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</w:p>
    <w:p w:rsidR="00EB6E22" w:rsidRPr="00203593" w:rsidRDefault="00EB6E22" w:rsidP="00EB6E22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1164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467"/>
        <w:gridCol w:w="1031"/>
        <w:gridCol w:w="1414"/>
        <w:gridCol w:w="1147"/>
        <w:gridCol w:w="1009"/>
        <w:gridCol w:w="878"/>
        <w:gridCol w:w="738"/>
        <w:gridCol w:w="821"/>
        <w:gridCol w:w="821"/>
      </w:tblGrid>
      <w:tr w:rsidR="00AB34B1" w:rsidRPr="00203593" w:rsidTr="000E265C">
        <w:trPr>
          <w:gridAfter w:val="1"/>
          <w:wAfter w:w="821" w:type="dxa"/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34B1" w:rsidRPr="00203593" w:rsidTr="000E265C">
        <w:trPr>
          <w:gridAfter w:val="1"/>
          <w:wAfter w:w="821" w:type="dxa"/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203593" w:rsidTr="000E265C">
        <w:trPr>
          <w:gridAfter w:val="1"/>
          <w:wAfter w:w="821" w:type="dxa"/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34B1" w:rsidRPr="00203593" w:rsidTr="000E265C">
        <w:trPr>
          <w:gridAfter w:val="1"/>
          <w:wAfter w:w="821" w:type="dxa"/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5966DB" w:rsidRPr="00203593" w:rsidTr="000E265C">
        <w:trPr>
          <w:gridAfter w:val="1"/>
          <w:wAfter w:w="821" w:type="dxa"/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3742EF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5673E6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672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8672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867233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867233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C27BAC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</w:tr>
      <w:tr w:rsidR="005966DB" w:rsidRPr="00203593" w:rsidTr="000E265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5966DB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6DB" w:rsidRPr="00281C21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81C21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966DB" w:rsidRPr="00203593" w:rsidTr="00867233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203593" w:rsidRDefault="00B724E2" w:rsidP="00596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Қаңтар</w:t>
            </w:r>
            <w:r w:rsidR="00596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966DB"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5966D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5966DB"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6DB" w:rsidRPr="00537875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6DB" w:rsidRPr="00537875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6DB" w:rsidRPr="00B724E2" w:rsidRDefault="00867233" w:rsidP="008672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724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begin"/>
            </w:r>
            <w:r w:rsidRPr="00B724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instrText xml:space="preserve"> =SUM(ABOVE) </w:instrText>
            </w:r>
            <w:r w:rsidRPr="00B724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separate"/>
            </w:r>
            <w:r w:rsidRPr="00B724E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</w:t>
            </w:r>
            <w:r w:rsidRPr="00B724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B724E2" w:rsidRDefault="005966DB" w:rsidP="008672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6DB" w:rsidRPr="00B724E2" w:rsidRDefault="005966DB" w:rsidP="00867233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6DB" w:rsidRPr="00B724E2" w:rsidRDefault="00867233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fldChar w:fldCharType="begin"/>
            </w: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instrText xml:space="preserve"> =SUM(ABOVE) </w:instrText>
            </w: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fldChar w:fldCharType="separate"/>
            </w:r>
            <w:r w:rsidRPr="00B724E2">
              <w:rPr>
                <w:rFonts w:ascii="Times New Roman" w:eastAsia="Calibri" w:hAnsi="Times New Roman" w:cs="Times New Roman"/>
                <w:b/>
                <w:noProof/>
                <w:sz w:val="18"/>
              </w:rPr>
              <w:t>57</w:t>
            </w: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66DB" w:rsidRPr="00B724E2" w:rsidRDefault="005966DB" w:rsidP="002E51B2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B724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66DB" w:rsidRPr="00B724E2" w:rsidRDefault="002E51B2" w:rsidP="005966DB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fldChar w:fldCharType="begin"/>
            </w: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instrText xml:space="preserve"> =SUM(ABOVE) </w:instrText>
            </w: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fldChar w:fldCharType="separate"/>
            </w:r>
            <w:r w:rsidRPr="00B724E2">
              <w:rPr>
                <w:rFonts w:ascii="Times New Roman" w:eastAsia="Calibri" w:hAnsi="Times New Roman" w:cs="Times New Roman"/>
                <w:b/>
                <w:noProof/>
                <w:sz w:val="18"/>
              </w:rPr>
              <w:t>63</w:t>
            </w: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fldChar w:fldCharType="end"/>
            </w:r>
          </w:p>
        </w:tc>
        <w:tc>
          <w:tcPr>
            <w:tcW w:w="821" w:type="dxa"/>
          </w:tcPr>
          <w:p w:rsidR="005966DB" w:rsidRPr="00346A94" w:rsidRDefault="005966DB" w:rsidP="005966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</w:tbl>
    <w:p w:rsidR="00D720E1" w:rsidRDefault="00D720E1"/>
    <w:sectPr w:rsidR="00D7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B1"/>
    <w:rsid w:val="0001357F"/>
    <w:rsid w:val="000E265C"/>
    <w:rsid w:val="001801A4"/>
    <w:rsid w:val="001D5784"/>
    <w:rsid w:val="002E51B2"/>
    <w:rsid w:val="00453B27"/>
    <w:rsid w:val="00543623"/>
    <w:rsid w:val="005966DB"/>
    <w:rsid w:val="00756002"/>
    <w:rsid w:val="00814542"/>
    <w:rsid w:val="00867233"/>
    <w:rsid w:val="008E3449"/>
    <w:rsid w:val="009345F3"/>
    <w:rsid w:val="00935FEA"/>
    <w:rsid w:val="00AB34B1"/>
    <w:rsid w:val="00AC5EDF"/>
    <w:rsid w:val="00B30FA7"/>
    <w:rsid w:val="00B724E2"/>
    <w:rsid w:val="00BD082D"/>
    <w:rsid w:val="00BE6619"/>
    <w:rsid w:val="00D026CD"/>
    <w:rsid w:val="00D55669"/>
    <w:rsid w:val="00D720E1"/>
    <w:rsid w:val="00EB6E22"/>
    <w:rsid w:val="00F36698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2F5F-B932-4A2E-B505-58E34FDD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admin domain</cp:lastModifiedBy>
  <cp:revision>8</cp:revision>
  <dcterms:created xsi:type="dcterms:W3CDTF">2026-03-03T03:32:00Z</dcterms:created>
  <dcterms:modified xsi:type="dcterms:W3CDTF">2026-03-03T04:53:00Z</dcterms:modified>
</cp:coreProperties>
</file>