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A16A08">
        <w:rPr>
          <w:sz w:val="24"/>
          <w:szCs w:val="24"/>
        </w:rPr>
        <w:t xml:space="preserve">Анализ работы </w:t>
      </w:r>
      <w:proofErr w:type="spellStart"/>
      <w:r w:rsidR="00EB2927">
        <w:rPr>
          <w:sz w:val="24"/>
          <w:szCs w:val="24"/>
        </w:rPr>
        <w:t>интернет-ресурсов</w:t>
      </w:r>
      <w:proofErr w:type="spellEnd"/>
      <w:r w:rsidR="00EB2927">
        <w:rPr>
          <w:sz w:val="24"/>
          <w:szCs w:val="24"/>
        </w:rPr>
        <w:t xml:space="preserve"> </w:t>
      </w:r>
      <w:r w:rsidRPr="00A16A08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</w:t>
      </w:r>
      <w:r w:rsidR="00257BA1">
        <w:rPr>
          <w:sz w:val="24"/>
          <w:szCs w:val="24"/>
        </w:rPr>
        <w:br/>
      </w:r>
      <w:r w:rsidR="00A365DD">
        <w:rPr>
          <w:sz w:val="24"/>
          <w:szCs w:val="24"/>
        </w:rPr>
        <w:t xml:space="preserve">за </w:t>
      </w:r>
      <w:r w:rsidR="00EB2927">
        <w:rPr>
          <w:sz w:val="24"/>
          <w:szCs w:val="24"/>
        </w:rPr>
        <w:t xml:space="preserve">сентябрь </w:t>
      </w:r>
      <w:r w:rsidR="00A365DD">
        <w:rPr>
          <w:sz w:val="24"/>
          <w:szCs w:val="24"/>
        </w:rPr>
        <w:t xml:space="preserve"> месяц 2017 года.</w:t>
      </w:r>
    </w:p>
    <w:p w:rsidR="00484A33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16A08">
        <w:rPr>
          <w:sz w:val="24"/>
          <w:szCs w:val="24"/>
        </w:rPr>
        <w:t xml:space="preserve">Министерство энергетики Республики Казахстан </w:t>
      </w:r>
      <w:r w:rsidR="00D12C0C">
        <w:rPr>
          <w:sz w:val="24"/>
          <w:szCs w:val="24"/>
        </w:rPr>
        <w:t>проведя</w:t>
      </w:r>
      <w:r w:rsidRPr="00A16A08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proofErr w:type="spellStart"/>
      <w:r w:rsidR="00EB2927">
        <w:rPr>
          <w:sz w:val="24"/>
          <w:szCs w:val="24"/>
        </w:rPr>
        <w:t>интернет-ресурсах</w:t>
      </w:r>
      <w:proofErr w:type="spellEnd"/>
      <w:r w:rsidR="00EB2927">
        <w:rPr>
          <w:sz w:val="24"/>
          <w:szCs w:val="24"/>
        </w:rPr>
        <w:t xml:space="preserve"> </w:t>
      </w:r>
      <w:r w:rsidRPr="00A16A08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041A4D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итогам мониторинга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</w:t>
      </w:r>
      <w:proofErr w:type="spellStart"/>
      <w:r w:rsidR="00EB2927">
        <w:rPr>
          <w:sz w:val="24"/>
          <w:szCs w:val="24"/>
        </w:rPr>
        <w:t>интернет-ресурсов</w:t>
      </w:r>
      <w:proofErr w:type="spellEnd"/>
      <w:r w:rsidR="00EB2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территориальных </w:t>
      </w:r>
      <w:r w:rsidRPr="004E4E2A">
        <w:rPr>
          <w:sz w:val="24"/>
          <w:szCs w:val="24"/>
        </w:rPr>
        <w:t xml:space="preserve">Управлений природных ресурсов и регулирования </w:t>
      </w:r>
      <w:r w:rsidR="000218A9" w:rsidRPr="004E4E2A">
        <w:rPr>
          <w:sz w:val="24"/>
          <w:szCs w:val="24"/>
        </w:rPr>
        <w:t>природопользования </w:t>
      </w:r>
      <w:r w:rsidR="000218A9" w:rsidRPr="00A16A08">
        <w:rPr>
          <w:sz w:val="24"/>
          <w:szCs w:val="24"/>
        </w:rPr>
        <w:t>местных</w:t>
      </w:r>
      <w:r w:rsidR="00807D6E">
        <w:rPr>
          <w:sz w:val="24"/>
          <w:szCs w:val="24"/>
        </w:rPr>
        <w:t xml:space="preserve"> </w:t>
      </w:r>
      <w:r w:rsidR="00542C3C">
        <w:rPr>
          <w:sz w:val="24"/>
          <w:szCs w:val="24"/>
        </w:rPr>
        <w:t xml:space="preserve">исполнительных органов областей и </w:t>
      </w:r>
      <w:r w:rsidR="00807D6E">
        <w:rPr>
          <w:sz w:val="24"/>
          <w:szCs w:val="24"/>
        </w:rPr>
        <w:t xml:space="preserve">городов </w:t>
      </w:r>
      <w:r w:rsidR="00E800BB">
        <w:rPr>
          <w:sz w:val="24"/>
          <w:szCs w:val="24"/>
        </w:rPr>
        <w:t xml:space="preserve">республиканского значения </w:t>
      </w:r>
      <w:r w:rsidR="00807D6E">
        <w:rPr>
          <w:sz w:val="24"/>
          <w:szCs w:val="24"/>
        </w:rPr>
        <w:t>(далее – МИО</w:t>
      </w:r>
      <w:r w:rsidR="009D0722">
        <w:rPr>
          <w:sz w:val="24"/>
          <w:szCs w:val="24"/>
        </w:rPr>
        <w:t>)</w:t>
      </w:r>
      <w:r w:rsidR="00041A4D" w:rsidRPr="00A16A08">
        <w:rPr>
          <w:sz w:val="24"/>
          <w:szCs w:val="24"/>
        </w:rPr>
        <w:t xml:space="preserve"> 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E800BB">
        <w:rPr>
          <w:bCs/>
          <w:sz w:val="24"/>
          <w:szCs w:val="24"/>
        </w:rPr>
        <w:t>»</w:t>
      </w:r>
      <w:r w:rsidR="00C0657E" w:rsidRPr="00E800BB">
        <w:rPr>
          <w:bCs/>
          <w:sz w:val="24"/>
          <w:szCs w:val="24"/>
        </w:rPr>
        <w:t xml:space="preserve">, </w:t>
      </w:r>
      <w:r w:rsidR="00E800BB">
        <w:rPr>
          <w:bCs/>
          <w:sz w:val="24"/>
          <w:szCs w:val="24"/>
        </w:rPr>
        <w:t xml:space="preserve">утвержденных приказом </w:t>
      </w:r>
      <w:r w:rsidR="00694DA4">
        <w:rPr>
          <w:bCs/>
          <w:sz w:val="24"/>
          <w:szCs w:val="24"/>
        </w:rPr>
        <w:t xml:space="preserve">     </w:t>
      </w:r>
      <w:r w:rsidR="00E800BB">
        <w:rPr>
          <w:bCs/>
          <w:sz w:val="24"/>
          <w:szCs w:val="24"/>
        </w:rPr>
        <w:t>М</w:t>
      </w:r>
      <w:r w:rsidR="00C0657E" w:rsidRPr="00E800BB">
        <w:rPr>
          <w:bCs/>
          <w:sz w:val="24"/>
          <w:szCs w:val="24"/>
        </w:rPr>
        <w:t xml:space="preserve">инистра </w:t>
      </w:r>
      <w:r w:rsidR="00E800BB">
        <w:rPr>
          <w:bCs/>
          <w:sz w:val="24"/>
          <w:szCs w:val="24"/>
        </w:rPr>
        <w:t>ООС РК</w:t>
      </w:r>
      <w:r w:rsidR="00C0657E" w:rsidRPr="00E800BB">
        <w:rPr>
          <w:bCs/>
          <w:sz w:val="24"/>
          <w:szCs w:val="24"/>
        </w:rPr>
        <w:t xml:space="preserve"> </w:t>
      </w:r>
      <w:r w:rsidR="00E800BB" w:rsidRPr="00E800BB">
        <w:rPr>
          <w:bCs/>
          <w:sz w:val="24"/>
          <w:szCs w:val="24"/>
        </w:rPr>
        <w:t>№135-п от 7 мая 2007 года</w:t>
      </w:r>
      <w:r w:rsidR="004F0DA6" w:rsidRPr="00E800BB">
        <w:rPr>
          <w:bCs/>
          <w:sz w:val="24"/>
          <w:szCs w:val="24"/>
        </w:rPr>
        <w:t xml:space="preserve"> (далее – Правила) </w:t>
      </w:r>
      <w:r w:rsidR="00041A4D" w:rsidRPr="00E800BB">
        <w:rPr>
          <w:bCs/>
          <w:sz w:val="24"/>
          <w:szCs w:val="24"/>
        </w:rPr>
        <w:t>ра</w:t>
      </w:r>
      <w:r w:rsidR="00041A4D" w:rsidRPr="004E4E2A">
        <w:rPr>
          <w:bCs/>
          <w:sz w:val="24"/>
          <w:szCs w:val="24"/>
        </w:rPr>
        <w:t>змещен</w:t>
      </w:r>
      <w:r w:rsidR="004F0DA6">
        <w:rPr>
          <w:bCs/>
          <w:sz w:val="24"/>
          <w:szCs w:val="24"/>
        </w:rPr>
        <w:t>о</w:t>
      </w:r>
      <w:r w:rsidR="00041A4D">
        <w:rPr>
          <w:bCs/>
          <w:sz w:val="24"/>
          <w:szCs w:val="24"/>
        </w:rPr>
        <w:t xml:space="preserve"> </w:t>
      </w:r>
      <w:r w:rsidR="004E6CA7">
        <w:rPr>
          <w:b/>
          <w:bCs/>
          <w:sz w:val="24"/>
          <w:szCs w:val="24"/>
        </w:rPr>
        <w:t>132</w:t>
      </w:r>
      <w:r w:rsidR="00041A4D" w:rsidRPr="00EA04C6">
        <w:rPr>
          <w:bCs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–</w:t>
      </w:r>
      <w:r w:rsidR="00041A4D" w:rsidRPr="00AC2406">
        <w:rPr>
          <w:bCs/>
          <w:color w:val="000000" w:themeColor="text1"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объявлений</w:t>
      </w:r>
      <w:r w:rsidR="00041A4D">
        <w:rPr>
          <w:bCs/>
          <w:sz w:val="24"/>
          <w:szCs w:val="24"/>
        </w:rPr>
        <w:t>,</w:t>
      </w:r>
      <w:r w:rsidR="006C5CE3">
        <w:rPr>
          <w:bCs/>
          <w:sz w:val="24"/>
          <w:szCs w:val="24"/>
        </w:rPr>
        <w:t xml:space="preserve"> </w:t>
      </w:r>
      <w:r w:rsidR="004E6CA7">
        <w:rPr>
          <w:b/>
          <w:bCs/>
          <w:color w:val="000000" w:themeColor="text1"/>
          <w:sz w:val="24"/>
          <w:szCs w:val="24"/>
        </w:rPr>
        <w:t>70</w:t>
      </w:r>
      <w:r w:rsidR="00CD6D39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065D0">
        <w:rPr>
          <w:bCs/>
          <w:color w:val="000000" w:themeColor="text1"/>
          <w:sz w:val="24"/>
          <w:szCs w:val="24"/>
        </w:rPr>
        <w:t xml:space="preserve">– </w:t>
      </w:r>
      <w:r w:rsidR="00041A4D"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 w:rsidR="00E800BB">
        <w:rPr>
          <w:bCs/>
          <w:sz w:val="24"/>
          <w:szCs w:val="24"/>
        </w:rPr>
        <w:t>. В</w:t>
      </w:r>
      <w:r w:rsidR="00041A4D" w:rsidRPr="004E4E2A">
        <w:rPr>
          <w:bCs/>
          <w:sz w:val="24"/>
          <w:szCs w:val="24"/>
        </w:rPr>
        <w:t xml:space="preserve">ыявлено </w:t>
      </w:r>
      <w:r w:rsidR="00542C3C">
        <w:rPr>
          <w:b/>
          <w:bCs/>
          <w:sz w:val="24"/>
          <w:szCs w:val="24"/>
        </w:rPr>
        <w:t>5</w:t>
      </w:r>
      <w:r w:rsidR="007C00D3">
        <w:rPr>
          <w:b/>
          <w:bCs/>
          <w:sz w:val="24"/>
          <w:szCs w:val="24"/>
        </w:rPr>
        <w:t>8</w:t>
      </w:r>
      <w:r w:rsidR="00542C3C">
        <w:rPr>
          <w:b/>
          <w:bCs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нарушений</w:t>
      </w:r>
      <w:r w:rsidR="00E800BB">
        <w:rPr>
          <w:b/>
          <w:bCs/>
          <w:sz w:val="24"/>
          <w:szCs w:val="24"/>
        </w:rPr>
        <w:t>,</w:t>
      </w:r>
      <w:r w:rsidR="00EA04C6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из них </w:t>
      </w:r>
      <w:r w:rsidR="007C00D3">
        <w:rPr>
          <w:b/>
          <w:bCs/>
          <w:sz w:val="24"/>
          <w:szCs w:val="24"/>
        </w:rPr>
        <w:t>40</w:t>
      </w:r>
      <w:r w:rsidR="00542C3C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по объявлениям и </w:t>
      </w:r>
      <w:r w:rsidR="007C00D3">
        <w:rPr>
          <w:b/>
          <w:bCs/>
          <w:sz w:val="24"/>
          <w:szCs w:val="24"/>
        </w:rPr>
        <w:t>18</w:t>
      </w:r>
      <w:r w:rsidR="00542C3C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по </w:t>
      </w:r>
      <w:r w:rsidR="00542C3C">
        <w:rPr>
          <w:bCs/>
          <w:sz w:val="24"/>
          <w:szCs w:val="24"/>
        </w:rPr>
        <w:t>протоколам.</w:t>
      </w:r>
      <w:r w:rsidR="00041A4D" w:rsidRPr="004E4E2A">
        <w:rPr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 </w:t>
      </w:r>
    </w:p>
    <w:p w:rsidR="00041A4D" w:rsidRPr="00041A4D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8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50"/>
        <w:gridCol w:w="1418"/>
        <w:gridCol w:w="1453"/>
        <w:gridCol w:w="1318"/>
      </w:tblGrid>
      <w:tr w:rsidR="00292514" w:rsidRPr="00786E80" w:rsidTr="00472072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53D7F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5A7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F25A7" w:rsidRPr="00786E80" w:rsidRDefault="00FB2F45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771" w:type="dxa"/>
            <w:gridSpan w:val="2"/>
            <w:noWrap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D17D3F" w:rsidRPr="00786E80" w:rsidTr="0047207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418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453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318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392FC2" w:rsidRPr="00786E80" w:rsidTr="00273137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4E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7C00D3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9B60CE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152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4E6CA7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7C00D3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AA030E">
        <w:trPr>
          <w:trHeight w:val="330"/>
        </w:trPr>
        <w:tc>
          <w:tcPr>
            <w:tcW w:w="2551" w:type="dxa"/>
            <w:gridSpan w:val="2"/>
            <w:noWrap/>
            <w:vAlign w:val="center"/>
            <w:hideMark/>
          </w:tcPr>
          <w:p w:rsidR="00392FC2" w:rsidRPr="00786E80" w:rsidRDefault="00392FC2" w:rsidP="00542C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Итого за</w:t>
            </w:r>
            <w:r w:rsidR="00542C3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1750" w:type="dxa"/>
            <w:noWrap/>
            <w:vAlign w:val="center"/>
          </w:tcPr>
          <w:p w:rsidR="00392FC2" w:rsidRPr="00B254F4" w:rsidRDefault="004E6CA7" w:rsidP="009B60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132</w:t>
            </w:r>
          </w:p>
        </w:tc>
        <w:tc>
          <w:tcPr>
            <w:tcW w:w="1418" w:type="dxa"/>
            <w:noWrap/>
            <w:vAlign w:val="center"/>
          </w:tcPr>
          <w:p w:rsidR="00392FC2" w:rsidRPr="00B254F4" w:rsidRDefault="004E6CA7" w:rsidP="00F13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70</w:t>
            </w:r>
          </w:p>
        </w:tc>
        <w:tc>
          <w:tcPr>
            <w:tcW w:w="1453" w:type="dxa"/>
            <w:noWrap/>
            <w:vAlign w:val="center"/>
          </w:tcPr>
          <w:p w:rsidR="00392FC2" w:rsidRPr="00F13BED" w:rsidRDefault="007C00D3" w:rsidP="00392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18" w:type="dxa"/>
            <w:vAlign w:val="center"/>
          </w:tcPr>
          <w:p w:rsidR="00392FC2" w:rsidRPr="00B254F4" w:rsidRDefault="007C00D3" w:rsidP="00F13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18</w:t>
            </w:r>
          </w:p>
        </w:tc>
      </w:tr>
    </w:tbl>
    <w:p w:rsidR="00BF25A7" w:rsidRDefault="00BF25A7" w:rsidP="00041A4D">
      <w:pPr>
        <w:ind w:firstLine="567"/>
        <w:jc w:val="center"/>
      </w:pPr>
    </w:p>
    <w:p w:rsidR="00041A4D" w:rsidRPr="006C5CE3" w:rsidRDefault="009410A6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>В основном наблюдаются н</w:t>
      </w:r>
      <w:r w:rsidR="00041A4D" w:rsidRPr="006C5CE3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Pr="006C5CE3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>
        <w:rPr>
          <w:rFonts w:ascii="Times New Roman" w:hAnsi="Times New Roman" w:cs="Times New Roman"/>
          <w:sz w:val="24"/>
          <w:szCs w:val="24"/>
        </w:rPr>
        <w:t>10, 11</w:t>
      </w:r>
      <w:r w:rsidRPr="006C5CE3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6C5CE3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6C5CE3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6C5CE3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6C5CE3">
        <w:rPr>
          <w:rFonts w:ascii="Times New Roman" w:hAnsi="Times New Roman" w:cs="Times New Roman"/>
          <w:sz w:val="24"/>
          <w:szCs w:val="24"/>
        </w:rPr>
        <w:t>.</w:t>
      </w:r>
    </w:p>
    <w:p w:rsidR="006A67B0" w:rsidRPr="006C5CE3" w:rsidRDefault="004115CC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 xml:space="preserve">В размещаемых объявлениях о проведении общественных слушаний </w:t>
      </w:r>
      <w:r w:rsidRPr="007C620F">
        <w:rPr>
          <w:rFonts w:ascii="Times New Roman" w:hAnsi="Times New Roman" w:cs="Times New Roman"/>
          <w:sz w:val="24"/>
          <w:szCs w:val="24"/>
        </w:rPr>
        <w:t>в форме</w:t>
      </w:r>
      <w:r w:rsidR="00D71255" w:rsidRPr="007C620F">
        <w:t xml:space="preserve"> </w:t>
      </w:r>
      <w:r w:rsidR="002E085F" w:rsidRPr="007C620F">
        <w:rPr>
          <w:rFonts w:ascii="Times New Roman" w:hAnsi="Times New Roman" w:cs="Times New Roman"/>
          <w:sz w:val="24"/>
          <w:szCs w:val="24"/>
        </w:rPr>
        <w:t>опроса</w:t>
      </w:r>
      <w:r w:rsidR="002E085F" w:rsidRPr="006C5CE3">
        <w:rPr>
          <w:rFonts w:ascii="Times New Roman" w:hAnsi="Times New Roman" w:cs="Times New Roman"/>
          <w:sz w:val="24"/>
          <w:szCs w:val="24"/>
        </w:rPr>
        <w:t xml:space="preserve"> </w:t>
      </w:r>
      <w:r w:rsidR="00DE1ECB">
        <w:rPr>
          <w:rFonts w:ascii="Times New Roman" w:hAnsi="Times New Roman" w:cs="Times New Roman"/>
          <w:sz w:val="24"/>
          <w:szCs w:val="24"/>
          <w:lang w:val="kk-KZ"/>
        </w:rPr>
        <w:t xml:space="preserve">на на интернет-ресурсах </w:t>
      </w:r>
      <w:r w:rsidR="002E085F" w:rsidRPr="006C5CE3">
        <w:rPr>
          <w:rFonts w:ascii="Times New Roman" w:hAnsi="Times New Roman" w:cs="Times New Roman"/>
          <w:sz w:val="24"/>
          <w:szCs w:val="24"/>
        </w:rPr>
        <w:t>МИО</w:t>
      </w:r>
      <w:r w:rsidR="009A07A8" w:rsidRPr="006C5CE3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2E085F" w:rsidRPr="006C5CE3">
        <w:rPr>
          <w:rFonts w:ascii="Times New Roman" w:hAnsi="Times New Roman" w:cs="Times New Roman"/>
          <w:sz w:val="24"/>
          <w:szCs w:val="24"/>
        </w:rPr>
        <w:t>случаи,</w:t>
      </w:r>
      <w:r w:rsidR="009A07A8" w:rsidRPr="006C5CE3">
        <w:rPr>
          <w:rFonts w:ascii="Times New Roman" w:hAnsi="Times New Roman" w:cs="Times New Roman"/>
          <w:sz w:val="24"/>
          <w:szCs w:val="24"/>
        </w:rPr>
        <w:t xml:space="preserve"> когда не указываются сроки проведения </w:t>
      </w:r>
      <w:r w:rsidR="00787868" w:rsidRPr="006C5CE3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6C5CE3">
        <w:rPr>
          <w:rFonts w:ascii="Times New Roman" w:hAnsi="Times New Roman" w:cs="Times New Roman"/>
          <w:sz w:val="24"/>
          <w:szCs w:val="24"/>
        </w:rPr>
        <w:t xml:space="preserve"> </w:t>
      </w:r>
      <w:r w:rsidR="009D0722">
        <w:rPr>
          <w:rFonts w:ascii="Times New Roman" w:hAnsi="Times New Roman" w:cs="Times New Roman"/>
          <w:sz w:val="24"/>
          <w:szCs w:val="24"/>
        </w:rPr>
        <w:t>(</w:t>
      </w:r>
      <w:r w:rsidR="004E11C7">
        <w:rPr>
          <w:rFonts w:ascii="Times New Roman" w:hAnsi="Times New Roman" w:cs="Times New Roman"/>
          <w:sz w:val="24"/>
          <w:szCs w:val="24"/>
        </w:rPr>
        <w:t xml:space="preserve">Актюбинской </w:t>
      </w:r>
      <w:r w:rsidR="004E11C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4E11C7">
        <w:rPr>
          <w:rFonts w:ascii="Times New Roman" w:hAnsi="Times New Roman" w:cs="Times New Roman"/>
          <w:sz w:val="24"/>
          <w:szCs w:val="24"/>
        </w:rPr>
        <w:t>6</w:t>
      </w:r>
      <w:r w:rsidR="004E11C7" w:rsidRPr="006C5C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1C7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4E11C7">
        <w:rPr>
          <w:rFonts w:ascii="Times New Roman" w:hAnsi="Times New Roman" w:cs="Times New Roman"/>
          <w:sz w:val="24"/>
          <w:szCs w:val="24"/>
        </w:rPr>
        <w:t xml:space="preserve"> </w:t>
      </w:r>
      <w:r w:rsidR="004E11C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4E11C7">
        <w:rPr>
          <w:rFonts w:ascii="Times New Roman" w:hAnsi="Times New Roman" w:cs="Times New Roman"/>
          <w:sz w:val="24"/>
          <w:szCs w:val="24"/>
        </w:rPr>
        <w:t>2</w:t>
      </w:r>
      <w:r w:rsidR="004E11C7" w:rsidRPr="006C5CE3">
        <w:rPr>
          <w:rFonts w:ascii="Times New Roman" w:hAnsi="Times New Roman" w:cs="Times New Roman"/>
          <w:sz w:val="24"/>
          <w:szCs w:val="24"/>
        </w:rPr>
        <w:t xml:space="preserve">), </w:t>
      </w:r>
      <w:r w:rsidR="00100567">
        <w:rPr>
          <w:rFonts w:ascii="Times New Roman" w:hAnsi="Times New Roman" w:cs="Times New Roman"/>
          <w:sz w:val="24"/>
          <w:szCs w:val="24"/>
        </w:rPr>
        <w:t xml:space="preserve">Карагандинской </w:t>
      </w:r>
      <w:r w:rsidR="004E11C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100567">
        <w:rPr>
          <w:rFonts w:ascii="Times New Roman" w:hAnsi="Times New Roman" w:cs="Times New Roman"/>
          <w:sz w:val="24"/>
          <w:szCs w:val="24"/>
        </w:rPr>
        <w:t>2</w:t>
      </w:r>
      <w:r w:rsidR="004E11C7" w:rsidRPr="006C5CE3">
        <w:rPr>
          <w:rFonts w:ascii="Times New Roman" w:hAnsi="Times New Roman" w:cs="Times New Roman"/>
          <w:sz w:val="24"/>
          <w:szCs w:val="24"/>
        </w:rPr>
        <w:t xml:space="preserve">), </w:t>
      </w:r>
      <w:r w:rsidR="00D71255" w:rsidRPr="006C5CE3">
        <w:rPr>
          <w:rFonts w:ascii="Times New Roman" w:hAnsi="Times New Roman" w:cs="Times New Roman"/>
          <w:sz w:val="24"/>
          <w:szCs w:val="24"/>
        </w:rPr>
        <w:t xml:space="preserve">Павлодарской </w:t>
      </w:r>
      <w:r w:rsidR="004E3DC2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4E11C7">
        <w:rPr>
          <w:rFonts w:ascii="Times New Roman" w:hAnsi="Times New Roman" w:cs="Times New Roman"/>
          <w:sz w:val="24"/>
          <w:szCs w:val="24"/>
        </w:rPr>
        <w:t>1</w:t>
      </w:r>
      <w:r w:rsidR="004E3DC2" w:rsidRPr="006C5C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3DC2" w:rsidRPr="006C5CE3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4E3DC2" w:rsidRPr="006C5CE3">
        <w:rPr>
          <w:rFonts w:ascii="Times New Roman" w:hAnsi="Times New Roman" w:cs="Times New Roman"/>
          <w:sz w:val="24"/>
          <w:szCs w:val="24"/>
        </w:rPr>
        <w:t xml:space="preserve"> области (</w:t>
      </w:r>
      <w:r w:rsidR="00100567">
        <w:rPr>
          <w:rFonts w:ascii="Times New Roman" w:hAnsi="Times New Roman" w:cs="Times New Roman"/>
          <w:sz w:val="24"/>
          <w:szCs w:val="24"/>
        </w:rPr>
        <w:t>1</w:t>
      </w:r>
      <w:r w:rsidR="004E3DC2" w:rsidRPr="006C5CE3">
        <w:rPr>
          <w:rFonts w:ascii="Times New Roman" w:hAnsi="Times New Roman" w:cs="Times New Roman"/>
          <w:sz w:val="24"/>
          <w:szCs w:val="24"/>
        </w:rPr>
        <w:t>)</w:t>
      </w:r>
      <w:r w:rsidR="00100567">
        <w:rPr>
          <w:rFonts w:ascii="Times New Roman" w:hAnsi="Times New Roman" w:cs="Times New Roman"/>
          <w:sz w:val="24"/>
          <w:szCs w:val="24"/>
        </w:rPr>
        <w:t>,</w:t>
      </w:r>
      <w:r w:rsidR="00100567" w:rsidRPr="001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567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="00100567">
        <w:rPr>
          <w:rFonts w:ascii="Times New Roman" w:hAnsi="Times New Roman" w:cs="Times New Roman"/>
          <w:sz w:val="24"/>
          <w:szCs w:val="24"/>
        </w:rPr>
        <w:t xml:space="preserve"> </w:t>
      </w:r>
      <w:r w:rsidR="0010056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100567">
        <w:rPr>
          <w:rFonts w:ascii="Times New Roman" w:hAnsi="Times New Roman" w:cs="Times New Roman"/>
          <w:sz w:val="24"/>
          <w:szCs w:val="24"/>
        </w:rPr>
        <w:t>1</w:t>
      </w:r>
      <w:r w:rsidR="00100567" w:rsidRPr="006C5CE3">
        <w:rPr>
          <w:rFonts w:ascii="Times New Roman" w:hAnsi="Times New Roman" w:cs="Times New Roman"/>
          <w:sz w:val="24"/>
          <w:szCs w:val="24"/>
        </w:rPr>
        <w:t>),</w:t>
      </w:r>
      <w:r w:rsidR="00100567" w:rsidRPr="00100567">
        <w:rPr>
          <w:rFonts w:ascii="Times New Roman" w:hAnsi="Times New Roman" w:cs="Times New Roman"/>
          <w:sz w:val="24"/>
          <w:szCs w:val="24"/>
        </w:rPr>
        <w:t xml:space="preserve"> </w:t>
      </w:r>
      <w:r w:rsidR="00100567">
        <w:rPr>
          <w:rFonts w:ascii="Times New Roman" w:hAnsi="Times New Roman" w:cs="Times New Roman"/>
          <w:sz w:val="24"/>
          <w:szCs w:val="24"/>
        </w:rPr>
        <w:t>г. Алматы</w:t>
      </w:r>
      <w:r w:rsidR="00100567" w:rsidRPr="006C5CE3">
        <w:rPr>
          <w:rFonts w:ascii="Times New Roman" w:hAnsi="Times New Roman" w:cs="Times New Roman"/>
          <w:sz w:val="24"/>
          <w:szCs w:val="24"/>
        </w:rPr>
        <w:t xml:space="preserve"> (</w:t>
      </w:r>
      <w:r w:rsidR="00100567">
        <w:rPr>
          <w:rFonts w:ascii="Times New Roman" w:hAnsi="Times New Roman" w:cs="Times New Roman"/>
          <w:sz w:val="24"/>
          <w:szCs w:val="24"/>
        </w:rPr>
        <w:t>1)</w:t>
      </w:r>
      <w:r w:rsidR="009D0722">
        <w:rPr>
          <w:rFonts w:ascii="Times New Roman" w:hAnsi="Times New Roman" w:cs="Times New Roman"/>
          <w:sz w:val="24"/>
          <w:szCs w:val="24"/>
        </w:rPr>
        <w:t>)</w:t>
      </w:r>
      <w:r w:rsidR="00787868" w:rsidRPr="006C5CE3">
        <w:rPr>
          <w:rFonts w:ascii="Times New Roman" w:hAnsi="Times New Roman" w:cs="Times New Roman"/>
          <w:sz w:val="24"/>
          <w:szCs w:val="24"/>
        </w:rPr>
        <w:t>.</w:t>
      </w:r>
    </w:p>
    <w:p w:rsidR="00041A4D" w:rsidRPr="006C5CE3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6C5CE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6C5CE3">
        <w:rPr>
          <w:rFonts w:ascii="Times New Roman" w:hAnsi="Times New Roman" w:cs="Times New Roman"/>
          <w:sz w:val="24"/>
          <w:szCs w:val="24"/>
        </w:rPr>
        <w:t>...».</w:t>
      </w:r>
    </w:p>
    <w:p w:rsidR="00EF13C6" w:rsidRDefault="009D0722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3AF8" w:rsidRPr="00542C3C">
        <w:rPr>
          <w:rFonts w:ascii="Times New Roman" w:hAnsi="Times New Roman" w:cs="Times New Roman"/>
          <w:sz w:val="24"/>
          <w:szCs w:val="24"/>
        </w:rPr>
        <w:t>меются н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B4485B" w:rsidRPr="00542C3C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542C3C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542C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542C3C">
        <w:rPr>
          <w:rFonts w:ascii="Times New Roman" w:hAnsi="Times New Roman" w:cs="Times New Roman"/>
          <w:sz w:val="24"/>
          <w:szCs w:val="24"/>
        </w:rPr>
        <w:t xml:space="preserve"> </w:t>
      </w:r>
      <w:r w:rsidR="00542C3C" w:rsidRPr="009D0722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9D0722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542C3C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о</w:t>
      </w:r>
      <w:r w:rsidR="00197007" w:rsidRPr="00542C3C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3506AB" w:rsidRPr="00542C3C">
        <w:rPr>
          <w:rFonts w:ascii="Times New Roman" w:hAnsi="Times New Roman" w:cs="Times New Roman"/>
          <w:sz w:val="24"/>
          <w:szCs w:val="24"/>
        </w:rPr>
        <w:t>общественных слушаниях</w:t>
      </w:r>
      <w:r w:rsidR="008E6F4B">
        <w:rPr>
          <w:rFonts w:ascii="Times New Roman" w:hAnsi="Times New Roman" w:cs="Times New Roman"/>
          <w:sz w:val="24"/>
          <w:szCs w:val="24"/>
        </w:rPr>
        <w:t xml:space="preserve"> </w:t>
      </w:r>
      <w:r w:rsidR="00EF13C6" w:rsidRPr="006C5CE3">
        <w:rPr>
          <w:rFonts w:ascii="Times New Roman" w:hAnsi="Times New Roman" w:cs="Times New Roman"/>
          <w:sz w:val="24"/>
          <w:szCs w:val="24"/>
        </w:rPr>
        <w:t>следующ</w:t>
      </w:r>
      <w:r w:rsidR="008E6F4B">
        <w:rPr>
          <w:rFonts w:ascii="Times New Roman" w:hAnsi="Times New Roman" w:cs="Times New Roman"/>
          <w:sz w:val="24"/>
          <w:szCs w:val="24"/>
        </w:rPr>
        <w:t>ими</w:t>
      </w:r>
      <w:r w:rsidR="00EF13C6" w:rsidRPr="006C5CE3">
        <w:rPr>
          <w:rFonts w:ascii="Times New Roman" w:hAnsi="Times New Roman" w:cs="Times New Roman"/>
          <w:sz w:val="24"/>
          <w:szCs w:val="24"/>
        </w:rPr>
        <w:t xml:space="preserve"> МИО: </w:t>
      </w:r>
      <w:r w:rsidR="008E6F4B">
        <w:rPr>
          <w:rFonts w:ascii="Times New Roman" w:hAnsi="Times New Roman" w:cs="Times New Roman"/>
          <w:sz w:val="24"/>
          <w:szCs w:val="24"/>
        </w:rPr>
        <w:br/>
      </w:r>
      <w:r w:rsidR="00100567">
        <w:rPr>
          <w:rFonts w:ascii="Times New Roman" w:hAnsi="Times New Roman" w:cs="Times New Roman"/>
          <w:sz w:val="24"/>
          <w:szCs w:val="24"/>
        </w:rPr>
        <w:t>г. Астаны (1</w:t>
      </w:r>
      <w:r w:rsidR="00032463" w:rsidRPr="006C5CE3">
        <w:rPr>
          <w:rFonts w:ascii="Times New Roman" w:hAnsi="Times New Roman" w:cs="Times New Roman"/>
          <w:sz w:val="24"/>
          <w:szCs w:val="24"/>
        </w:rPr>
        <w:t>)</w:t>
      </w:r>
      <w:r w:rsidR="00D15DBD" w:rsidRPr="006C5CE3">
        <w:rPr>
          <w:rFonts w:ascii="Times New Roman" w:hAnsi="Times New Roman" w:cs="Times New Roman"/>
          <w:sz w:val="24"/>
          <w:szCs w:val="24"/>
        </w:rPr>
        <w:t xml:space="preserve">, </w:t>
      </w:r>
      <w:r w:rsidR="00100567">
        <w:rPr>
          <w:rFonts w:ascii="Times New Roman" w:hAnsi="Times New Roman" w:cs="Times New Roman"/>
          <w:sz w:val="24"/>
          <w:szCs w:val="24"/>
        </w:rPr>
        <w:t xml:space="preserve">г. Алматы (2), </w:t>
      </w:r>
      <w:proofErr w:type="spellStart"/>
      <w:r w:rsidR="00100567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100567">
        <w:rPr>
          <w:rFonts w:ascii="Times New Roman" w:hAnsi="Times New Roman" w:cs="Times New Roman"/>
          <w:sz w:val="24"/>
          <w:szCs w:val="24"/>
        </w:rPr>
        <w:t xml:space="preserve"> область (3), Актюбинская область </w:t>
      </w:r>
      <w:r w:rsidR="00405253">
        <w:rPr>
          <w:rFonts w:ascii="Times New Roman" w:hAnsi="Times New Roman" w:cs="Times New Roman"/>
          <w:sz w:val="24"/>
          <w:szCs w:val="24"/>
        </w:rPr>
        <w:t xml:space="preserve">(7), </w:t>
      </w:r>
      <w:proofErr w:type="spellStart"/>
      <w:r w:rsidR="00405253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405253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032463" w:rsidRPr="006C5CE3">
        <w:rPr>
          <w:rFonts w:ascii="Times New Roman" w:hAnsi="Times New Roman" w:cs="Times New Roman"/>
          <w:sz w:val="24"/>
          <w:szCs w:val="24"/>
        </w:rPr>
        <w:t>,</w:t>
      </w:r>
      <w:r w:rsidR="00405253">
        <w:rPr>
          <w:rFonts w:ascii="Times New Roman" w:hAnsi="Times New Roman" w:cs="Times New Roman"/>
          <w:sz w:val="24"/>
          <w:szCs w:val="24"/>
        </w:rPr>
        <w:t xml:space="preserve"> Павлодарская область (3)</w:t>
      </w:r>
      <w:r w:rsidR="007C00D3">
        <w:rPr>
          <w:rFonts w:ascii="Times New Roman" w:hAnsi="Times New Roman" w:cs="Times New Roman"/>
          <w:sz w:val="24"/>
          <w:szCs w:val="24"/>
        </w:rPr>
        <w:t>, Южно-Казахстанская область (1</w:t>
      </w:r>
      <w:bookmarkStart w:id="0" w:name="_GoBack"/>
      <w:bookmarkEnd w:id="0"/>
      <w:r w:rsidR="007C00D3">
        <w:rPr>
          <w:rFonts w:ascii="Times New Roman" w:hAnsi="Times New Roman" w:cs="Times New Roman"/>
          <w:sz w:val="24"/>
          <w:szCs w:val="24"/>
        </w:rPr>
        <w:t>)</w:t>
      </w:r>
      <w:r w:rsidR="00D15DBD" w:rsidRPr="006C5CE3">
        <w:rPr>
          <w:rFonts w:ascii="Times New Roman" w:hAnsi="Times New Roman" w:cs="Times New Roman"/>
          <w:sz w:val="24"/>
          <w:szCs w:val="24"/>
        </w:rPr>
        <w:t>.</w:t>
      </w:r>
    </w:p>
    <w:p w:rsidR="00AF3D44" w:rsidRPr="005B4CA4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C5CE3">
        <w:rPr>
          <w:rFonts w:ascii="Times New Roman" w:eastAsia="Consolas" w:hAnsi="Times New Roman" w:cs="Times New Roman"/>
          <w:sz w:val="24"/>
          <w:szCs w:val="24"/>
        </w:rPr>
        <w:lastRenderedPageBreak/>
        <w:t xml:space="preserve">В связи с этим, МИО необходимо принять меры по соблюдению </w:t>
      </w:r>
      <w:r w:rsidRPr="006C5CE3">
        <w:rPr>
          <w:rFonts w:ascii="Times New Roman" w:hAnsi="Times New Roman" w:cs="Times New Roman"/>
          <w:sz w:val="24"/>
          <w:szCs w:val="24"/>
        </w:rPr>
        <w:t>требований</w:t>
      </w:r>
      <w:r w:rsidRPr="006C5CE3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6C5CE3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5B4CA4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2164C"/>
    <w:rsid w:val="00127FA4"/>
    <w:rsid w:val="0013073A"/>
    <w:rsid w:val="00147E6F"/>
    <w:rsid w:val="00150F41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6E74"/>
    <w:rsid w:val="00386FCF"/>
    <w:rsid w:val="00387D44"/>
    <w:rsid w:val="00392004"/>
    <w:rsid w:val="00392FC2"/>
    <w:rsid w:val="003A11D5"/>
    <w:rsid w:val="003A2164"/>
    <w:rsid w:val="003A566D"/>
    <w:rsid w:val="003A69D0"/>
    <w:rsid w:val="003D1907"/>
    <w:rsid w:val="003D4580"/>
    <w:rsid w:val="003E44BE"/>
    <w:rsid w:val="003E5857"/>
    <w:rsid w:val="003F0682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6297"/>
    <w:rsid w:val="0056780F"/>
    <w:rsid w:val="00574FF6"/>
    <w:rsid w:val="005811AB"/>
    <w:rsid w:val="005B4BFE"/>
    <w:rsid w:val="005B4CA4"/>
    <w:rsid w:val="005C0F42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87868"/>
    <w:rsid w:val="00792C0C"/>
    <w:rsid w:val="00794877"/>
    <w:rsid w:val="007B4A00"/>
    <w:rsid w:val="007B51AE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10A6"/>
    <w:rsid w:val="00943E37"/>
    <w:rsid w:val="009446C7"/>
    <w:rsid w:val="00953D2E"/>
    <w:rsid w:val="00960734"/>
    <w:rsid w:val="0097301A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323E"/>
    <w:rsid w:val="00AE4EAE"/>
    <w:rsid w:val="00AF0CFE"/>
    <w:rsid w:val="00AF218F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413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4045E"/>
    <w:rsid w:val="00E42C3F"/>
    <w:rsid w:val="00E44545"/>
    <w:rsid w:val="00E46C3C"/>
    <w:rsid w:val="00E526FC"/>
    <w:rsid w:val="00E6655F"/>
    <w:rsid w:val="00E7222A"/>
    <w:rsid w:val="00E7585B"/>
    <w:rsid w:val="00E800BB"/>
    <w:rsid w:val="00E806C5"/>
    <w:rsid w:val="00E845B8"/>
    <w:rsid w:val="00E90D55"/>
    <w:rsid w:val="00E962A4"/>
    <w:rsid w:val="00E97E09"/>
    <w:rsid w:val="00EA04C6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7691D"/>
    <w:rsid w:val="00F8597F"/>
    <w:rsid w:val="00FB2F45"/>
    <w:rsid w:val="00FB6EB8"/>
    <w:rsid w:val="00FC198E"/>
    <w:rsid w:val="00FD6541"/>
    <w:rsid w:val="00FE29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135-CE9E-4D3A-8F50-AE7E2EC9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Данагуль Абике</cp:lastModifiedBy>
  <cp:revision>3</cp:revision>
  <cp:lastPrinted>2017-10-02T08:56:00Z</cp:lastPrinted>
  <dcterms:created xsi:type="dcterms:W3CDTF">2017-10-02T11:53:00Z</dcterms:created>
  <dcterms:modified xsi:type="dcterms:W3CDTF">2017-10-03T05:18:00Z</dcterms:modified>
</cp:coreProperties>
</file>