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6C" w:rsidRPr="005E261F" w:rsidRDefault="009B316C" w:rsidP="009B316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 xml:space="preserve">Қазақстан Республикасының 2014 жылғы </w:t>
      </w:r>
    </w:p>
    <w:p w:rsidR="009B316C" w:rsidRDefault="009B316C" w:rsidP="009B316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маусым</w:t>
      </w:r>
      <w:r w:rsidRPr="005E261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 xml:space="preserve"> айындағы қоршаған орта жай-күйі</w:t>
      </w:r>
    </w:p>
    <w:p w:rsidR="009B316C" w:rsidRPr="005E261F" w:rsidRDefault="009B316C" w:rsidP="009B316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</w:p>
    <w:p w:rsidR="00862D8A" w:rsidRDefault="009B316C">
      <w:pPr>
        <w:rPr>
          <w:lang w:val="kk-KZ"/>
        </w:rPr>
      </w:pPr>
      <w:r w:rsidRPr="009B316C">
        <w:rPr>
          <w:noProof/>
        </w:rPr>
        <w:drawing>
          <wp:inline distT="0" distB="0" distL="0" distR="0">
            <wp:extent cx="5495925" cy="3657288"/>
            <wp:effectExtent l="19050" t="0" r="9525" b="0"/>
            <wp:docPr id="4" name="Рисунок 1" descr="D:\Рабочий стол\платья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латья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5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16C" w:rsidRDefault="009B316C" w:rsidP="009B316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>Атмосфералық ауа ластануының жай-күйі</w:t>
      </w:r>
    </w:p>
    <w:p w:rsidR="009B316C" w:rsidRPr="005E261F" w:rsidRDefault="009B316C" w:rsidP="009B316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9B316C" w:rsidRPr="005E261F" w:rsidRDefault="009B316C" w:rsidP="009B3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en-US" w:bidi="en-US"/>
        </w:rPr>
        <w:t>Атмосфералық ауа ластануының</w:t>
      </w:r>
      <w:r w:rsidRPr="005E261F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val="kk-KZ" w:eastAsia="en-US" w:bidi="en-US"/>
        </w:rPr>
        <w:t xml:space="preserve"> </w:t>
      </w:r>
      <w:r w:rsidRPr="005E261F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en-US" w:bidi="en-US"/>
        </w:rPr>
        <w:t>жалпы бағалауы.</w:t>
      </w: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</w:p>
    <w:p w:rsidR="009B316C" w:rsidRPr="005E261F" w:rsidRDefault="009B316C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261F">
        <w:rPr>
          <w:rFonts w:ascii="Times New Roman" w:hAnsi="Times New Roman"/>
          <w:bCs/>
          <w:sz w:val="28"/>
          <w:szCs w:val="28"/>
          <w:lang w:val="kk-KZ"/>
        </w:rPr>
        <w:t xml:space="preserve">СИ және </w:t>
      </w:r>
      <w:r w:rsidRPr="005E261F">
        <w:rPr>
          <w:rFonts w:ascii="Times New Roman" w:hAnsi="Times New Roman"/>
          <w:sz w:val="28"/>
          <w:szCs w:val="28"/>
          <w:lang w:val="kk-KZ"/>
        </w:rPr>
        <w:t>ЕҮҚ есептеулеріне сәйкес, 2014 жылдың м</w:t>
      </w:r>
      <w:r w:rsidR="00D85EE2">
        <w:rPr>
          <w:rFonts w:ascii="Times New Roman" w:hAnsi="Times New Roman"/>
          <w:sz w:val="28"/>
          <w:szCs w:val="28"/>
          <w:lang w:val="kk-KZ"/>
        </w:rPr>
        <w:t>аусым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айында </w:t>
      </w:r>
      <w:r w:rsidRPr="005E261F">
        <w:rPr>
          <w:rFonts w:ascii="Times New Roman" w:hAnsi="Times New Roman"/>
          <w:i/>
          <w:sz w:val="28"/>
          <w:szCs w:val="28"/>
          <w:lang w:val="kk-KZ"/>
        </w:rPr>
        <w:t>ең жоғарғы ластану деңгейі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5 қалада (</w:t>
      </w:r>
      <w:r w:rsidRPr="005E261F">
        <w:rPr>
          <w:rFonts w:ascii="Times New Roman" w:hAnsi="Times New Roman"/>
          <w:bCs/>
          <w:sz w:val="28"/>
          <w:szCs w:val="28"/>
          <w:lang w:val="kk-KZ"/>
        </w:rPr>
        <w:t xml:space="preserve">СИ – 10 жоғары,  </w:t>
      </w:r>
      <w:r w:rsidRPr="005E261F">
        <w:rPr>
          <w:rFonts w:ascii="Times New Roman" w:hAnsi="Times New Roman"/>
          <w:sz w:val="28"/>
          <w:szCs w:val="28"/>
          <w:lang w:val="kk-KZ"/>
        </w:rPr>
        <w:t>ЕҮҚ - 50</w:t>
      </w:r>
      <w:r w:rsidRPr="005E261F">
        <w:rPr>
          <w:rFonts w:ascii="Times New Roman" w:hAnsi="Times New Roman"/>
          <w:iCs/>
          <w:sz w:val="28"/>
          <w:szCs w:val="28"/>
          <w:lang w:val="kk-KZ"/>
        </w:rPr>
        <w:t>%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E261F">
        <w:rPr>
          <w:rFonts w:ascii="Times New Roman" w:hAnsi="Times New Roman"/>
          <w:bCs/>
          <w:sz w:val="28"/>
          <w:szCs w:val="28"/>
          <w:lang w:val="kk-KZ"/>
        </w:rPr>
        <w:t>жоғары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): Алматы, Өскемен, </w:t>
      </w:r>
      <w:r>
        <w:rPr>
          <w:rFonts w:ascii="Times New Roman" w:hAnsi="Times New Roman"/>
          <w:sz w:val="28"/>
          <w:szCs w:val="28"/>
          <w:lang w:val="kk-KZ"/>
        </w:rPr>
        <w:t xml:space="preserve">Павлодар, Астанада 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байқалған. </w:t>
      </w:r>
    </w:p>
    <w:p w:rsidR="009B316C" w:rsidRPr="005E261F" w:rsidRDefault="009B316C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261F">
        <w:rPr>
          <w:rFonts w:ascii="Times New Roman" w:hAnsi="Times New Roman"/>
          <w:i/>
          <w:sz w:val="28"/>
          <w:szCs w:val="28"/>
          <w:lang w:val="kk-KZ"/>
        </w:rPr>
        <w:t xml:space="preserve">Жоғарғы ластану деңгейімен </w:t>
      </w:r>
      <w:r w:rsidRPr="005E261F">
        <w:rPr>
          <w:rFonts w:ascii="Times New Roman" w:hAnsi="Times New Roman"/>
          <w:sz w:val="28"/>
          <w:szCs w:val="28"/>
          <w:lang w:val="kk-KZ"/>
        </w:rPr>
        <w:t>(</w:t>
      </w:r>
      <w:r w:rsidRPr="005E261F">
        <w:rPr>
          <w:rFonts w:ascii="Times New Roman" w:hAnsi="Times New Roman"/>
          <w:bCs/>
          <w:sz w:val="28"/>
          <w:szCs w:val="28"/>
          <w:lang w:val="kk-KZ"/>
        </w:rPr>
        <w:t xml:space="preserve">СИ – 5-10,  </w:t>
      </w:r>
      <w:r w:rsidRPr="005E261F">
        <w:rPr>
          <w:rFonts w:ascii="Times New Roman" w:hAnsi="Times New Roman"/>
          <w:sz w:val="28"/>
          <w:szCs w:val="28"/>
          <w:lang w:val="kk-KZ"/>
        </w:rPr>
        <w:t>ЕҮҚ – 20-49</w:t>
      </w:r>
      <w:r w:rsidRPr="005E261F">
        <w:rPr>
          <w:rFonts w:ascii="Times New Roman" w:hAnsi="Times New Roman"/>
          <w:iCs/>
          <w:sz w:val="28"/>
          <w:szCs w:val="28"/>
          <w:lang w:val="kk-KZ"/>
        </w:rPr>
        <w:t>%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kk-KZ"/>
        </w:rPr>
        <w:t xml:space="preserve">Шымкент, Тараз, 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Жезқазған, </w:t>
      </w:r>
      <w:r>
        <w:rPr>
          <w:rFonts w:ascii="Times New Roman" w:hAnsi="Times New Roman"/>
          <w:sz w:val="28"/>
          <w:szCs w:val="28"/>
          <w:lang w:val="kk-KZ"/>
        </w:rPr>
        <w:t xml:space="preserve">Қостанай, </w:t>
      </w:r>
      <w:r w:rsidRPr="005E261F">
        <w:rPr>
          <w:rFonts w:ascii="Times New Roman" w:hAnsi="Times New Roman"/>
          <w:sz w:val="28"/>
          <w:szCs w:val="28"/>
          <w:lang w:val="kk-KZ"/>
        </w:rPr>
        <w:t>Ақсай,</w:t>
      </w:r>
      <w:r>
        <w:rPr>
          <w:rFonts w:ascii="Times New Roman" w:hAnsi="Times New Roman"/>
          <w:sz w:val="28"/>
          <w:szCs w:val="28"/>
          <w:lang w:val="kk-KZ"/>
        </w:rPr>
        <w:t xml:space="preserve"> Талдықорған, </w:t>
      </w:r>
      <w:r w:rsidRPr="005E261F">
        <w:rPr>
          <w:rFonts w:ascii="Times New Roman" w:hAnsi="Times New Roman"/>
          <w:sz w:val="28"/>
          <w:szCs w:val="28"/>
          <w:lang w:val="kk-KZ"/>
        </w:rPr>
        <w:t>Теміртау қалалары сипатталады.</w:t>
      </w:r>
    </w:p>
    <w:p w:rsidR="009B316C" w:rsidRPr="005E261F" w:rsidRDefault="009B316C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261F">
        <w:rPr>
          <w:rFonts w:ascii="Times New Roman" w:hAnsi="Times New Roman"/>
          <w:i/>
          <w:sz w:val="28"/>
          <w:szCs w:val="28"/>
          <w:lang w:val="kk-KZ"/>
        </w:rPr>
        <w:t>Орташа ластану деңгейіне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5E261F">
        <w:rPr>
          <w:rFonts w:ascii="Times New Roman" w:hAnsi="Times New Roman"/>
          <w:bCs/>
          <w:sz w:val="28"/>
          <w:szCs w:val="28"/>
          <w:lang w:val="kk-KZ"/>
        </w:rPr>
        <w:t xml:space="preserve">СИ – 2-4,  </w:t>
      </w:r>
      <w:r w:rsidRPr="005E261F">
        <w:rPr>
          <w:rFonts w:ascii="Times New Roman" w:hAnsi="Times New Roman"/>
          <w:sz w:val="28"/>
          <w:szCs w:val="28"/>
          <w:lang w:val="kk-KZ"/>
        </w:rPr>
        <w:t>ЕҮҚ – 1-19</w:t>
      </w:r>
      <w:r w:rsidRPr="005E261F">
        <w:rPr>
          <w:rFonts w:ascii="Times New Roman" w:hAnsi="Times New Roman"/>
          <w:iCs/>
          <w:sz w:val="28"/>
          <w:szCs w:val="28"/>
          <w:lang w:val="kk-KZ"/>
        </w:rPr>
        <w:t>%</w:t>
      </w:r>
      <w:r w:rsidRPr="005E261F">
        <w:rPr>
          <w:rFonts w:ascii="Times New Roman" w:hAnsi="Times New Roman"/>
          <w:sz w:val="28"/>
          <w:szCs w:val="28"/>
          <w:lang w:val="kk-KZ"/>
        </w:rPr>
        <w:t>) 1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қала: Қызылорда</w:t>
      </w:r>
      <w:r>
        <w:rPr>
          <w:rFonts w:ascii="Times New Roman" w:hAnsi="Times New Roman"/>
          <w:sz w:val="28"/>
          <w:szCs w:val="28"/>
          <w:lang w:val="kk-KZ"/>
        </w:rPr>
        <w:t xml:space="preserve">, Риддер, Ақтау, </w:t>
      </w:r>
      <w:r w:rsidRPr="005E261F">
        <w:rPr>
          <w:rFonts w:ascii="Times New Roman" w:hAnsi="Times New Roman"/>
          <w:sz w:val="28"/>
          <w:szCs w:val="28"/>
          <w:lang w:val="kk-KZ"/>
        </w:rPr>
        <w:t>Қарағанды,</w:t>
      </w:r>
      <w:r>
        <w:rPr>
          <w:rFonts w:ascii="Times New Roman" w:hAnsi="Times New Roman"/>
          <w:sz w:val="28"/>
          <w:szCs w:val="28"/>
          <w:lang w:val="kk-KZ"/>
        </w:rPr>
        <w:t xml:space="preserve"> Рудный,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Көкшетау, Түркестан, Екібастұз, Атырау, </w:t>
      </w:r>
      <w:r>
        <w:rPr>
          <w:rFonts w:ascii="Times New Roman" w:hAnsi="Times New Roman"/>
          <w:sz w:val="28"/>
          <w:szCs w:val="28"/>
          <w:lang w:val="kk-KZ"/>
        </w:rPr>
        <w:t xml:space="preserve">Ақтөбе, 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Орал, Балқаш, </w:t>
      </w:r>
      <w:r>
        <w:rPr>
          <w:rFonts w:ascii="Times New Roman" w:hAnsi="Times New Roman"/>
          <w:sz w:val="28"/>
          <w:szCs w:val="28"/>
          <w:lang w:val="kk-KZ"/>
        </w:rPr>
        <w:t xml:space="preserve">Ақсу </w:t>
      </w:r>
      <w:r w:rsidRPr="005E261F">
        <w:rPr>
          <w:rFonts w:ascii="Times New Roman" w:hAnsi="Times New Roman"/>
          <w:sz w:val="28"/>
          <w:szCs w:val="28"/>
          <w:lang w:val="kk-KZ"/>
        </w:rPr>
        <w:t>жатқызылды.</w:t>
      </w:r>
    </w:p>
    <w:p w:rsidR="009B316C" w:rsidRDefault="009B316C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261F">
        <w:rPr>
          <w:rFonts w:ascii="Times New Roman" w:hAnsi="Times New Roman"/>
          <w:i/>
          <w:sz w:val="28"/>
          <w:szCs w:val="28"/>
          <w:lang w:val="kk-KZ"/>
        </w:rPr>
        <w:t>Төмен ластану деңгейі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5E261F">
        <w:rPr>
          <w:rFonts w:ascii="Times New Roman" w:hAnsi="Times New Roman"/>
          <w:bCs/>
          <w:sz w:val="28"/>
          <w:szCs w:val="28"/>
          <w:lang w:val="kk-KZ"/>
        </w:rPr>
        <w:t xml:space="preserve">СИ – 0-1,  </w:t>
      </w:r>
      <w:r w:rsidRPr="005E261F">
        <w:rPr>
          <w:rFonts w:ascii="Times New Roman" w:hAnsi="Times New Roman"/>
          <w:sz w:val="28"/>
          <w:szCs w:val="28"/>
          <w:lang w:val="kk-KZ"/>
        </w:rPr>
        <w:t>ЕҮҚ – 0</w:t>
      </w:r>
      <w:r w:rsidRPr="005E261F">
        <w:rPr>
          <w:rFonts w:ascii="Times New Roman" w:hAnsi="Times New Roman"/>
          <w:iCs/>
          <w:sz w:val="28"/>
          <w:szCs w:val="28"/>
          <w:lang w:val="kk-KZ"/>
        </w:rPr>
        <w:t>%</w:t>
      </w:r>
      <w:r w:rsidRPr="005E261F">
        <w:rPr>
          <w:rFonts w:ascii="Times New Roman" w:hAnsi="Times New Roman"/>
          <w:sz w:val="28"/>
          <w:szCs w:val="28"/>
          <w:lang w:val="kk-KZ"/>
        </w:rPr>
        <w:t>) Құлсары, Жаңаөзен, Зыряновск,</w:t>
      </w:r>
      <w:r>
        <w:rPr>
          <w:rFonts w:ascii="Times New Roman" w:hAnsi="Times New Roman"/>
          <w:sz w:val="28"/>
          <w:szCs w:val="28"/>
          <w:lang w:val="kk-KZ"/>
        </w:rPr>
        <w:t xml:space="preserve"> Семей, Глубокое кенті, Петропавл, 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B3FBF">
        <w:rPr>
          <w:rFonts w:ascii="Times New Roman" w:hAnsi="Times New Roman"/>
          <w:sz w:val="28"/>
          <w:szCs w:val="28"/>
          <w:lang w:val="kk-KZ"/>
        </w:rPr>
        <w:t xml:space="preserve">Щучинск санаториі, </w:t>
      </w:r>
      <w:r w:rsidRPr="005E261F">
        <w:rPr>
          <w:rFonts w:ascii="Times New Roman" w:hAnsi="Times New Roman"/>
          <w:sz w:val="28"/>
          <w:szCs w:val="28"/>
          <w:lang w:val="kk-KZ"/>
        </w:rPr>
        <w:t>Төретам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Ақай, елді мекендерінде байқалды.</w:t>
      </w:r>
    </w:p>
    <w:p w:rsidR="005B3FBF" w:rsidRDefault="005B3FBF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3FBF" w:rsidRDefault="005B3FBF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3FBF" w:rsidRDefault="005B3FBF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3FBF" w:rsidRDefault="005B3FBF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3FBF" w:rsidRDefault="005B3FBF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3FBF" w:rsidRDefault="005B3FBF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3FBF" w:rsidRDefault="005B3FBF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3FBF" w:rsidRDefault="005B3FBF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3FBF" w:rsidRPr="005E261F" w:rsidRDefault="005B3FBF" w:rsidP="005B3F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5E261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lastRenderedPageBreak/>
        <w:t xml:space="preserve">1 сур. Қазақстан Республикасы елді мекендерінің 2014 жылғы </w:t>
      </w:r>
      <w:r w:rsidR="00B0795D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маусым</w:t>
      </w:r>
      <w:r w:rsidRPr="005E261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 айындағы СИ мәні</w:t>
      </w:r>
    </w:p>
    <w:p w:rsidR="009B316C" w:rsidRDefault="009B316C">
      <w:pPr>
        <w:rPr>
          <w:lang w:val="kk-KZ"/>
        </w:rPr>
      </w:pPr>
    </w:p>
    <w:p w:rsidR="005B3FBF" w:rsidRDefault="005B3FBF">
      <w:pPr>
        <w:rPr>
          <w:lang w:val="kk-KZ"/>
        </w:rPr>
      </w:pPr>
      <w:r w:rsidRPr="005B3FBF">
        <w:rPr>
          <w:noProof/>
        </w:rPr>
        <w:drawing>
          <wp:inline distT="0" distB="0" distL="0" distR="0">
            <wp:extent cx="5940425" cy="3437709"/>
            <wp:effectExtent l="19050" t="0" r="222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B3FBF" w:rsidRPr="005E261F" w:rsidRDefault="005B3FBF" w:rsidP="005B3FBF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9B316C" w:rsidRDefault="005B3FBF" w:rsidP="005B3FBF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 w:rsidRPr="005E261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2 сур.  Қазақстан Республикасы елді мекендерінің 2014 жылғы м</w:t>
      </w:r>
      <w:r w:rsidR="00B0795D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аусым</w:t>
      </w:r>
      <w:r w:rsidRPr="005E261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 айындағы ЕҮҚ мәні</w:t>
      </w:r>
    </w:p>
    <w:p w:rsidR="005B3FBF" w:rsidRDefault="005B3FBF" w:rsidP="005B3FBF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5B3FBF" w:rsidRDefault="005B3FBF" w:rsidP="005B3FBF">
      <w:pPr>
        <w:jc w:val="center"/>
        <w:rPr>
          <w:lang w:val="kk-KZ"/>
        </w:rPr>
      </w:pPr>
      <w:r w:rsidRPr="005B3FBF">
        <w:rPr>
          <w:noProof/>
        </w:rPr>
        <w:drawing>
          <wp:inline distT="0" distB="0" distL="0" distR="0">
            <wp:extent cx="5940425" cy="3432804"/>
            <wp:effectExtent l="19050" t="0" r="2222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3FBF" w:rsidRDefault="005B3FBF" w:rsidP="005B3FBF">
      <w:pPr>
        <w:jc w:val="center"/>
        <w:rPr>
          <w:lang w:val="kk-KZ"/>
        </w:rPr>
      </w:pPr>
    </w:p>
    <w:p w:rsidR="005B3FBF" w:rsidRPr="005E261F" w:rsidRDefault="005B3FBF" w:rsidP="005B3FB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</w:p>
    <w:p w:rsidR="005B3FBF" w:rsidRPr="005E261F" w:rsidRDefault="005B3FBF" w:rsidP="005B3FB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>Жер үсті суларының жай-күйі</w:t>
      </w:r>
    </w:p>
    <w:p w:rsidR="005B3FBF" w:rsidRPr="005E261F" w:rsidRDefault="005B3FBF" w:rsidP="005B3FB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</w:p>
    <w:p w:rsidR="005B3FBF" w:rsidRPr="00986815" w:rsidRDefault="005B3FBF" w:rsidP="005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Барлық су объектілеріне жүргізілген зерттеу нәтижесінде жер үсті суларының гидрохимиялық көрсеткіштері бойынша су сапасы төмендегідей сипатталады: </w:t>
      </w:r>
    </w:p>
    <w:p w:rsidR="005B3FBF" w:rsidRPr="00986815" w:rsidRDefault="005B3FBF" w:rsidP="005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986815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Судың «таза» деңгейі</w:t>
      </w:r>
      <w:r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- 7 өзені, 1 су арнасы, 1 көл: Ертіс (ШҚО),  Бұқтырма, Берқара, Орал (Атырау облысы), Эмба (Атырау облысы), Шароновка, Қиғаш өзендері, Үлкен Алматы көлі; Өскемен су арнасы.</w:t>
      </w:r>
    </w:p>
    <w:p w:rsidR="005B3FBF" w:rsidRPr="00986815" w:rsidRDefault="005B3FBF" w:rsidP="005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986815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«орташа ластанған»</w:t>
      </w:r>
      <w:r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986815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деңгейі</w:t>
      </w:r>
      <w:r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– 27 өзені, 6 су қоймасы, 5 көлі, 1 су арнасы, 1 теңізі: Қара Ертіс (ШҚО), Брекса, Еміл, Ертіс (Павлодар облысы), Оба, Шаған, Деркөл,</w:t>
      </w:r>
      <w:r w:rsidR="00E25581"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Утва, Тобол, Есіл (СҚО), </w:t>
      </w:r>
      <w:r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Елек (</w:t>
      </w:r>
      <w:r w:rsidR="00E25581"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Ақтөбе</w:t>
      </w:r>
      <w:r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), Іле, Нұра, Сырдария (Қызылорда облысы), Есентай, Текес, </w:t>
      </w:r>
      <w:r w:rsidR="00E25581"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Қорғас, </w:t>
      </w:r>
      <w:r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Үлкен Алматы, Кіші Алматы, Талас, Шу, Асса, Ақсу, Келес, Бадам, Арыс, Бөген өзендері; Қарасу, Сұлукөл, </w:t>
      </w:r>
      <w:r w:rsidR="00E25581"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Бурабай, Балқаш көл</w:t>
      </w:r>
      <w:r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дері; Шардара,  Қапшағай, </w:t>
      </w:r>
      <w:r w:rsidR="00E25581"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Бұқтырма, </w:t>
      </w:r>
      <w:r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Сергеевское, Астаналық, Самарқан су қоймалары; Нұра-Есіл су арнасы; Кіші Арал теңізі; Каспий теңізі. </w:t>
      </w:r>
    </w:p>
    <w:p w:rsidR="005B3FBF" w:rsidRPr="00986815" w:rsidRDefault="005B3FBF" w:rsidP="005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986815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«ластанған» деңгейі</w:t>
      </w:r>
      <w:r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 </w:t>
      </w:r>
      <w:r w:rsidR="00E25581"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6</w:t>
      </w:r>
      <w:r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өзені, 5 көлі, 1 су қоймасы: </w:t>
      </w:r>
      <w:r w:rsidR="00E25581"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Үлбі, Кеттібұлақ, Аят, Қарабалты, Тоқташ, Сарықау, </w:t>
      </w:r>
      <w:r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E25581"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Зеренді, </w:t>
      </w:r>
      <w:r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Сұлтанкелді, Қопа,  Үлкен Шабақты, Шортан көлдері; Кеңгір су қоймасы.</w:t>
      </w:r>
    </w:p>
    <w:p w:rsidR="005B3FBF" w:rsidRPr="00986815" w:rsidRDefault="005B3FBF" w:rsidP="005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986815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 «лас» деңгейі </w:t>
      </w:r>
      <w:r w:rsidR="00E25581" w:rsidRPr="00986815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–</w:t>
      </w:r>
      <w:r w:rsidRPr="00986815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 </w:t>
      </w:r>
      <w:r w:rsidR="00E25581"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6 </w:t>
      </w:r>
      <w:r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өзен, </w:t>
      </w:r>
      <w:r w:rsidR="00E25581"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1</w:t>
      </w:r>
      <w:r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көл: </w:t>
      </w:r>
      <w:r w:rsidR="00E25581"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Глубочанка, Красноярка, Ақ-Бұлақ, Сары-бұлақ, Тоғызақ, Қара-Кеңгір, Кіші Шабақты көлдері. </w:t>
      </w:r>
    </w:p>
    <w:p w:rsidR="005B3FBF" w:rsidRPr="005E261F" w:rsidRDefault="005B3FBF" w:rsidP="005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986815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«өте лас» деңгейі -</w:t>
      </w:r>
      <w:r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2 өзен, 1 көл: </w:t>
      </w:r>
      <w:r w:rsidR="00E25581"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Тихая, </w:t>
      </w:r>
      <w:r w:rsidR="00986815"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Шерубайнұра</w:t>
      </w:r>
      <w:r w:rsidRPr="0098681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өзендері, Билікөл көлі;</w:t>
      </w: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</w:p>
    <w:p w:rsidR="005B3FBF" w:rsidRPr="005E261F" w:rsidRDefault="005B3FBF" w:rsidP="005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5B3FBF" w:rsidRDefault="005B3FBF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5E261F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lastRenderedPageBreak/>
        <w:t>Қазақстан Республикасы су объектілерінің ластану индексінің өзгеруі</w:t>
      </w:r>
    </w:p>
    <w:p w:rsidR="00986815" w:rsidRDefault="00986815" w:rsidP="005B3FBF">
      <w:pPr>
        <w:jc w:val="center"/>
        <w:rPr>
          <w:lang w:val="kk-KZ"/>
        </w:rPr>
      </w:pPr>
      <w:r w:rsidRPr="00986815">
        <w:rPr>
          <w:noProof/>
        </w:rPr>
        <w:drawing>
          <wp:inline distT="0" distB="0" distL="0" distR="0">
            <wp:extent cx="5568710" cy="8622025"/>
            <wp:effectExtent l="18280" t="6100" r="13710" b="1525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86815" w:rsidRPr="005E261F" w:rsidRDefault="00986815" w:rsidP="009868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5E261F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lastRenderedPageBreak/>
        <w:t xml:space="preserve">Қазақстан Республикасы су бөгендерінің, көлдерінің және </w:t>
      </w:r>
    </w:p>
    <w:p w:rsidR="00986815" w:rsidRDefault="00986815" w:rsidP="009868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5E261F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су арналарының  ластану индексінің өзгеруі </w:t>
      </w:r>
    </w:p>
    <w:p w:rsidR="00986815" w:rsidRPr="005E261F" w:rsidRDefault="00986815" w:rsidP="009868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  <w:r w:rsidRPr="00986815">
        <w:rPr>
          <w:noProof/>
        </w:rPr>
        <w:drawing>
          <wp:inline distT="0" distB="0" distL="0" distR="0">
            <wp:extent cx="5257365" cy="4460792"/>
            <wp:effectExtent l="12198" t="6093" r="7287" b="340"/>
            <wp:docPr id="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6815" w:rsidRDefault="00986815" w:rsidP="005B3FBF">
      <w:pPr>
        <w:jc w:val="center"/>
        <w:rPr>
          <w:lang w:val="kk-KZ"/>
        </w:rPr>
      </w:pPr>
    </w:p>
    <w:p w:rsidR="00986815" w:rsidRPr="005E261F" w:rsidRDefault="00986815" w:rsidP="0098681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Радиациялық жай-күйі </w:t>
      </w:r>
    </w:p>
    <w:p w:rsidR="00986815" w:rsidRPr="005E261F" w:rsidRDefault="00986815" w:rsidP="00986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Қазақстан Республикасының елді-мекендерінің атмосфералық ауа қабатына орташа тәуліктік радиоактивтілік түсу тығыздығының мәні </w:t>
      </w:r>
      <w:r w:rsidRPr="00986815">
        <w:rPr>
          <w:rFonts w:ascii="Times New Roman" w:hAnsi="Times New Roman"/>
          <w:sz w:val="28"/>
          <w:szCs w:val="28"/>
          <w:lang w:val="kk-KZ"/>
        </w:rPr>
        <w:t xml:space="preserve">0,05-0,21 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мкЗв/ч, </w:t>
      </w: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радиациялық гамма- фонның орташа мәні </w:t>
      </w:r>
      <w:r w:rsidRPr="00986815">
        <w:rPr>
          <w:rFonts w:ascii="Times New Roman" w:hAnsi="Times New Roman"/>
          <w:sz w:val="28"/>
          <w:szCs w:val="28"/>
          <w:lang w:val="kk-KZ"/>
        </w:rPr>
        <w:t xml:space="preserve">0,13 </w:t>
      </w:r>
      <w:r w:rsidRPr="005E261F">
        <w:rPr>
          <w:rFonts w:ascii="Times New Roman" w:hAnsi="Times New Roman"/>
          <w:sz w:val="28"/>
          <w:szCs w:val="28"/>
          <w:lang w:val="kk-KZ"/>
        </w:rPr>
        <w:t>Бк/м</w:t>
      </w:r>
      <w:r w:rsidRPr="005E261F">
        <w:rPr>
          <w:rFonts w:ascii="Times New Roman" w:hAnsi="Times New Roman"/>
          <w:sz w:val="28"/>
          <w:szCs w:val="28"/>
          <w:vertAlign w:val="superscript"/>
          <w:lang w:val="kk-KZ"/>
        </w:rPr>
        <w:t>2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,  яғни </w:t>
      </w: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нормаға сәйкес келеді. </w:t>
      </w:r>
    </w:p>
    <w:p w:rsidR="00986815" w:rsidRPr="005E261F" w:rsidRDefault="00986815" w:rsidP="0098681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</w:p>
    <w:p w:rsidR="00986815" w:rsidRPr="005E261F" w:rsidRDefault="00986815" w:rsidP="0098681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Қосымша: </w:t>
      </w:r>
    </w:p>
    <w:p w:rsidR="00986815" w:rsidRPr="002872C7" w:rsidRDefault="00986815" w:rsidP="00986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Толығырақ мәліметтер Қазақстан Республикасы Қоршаған орта және су ресурстары министрлігі және РМК «Қазгидромет» сайттарында енгізілетін ақпараттық бюлетенінде жарияланады.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</w:p>
    <w:p w:rsidR="00986815" w:rsidRPr="009B316C" w:rsidRDefault="00986815" w:rsidP="005B3FBF">
      <w:pPr>
        <w:jc w:val="center"/>
        <w:rPr>
          <w:lang w:val="kk-KZ"/>
        </w:rPr>
      </w:pPr>
    </w:p>
    <w:sectPr w:rsidR="00986815" w:rsidRPr="009B316C" w:rsidSect="0086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16C"/>
    <w:rsid w:val="00122BA2"/>
    <w:rsid w:val="003E62B9"/>
    <w:rsid w:val="005B3FBF"/>
    <w:rsid w:val="00862D8A"/>
    <w:rsid w:val="00986815"/>
    <w:rsid w:val="009B316C"/>
    <w:rsid w:val="00B0795D"/>
    <w:rsid w:val="00B87B88"/>
    <w:rsid w:val="00D85EE2"/>
    <w:rsid w:val="00E2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rtbayeva_a\&#1052;&#1086;&#1080;%20&#1076;&#1086;&#1082;&#1091;&#1084;&#1077;&#1085;&#1090;&#1099;\My%20Received%20Files\DEM%20Akbayan\&#1043;&#1088;&#1072;&#1092;&#1080;&#1082;%20&#1057;&#1048;%20%20&#1080;%20&#1053;&#1055;%20%20&#1079;&#1072;%20%20&#1080;&#1102;&#1085;&#1100;%202014%20&#1075;&#1086;&#1076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rtbayeva_a\&#1052;&#1086;&#1080;%20&#1076;&#1086;&#1082;&#1091;&#1084;&#1077;&#1085;&#1090;&#1099;\My%20Received%20Files\DEM%20Akbayan\&#1043;&#1088;&#1072;&#1092;&#1080;&#1082;%20&#1057;&#1048;%20%20&#1080;%20&#1053;&#1055;%20%20&#1079;&#1072;%20%20&#1080;&#1102;&#1085;&#1100;%202014%20&#1075;&#1086;&#1076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76;&#1084;&#1080;&#1085;\Documents\My%20Received%20Files\DEM%20Alipkyzy%20Inkar\&#1043;&#1091;&#1083;&#1100;&#1085;&#1072;&#1088;&#1072;%20A%2008.07.14\&#1043;&#1088;&#1072;&#1092;&#1080;&#1082;%20%20%20-%20&#1084;&#1072;&#1081;%20201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76;&#1084;&#1080;&#1085;\Documents\My%20Received%20Files\DEM%20Alipkyzy%20Inkar\&#1043;&#1091;&#1083;&#1100;&#1085;&#1072;&#1088;&#1072;%20A%2008.07.14\&#1043;&#1088;&#1072;&#1092;&#1080;&#1082;%20%20%20-%20&#1084;&#1072;&#1081;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8.5943390000441489E-2"/>
          <c:y val="9.5639766986667776E-2"/>
          <c:w val="0.87890281103645762"/>
          <c:h val="0.55899219200146089"/>
        </c:manualLayout>
      </c:layout>
      <c:bar3DChart>
        <c:barDir val="col"/>
        <c:grouping val="clustered"/>
        <c:ser>
          <c:idx val="0"/>
          <c:order val="0"/>
          <c:tx>
            <c:strRef>
              <c:f>'СИ и НП май график'!$B$3</c:f>
              <c:strCache>
                <c:ptCount val="1"/>
                <c:pt idx="0">
                  <c:v>СИ за июнь 2014 года</c:v>
                </c:pt>
              </c:strCache>
            </c:strRef>
          </c:tx>
          <c:cat>
            <c:strRef>
              <c:f>'СИ и НП май график'!$A$4:$A$36</c:f>
              <c:strCache>
                <c:ptCount val="33"/>
                <c:pt idx="0">
                  <c:v>Кулсары</c:v>
                </c:pt>
                <c:pt idx="1">
                  <c:v>Жанаозен</c:v>
                </c:pt>
                <c:pt idx="2">
                  <c:v>Семей</c:v>
                </c:pt>
                <c:pt idx="3">
                  <c:v>Зыряновск</c:v>
                </c:pt>
                <c:pt idx="4">
                  <c:v>п.Глубокое</c:v>
                </c:pt>
                <c:pt idx="5">
                  <c:v>Петропавловск</c:v>
                </c:pt>
                <c:pt idx="6">
                  <c:v>Торетам</c:v>
                </c:pt>
                <c:pt idx="7">
                  <c:v>Акай</c:v>
                </c:pt>
                <c:pt idx="8">
                  <c:v>санаторий Щучинск</c:v>
                </c:pt>
                <c:pt idx="9">
                  <c:v>Риддер</c:v>
                </c:pt>
                <c:pt idx="10">
                  <c:v>Актау</c:v>
                </c:pt>
                <c:pt idx="11">
                  <c:v>Кызылорда</c:v>
                </c:pt>
                <c:pt idx="12">
                  <c:v>Караганда</c:v>
                </c:pt>
                <c:pt idx="13">
                  <c:v>Рудный</c:v>
                </c:pt>
                <c:pt idx="14">
                  <c:v>Кокшетау</c:v>
                </c:pt>
                <c:pt idx="15">
                  <c:v>Туркестан</c:v>
                </c:pt>
                <c:pt idx="16">
                  <c:v>Екибастуз</c:v>
                </c:pt>
                <c:pt idx="17">
                  <c:v>Атырау</c:v>
                </c:pt>
                <c:pt idx="18">
                  <c:v>Актобе</c:v>
                </c:pt>
                <c:pt idx="19">
                  <c:v>Уральск</c:v>
                </c:pt>
                <c:pt idx="20">
                  <c:v>Балхаш</c:v>
                </c:pt>
                <c:pt idx="21">
                  <c:v>Аксу</c:v>
                </c:pt>
                <c:pt idx="22">
                  <c:v>Шымкент</c:v>
                </c:pt>
                <c:pt idx="23">
                  <c:v>Тараз</c:v>
                </c:pt>
                <c:pt idx="24">
                  <c:v>Жезказган</c:v>
                </c:pt>
                <c:pt idx="25">
                  <c:v>Костанай</c:v>
                </c:pt>
                <c:pt idx="26">
                  <c:v>Темиртау</c:v>
                </c:pt>
                <c:pt idx="27">
                  <c:v>Талдыкорган</c:v>
                </c:pt>
                <c:pt idx="28">
                  <c:v>Аксай</c:v>
                </c:pt>
                <c:pt idx="29">
                  <c:v>Усть-Каменогорск</c:v>
                </c:pt>
                <c:pt idx="30">
                  <c:v>Алматы</c:v>
                </c:pt>
                <c:pt idx="31">
                  <c:v>Павлодар</c:v>
                </c:pt>
                <c:pt idx="32">
                  <c:v>Астана</c:v>
                </c:pt>
              </c:strCache>
            </c:strRef>
          </c:cat>
          <c:val>
            <c:numRef>
              <c:f>'СИ и НП май график'!$B$4:$B$36</c:f>
              <c:numCache>
                <c:formatCode>General</c:formatCode>
                <c:ptCount val="33"/>
                <c:pt idx="0">
                  <c:v>0.2</c:v>
                </c:pt>
                <c:pt idx="1">
                  <c:v>0.2</c:v>
                </c:pt>
                <c:pt idx="2">
                  <c:v>0.70000000000000062</c:v>
                </c:pt>
                <c:pt idx="3">
                  <c:v>0.8</c:v>
                </c:pt>
                <c:pt idx="4">
                  <c:v>0.9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1.2</c:v>
                </c:pt>
                <c:pt idx="10">
                  <c:v>1.2</c:v>
                </c:pt>
                <c:pt idx="11">
                  <c:v>1.6</c:v>
                </c:pt>
                <c:pt idx="12">
                  <c:v>1.8</c:v>
                </c:pt>
                <c:pt idx="13">
                  <c:v>1.8</c:v>
                </c:pt>
                <c:pt idx="14">
                  <c:v>1.9000000000000001</c:v>
                </c:pt>
                <c:pt idx="15">
                  <c:v>2.1</c:v>
                </c:pt>
                <c:pt idx="16">
                  <c:v>2.1</c:v>
                </c:pt>
                <c:pt idx="17">
                  <c:v>2.4</c:v>
                </c:pt>
                <c:pt idx="18">
                  <c:v>2.6</c:v>
                </c:pt>
                <c:pt idx="19">
                  <c:v>3.5</c:v>
                </c:pt>
                <c:pt idx="20">
                  <c:v>4.7</c:v>
                </c:pt>
                <c:pt idx="21">
                  <c:v>3.9</c:v>
                </c:pt>
                <c:pt idx="22">
                  <c:v>2</c:v>
                </c:pt>
                <c:pt idx="23">
                  <c:v>3.2</c:v>
                </c:pt>
                <c:pt idx="24">
                  <c:v>4.2</c:v>
                </c:pt>
                <c:pt idx="25">
                  <c:v>5.3</c:v>
                </c:pt>
                <c:pt idx="26">
                  <c:v>6.9</c:v>
                </c:pt>
                <c:pt idx="27">
                  <c:v>9.4</c:v>
                </c:pt>
                <c:pt idx="28">
                  <c:v>9.7000000000000011</c:v>
                </c:pt>
                <c:pt idx="29">
                  <c:v>3.8</c:v>
                </c:pt>
                <c:pt idx="30">
                  <c:v>3.8</c:v>
                </c:pt>
                <c:pt idx="31">
                  <c:v>3.9</c:v>
                </c:pt>
                <c:pt idx="32">
                  <c:v>13.5</c:v>
                </c:pt>
              </c:numCache>
            </c:numRef>
          </c:val>
        </c:ser>
        <c:shape val="box"/>
        <c:axId val="67943808"/>
        <c:axId val="68016000"/>
        <c:axId val="0"/>
      </c:bar3DChart>
      <c:catAx>
        <c:axId val="679438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68016000"/>
        <c:crosses val="autoZero"/>
        <c:auto val="1"/>
        <c:lblAlgn val="ctr"/>
        <c:lblOffset val="100"/>
      </c:catAx>
      <c:valAx>
        <c:axId val="68016000"/>
        <c:scaling>
          <c:orientation val="minMax"/>
          <c:max val="12"/>
          <c:min val="1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600" b="1">
                    <a:solidFill>
                      <a:schemeClr val="tx1"/>
                    </a:solidFill>
                  </a:defRPr>
                </a:pPr>
                <a:r>
                  <a:rPr lang="ru-RU" sz="1600" b="1">
                    <a:solidFill>
                      <a:schemeClr val="tx1"/>
                    </a:solidFill>
                  </a:rPr>
                  <a:t>СИ</a:t>
                </a:r>
              </a:p>
            </c:rich>
          </c:tx>
          <c:layout>
            <c:manualLayout>
              <c:xMode val="edge"/>
              <c:yMode val="edge"/>
              <c:x val="6.6402883483575703E-2"/>
              <c:y val="1.274585892074495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crossAx val="67943808"/>
        <c:crosses val="autoZero"/>
        <c:crossBetween val="between"/>
        <c:majorUnit val="1"/>
      </c:valAx>
      <c:spPr>
        <a:ln>
          <a:solidFill>
            <a:schemeClr val="accent5">
              <a:lumMod val="40000"/>
              <a:lumOff val="60000"/>
              <a:alpha val="37000"/>
            </a:schemeClr>
          </a:solidFill>
        </a:ln>
        <a:effectLst>
          <a:glow rad="101600">
            <a:schemeClr val="accent1">
              <a:alpha val="40000"/>
            </a:schemeClr>
          </a:glow>
          <a:softEdge rad="63500"/>
        </a:effectLst>
      </c:spPr>
    </c:plotArea>
    <c:legend>
      <c:legendPos val="r"/>
      <c:layout>
        <c:manualLayout>
          <c:xMode val="edge"/>
          <c:yMode val="edge"/>
          <c:x val="0.31197786209871486"/>
          <c:y val="0.90909191375001563"/>
          <c:w val="0.3454041921640027"/>
          <c:h val="7.177033492822979E-2"/>
        </c:manualLayout>
      </c:layout>
      <c:txPr>
        <a:bodyPr/>
        <a:lstStyle/>
        <a:p>
          <a:pPr>
            <a:defRPr sz="1400" b="1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15000">
          <a:srgbClr val="00B0F0">
            <a:alpha val="74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16200000" scaled="1"/>
      <a:tileRect/>
    </a:gradFill>
    <a:ln>
      <a:solidFill>
        <a:srgbClr val="4BACC6">
          <a:lumMod val="40000"/>
          <a:lumOff val="60000"/>
          <a:alpha val="82000"/>
        </a:srgbClr>
      </a:solidFill>
      <a:bevel/>
    </a:ln>
    <a:effectLst>
      <a:outerShdw blurRad="177800" dir="3000000" sx="72000" sy="72000" algn="ctr" rotWithShape="0">
        <a:srgbClr val="4BACC6">
          <a:lumMod val="40000"/>
          <a:lumOff val="60000"/>
          <a:alpha val="59000"/>
        </a:srgbClr>
      </a:outerShdw>
    </a:effectLst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НП, % </a:t>
            </a:r>
          </a:p>
        </c:rich>
      </c:tx>
      <c:layout>
        <c:manualLayout>
          <c:xMode val="edge"/>
          <c:yMode val="edge"/>
          <c:x val="1.4056998090815839E-2"/>
          <c:y val="3.991460397593839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6.4979602947764434E-2"/>
          <c:y val="0.13426455180661745"/>
          <c:w val="0.87734128500924435"/>
          <c:h val="0.62816041848299964"/>
        </c:manualLayout>
      </c:layout>
      <c:lineChart>
        <c:grouping val="standard"/>
        <c:ser>
          <c:idx val="0"/>
          <c:order val="0"/>
          <c:tx>
            <c:strRef>
              <c:f>'СИ и НП май график'!$B$39</c:f>
              <c:strCache>
                <c:ptCount val="1"/>
                <c:pt idx="0">
                  <c:v>НП, % за июнь 2014 года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none"/>
          </c:marker>
          <c:cat>
            <c:strRef>
              <c:f>'СИ и НП май график'!$A$40:$A$72</c:f>
              <c:strCache>
                <c:ptCount val="33"/>
                <c:pt idx="0">
                  <c:v>Кулсары</c:v>
                </c:pt>
                <c:pt idx="1">
                  <c:v>Жанаозен</c:v>
                </c:pt>
                <c:pt idx="2">
                  <c:v>Семей</c:v>
                </c:pt>
                <c:pt idx="3">
                  <c:v>Зыряновск</c:v>
                </c:pt>
                <c:pt idx="4">
                  <c:v>п.Глубокое</c:v>
                </c:pt>
                <c:pt idx="5">
                  <c:v>Петропавловск</c:v>
                </c:pt>
                <c:pt idx="6">
                  <c:v>Торетам</c:v>
                </c:pt>
                <c:pt idx="7">
                  <c:v>Акай</c:v>
                </c:pt>
                <c:pt idx="8">
                  <c:v>санаторий Щучинск</c:v>
                </c:pt>
                <c:pt idx="9">
                  <c:v>Риддер</c:v>
                </c:pt>
                <c:pt idx="10">
                  <c:v>Актау</c:v>
                </c:pt>
                <c:pt idx="11">
                  <c:v>Кызылорда</c:v>
                </c:pt>
                <c:pt idx="12">
                  <c:v>Караганда</c:v>
                </c:pt>
                <c:pt idx="13">
                  <c:v>Рудный</c:v>
                </c:pt>
                <c:pt idx="14">
                  <c:v>Кокшетау</c:v>
                </c:pt>
                <c:pt idx="15">
                  <c:v>Туркестан</c:v>
                </c:pt>
                <c:pt idx="16">
                  <c:v>Екибастуз</c:v>
                </c:pt>
                <c:pt idx="17">
                  <c:v>Атырау</c:v>
                </c:pt>
                <c:pt idx="18">
                  <c:v>Актобе</c:v>
                </c:pt>
                <c:pt idx="19">
                  <c:v>Уральск</c:v>
                </c:pt>
                <c:pt idx="20">
                  <c:v>Балхаш</c:v>
                </c:pt>
                <c:pt idx="21">
                  <c:v>Аксу</c:v>
                </c:pt>
                <c:pt idx="22">
                  <c:v>Шымкент</c:v>
                </c:pt>
                <c:pt idx="23">
                  <c:v>Тараз</c:v>
                </c:pt>
                <c:pt idx="24">
                  <c:v>Жезказган</c:v>
                </c:pt>
                <c:pt idx="25">
                  <c:v>Костанай</c:v>
                </c:pt>
                <c:pt idx="26">
                  <c:v>Темиртау</c:v>
                </c:pt>
                <c:pt idx="27">
                  <c:v>Талдыкорган</c:v>
                </c:pt>
                <c:pt idx="28">
                  <c:v>Аксай</c:v>
                </c:pt>
                <c:pt idx="29">
                  <c:v>Усть-Каменогорск</c:v>
                </c:pt>
                <c:pt idx="30">
                  <c:v>Алматы</c:v>
                </c:pt>
                <c:pt idx="31">
                  <c:v>Павлодар</c:v>
                </c:pt>
                <c:pt idx="32">
                  <c:v>Астана</c:v>
                </c:pt>
              </c:strCache>
            </c:strRef>
          </c:cat>
          <c:val>
            <c:numRef>
              <c:f>'СИ и НП май график'!$B$40:$B$72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1.3</c:v>
                </c:pt>
                <c:pt idx="10">
                  <c:v>2</c:v>
                </c:pt>
                <c:pt idx="11">
                  <c:v>5.0999999999999996</c:v>
                </c:pt>
                <c:pt idx="12">
                  <c:v>6.7</c:v>
                </c:pt>
                <c:pt idx="13">
                  <c:v>2</c:v>
                </c:pt>
                <c:pt idx="14">
                  <c:v>6</c:v>
                </c:pt>
                <c:pt idx="15">
                  <c:v>0.4</c:v>
                </c:pt>
                <c:pt idx="16">
                  <c:v>6.9</c:v>
                </c:pt>
                <c:pt idx="17">
                  <c:v>17.3</c:v>
                </c:pt>
                <c:pt idx="18">
                  <c:v>9.3000000000000007</c:v>
                </c:pt>
                <c:pt idx="19">
                  <c:v>16.399999999999999</c:v>
                </c:pt>
                <c:pt idx="20">
                  <c:v>13.3</c:v>
                </c:pt>
                <c:pt idx="21">
                  <c:v>0.9</c:v>
                </c:pt>
                <c:pt idx="22">
                  <c:v>45.3</c:v>
                </c:pt>
                <c:pt idx="23">
                  <c:v>22.7</c:v>
                </c:pt>
                <c:pt idx="24">
                  <c:v>44</c:v>
                </c:pt>
                <c:pt idx="25">
                  <c:v>5.2</c:v>
                </c:pt>
                <c:pt idx="26">
                  <c:v>18.7</c:v>
                </c:pt>
                <c:pt idx="27">
                  <c:v>2</c:v>
                </c:pt>
                <c:pt idx="28">
                  <c:v>21.7</c:v>
                </c:pt>
                <c:pt idx="29">
                  <c:v>58.7</c:v>
                </c:pt>
                <c:pt idx="30">
                  <c:v>93.3</c:v>
                </c:pt>
                <c:pt idx="31">
                  <c:v>64.5</c:v>
                </c:pt>
                <c:pt idx="32">
                  <c:v>82.7</c:v>
                </c:pt>
              </c:numCache>
            </c:numRef>
          </c:val>
        </c:ser>
        <c:marker val="1"/>
        <c:axId val="64869888"/>
        <c:axId val="64871424"/>
      </c:lineChart>
      <c:catAx>
        <c:axId val="64869888"/>
        <c:scaling>
          <c:orientation val="minMax"/>
        </c:scaling>
        <c:axPos val="b"/>
        <c:numFmt formatCode="General" sourceLinked="1"/>
        <c:tickLblPos val="nextTo"/>
        <c:crossAx val="64871424"/>
        <c:crosses val="autoZero"/>
        <c:auto val="1"/>
        <c:lblAlgn val="ctr"/>
        <c:lblOffset val="100"/>
      </c:catAx>
      <c:valAx>
        <c:axId val="64871424"/>
        <c:scaling>
          <c:orientation val="minMax"/>
          <c:max val="100"/>
          <c:min val="0"/>
        </c:scaling>
        <c:axPos val="l"/>
        <c:majorGridlines>
          <c:spPr>
            <a:ln>
              <a:solidFill>
                <a:schemeClr val="tx1">
                  <a:lumMod val="50000"/>
                  <a:lumOff val="50000"/>
                  <a:alpha val="96000"/>
                </a:schemeClr>
              </a:solidFill>
            </a:ln>
          </c:spPr>
        </c:majorGridlines>
        <c:numFmt formatCode="General" sourceLinked="1"/>
        <c:tickLblPos val="nextTo"/>
        <c:crossAx val="64869888"/>
        <c:crosses val="autoZero"/>
        <c:crossBetween val="between"/>
        <c:majorUnit val="10"/>
        <c:minorUnit val="10"/>
      </c:valAx>
      <c:spPr>
        <a:solidFill>
          <a:schemeClr val="tx1">
            <a:lumMod val="50000"/>
            <a:lumOff val="50000"/>
            <a:alpha val="0"/>
          </a:schemeClr>
        </a:solidFill>
        <a:ln>
          <a:solidFill>
            <a:srgbClr val="A8D6F6">
              <a:alpha val="37000"/>
            </a:srgbClr>
          </a:solidFill>
        </a:ln>
        <a:effectLst>
          <a:glow rad="101600">
            <a:srgbClr val="0070C0">
              <a:alpha val="40000"/>
            </a:srgbClr>
          </a:glow>
          <a:softEdge rad="63500"/>
        </a:effectLst>
      </c:spPr>
    </c:plotArea>
    <c:legend>
      <c:legendPos val="r"/>
      <c:layout>
        <c:manualLayout>
          <c:xMode val="edge"/>
          <c:yMode val="edge"/>
          <c:x val="0.34123669868109324"/>
          <c:y val="0.92505946326087396"/>
          <c:w val="0.40137928516932692"/>
          <c:h val="7.1770334928229734E-2"/>
        </c:manualLayout>
      </c:layout>
      <c:txPr>
        <a:bodyPr/>
        <a:lstStyle/>
        <a:p>
          <a:pPr>
            <a:defRPr sz="1400" b="1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</c:chart>
  <c:spPr>
    <a:gradFill>
      <a:gsLst>
        <a:gs pos="15000">
          <a:srgbClr val="00B0F0">
            <a:alpha val="74000"/>
            <a:lumMod val="10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16200000" scaled="1"/>
    </a:gradFill>
    <a:ln>
      <a:solidFill>
        <a:schemeClr val="accent5">
          <a:lumMod val="40000"/>
          <a:lumOff val="60000"/>
          <a:alpha val="82000"/>
        </a:schemeClr>
      </a:solidFill>
      <a:bevel/>
    </a:ln>
    <a:effectLst>
      <a:innerShdw blurRad="914400" dist="635000" dir="840000">
        <a:srgbClr val="A8D6F6">
          <a:alpha val="59000"/>
        </a:srgbClr>
      </a:innerShdw>
    </a:effectLst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32031770538487425"/>
          <c:y val="2.0455602045560257E-2"/>
          <c:w val="0.66108760914690001"/>
          <c:h val="0.91378484802192517"/>
        </c:manualLayout>
      </c:layout>
      <c:barChart>
        <c:barDir val="bar"/>
        <c:grouping val="clustered"/>
        <c:ser>
          <c:idx val="0"/>
          <c:order val="0"/>
          <c:tx>
            <c:v>июнь 2014 г. (адм.область)</c:v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cat>
            <c:strRef>
              <c:f>Лист1!$A$3:$A$54</c:f>
              <c:strCache>
                <c:ptCount val="52"/>
                <c:pt idx="0">
                  <c:v>р. Кара Ертис (ВКО)</c:v>
                </c:pt>
                <c:pt idx="1">
                  <c:v>р. Ертис (ВКО)</c:v>
                </c:pt>
                <c:pt idx="2">
                  <c:v>р. Ертис (Павлодарская)</c:v>
                </c:pt>
                <c:pt idx="3">
                  <c:v>р.Буктырма (ВКО)</c:v>
                </c:pt>
                <c:pt idx="4">
                  <c:v>р.Брекса (ВКО) </c:v>
                </c:pt>
                <c:pt idx="5">
                  <c:v>р.Тихая (ВКО)</c:v>
                </c:pt>
                <c:pt idx="6">
                  <c:v>р.Ульби (ВКО) </c:v>
                </c:pt>
                <c:pt idx="7">
                  <c:v>р.Глубочанка (ВКО)</c:v>
                </c:pt>
                <c:pt idx="8">
                  <c:v>р.Красноярка (ВКО)</c:v>
                </c:pt>
                <c:pt idx="9">
                  <c:v>р.Оба (ВКО)</c:v>
                </c:pt>
                <c:pt idx="10">
                  <c:v>р. Емель (ВКО)</c:v>
                </c:pt>
                <c:pt idx="11">
                  <c:v>пр. Шароновка (Атырауская)</c:v>
                </c:pt>
                <c:pt idx="12">
                  <c:v>р.Кигач (Атырауская)</c:v>
                </c:pt>
                <c:pt idx="13">
                  <c:v>р. Эмба (Атырауская)</c:v>
                </c:pt>
                <c:pt idx="14">
                  <c:v>р.Урал (Атырауская)</c:v>
                </c:pt>
                <c:pt idx="15">
                  <c:v>р.Урал (ЗКО)</c:v>
                </c:pt>
                <c:pt idx="16">
                  <c:v>р.Чаган (ЗКО)</c:v>
                </c:pt>
                <c:pt idx="17">
                  <c:v>р.Деркул (ЗКО)</c:v>
                </c:pt>
                <c:pt idx="18">
                  <c:v>р. Утва (ЗКО)</c:v>
                </c:pt>
                <c:pt idx="19">
                  <c:v>р.Илек (Актюбинская)</c:v>
                </c:pt>
                <c:pt idx="20">
                  <c:v>р.Тобол (Костанайская)</c:v>
                </c:pt>
                <c:pt idx="21">
                  <c:v>р.Аят (Костанайская)</c:v>
                </c:pt>
                <c:pt idx="22">
                  <c:v>р.Тогызак  (Костанайская)</c:v>
                </c:pt>
                <c:pt idx="23">
                  <c:v>р.Есиль (СКО)</c:v>
                </c:pt>
                <c:pt idx="24">
                  <c:v>р.Есиль (Акмолинская)</c:v>
                </c:pt>
                <c:pt idx="25">
                  <c:v>р.Кеттыбулак (Акмолинская)</c:v>
                </c:pt>
                <c:pt idx="26">
                  <c:v>р.Ак-Булак (г.Астана)</c:v>
                </c:pt>
                <c:pt idx="27">
                  <c:v>р.Сары-Булак (г.Астана)</c:v>
                </c:pt>
                <c:pt idx="28">
                  <c:v>р.Нура (Акмолинская)</c:v>
                </c:pt>
                <c:pt idx="29">
                  <c:v>р.Нура (Карагандинская)</c:v>
                </c:pt>
                <c:pt idx="30">
                  <c:v>р.Кара-Кенгир (Карагандинская)</c:v>
                </c:pt>
                <c:pt idx="31">
                  <c:v>р.Шерубайнура (Карагандинская)</c:v>
                </c:pt>
                <c:pt idx="32">
                  <c:v>р.Иле (Алматинская)</c:v>
                </c:pt>
                <c:pt idx="33">
                  <c:v>р.Текес (Алматинская)</c:v>
                </c:pt>
                <c:pt idx="34">
                  <c:v>р.Коргас (Алматинская)</c:v>
                </c:pt>
                <c:pt idx="35">
                  <c:v>р.Киши Алматы (г.Алматы)</c:v>
                </c:pt>
                <c:pt idx="36">
                  <c:v>р.Есентай (г.Алматы)</c:v>
                </c:pt>
                <c:pt idx="37">
                  <c:v>р.Улькен Алматы (г.Алматы)</c:v>
                </c:pt>
                <c:pt idx="38">
                  <c:v>р.Талас (Жамбылская)</c:v>
                </c:pt>
                <c:pt idx="39">
                  <c:v>р.Шу (Жамбылская)</c:v>
                </c:pt>
                <c:pt idx="40">
                  <c:v>р.Асса (Жамбылская)</c:v>
                </c:pt>
                <c:pt idx="41">
                  <c:v>р.Аксу (Жамбылская)</c:v>
                </c:pt>
                <c:pt idx="42">
                  <c:v>р.Карабалты (Жамбылская)</c:v>
                </c:pt>
                <c:pt idx="43">
                  <c:v>р.Токташ (Жамбылская)</c:v>
                </c:pt>
                <c:pt idx="44">
                  <c:v>р.Беркара (Жамбылская)</c:v>
                </c:pt>
                <c:pt idx="45">
                  <c:v>р.Саргоу (Жамбылская)</c:v>
                </c:pt>
                <c:pt idx="46">
                  <c:v>р.Келес (ЮКО)</c:v>
                </c:pt>
                <c:pt idx="47">
                  <c:v>р.Бадам (ЮКО)</c:v>
                </c:pt>
                <c:pt idx="48">
                  <c:v>р.Бугунь  (ЮКО)</c:v>
                </c:pt>
                <c:pt idx="49">
                  <c:v>р.Арыс (ЮКО)</c:v>
                </c:pt>
                <c:pt idx="50">
                  <c:v>р.Сырдарья (ЮКО)</c:v>
                </c:pt>
                <c:pt idx="51">
                  <c:v>р.Сырдарья (Кызылординская)</c:v>
                </c:pt>
              </c:strCache>
            </c:strRef>
          </c:cat>
          <c:val>
            <c:numRef>
              <c:f>Лист1!$B$3:$B$54</c:f>
              <c:numCache>
                <c:formatCode>General</c:formatCode>
                <c:ptCount val="52"/>
                <c:pt idx="0">
                  <c:v>1.129999999999997</c:v>
                </c:pt>
                <c:pt idx="1">
                  <c:v>0.89000000000000012</c:v>
                </c:pt>
                <c:pt idx="2">
                  <c:v>1.1000000000000001</c:v>
                </c:pt>
                <c:pt idx="3">
                  <c:v>0.99</c:v>
                </c:pt>
                <c:pt idx="4">
                  <c:v>2.2999999999999998</c:v>
                </c:pt>
                <c:pt idx="5">
                  <c:v>8.31</c:v>
                </c:pt>
                <c:pt idx="6">
                  <c:v>3.61</c:v>
                </c:pt>
                <c:pt idx="7">
                  <c:v>5.6899999999999995</c:v>
                </c:pt>
                <c:pt idx="8">
                  <c:v>4.9400000000000004</c:v>
                </c:pt>
                <c:pt idx="9">
                  <c:v>1.04</c:v>
                </c:pt>
                <c:pt idx="10">
                  <c:v>1.159999999999997</c:v>
                </c:pt>
                <c:pt idx="11">
                  <c:v>0.72000000000000064</c:v>
                </c:pt>
                <c:pt idx="12">
                  <c:v>0.64000000000000146</c:v>
                </c:pt>
                <c:pt idx="13">
                  <c:v>0.77000000000000135</c:v>
                </c:pt>
                <c:pt idx="14">
                  <c:v>0.75000000000000144</c:v>
                </c:pt>
                <c:pt idx="15">
                  <c:v>0.91</c:v>
                </c:pt>
                <c:pt idx="16">
                  <c:v>1.05</c:v>
                </c:pt>
                <c:pt idx="17">
                  <c:v>1.0900000000000001</c:v>
                </c:pt>
                <c:pt idx="18">
                  <c:v>1.2</c:v>
                </c:pt>
                <c:pt idx="19">
                  <c:v>1.6600000000000001</c:v>
                </c:pt>
                <c:pt idx="20">
                  <c:v>1.86</c:v>
                </c:pt>
                <c:pt idx="21">
                  <c:v>2.64</c:v>
                </c:pt>
                <c:pt idx="22">
                  <c:v>4.5599999999999996</c:v>
                </c:pt>
                <c:pt idx="23">
                  <c:v>1</c:v>
                </c:pt>
                <c:pt idx="24">
                  <c:v>2.1</c:v>
                </c:pt>
                <c:pt idx="25">
                  <c:v>2.66</c:v>
                </c:pt>
                <c:pt idx="26">
                  <c:v>4.53</c:v>
                </c:pt>
                <c:pt idx="27">
                  <c:v>4.53</c:v>
                </c:pt>
                <c:pt idx="28">
                  <c:v>2.34</c:v>
                </c:pt>
                <c:pt idx="29">
                  <c:v>1.6800000000000026</c:v>
                </c:pt>
                <c:pt idx="30">
                  <c:v>5.6</c:v>
                </c:pt>
                <c:pt idx="31">
                  <c:v>8.120000000000001</c:v>
                </c:pt>
                <c:pt idx="32">
                  <c:v>1.9400000000000024</c:v>
                </c:pt>
                <c:pt idx="33">
                  <c:v>2.4099999999999997</c:v>
                </c:pt>
                <c:pt idx="34">
                  <c:v>2.15</c:v>
                </c:pt>
                <c:pt idx="35">
                  <c:v>1.47</c:v>
                </c:pt>
                <c:pt idx="36">
                  <c:v>1.01</c:v>
                </c:pt>
                <c:pt idx="37">
                  <c:v>1.26</c:v>
                </c:pt>
                <c:pt idx="38">
                  <c:v>1.4</c:v>
                </c:pt>
                <c:pt idx="39">
                  <c:v>1.31</c:v>
                </c:pt>
                <c:pt idx="40">
                  <c:v>1.1700000000000021</c:v>
                </c:pt>
                <c:pt idx="41">
                  <c:v>1.8900000000000001</c:v>
                </c:pt>
                <c:pt idx="42">
                  <c:v>3.05</c:v>
                </c:pt>
                <c:pt idx="43">
                  <c:v>2.58</c:v>
                </c:pt>
                <c:pt idx="44">
                  <c:v>0.75000000000000144</c:v>
                </c:pt>
                <c:pt idx="45">
                  <c:v>2.96</c:v>
                </c:pt>
                <c:pt idx="46">
                  <c:v>1.7700000000000002</c:v>
                </c:pt>
                <c:pt idx="47">
                  <c:v>1.1000000000000001</c:v>
                </c:pt>
                <c:pt idx="48">
                  <c:v>1.139999999999997</c:v>
                </c:pt>
                <c:pt idx="49">
                  <c:v>1.01</c:v>
                </c:pt>
                <c:pt idx="50">
                  <c:v>1.7600000000000002</c:v>
                </c:pt>
                <c:pt idx="51">
                  <c:v>1.7800000000000002</c:v>
                </c:pt>
              </c:numCache>
            </c:numRef>
          </c:val>
        </c:ser>
        <c:axId val="64932480"/>
        <c:axId val="64938368"/>
      </c:barChart>
      <c:catAx>
        <c:axId val="64932480"/>
        <c:scaling>
          <c:orientation val="minMax"/>
        </c:scaling>
        <c:axPos val="l"/>
        <c:numFmt formatCode="General" sourceLinked="0"/>
        <c:tickLblPos val="nextTo"/>
        <c:crossAx val="64938368"/>
        <c:crosses val="autoZero"/>
        <c:auto val="1"/>
        <c:lblAlgn val="ctr"/>
        <c:lblOffset val="100"/>
      </c:catAx>
      <c:valAx>
        <c:axId val="64938368"/>
        <c:scaling>
          <c:orientation val="minMax"/>
        </c:scaling>
        <c:axPos val="b"/>
        <c:majorGridlines/>
        <c:numFmt formatCode="General" sourceLinked="1"/>
        <c:tickLblPos val="nextTo"/>
        <c:crossAx val="64932480"/>
        <c:crosses val="autoZero"/>
        <c:crossBetween val="between"/>
      </c:valAx>
      <c:spPr>
        <a:gradFill flip="none" rotWithShape="1"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  <a:scene3d>
          <a:camera prst="orthographicFront"/>
          <a:lightRig rig="threePt" dir="t"/>
        </a:scene3d>
        <a:sp3d/>
      </c:spPr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41557532148782872"/>
          <c:y val="0.96036650348283858"/>
          <c:w val="0.20421150647878192"/>
          <c:h val="3.2952148587060588E-2"/>
        </c:manualLayout>
      </c:layout>
    </c:legend>
    <c:plotVisOnly val="1"/>
    <c:dispBlanksAs val="gap"/>
  </c:chart>
  <c:spPr>
    <a:gradFill flip="none" rotWithShape="1"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  <a:scene3d>
      <a:camera prst="orthographicFront"/>
      <a:lightRig rig="threePt" dir="t">
        <a:rot lat="0" lon="0" rev="0"/>
      </a:lightRig>
    </a:scene3d>
    <a:sp3d>
      <a:bevelT/>
      <a:bevelB/>
    </a:sp3d>
  </c:spPr>
  <c:txPr>
    <a:bodyPr/>
    <a:lstStyle/>
    <a:p>
      <a:pPr>
        <a:defRPr sz="6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39763353905086485"/>
          <c:y val="2.6618269812462191E-2"/>
          <c:w val="0.57998231302168313"/>
          <c:h val="0.86607790766242365"/>
        </c:manualLayout>
      </c:layout>
      <c:barChart>
        <c:barDir val="bar"/>
        <c:grouping val="clustered"/>
        <c:ser>
          <c:idx val="0"/>
          <c:order val="0"/>
          <c:tx>
            <c:v>июнь 2014 г. (адм.область)</c:v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cat>
            <c:strRef>
              <c:f>Лист1!$A$90:$A$112</c:f>
              <c:strCache>
                <c:ptCount val="23"/>
                <c:pt idx="0">
                  <c:v>вдхр. Усть-Каменогорское (ВКО)</c:v>
                </c:pt>
                <c:pt idx="1">
                  <c:v>вдхр Буктырма (ВКО)</c:v>
                </c:pt>
                <c:pt idx="2">
                  <c:v>вдхр Капшагай (Алматинская)</c:v>
                </c:pt>
                <c:pt idx="3">
                  <c:v>вдхр Шардаринское (ЮКО)</c:v>
                </c:pt>
                <c:pt idx="4">
                  <c:v>вдхр Самаркандское (Карагандинская)</c:v>
                </c:pt>
                <c:pt idx="5">
                  <c:v>вдхр. Сергеевское  (СКО)</c:v>
                </c:pt>
                <c:pt idx="6">
                  <c:v>вдхр Астанинское (Акмолинская)</c:v>
                </c:pt>
                <c:pt idx="7">
                  <c:v>вдхр Кенгирское (Карагандинская)</c:v>
                </c:pt>
                <c:pt idx="8">
                  <c:v>оз.Копа  (Акмолинская)</c:v>
                </c:pt>
                <c:pt idx="9">
                  <c:v>оз.Султанкельды  (Акмолинская)</c:v>
                </c:pt>
                <c:pt idx="10">
                  <c:v>оз. Зеренда (Акмолинская)</c:v>
                </c:pt>
                <c:pt idx="11">
                  <c:v>оз.Бурабай (Акмолинская)</c:v>
                </c:pt>
                <c:pt idx="12">
                  <c:v>оз.Улькен Шабакты (Акмолинская)</c:v>
                </c:pt>
                <c:pt idx="13">
                  <c:v>оз.Шортан (Акмолинская)</c:v>
                </c:pt>
                <c:pt idx="14">
                  <c:v>оз.Киши Шабакты (Акмолинская)</c:v>
                </c:pt>
                <c:pt idx="15">
                  <c:v>оз.Карасье (Акмолинская)</c:v>
                </c:pt>
                <c:pt idx="16">
                  <c:v>оз. Сулуколь (Акмолинская)</c:v>
                </c:pt>
                <c:pt idx="17">
                  <c:v>оз.Балкаш (Карагандинская)</c:v>
                </c:pt>
                <c:pt idx="18">
                  <c:v>оз. Улькен Алматы (Алматинская)</c:v>
                </c:pt>
                <c:pt idx="19">
                  <c:v>оз.Бийликоль (Жамбылская)</c:v>
                </c:pt>
                <c:pt idx="20">
                  <c:v>кан Нура-Есиль (Акмолинская)</c:v>
                </c:pt>
                <c:pt idx="21">
                  <c:v>море Малый Арал</c:v>
                </c:pt>
                <c:pt idx="22">
                  <c:v>Каспийское море</c:v>
                </c:pt>
              </c:strCache>
            </c:strRef>
          </c:cat>
          <c:val>
            <c:numRef>
              <c:f>Лист1!$B$90:$B$112</c:f>
              <c:numCache>
                <c:formatCode>General</c:formatCode>
                <c:ptCount val="23"/>
                <c:pt idx="0">
                  <c:v>0.83000000000000063</c:v>
                </c:pt>
                <c:pt idx="1">
                  <c:v>1.1000000000000001</c:v>
                </c:pt>
                <c:pt idx="2">
                  <c:v>1.05</c:v>
                </c:pt>
                <c:pt idx="3">
                  <c:v>1.82</c:v>
                </c:pt>
                <c:pt idx="4">
                  <c:v>1.23</c:v>
                </c:pt>
                <c:pt idx="5">
                  <c:v>1.08</c:v>
                </c:pt>
                <c:pt idx="6">
                  <c:v>1.31</c:v>
                </c:pt>
                <c:pt idx="7">
                  <c:v>2.9099999999999997</c:v>
                </c:pt>
                <c:pt idx="8">
                  <c:v>2.67</c:v>
                </c:pt>
                <c:pt idx="9">
                  <c:v>3.2800000000000002</c:v>
                </c:pt>
                <c:pt idx="10">
                  <c:v>2.62</c:v>
                </c:pt>
                <c:pt idx="11">
                  <c:v>2.3899999999999997</c:v>
                </c:pt>
                <c:pt idx="12">
                  <c:v>3.34</c:v>
                </c:pt>
                <c:pt idx="13">
                  <c:v>2.8899999999999997</c:v>
                </c:pt>
                <c:pt idx="14">
                  <c:v>5.33</c:v>
                </c:pt>
                <c:pt idx="15">
                  <c:v>1.77</c:v>
                </c:pt>
                <c:pt idx="16">
                  <c:v>1.85</c:v>
                </c:pt>
                <c:pt idx="17">
                  <c:v>2.25</c:v>
                </c:pt>
                <c:pt idx="18">
                  <c:v>0.85000000000000064</c:v>
                </c:pt>
                <c:pt idx="19">
                  <c:v>5.03</c:v>
                </c:pt>
                <c:pt idx="20">
                  <c:v>2.36</c:v>
                </c:pt>
                <c:pt idx="21">
                  <c:v>1.9100000000000001</c:v>
                </c:pt>
                <c:pt idx="22">
                  <c:v>0.93</c:v>
                </c:pt>
              </c:numCache>
            </c:numRef>
          </c:val>
        </c:ser>
        <c:axId val="64950656"/>
        <c:axId val="64952192"/>
      </c:barChart>
      <c:catAx>
        <c:axId val="64950656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64952192"/>
        <c:crosses val="autoZero"/>
        <c:auto val="1"/>
        <c:lblAlgn val="ctr"/>
        <c:lblOffset val="100"/>
      </c:catAx>
      <c:valAx>
        <c:axId val="64952192"/>
        <c:scaling>
          <c:orientation val="minMax"/>
        </c:scaling>
        <c:axPos val="b"/>
        <c:majorGridlines/>
        <c:numFmt formatCode="General" sourceLinked="1"/>
        <c:tickLblPos val="nextTo"/>
        <c:crossAx val="64950656"/>
        <c:crosses val="autoZero"/>
        <c:crossBetween val="between"/>
      </c:valAx>
      <c:spPr>
        <a:gradFill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plotArea>
    <c:legend>
      <c:legendPos val="r"/>
      <c:layout>
        <c:manualLayout>
          <c:xMode val="edge"/>
          <c:yMode val="edge"/>
          <c:x val="0.35072353455818023"/>
          <c:y val="0.95563612426260158"/>
          <c:w val="0.63260979877515766"/>
          <c:h val="3.2267767172190452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</a:grad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kazhydromet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ortbayeva_a</dc:creator>
  <cp:keywords/>
  <dc:description/>
  <cp:lastModifiedBy>ortbayeva_a</cp:lastModifiedBy>
  <cp:revision>3</cp:revision>
  <dcterms:created xsi:type="dcterms:W3CDTF">2014-07-17T10:35:00Z</dcterms:created>
  <dcterms:modified xsi:type="dcterms:W3CDTF">2014-07-18T04:47:00Z</dcterms:modified>
</cp:coreProperties>
</file>