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Қазақстан Республикасының 2014 жылғы </w:t>
      </w:r>
    </w:p>
    <w:p w:rsidR="009B316C" w:rsidRDefault="00756A1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шілде</w:t>
      </w:r>
      <w:r w:rsidR="009B316C"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айындағы қоршаған орта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Default="00756A1C">
      <w:pPr>
        <w:rPr>
          <w:lang w:val="kk-KZ"/>
        </w:rPr>
      </w:pPr>
      <w:r w:rsidRPr="00756A1C">
        <w:rPr>
          <w:noProof/>
        </w:rPr>
        <w:drawing>
          <wp:inline distT="0" distB="0" distL="0" distR="0">
            <wp:extent cx="5382507" cy="3762375"/>
            <wp:effectExtent l="19050" t="0" r="8643" b="0"/>
            <wp:docPr id="11" name="Рисунок 10" descr="D:\ortbayeva_a\Мои документы\My Received Files\DEM Gulnara\Prir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rtbayeva_a\Мои документы\My Received Files\DEM Gulnara\Prirod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89" cy="376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6C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Атмосфералық ауа ластануының</w:t>
      </w:r>
      <w:r w:rsidRPr="005E261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жалпы бағалауы.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және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ЕҮҚ есептеулеріне сәйкес, 2014 жылдың </w:t>
      </w:r>
      <w:r w:rsidR="00756A1C">
        <w:rPr>
          <w:rFonts w:ascii="Times New Roman" w:hAnsi="Times New Roman"/>
          <w:sz w:val="28"/>
          <w:szCs w:val="28"/>
          <w:lang w:val="kk-KZ"/>
        </w:rPr>
        <w:t>шілде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айында </w:t>
      </w:r>
      <w:r w:rsidRPr="005E261F">
        <w:rPr>
          <w:rFonts w:ascii="Times New Roman" w:hAnsi="Times New Roman"/>
          <w:i/>
          <w:sz w:val="28"/>
          <w:szCs w:val="28"/>
          <w:lang w:val="kk-KZ"/>
        </w:rPr>
        <w:t>ең жоғарғы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5 қалада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10 жоғары,  </w:t>
      </w:r>
      <w:r w:rsidRPr="005E261F">
        <w:rPr>
          <w:rFonts w:ascii="Times New Roman" w:hAnsi="Times New Roman"/>
          <w:sz w:val="28"/>
          <w:szCs w:val="28"/>
          <w:lang w:val="kk-KZ"/>
        </w:rPr>
        <w:t>ЕҮҚ - 50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>жоғары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): Алматы, Өскемен, </w:t>
      </w:r>
      <w:r w:rsidR="00756A1C">
        <w:rPr>
          <w:rFonts w:ascii="Times New Roman" w:hAnsi="Times New Roman"/>
          <w:sz w:val="28"/>
          <w:szCs w:val="28"/>
          <w:lang w:val="kk-KZ"/>
        </w:rPr>
        <w:t>Талдықорған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Ақтөбе, </w:t>
      </w:r>
      <w:r>
        <w:rPr>
          <w:rFonts w:ascii="Times New Roman" w:hAnsi="Times New Roman"/>
          <w:sz w:val="28"/>
          <w:szCs w:val="28"/>
          <w:lang w:val="kk-KZ"/>
        </w:rPr>
        <w:t xml:space="preserve">Астанада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байқалған. 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 xml:space="preserve">Жоғарғы ластану деңгейімен </w:t>
      </w:r>
      <w:r w:rsidRPr="005E261F">
        <w:rPr>
          <w:rFonts w:ascii="Times New Roman" w:hAnsi="Times New Roman"/>
          <w:sz w:val="28"/>
          <w:szCs w:val="28"/>
          <w:lang w:val="kk-KZ"/>
        </w:rPr>
        <w:t>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5-10,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20-49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Шымкент,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Pr="005E261F">
        <w:rPr>
          <w:rFonts w:ascii="Times New Roman" w:hAnsi="Times New Roman"/>
          <w:sz w:val="28"/>
          <w:szCs w:val="28"/>
          <w:lang w:val="kk-KZ"/>
        </w:rPr>
        <w:t>Жезқазған, Ақсай,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6A1C">
        <w:rPr>
          <w:rFonts w:ascii="Times New Roman" w:hAnsi="Times New Roman"/>
          <w:sz w:val="28"/>
          <w:szCs w:val="28"/>
          <w:lang w:val="kk-KZ"/>
        </w:rPr>
        <w:t>Орал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қалалары сипатталады.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Орташа ластану деңгейіне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2-4,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1-19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>) 1</w:t>
      </w:r>
      <w:r w:rsidR="00756A1C">
        <w:rPr>
          <w:rFonts w:ascii="Times New Roman" w:hAnsi="Times New Roman"/>
          <w:sz w:val="28"/>
          <w:szCs w:val="28"/>
          <w:lang w:val="kk-KZ"/>
        </w:rPr>
        <w:t>6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қала: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>Қарағанды,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 Ақтау, Петропавл,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261F">
        <w:rPr>
          <w:rFonts w:ascii="Times New Roman" w:hAnsi="Times New Roman"/>
          <w:sz w:val="28"/>
          <w:szCs w:val="28"/>
          <w:lang w:val="kk-KZ"/>
        </w:rPr>
        <w:t>Қызылорда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 xml:space="preserve">Екібастұз, </w:t>
      </w:r>
      <w:r w:rsidR="00756A1C">
        <w:rPr>
          <w:rFonts w:ascii="Times New Roman" w:hAnsi="Times New Roman"/>
          <w:sz w:val="28"/>
          <w:szCs w:val="28"/>
          <w:lang w:val="kk-KZ"/>
        </w:rPr>
        <w:t>Қостанай, Түркі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 xml:space="preserve">стан,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Теміртау,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>Құлсары, Зыряновск,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Риддер,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 Павлодар,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Ақсу, Тараз, 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 xml:space="preserve">Балқаш,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Глубокое кенті </w:t>
      </w:r>
      <w:r w:rsidRPr="005E261F">
        <w:rPr>
          <w:rFonts w:ascii="Times New Roman" w:hAnsi="Times New Roman"/>
          <w:sz w:val="28"/>
          <w:szCs w:val="28"/>
          <w:lang w:val="kk-KZ"/>
        </w:rPr>
        <w:t>жатқызылды.</w:t>
      </w:r>
    </w:p>
    <w:p w:rsidR="009B316C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Төмен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0-1,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0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756A1C" w:rsidRPr="005E261F">
        <w:rPr>
          <w:rFonts w:ascii="Times New Roman" w:hAnsi="Times New Roman"/>
          <w:sz w:val="28"/>
          <w:szCs w:val="28"/>
          <w:lang w:val="kk-KZ"/>
        </w:rPr>
        <w:t xml:space="preserve">Ақай,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Семей, Көкшетау,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Жаңаөзен,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Рудный, </w:t>
      </w:r>
      <w:r w:rsidR="005B3FBF">
        <w:rPr>
          <w:rFonts w:ascii="Times New Roman" w:hAnsi="Times New Roman"/>
          <w:sz w:val="28"/>
          <w:szCs w:val="28"/>
          <w:lang w:val="kk-KZ"/>
        </w:rPr>
        <w:t xml:space="preserve">Щучинск санаториі, </w:t>
      </w:r>
      <w:r w:rsidRPr="005E261F">
        <w:rPr>
          <w:rFonts w:ascii="Times New Roman" w:hAnsi="Times New Roman"/>
          <w:sz w:val="28"/>
          <w:szCs w:val="28"/>
          <w:lang w:val="kk-KZ"/>
        </w:rPr>
        <w:t>Төретам елді мекендерінде байқалды.</w:t>
      </w: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5E261F" w:rsidRDefault="005B3FBF" w:rsidP="005B3F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1 сур. Қазақстан Республикасы елді мекендерінің 2014 жылғы </w:t>
      </w:r>
      <w:r w:rsidR="00756A1C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шілде 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СИ мәні</w:t>
      </w:r>
    </w:p>
    <w:p w:rsidR="009B316C" w:rsidRDefault="009B316C">
      <w:pPr>
        <w:rPr>
          <w:lang w:val="kk-KZ"/>
        </w:rPr>
      </w:pPr>
    </w:p>
    <w:p w:rsidR="005B3FBF" w:rsidRDefault="00756A1C">
      <w:pPr>
        <w:rPr>
          <w:lang w:val="kk-KZ"/>
        </w:rPr>
      </w:pPr>
      <w:r w:rsidRPr="00756A1C">
        <w:rPr>
          <w:noProof/>
        </w:rPr>
        <w:drawing>
          <wp:inline distT="0" distB="0" distL="0" distR="0">
            <wp:extent cx="5940425" cy="3437709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3FBF" w:rsidRPr="005E261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9B316C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2 сур.  Қазақстан Республикасы елді мекендерінің 2014 жылғы </w:t>
      </w:r>
      <w:r w:rsidR="00756A1C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шілде</w:t>
      </w:r>
      <w:r w:rsidR="00CF3B7C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ЕҮҚ мәні</w:t>
      </w:r>
    </w:p>
    <w:p w:rsidR="005B3FB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Default="00756A1C" w:rsidP="005B3FBF">
      <w:pPr>
        <w:jc w:val="center"/>
        <w:rPr>
          <w:lang w:val="kk-KZ"/>
        </w:rPr>
      </w:pPr>
      <w:r w:rsidRPr="00756A1C">
        <w:rPr>
          <w:noProof/>
        </w:rPr>
        <w:drawing>
          <wp:inline distT="0" distB="0" distL="0" distR="0">
            <wp:extent cx="5940425" cy="3432804"/>
            <wp:effectExtent l="19050" t="0" r="222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FBF" w:rsidRPr="005E261F" w:rsidRDefault="005B3FBF" w:rsidP="00756A1C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5B3FBF" w:rsidRPr="005E261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Жер үсті суларының жай-күйі</w:t>
      </w:r>
    </w:p>
    <w:p w:rsidR="005B3FBF" w:rsidRPr="005E261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5B3FBF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төмендегідей сипатталады: </w:t>
      </w:r>
    </w:p>
    <w:p w:rsidR="005B3FBF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Судың «таза» деңгейі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756A1C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12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56A1C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1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арнасы, 1 к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анал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Ертіс (ШҚО),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Бұқтырма,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Орал (БҚО), Аят, Шілік, Шарын, Қарқара, Түрген, Темірлік, Қатты Бөген; Өскемен, Бұқтырма су қоймасы;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Берқара,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Көшім каналы; Каспий теңізі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</w:p>
    <w:p w:rsidR="005B3FBF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деңгейі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33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5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 5 көлі, 1 су арнасы, 1 теңізі: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Үлбі, Еміл,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Ертіс (Павлодар облысы),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Шароновка, Қиғаш, Орал (Атырау), Ембі (Атырау),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Шаған, Деркөл,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54C82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Өр, Қарағала, Есіл, Кеттібұлақ, Нұра, Іле, Есентай, Текес, Қорғас, </w:t>
      </w:r>
      <w:r w:rsidR="005F635C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Алматы, Кіші Алматы, Баянкөл, Қаскелең, Есік, Талғар, Талас, Шу, Асса, Ақсу, Сарғоу, Бадам, Арыс, Сырдария (Қызылорда облысы)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өзендері; </w:t>
      </w:r>
      <w:r w:rsidR="005F635C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Зеренді, Кіші Арал теңізі, 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Қарасу, Сұлукөл, 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Балқаш көл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дері; Қапшағай, Сергеевское, Астаналық,</w:t>
      </w:r>
      <w:r w:rsidR="005F635C" w:rsidRPr="00FA28F0">
        <w:rPr>
          <w:rFonts w:ascii="Times New Roman" w:hAnsi="Times New Roman"/>
          <w:sz w:val="28"/>
          <w:szCs w:val="28"/>
          <w:lang w:val="kk-KZ"/>
        </w:rPr>
        <w:t xml:space="preserve"> Куртинское, Бартоғ</w:t>
      </w:r>
      <w:r w:rsidR="00477B44" w:rsidRPr="00FA28F0">
        <w:rPr>
          <w:rFonts w:ascii="Times New Roman" w:hAnsi="Times New Roman"/>
          <w:sz w:val="28"/>
          <w:szCs w:val="28"/>
          <w:lang w:val="kk-KZ"/>
        </w:rPr>
        <w:t>ай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қоймалары; Нұра-Есіл су арнасы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5B3FBF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 деңгейі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14 өзені, 7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1 су қоймасы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су арнасы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Глубочанка, Ембі, Темір, Иргиз, Қарахобда, Ақтөсті, Ақ-Бұлақ, Сары-бұлақ, Жабай, Тоқташ,  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Аят, Қарабалты, 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Келес, Сырдария (ОҚО) өзендері; Шалқар (Ақтөбе), Шалқар (БҚО), 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Сұлтанкелді, Қопа, </w:t>
      </w:r>
      <w:r w:rsidR="00477B44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Бурабай,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Үлкен Шабақты, Шортан көлдері; </w:t>
      </w:r>
      <w:r w:rsidR="006704F5" w:rsidRPr="00FA28F0">
        <w:rPr>
          <w:rFonts w:ascii="Times New Roman" w:hAnsi="Times New Roman"/>
          <w:sz w:val="28"/>
          <w:szCs w:val="28"/>
          <w:lang w:val="kk-KZ"/>
        </w:rPr>
        <w:t>Ертіс-Қарағанды су арнасы; Шардаринское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қоймасы.</w:t>
      </w:r>
    </w:p>
    <w:p w:rsidR="005B3FBF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«лас» деңгейі </w:t>
      </w:r>
      <w:r w:rsidR="00E25581"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–</w:t>
      </w: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өзен, 2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2 су қоймасы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Ілек (Ақтөбе), Қосестек, Үлкен Хобда, 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Тоғызақ, 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(Қарағанды); Билікөл, 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 көлдері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Самарқанд, Кеңгір су қоймалары.</w:t>
      </w:r>
      <w:r w:rsidR="00E25581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6704F5" w:rsidRPr="00FA28F0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 деңгейі -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3 өзен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6704F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Красноярка, Тобол, Уил өзендері. </w:t>
      </w:r>
    </w:p>
    <w:p w:rsidR="005B3FBF" w:rsidRPr="005E261F" w:rsidRDefault="006704F5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FA28F0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«аса лас» деңгейі -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2 өзен: </w:t>
      </w:r>
      <w:r w:rsidR="00986815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5B3FBF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Қара-Кеңгір </w:t>
      </w:r>
      <w:r w:rsidR="005B3FBF"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Pr="00FA28F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  <w:r w:rsidR="005B3FBF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5B3FBF" w:rsidRPr="005E261F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5B3FBF" w:rsidRDefault="005B3FBF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Қазақстан Республикасы су объектілерінің ластану индексінің өзгеруі</w:t>
      </w:r>
    </w:p>
    <w:p w:rsidR="006704F5" w:rsidRDefault="006704F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6704F5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045370" cy="6916080"/>
            <wp:effectExtent l="57150" t="19050" r="4098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6815" w:rsidRDefault="00986815" w:rsidP="005B3FBF">
      <w:pPr>
        <w:jc w:val="center"/>
        <w:rPr>
          <w:noProof/>
          <w:lang w:val="kk-KZ"/>
        </w:rPr>
      </w:pPr>
    </w:p>
    <w:p w:rsidR="006704F5" w:rsidRPr="006704F5" w:rsidRDefault="006704F5" w:rsidP="005B3FBF">
      <w:pPr>
        <w:jc w:val="center"/>
        <w:rPr>
          <w:lang w:val="kk-KZ"/>
        </w:rPr>
      </w:pPr>
    </w:p>
    <w:p w:rsidR="00986815" w:rsidRPr="005E261F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 ластану индексінің өзгеруі </w:t>
      </w:r>
    </w:p>
    <w:p w:rsidR="006704F5" w:rsidRDefault="006704F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5E261F" w:rsidRDefault="006704F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6704F5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288280" cy="4776270"/>
            <wp:effectExtent l="12192" t="4969" r="4953" b="311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093" w:rsidRDefault="00460093" w:rsidP="005B3FBF">
      <w:pPr>
        <w:jc w:val="center"/>
        <w:rPr>
          <w:lang w:val="kk-KZ"/>
        </w:rPr>
      </w:pPr>
    </w:p>
    <w:p w:rsidR="00460093" w:rsidRDefault="00460093" w:rsidP="00460093">
      <w:pPr>
        <w:spacing w:after="0"/>
        <w:jc w:val="center"/>
        <w:rPr>
          <w:rFonts w:ascii="Times New Roman" w:hAnsi="Times New Roman"/>
          <w:b/>
          <w:i/>
          <w:color w:val="15740E"/>
          <w:sz w:val="28"/>
          <w:szCs w:val="28"/>
          <w:lang w:val="kk-KZ"/>
        </w:rPr>
      </w:pPr>
      <w:r w:rsidRPr="00FA28F0">
        <w:rPr>
          <w:rFonts w:ascii="Times New Roman" w:hAnsi="Times New Roman"/>
          <w:b/>
          <w:i/>
          <w:color w:val="15740E"/>
          <w:sz w:val="28"/>
          <w:szCs w:val="28"/>
          <w:lang w:val="kk-KZ"/>
        </w:rPr>
        <w:t xml:space="preserve">Рис 2.1. </w:t>
      </w:r>
      <w:r w:rsidR="00E1290F">
        <w:rPr>
          <w:rFonts w:ascii="Times New Roman" w:hAnsi="Times New Roman"/>
          <w:b/>
          <w:i/>
          <w:color w:val="15740E"/>
          <w:sz w:val="28"/>
          <w:szCs w:val="28"/>
          <w:lang w:val="kk-KZ"/>
        </w:rPr>
        <w:t>Қарағанды облысындағы Қара-Кеңгі</w:t>
      </w:r>
      <w:proofErr w:type="gramStart"/>
      <w:r w:rsidR="00E1290F">
        <w:rPr>
          <w:rFonts w:ascii="Times New Roman" w:hAnsi="Times New Roman"/>
          <w:b/>
          <w:i/>
          <w:color w:val="15740E"/>
          <w:sz w:val="28"/>
          <w:szCs w:val="28"/>
          <w:lang w:val="kk-KZ"/>
        </w:rPr>
        <w:t>р</w:t>
      </w:r>
      <w:proofErr w:type="gramEnd"/>
      <w:r w:rsidR="00E1290F">
        <w:rPr>
          <w:rFonts w:ascii="Times New Roman" w:hAnsi="Times New Roman"/>
          <w:b/>
          <w:i/>
          <w:color w:val="15740E"/>
          <w:sz w:val="28"/>
          <w:szCs w:val="28"/>
          <w:lang w:val="kk-KZ"/>
        </w:rPr>
        <w:t xml:space="preserve"> өзеніндегі судың ластануының индексі</w:t>
      </w:r>
    </w:p>
    <w:p w:rsidR="00E1290F" w:rsidRDefault="00E1290F" w:rsidP="00460093">
      <w:pPr>
        <w:spacing w:after="0"/>
        <w:jc w:val="center"/>
        <w:rPr>
          <w:rFonts w:ascii="Times New Roman" w:hAnsi="Times New Roman"/>
          <w:b/>
          <w:i/>
          <w:color w:val="15740E"/>
          <w:sz w:val="28"/>
          <w:szCs w:val="28"/>
          <w:lang w:val="kk-KZ"/>
        </w:rPr>
      </w:pPr>
      <w:r w:rsidRPr="00E1290F">
        <w:rPr>
          <w:rFonts w:ascii="Times New Roman" w:hAnsi="Times New Roman"/>
          <w:b/>
          <w:i/>
          <w:noProof/>
          <w:color w:val="15740E"/>
          <w:sz w:val="28"/>
          <w:szCs w:val="28"/>
        </w:rPr>
        <w:drawing>
          <wp:inline distT="0" distB="0" distL="0" distR="0">
            <wp:extent cx="5429885" cy="2424430"/>
            <wp:effectExtent l="19050" t="0" r="18415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90F" w:rsidRDefault="00E1290F" w:rsidP="00460093">
      <w:pPr>
        <w:spacing w:after="0"/>
        <w:jc w:val="center"/>
        <w:rPr>
          <w:rFonts w:ascii="Times New Roman" w:hAnsi="Times New Roman"/>
          <w:b/>
          <w:i/>
          <w:color w:val="15740E"/>
          <w:sz w:val="28"/>
          <w:szCs w:val="28"/>
          <w:lang w:val="kk-KZ"/>
        </w:rPr>
      </w:pPr>
    </w:p>
    <w:p w:rsidR="00E1290F" w:rsidRDefault="00E1290F" w:rsidP="00460093">
      <w:pPr>
        <w:spacing w:after="0"/>
        <w:jc w:val="center"/>
        <w:rPr>
          <w:rFonts w:ascii="Times New Roman" w:hAnsi="Times New Roman"/>
          <w:b/>
          <w:i/>
          <w:color w:val="15740E"/>
          <w:sz w:val="28"/>
          <w:szCs w:val="28"/>
          <w:lang w:val="kk-KZ"/>
        </w:rPr>
      </w:pPr>
    </w:p>
    <w:p w:rsidR="00E1290F" w:rsidRPr="00E1290F" w:rsidRDefault="00E1290F" w:rsidP="00E1290F">
      <w:pPr>
        <w:spacing w:after="0"/>
        <w:rPr>
          <w:rFonts w:ascii="Times New Roman" w:hAnsi="Times New Roman"/>
          <w:b/>
          <w:i/>
          <w:color w:val="15740E"/>
          <w:sz w:val="28"/>
          <w:szCs w:val="28"/>
          <w:lang w:val="kk-KZ"/>
        </w:rPr>
      </w:pP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986815" w:rsidRPr="005E261F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Pr="00986815">
        <w:rPr>
          <w:rFonts w:ascii="Times New Roman" w:hAnsi="Times New Roman"/>
          <w:sz w:val="28"/>
          <w:szCs w:val="28"/>
          <w:lang w:val="kk-KZ"/>
        </w:rPr>
        <w:t xml:space="preserve">0,05-0,21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мкЗв/ч,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Pr="00986815">
        <w:rPr>
          <w:rFonts w:ascii="Times New Roman" w:hAnsi="Times New Roman"/>
          <w:sz w:val="28"/>
          <w:szCs w:val="28"/>
          <w:lang w:val="kk-KZ"/>
        </w:rPr>
        <w:t xml:space="preserve">0,13 </w:t>
      </w:r>
      <w:r w:rsidRPr="005E261F">
        <w:rPr>
          <w:rFonts w:ascii="Times New Roman" w:hAnsi="Times New Roman"/>
          <w:sz w:val="28"/>
          <w:szCs w:val="28"/>
          <w:lang w:val="kk-KZ"/>
        </w:rPr>
        <w:t>Бк/м</w:t>
      </w:r>
      <w:r w:rsidRPr="005E261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,  яғни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986815" w:rsidRPr="002872C7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Қазақстан Республикасы Қоршаған орта және су ресурстары министрлігі және РМК «Қазгидромет» сайттарында енгізілетін ақпараттық бюлетенінде жарияланады.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986815" w:rsidRPr="009B316C" w:rsidRDefault="00986815" w:rsidP="005B3FBF">
      <w:pPr>
        <w:jc w:val="center"/>
        <w:rPr>
          <w:lang w:val="kk-KZ"/>
        </w:rPr>
      </w:pPr>
    </w:p>
    <w:sectPr w:rsidR="00986815" w:rsidRPr="009B316C" w:rsidSect="0046009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16C"/>
    <w:rsid w:val="003E62B9"/>
    <w:rsid w:val="00460093"/>
    <w:rsid w:val="00477B44"/>
    <w:rsid w:val="00554C82"/>
    <w:rsid w:val="005B3FBF"/>
    <w:rsid w:val="005F635C"/>
    <w:rsid w:val="006704F5"/>
    <w:rsid w:val="00755EEC"/>
    <w:rsid w:val="00756A1C"/>
    <w:rsid w:val="00862D8A"/>
    <w:rsid w:val="00967987"/>
    <w:rsid w:val="00986815"/>
    <w:rsid w:val="009A0688"/>
    <w:rsid w:val="009B316C"/>
    <w:rsid w:val="00CF3B7C"/>
    <w:rsid w:val="00E1290F"/>
    <w:rsid w:val="00E25581"/>
    <w:rsid w:val="00F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Akbayan\&#1043;&#1088;&#1072;&#1092;&#1080;&#1082;%20&#1057;&#1048;%20%20&#1080;%20&#1053;&#1055;%202014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Akbayan\&#1043;&#1088;&#1072;&#1092;&#1080;&#1082;%20&#1057;&#1048;%20%20&#1080;%20&#1053;&#1055;%202014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Gulnara\&#1043;&#1088;&#1072;&#1092;&#1080;&#1082;%20%20%20-%20&#1080;&#1102;&#1083;&#1100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rtbayeva_a\&#1052;&#1086;&#1080;%20&#1076;&#1086;&#1082;&#1091;&#1084;&#1077;&#1085;&#1090;&#1099;\My%20Received%20Files\DEM%20Gulnara\&#1043;&#1088;&#1072;&#1092;&#1080;&#1082;%20%20%20-%20&#1080;&#1102;&#1083;&#1100;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abdiyeva_z\&#1052;&#1086;&#1080;%20&#1076;&#1086;&#1082;&#1091;&#1084;&#1077;&#1085;&#1090;&#1099;\My%20Received%20Files\DEM%20Alipkyzy%20Inkar\&#1043;&#1088;&#1072;&#1092;&#1080;&#1082;%20%20%20-%20&#1080;&#1102;&#1083;&#1100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43390000441461E-2"/>
          <c:y val="9.5639766986667776E-2"/>
          <c:w val="0.87890281103645762"/>
          <c:h val="0.55899219200146089"/>
        </c:manualLayout>
      </c:layout>
      <c:bar3DChart>
        <c:barDir val="col"/>
        <c:grouping val="clustered"/>
        <c:ser>
          <c:idx val="0"/>
          <c:order val="0"/>
          <c:tx>
            <c:strRef>
              <c:f>'СИ и НП июль график'!$B$3</c:f>
              <c:strCache>
                <c:ptCount val="1"/>
                <c:pt idx="0">
                  <c:v>СИ за июль 2014 года</c:v>
                </c:pt>
              </c:strCache>
            </c:strRef>
          </c:tx>
          <c:cat>
            <c:strRef>
              <c:f>'СИ и НП июль график'!$A$4:$A$36</c:f>
              <c:strCache>
                <c:ptCount val="33"/>
                <c:pt idx="0">
                  <c:v>Акай</c:v>
                </c:pt>
                <c:pt idx="1">
                  <c:v>Семей</c:v>
                </c:pt>
                <c:pt idx="2">
                  <c:v>санаторий Щучинск</c:v>
                </c:pt>
                <c:pt idx="3">
                  <c:v>Торетам</c:v>
                </c:pt>
                <c:pt idx="4">
                  <c:v>Кокшетау</c:v>
                </c:pt>
                <c:pt idx="5">
                  <c:v>Жанаозен</c:v>
                </c:pt>
                <c:pt idx="6">
                  <c:v>Рудный</c:v>
                </c:pt>
                <c:pt idx="7">
                  <c:v>Караганда</c:v>
                </c:pt>
                <c:pt idx="8">
                  <c:v>Актау</c:v>
                </c:pt>
                <c:pt idx="9">
                  <c:v>Петропавловск</c:v>
                </c:pt>
                <c:pt idx="10">
                  <c:v>Кызылорда</c:v>
                </c:pt>
                <c:pt idx="11">
                  <c:v>Екибастуз</c:v>
                </c:pt>
                <c:pt idx="12">
                  <c:v>Костанай</c:v>
                </c:pt>
                <c:pt idx="13">
                  <c:v>п.Глубокое</c:v>
                </c:pt>
                <c:pt idx="14">
                  <c:v>Туркестан</c:v>
                </c:pt>
                <c:pt idx="15">
                  <c:v>Темиртау</c:v>
                </c:pt>
                <c:pt idx="16">
                  <c:v>Кулсары</c:v>
                </c:pt>
                <c:pt idx="17">
                  <c:v>Зыряновск</c:v>
                </c:pt>
                <c:pt idx="18">
                  <c:v>Риддер</c:v>
                </c:pt>
                <c:pt idx="19">
                  <c:v>Павлодар</c:v>
                </c:pt>
                <c:pt idx="20">
                  <c:v>Аксу</c:v>
                </c:pt>
                <c:pt idx="21">
                  <c:v>Тараз</c:v>
                </c:pt>
                <c:pt idx="22">
                  <c:v>Балхаш</c:v>
                </c:pt>
                <c:pt idx="23">
                  <c:v>Шымкент</c:v>
                </c:pt>
                <c:pt idx="24">
                  <c:v>Атырау</c:v>
                </c:pt>
                <c:pt idx="25">
                  <c:v>Жезказган</c:v>
                </c:pt>
                <c:pt idx="26">
                  <c:v>Аксай</c:v>
                </c:pt>
                <c:pt idx="27">
                  <c:v>Уральск</c:v>
                </c:pt>
                <c:pt idx="28">
                  <c:v>Алматы</c:v>
                </c:pt>
                <c:pt idx="29">
                  <c:v>Усть-Каменогорск</c:v>
                </c:pt>
                <c:pt idx="30">
                  <c:v>Талдыкорган</c:v>
                </c:pt>
                <c:pt idx="31">
                  <c:v>Астана</c:v>
                </c:pt>
                <c:pt idx="32">
                  <c:v>Актобе</c:v>
                </c:pt>
              </c:strCache>
            </c:strRef>
          </c:cat>
          <c:val>
            <c:numRef>
              <c:f>'СИ и НП июль график'!$B$4:$B$36</c:f>
              <c:numCache>
                <c:formatCode>General</c:formatCode>
                <c:ptCount val="33"/>
                <c:pt idx="0">
                  <c:v>0.8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  <c:pt idx="5">
                  <c:v>1.3</c:v>
                </c:pt>
                <c:pt idx="6">
                  <c:v>1.8</c:v>
                </c:pt>
                <c:pt idx="7">
                  <c:v>1.2</c:v>
                </c:pt>
                <c:pt idx="8">
                  <c:v>1.2</c:v>
                </c:pt>
                <c:pt idx="9">
                  <c:v>1.3</c:v>
                </c:pt>
                <c:pt idx="10">
                  <c:v>1.3</c:v>
                </c:pt>
                <c:pt idx="11">
                  <c:v>2</c:v>
                </c:pt>
                <c:pt idx="12">
                  <c:v>2.1</c:v>
                </c:pt>
                <c:pt idx="13">
                  <c:v>2.2999999999999998</c:v>
                </c:pt>
                <c:pt idx="14">
                  <c:v>2.2999999999999998</c:v>
                </c:pt>
                <c:pt idx="15">
                  <c:v>2.6</c:v>
                </c:pt>
                <c:pt idx="16">
                  <c:v>3.3</c:v>
                </c:pt>
                <c:pt idx="17">
                  <c:v>3.5</c:v>
                </c:pt>
                <c:pt idx="18">
                  <c:v>3.8</c:v>
                </c:pt>
                <c:pt idx="19">
                  <c:v>3.8</c:v>
                </c:pt>
                <c:pt idx="20">
                  <c:v>3.9</c:v>
                </c:pt>
                <c:pt idx="21">
                  <c:v>4.5999999999999996</c:v>
                </c:pt>
                <c:pt idx="22">
                  <c:v>4.8</c:v>
                </c:pt>
                <c:pt idx="23">
                  <c:v>2.1</c:v>
                </c:pt>
                <c:pt idx="24">
                  <c:v>3.3</c:v>
                </c:pt>
                <c:pt idx="25">
                  <c:v>3.7</c:v>
                </c:pt>
                <c:pt idx="26">
                  <c:v>5.7</c:v>
                </c:pt>
                <c:pt idx="27">
                  <c:v>7.8</c:v>
                </c:pt>
                <c:pt idx="28">
                  <c:v>4.5999999999999996</c:v>
                </c:pt>
                <c:pt idx="29">
                  <c:v>8</c:v>
                </c:pt>
                <c:pt idx="30">
                  <c:v>10.9</c:v>
                </c:pt>
                <c:pt idx="31">
                  <c:v>14.4</c:v>
                </c:pt>
                <c:pt idx="32">
                  <c:v>25.8</c:v>
                </c:pt>
              </c:numCache>
            </c:numRef>
          </c:val>
        </c:ser>
        <c:shape val="box"/>
        <c:axId val="63239680"/>
        <c:axId val="63241216"/>
        <c:axId val="0"/>
      </c:bar3DChart>
      <c:catAx>
        <c:axId val="63239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3241216"/>
        <c:crosses val="autoZero"/>
        <c:auto val="1"/>
        <c:lblAlgn val="ctr"/>
        <c:lblOffset val="100"/>
      </c:catAx>
      <c:valAx>
        <c:axId val="63241216"/>
        <c:scaling>
          <c:orientation val="minMax"/>
          <c:max val="12"/>
          <c:min val="1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r>
                  <a:rPr lang="ru-RU" sz="1600" b="1">
                    <a:solidFill>
                      <a:schemeClr val="tx1"/>
                    </a:solidFill>
                  </a:rPr>
                  <a:t>СИ</a:t>
                </a:r>
              </a:p>
            </c:rich>
          </c:tx>
          <c:layout>
            <c:manualLayout>
              <c:xMode val="edge"/>
              <c:yMode val="edge"/>
              <c:x val="6.6402883483575703E-2"/>
              <c:y val="1.274585892074495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63239680"/>
        <c:crosses val="autoZero"/>
        <c:crossBetween val="between"/>
        <c:majorUnit val="1"/>
      </c:valAx>
      <c:spPr>
        <a:ln>
          <a:solidFill>
            <a:schemeClr val="accent5">
              <a:lumMod val="40000"/>
              <a:lumOff val="60000"/>
              <a:alpha val="37000"/>
            </a:schemeClr>
          </a:solidFill>
        </a:ln>
        <a:effectLst>
          <a:glow rad="101600">
            <a:schemeClr val="accent1">
              <a:alpha val="40000"/>
            </a:schemeClr>
          </a:glow>
          <a:softEdge rad="63500"/>
        </a:effectLst>
      </c:spPr>
    </c:plotArea>
    <c:legend>
      <c:legendPos val="r"/>
      <c:layout>
        <c:manualLayout>
          <c:xMode val="edge"/>
          <c:yMode val="edge"/>
          <c:x val="0.31197786209871475"/>
          <c:y val="0.90909191375001563"/>
          <c:w val="0.34540419216400253"/>
          <c:h val="7.1770334928229762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5000">
          <a:srgbClr val="00B0F0">
            <a:alpha val="7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  <a:tileRect/>
    </a:gradFill>
    <a:ln>
      <a:solidFill>
        <a:srgbClr val="4BACC6">
          <a:lumMod val="40000"/>
          <a:lumOff val="60000"/>
          <a:alpha val="82000"/>
        </a:srgbClr>
      </a:solidFill>
      <a:bevel/>
    </a:ln>
    <a:effectLst>
      <a:outerShdw blurRad="177800" dir="3000000" sx="72000" sy="72000" algn="ctr" rotWithShape="0">
        <a:srgbClr val="4BACC6">
          <a:lumMod val="40000"/>
          <a:lumOff val="60000"/>
          <a:alpha val="59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НП, % </a:t>
            </a:r>
          </a:p>
        </c:rich>
      </c:tx>
      <c:layout>
        <c:manualLayout>
          <c:xMode val="edge"/>
          <c:yMode val="edge"/>
          <c:x val="1.4056998090815839E-2"/>
          <c:y val="3.99146039759383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4979602947764434E-2"/>
          <c:y val="0.13426455180661745"/>
          <c:w val="0.87734128500924435"/>
          <c:h val="0.62816041848299964"/>
        </c:manualLayout>
      </c:layout>
      <c:lineChart>
        <c:grouping val="standard"/>
        <c:ser>
          <c:idx val="0"/>
          <c:order val="0"/>
          <c:tx>
            <c:strRef>
              <c:f>'СИ и НП июль график'!$B$39</c:f>
              <c:strCache>
                <c:ptCount val="1"/>
                <c:pt idx="0">
                  <c:v>НП, % за июль 2014 года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'СИ и НП июль график'!$A$40:$A$72</c:f>
              <c:strCache>
                <c:ptCount val="33"/>
                <c:pt idx="0">
                  <c:v>Акай</c:v>
                </c:pt>
                <c:pt idx="1">
                  <c:v>Семей</c:v>
                </c:pt>
                <c:pt idx="2">
                  <c:v>санаторий Щучинск</c:v>
                </c:pt>
                <c:pt idx="3">
                  <c:v>Торетам</c:v>
                </c:pt>
                <c:pt idx="4">
                  <c:v>Кокшетау</c:v>
                </c:pt>
                <c:pt idx="5">
                  <c:v>Жанаозен</c:v>
                </c:pt>
                <c:pt idx="6">
                  <c:v>Рудный</c:v>
                </c:pt>
                <c:pt idx="7">
                  <c:v>Караганда</c:v>
                </c:pt>
                <c:pt idx="8">
                  <c:v>Актау</c:v>
                </c:pt>
                <c:pt idx="9">
                  <c:v>Петропавловск</c:v>
                </c:pt>
                <c:pt idx="10">
                  <c:v>Кызылорда</c:v>
                </c:pt>
                <c:pt idx="11">
                  <c:v>Екибастуз</c:v>
                </c:pt>
                <c:pt idx="12">
                  <c:v>Костанай</c:v>
                </c:pt>
                <c:pt idx="13">
                  <c:v>п.Глубокое</c:v>
                </c:pt>
                <c:pt idx="14">
                  <c:v>Туркестан</c:v>
                </c:pt>
                <c:pt idx="15">
                  <c:v>Темиртау</c:v>
                </c:pt>
                <c:pt idx="16">
                  <c:v>Кулсары</c:v>
                </c:pt>
                <c:pt idx="17">
                  <c:v>Зыряновск</c:v>
                </c:pt>
                <c:pt idx="18">
                  <c:v>Риддер</c:v>
                </c:pt>
                <c:pt idx="19">
                  <c:v>Павлодар</c:v>
                </c:pt>
                <c:pt idx="20">
                  <c:v>Аксу</c:v>
                </c:pt>
                <c:pt idx="21">
                  <c:v>Тараз</c:v>
                </c:pt>
                <c:pt idx="22">
                  <c:v>Балхаш</c:v>
                </c:pt>
                <c:pt idx="23">
                  <c:v>Шымкент</c:v>
                </c:pt>
                <c:pt idx="24">
                  <c:v>Атырау</c:v>
                </c:pt>
                <c:pt idx="25">
                  <c:v>Жезказган</c:v>
                </c:pt>
                <c:pt idx="26">
                  <c:v>Аксай</c:v>
                </c:pt>
                <c:pt idx="27">
                  <c:v>Уральск</c:v>
                </c:pt>
                <c:pt idx="28">
                  <c:v>Алматы</c:v>
                </c:pt>
                <c:pt idx="29">
                  <c:v>Усть-Каменогорск</c:v>
                </c:pt>
                <c:pt idx="30">
                  <c:v>Талдыкорган</c:v>
                </c:pt>
                <c:pt idx="31">
                  <c:v>Астана</c:v>
                </c:pt>
                <c:pt idx="32">
                  <c:v>Актобе</c:v>
                </c:pt>
              </c:strCache>
            </c:strRef>
          </c:cat>
          <c:val>
            <c:numRef>
              <c:f>'СИ и НП июль график'!$B$40:$B$72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0.5</c:v>
                </c:pt>
                <c:pt idx="5">
                  <c:v>0.8</c:v>
                </c:pt>
                <c:pt idx="6">
                  <c:v>1</c:v>
                </c:pt>
                <c:pt idx="7">
                  <c:v>1.3</c:v>
                </c:pt>
                <c:pt idx="8">
                  <c:v>7.7</c:v>
                </c:pt>
                <c:pt idx="9">
                  <c:v>1.3</c:v>
                </c:pt>
                <c:pt idx="10">
                  <c:v>3.8</c:v>
                </c:pt>
                <c:pt idx="11">
                  <c:v>4.2</c:v>
                </c:pt>
                <c:pt idx="12">
                  <c:v>3.8</c:v>
                </c:pt>
                <c:pt idx="13">
                  <c:v>2.6</c:v>
                </c:pt>
                <c:pt idx="14">
                  <c:v>3.2</c:v>
                </c:pt>
                <c:pt idx="15">
                  <c:v>14.1</c:v>
                </c:pt>
                <c:pt idx="16">
                  <c:v>0.1</c:v>
                </c:pt>
                <c:pt idx="17">
                  <c:v>0.1</c:v>
                </c:pt>
                <c:pt idx="18">
                  <c:v>6.4</c:v>
                </c:pt>
                <c:pt idx="19">
                  <c:v>10.3</c:v>
                </c:pt>
                <c:pt idx="20">
                  <c:v>0.5</c:v>
                </c:pt>
                <c:pt idx="21">
                  <c:v>16.7</c:v>
                </c:pt>
                <c:pt idx="22">
                  <c:v>19.2</c:v>
                </c:pt>
                <c:pt idx="23">
                  <c:v>26.9</c:v>
                </c:pt>
                <c:pt idx="24">
                  <c:v>28.2</c:v>
                </c:pt>
                <c:pt idx="25">
                  <c:v>39.700000000000003</c:v>
                </c:pt>
                <c:pt idx="26">
                  <c:v>8.9</c:v>
                </c:pt>
                <c:pt idx="27">
                  <c:v>16.8</c:v>
                </c:pt>
                <c:pt idx="28">
                  <c:v>84.6</c:v>
                </c:pt>
                <c:pt idx="29">
                  <c:v>50</c:v>
                </c:pt>
                <c:pt idx="30">
                  <c:v>14.3</c:v>
                </c:pt>
                <c:pt idx="31">
                  <c:v>94.9</c:v>
                </c:pt>
                <c:pt idx="32">
                  <c:v>10.5</c:v>
                </c:pt>
              </c:numCache>
            </c:numRef>
          </c:val>
        </c:ser>
        <c:marker val="1"/>
        <c:axId val="98170752"/>
        <c:axId val="98377728"/>
      </c:lineChart>
      <c:catAx>
        <c:axId val="98170752"/>
        <c:scaling>
          <c:orientation val="minMax"/>
        </c:scaling>
        <c:axPos val="b"/>
        <c:numFmt formatCode="General" sourceLinked="1"/>
        <c:tickLblPos val="nextTo"/>
        <c:crossAx val="98377728"/>
        <c:crosses val="autoZero"/>
        <c:auto val="1"/>
        <c:lblAlgn val="ctr"/>
        <c:lblOffset val="100"/>
      </c:catAx>
      <c:valAx>
        <c:axId val="98377728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  <a:alpha val="96000"/>
                </a:schemeClr>
              </a:solidFill>
            </a:ln>
          </c:spPr>
        </c:majorGridlines>
        <c:numFmt formatCode="General" sourceLinked="1"/>
        <c:tickLblPos val="nextTo"/>
        <c:crossAx val="98170752"/>
        <c:crosses val="autoZero"/>
        <c:crossBetween val="between"/>
        <c:majorUnit val="10"/>
        <c:minorUnit val="10"/>
      </c:valAx>
      <c:spPr>
        <a:solidFill>
          <a:schemeClr val="tx1">
            <a:lumMod val="50000"/>
            <a:lumOff val="50000"/>
            <a:alpha val="0"/>
          </a:schemeClr>
        </a:solidFill>
        <a:ln>
          <a:solidFill>
            <a:srgbClr val="A8D6F6">
              <a:alpha val="37000"/>
            </a:srgbClr>
          </a:solidFill>
        </a:ln>
        <a:effectLst>
          <a:glow rad="101600">
            <a:srgbClr val="0070C0">
              <a:alpha val="40000"/>
            </a:srgbClr>
          </a:glow>
          <a:softEdge rad="63500"/>
        </a:effectLst>
      </c:spPr>
    </c:plotArea>
    <c:legend>
      <c:legendPos val="r"/>
      <c:layout>
        <c:manualLayout>
          <c:xMode val="edge"/>
          <c:yMode val="edge"/>
          <c:x val="0.34123669868109324"/>
          <c:y val="0.92505946326087385"/>
          <c:w val="0.40137928516932686"/>
          <c:h val="7.1770334928229734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15000">
          <a:srgbClr val="00B0F0">
            <a:alpha val="74000"/>
            <a:lumMod val="10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</a:gradFill>
    <a:ln>
      <a:solidFill>
        <a:schemeClr val="accent5">
          <a:lumMod val="40000"/>
          <a:lumOff val="60000"/>
          <a:alpha val="82000"/>
        </a:schemeClr>
      </a:solidFill>
      <a:bevel/>
    </a:ln>
    <a:effectLst>
      <a:innerShdw blurRad="914400" dist="635000" dir="840000">
        <a:srgbClr val="A8D6F6">
          <a:alpha val="59000"/>
        </a:srgb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564"/>
          <c:y val="2.045560204556025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Июль 2014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Лист1!$A$3:$A$71</c:f>
              <c:strCache>
                <c:ptCount val="69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Шароновка (Атырауская)</c:v>
                </c:pt>
                <c:pt idx="12">
                  <c:v>р.Кигач (Атырауская)</c:v>
                </c:pt>
                <c:pt idx="13">
                  <c:v>р.Урал (Атырауская)</c:v>
                </c:pt>
                <c:pt idx="14">
                  <c:v>р. Эмба (Атырауская)</c:v>
                </c:pt>
                <c:pt idx="15">
                  <c:v>р.Урал (ЗКО)</c:v>
                </c:pt>
                <c:pt idx="16">
                  <c:v>р.Чаган (ЗКО)</c:v>
                </c:pt>
                <c:pt idx="17">
                  <c:v>р.Деркул (ЗКО)</c:v>
                </c:pt>
                <c:pt idx="18">
                  <c:v>р.Илек (Актюбинская)</c:v>
                </c:pt>
                <c:pt idx="19">
                  <c:v>р. Орь (Актюбинская)</c:v>
                </c:pt>
                <c:pt idx="20">
                  <c:v>р. Эмба (Актюбинская)</c:v>
                </c:pt>
                <c:pt idx="21">
                  <c:v>р. Темир (Актюбинская)</c:v>
                </c:pt>
                <c:pt idx="22">
                  <c:v>р. Карагала (Актюбинская)</c:v>
                </c:pt>
                <c:pt idx="23">
                  <c:v>р. Косестек(Актюбинская)</c:v>
                </c:pt>
                <c:pt idx="24">
                  <c:v>р. Иргиз (Актюбинская)</c:v>
                </c:pt>
                <c:pt idx="25">
                  <c:v>р. Карахобда (Актюбинская)</c:v>
                </c:pt>
                <c:pt idx="26">
                  <c:v>р. Большая Хобда  (Актюбинская)</c:v>
                </c:pt>
                <c:pt idx="27">
                  <c:v>р. Уил  (Актюбинская)</c:v>
                </c:pt>
                <c:pt idx="28">
                  <c:v>р. Актосты  (Актюбинская)</c:v>
                </c:pt>
                <c:pt idx="29">
                  <c:v>р.Тобол (Костанайская)</c:v>
                </c:pt>
                <c:pt idx="30">
                  <c:v>р.Аят (Костанайская)</c:v>
                </c:pt>
                <c:pt idx="31">
                  <c:v>р.Тогызак  (Костанайская)</c:v>
                </c:pt>
                <c:pt idx="32">
                  <c:v>р.Есиль (СКО)</c:v>
                </c:pt>
                <c:pt idx="33">
                  <c:v>р.Есиль (Акмолинская)</c:v>
                </c:pt>
                <c:pt idx="34">
                  <c:v>р.Кеттыбулак (Акмолинская)</c:v>
                </c:pt>
                <c:pt idx="35">
                  <c:v>р.Ак-Булак (г.Астана)</c:v>
                </c:pt>
                <c:pt idx="36">
                  <c:v>р.Сары-Булак (г.Астана)</c:v>
                </c:pt>
                <c:pt idx="37">
                  <c:v>р. Жабай (Акмолинская)</c:v>
                </c:pt>
                <c:pt idx="38">
                  <c:v>р.Нура (Акмолинская)</c:v>
                </c:pt>
                <c:pt idx="39">
                  <c:v>р.Нура (Карагандинская)</c:v>
                </c:pt>
                <c:pt idx="40">
                  <c:v>р.Шерубайнура (Карагандинская)</c:v>
                </c:pt>
                <c:pt idx="41">
                  <c:v>р.Иле (Алматинская)</c:v>
                </c:pt>
                <c:pt idx="42">
                  <c:v>р.Текес (Алматинская)</c:v>
                </c:pt>
                <c:pt idx="43">
                  <c:v>р.Коргас (Алматинская)</c:v>
                </c:pt>
                <c:pt idx="44">
                  <c:v>р.Киши Алматы (г.Алматы)</c:v>
                </c:pt>
                <c:pt idx="45">
                  <c:v>р.Есентай (г.Алматы)</c:v>
                </c:pt>
                <c:pt idx="46">
                  <c:v>р.Улькен Алматы (г.Алматы)</c:v>
                </c:pt>
                <c:pt idx="47">
                  <c:v>р. Шилик (Алматинская)</c:v>
                </c:pt>
                <c:pt idx="48">
                  <c:v>р. Шарын (Алматинская)</c:v>
                </c:pt>
                <c:pt idx="49">
                  <c:v>р. Баянкол ( Алматинская)</c:v>
                </c:pt>
                <c:pt idx="50">
                  <c:v>р. Каскелен ( Алматинская)</c:v>
                </c:pt>
                <c:pt idx="51">
                  <c:v>р. Каркара ( Алматинская)</c:v>
                </c:pt>
                <c:pt idx="52">
                  <c:v>р. Есик ( Алматинская)</c:v>
                </c:pt>
                <c:pt idx="53">
                  <c:v>р. Турген ( Алматинская)</c:v>
                </c:pt>
                <c:pt idx="54">
                  <c:v>р. Талгар ( Алматинская)</c:v>
                </c:pt>
                <c:pt idx="55">
                  <c:v>р. Темирлик ( Алматинская)</c:v>
                </c:pt>
                <c:pt idx="56">
                  <c:v>р.Талас (Жамбылская)</c:v>
                </c:pt>
                <c:pt idx="57">
                  <c:v>р.Шу (Жамбылская)</c:v>
                </c:pt>
                <c:pt idx="58">
                  <c:v>р.Асса (Жамбылская)</c:v>
                </c:pt>
                <c:pt idx="59">
                  <c:v>р.Аксу (Жамбылская)</c:v>
                </c:pt>
                <c:pt idx="60">
                  <c:v>р.Карабалты (Жамбылская)</c:v>
                </c:pt>
                <c:pt idx="61">
                  <c:v>р.Токташ (Жамбылская)</c:v>
                </c:pt>
                <c:pt idx="62">
                  <c:v>р.Саргоу (Жамбылская)</c:v>
                </c:pt>
                <c:pt idx="63">
                  <c:v>р.Келес (ЮКО)</c:v>
                </c:pt>
                <c:pt idx="64">
                  <c:v>р.Бадам (ЮКО)</c:v>
                </c:pt>
                <c:pt idx="65">
                  <c:v>р. Каттабугунь (ЮКО)</c:v>
                </c:pt>
                <c:pt idx="66">
                  <c:v>р.Арыс (ЮКО)</c:v>
                </c:pt>
                <c:pt idx="67">
                  <c:v>р.Сырдарья (ЮКО)</c:v>
                </c:pt>
                <c:pt idx="68">
                  <c:v>р.Сырдарья (Кызылординская)</c:v>
                </c:pt>
              </c:strCache>
            </c:strRef>
          </c:cat>
          <c:val>
            <c:numRef>
              <c:f>Лист1!$B$3:$B$71</c:f>
              <c:numCache>
                <c:formatCode>General</c:formatCode>
                <c:ptCount val="69"/>
                <c:pt idx="0">
                  <c:v>0.78</c:v>
                </c:pt>
                <c:pt idx="1">
                  <c:v>0.99</c:v>
                </c:pt>
                <c:pt idx="2">
                  <c:v>1.08</c:v>
                </c:pt>
                <c:pt idx="3">
                  <c:v>0.7600000000000009</c:v>
                </c:pt>
                <c:pt idx="4">
                  <c:v>1.9600000000000015</c:v>
                </c:pt>
                <c:pt idx="5">
                  <c:v>2.9</c:v>
                </c:pt>
                <c:pt idx="6">
                  <c:v>1.9200000000000015</c:v>
                </c:pt>
                <c:pt idx="7">
                  <c:v>2.5099999999999998</c:v>
                </c:pt>
                <c:pt idx="8">
                  <c:v>6.7</c:v>
                </c:pt>
                <c:pt idx="9">
                  <c:v>0.55000000000000004</c:v>
                </c:pt>
                <c:pt idx="10">
                  <c:v>1.52</c:v>
                </c:pt>
                <c:pt idx="11">
                  <c:v>1.04</c:v>
                </c:pt>
                <c:pt idx="12">
                  <c:v>1.04</c:v>
                </c:pt>
                <c:pt idx="13">
                  <c:v>1.07</c:v>
                </c:pt>
                <c:pt idx="14">
                  <c:v>1.02</c:v>
                </c:pt>
                <c:pt idx="15">
                  <c:v>0.86000000000000065</c:v>
                </c:pt>
                <c:pt idx="16">
                  <c:v>1.1800000000000015</c:v>
                </c:pt>
                <c:pt idx="17">
                  <c:v>1.1399999999999983</c:v>
                </c:pt>
                <c:pt idx="18">
                  <c:v>4.4000000000000004</c:v>
                </c:pt>
                <c:pt idx="19">
                  <c:v>3.1</c:v>
                </c:pt>
                <c:pt idx="20">
                  <c:v>2.8899999999999997</c:v>
                </c:pt>
                <c:pt idx="21">
                  <c:v>2.7800000000000002</c:v>
                </c:pt>
                <c:pt idx="22">
                  <c:v>3.15</c:v>
                </c:pt>
                <c:pt idx="23">
                  <c:v>5.73</c:v>
                </c:pt>
                <c:pt idx="24">
                  <c:v>3.67</c:v>
                </c:pt>
                <c:pt idx="25">
                  <c:v>3.72</c:v>
                </c:pt>
                <c:pt idx="26">
                  <c:v>4.01</c:v>
                </c:pt>
                <c:pt idx="27">
                  <c:v>6.28</c:v>
                </c:pt>
                <c:pt idx="28">
                  <c:v>3.54</c:v>
                </c:pt>
                <c:pt idx="29">
                  <c:v>8.6399999999999988</c:v>
                </c:pt>
                <c:pt idx="30">
                  <c:v>0.89</c:v>
                </c:pt>
                <c:pt idx="31">
                  <c:v>4.3599999999999985</c:v>
                </c:pt>
                <c:pt idx="32">
                  <c:v>1.08</c:v>
                </c:pt>
                <c:pt idx="33">
                  <c:v>1.3900000000000001</c:v>
                </c:pt>
                <c:pt idx="34">
                  <c:v>2.19</c:v>
                </c:pt>
                <c:pt idx="35">
                  <c:v>2.7800000000000002</c:v>
                </c:pt>
                <c:pt idx="36">
                  <c:v>3.51</c:v>
                </c:pt>
                <c:pt idx="37">
                  <c:v>2.94</c:v>
                </c:pt>
                <c:pt idx="38">
                  <c:v>1.8</c:v>
                </c:pt>
                <c:pt idx="39">
                  <c:v>5.9</c:v>
                </c:pt>
                <c:pt idx="40">
                  <c:v>21.1</c:v>
                </c:pt>
                <c:pt idx="41">
                  <c:v>1.5</c:v>
                </c:pt>
                <c:pt idx="42">
                  <c:v>1.7</c:v>
                </c:pt>
                <c:pt idx="43">
                  <c:v>2.29</c:v>
                </c:pt>
                <c:pt idx="44">
                  <c:v>1.37</c:v>
                </c:pt>
                <c:pt idx="45">
                  <c:v>1.61</c:v>
                </c:pt>
                <c:pt idx="46">
                  <c:v>1.1599999999999984</c:v>
                </c:pt>
                <c:pt idx="47">
                  <c:v>0.9</c:v>
                </c:pt>
                <c:pt idx="48">
                  <c:v>0.92</c:v>
                </c:pt>
                <c:pt idx="49">
                  <c:v>1.6500000000000001</c:v>
                </c:pt>
                <c:pt idx="50">
                  <c:v>1.71</c:v>
                </c:pt>
                <c:pt idx="51">
                  <c:v>0.86000000000000065</c:v>
                </c:pt>
                <c:pt idx="52">
                  <c:v>1.25</c:v>
                </c:pt>
                <c:pt idx="53">
                  <c:v>0.7600000000000009</c:v>
                </c:pt>
                <c:pt idx="54">
                  <c:v>1.72</c:v>
                </c:pt>
                <c:pt idx="55">
                  <c:v>0.94000000000000061</c:v>
                </c:pt>
                <c:pt idx="56">
                  <c:v>1.48</c:v>
                </c:pt>
                <c:pt idx="57">
                  <c:v>1.79</c:v>
                </c:pt>
                <c:pt idx="58">
                  <c:v>1.05</c:v>
                </c:pt>
                <c:pt idx="59">
                  <c:v>1.79</c:v>
                </c:pt>
                <c:pt idx="60">
                  <c:v>3.12</c:v>
                </c:pt>
                <c:pt idx="61">
                  <c:v>2.5299999999999998</c:v>
                </c:pt>
                <c:pt idx="62">
                  <c:v>2.2200000000000002</c:v>
                </c:pt>
                <c:pt idx="63">
                  <c:v>2.69</c:v>
                </c:pt>
                <c:pt idx="64">
                  <c:v>1.35</c:v>
                </c:pt>
                <c:pt idx="65">
                  <c:v>0.87000000000000077</c:v>
                </c:pt>
                <c:pt idx="66">
                  <c:v>2.09</c:v>
                </c:pt>
                <c:pt idx="67">
                  <c:v>2.58</c:v>
                </c:pt>
                <c:pt idx="68">
                  <c:v>1.72</c:v>
                </c:pt>
              </c:numCache>
            </c:numRef>
          </c:val>
        </c:ser>
        <c:axId val="113233920"/>
        <c:axId val="113879680"/>
      </c:barChart>
      <c:catAx>
        <c:axId val="113233920"/>
        <c:scaling>
          <c:orientation val="minMax"/>
        </c:scaling>
        <c:axPos val="l"/>
        <c:numFmt formatCode="General" sourceLinked="0"/>
        <c:tickLblPos val="nextTo"/>
        <c:crossAx val="113879680"/>
        <c:crosses val="autoZero"/>
        <c:auto val="1"/>
        <c:lblAlgn val="ctr"/>
        <c:lblOffset val="100"/>
      </c:catAx>
      <c:valAx>
        <c:axId val="113879680"/>
        <c:scaling>
          <c:orientation val="minMax"/>
        </c:scaling>
        <c:axPos val="b"/>
        <c:majorGridlines/>
        <c:numFmt formatCode="General" sourceLinked="1"/>
        <c:tickLblPos val="nextTo"/>
        <c:crossAx val="11323392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88"/>
          <c:y val="0.96975618481291836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535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v>Июль 2014 г. (адм. область)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Лист1!$A$113:$A$141</c:f>
              <c:strCache>
                <c:ptCount val="29"/>
                <c:pt idx="0">
                  <c:v>вдхр. Усть-Каменогорское (ВКО)</c:v>
                </c:pt>
                <c:pt idx="1">
                  <c:v>вдхр. Буктырма (ВКО)</c:v>
                </c:pt>
                <c:pt idx="2">
                  <c:v>вдхр. Сергеевское  (СКО)</c:v>
                </c:pt>
                <c:pt idx="3">
                  <c:v>вдхр. Бартогай (Алматинская)</c:v>
                </c:pt>
                <c:pt idx="4">
                  <c:v>вдхр. Куртинское (Алматинская)</c:v>
                </c:pt>
                <c:pt idx="5">
                  <c:v>вдхр Астанинское (Акмолинская)</c:v>
                </c:pt>
                <c:pt idx="6">
                  <c:v>вдхр Кенгирское (Карагандинская)</c:v>
                </c:pt>
                <c:pt idx="7">
                  <c:v>вдхр Самаркандское (Карагандинская)</c:v>
                </c:pt>
                <c:pt idx="8">
                  <c:v>вдхр Капшагай (Алматинская)</c:v>
                </c:pt>
                <c:pt idx="9">
                  <c:v>вдхр Шардаринское (ЮКО)</c:v>
                </c:pt>
                <c:pt idx="10">
                  <c:v>оз.Султанкельды  (Акмолинская)</c:v>
                </c:pt>
                <c:pt idx="11">
                  <c:v>оз. Зеренда (Акмолинская)</c:v>
                </c:pt>
                <c:pt idx="12">
                  <c:v>оз.Бурабай (Акмолинская)</c:v>
                </c:pt>
                <c:pt idx="13">
                  <c:v>оз.Улькен Шабакты (Акмолинская)</c:v>
                </c:pt>
                <c:pt idx="14">
                  <c:v>оз.Шортан (Акмолинская)</c:v>
                </c:pt>
                <c:pt idx="15">
                  <c:v>оз.Киши Шабакты (Акмолинская)</c:v>
                </c:pt>
                <c:pt idx="16">
                  <c:v>оз.Карасье (Акмолинская)</c:v>
                </c:pt>
                <c:pt idx="17">
                  <c:v>оз. Улькен Алматы (Алматинская)</c:v>
                </c:pt>
                <c:pt idx="18">
                  <c:v>оз. Балкаш (Карагандинская)</c:v>
                </c:pt>
                <c:pt idx="19">
                  <c:v>оз. Шалкар (Актюбинская)</c:v>
                </c:pt>
                <c:pt idx="20">
                  <c:v>оз.Шалкар (ЗКО)</c:v>
                </c:pt>
                <c:pt idx="21">
                  <c:v>оз. Сулуколь (Акмолинская)</c:v>
                </c:pt>
                <c:pt idx="22">
                  <c:v>оз.Копа  (Акмолинская)</c:v>
                </c:pt>
                <c:pt idx="23">
                  <c:v>кан Нура-Есиль (Акмолинская)</c:v>
                </c:pt>
                <c:pt idx="24">
                  <c:v>кан Кушум (ЗКО)</c:v>
                </c:pt>
                <c:pt idx="25">
                  <c:v>канал Ертис-Караганда</c:v>
                </c:pt>
                <c:pt idx="26">
                  <c:v>оз.Бийликоль (Жамбылская)</c:v>
                </c:pt>
                <c:pt idx="27">
                  <c:v>море Малый Арал</c:v>
                </c:pt>
                <c:pt idx="28">
                  <c:v>Каспийское море</c:v>
                </c:pt>
              </c:strCache>
            </c:strRef>
          </c:cat>
          <c:val>
            <c:numRef>
              <c:f>Лист1!$B$113:$B$141</c:f>
              <c:numCache>
                <c:formatCode>General</c:formatCode>
                <c:ptCount val="29"/>
                <c:pt idx="0">
                  <c:v>0.56000000000000005</c:v>
                </c:pt>
                <c:pt idx="1">
                  <c:v>0.67000000000000104</c:v>
                </c:pt>
                <c:pt idx="2">
                  <c:v>1.1700000000000015</c:v>
                </c:pt>
                <c:pt idx="3">
                  <c:v>1.1200000000000001</c:v>
                </c:pt>
                <c:pt idx="4">
                  <c:v>1.86</c:v>
                </c:pt>
                <c:pt idx="5">
                  <c:v>1.1700000000000015</c:v>
                </c:pt>
                <c:pt idx="6">
                  <c:v>5.2700000000000014</c:v>
                </c:pt>
                <c:pt idx="7">
                  <c:v>4.68</c:v>
                </c:pt>
                <c:pt idx="8">
                  <c:v>1.1399999999999983</c:v>
                </c:pt>
                <c:pt idx="9">
                  <c:v>2.7</c:v>
                </c:pt>
                <c:pt idx="10">
                  <c:v>3.34</c:v>
                </c:pt>
                <c:pt idx="11">
                  <c:v>2.2000000000000002</c:v>
                </c:pt>
                <c:pt idx="12">
                  <c:v>3.15</c:v>
                </c:pt>
                <c:pt idx="13">
                  <c:v>3.36</c:v>
                </c:pt>
                <c:pt idx="14">
                  <c:v>2.5299999999999998</c:v>
                </c:pt>
                <c:pt idx="15">
                  <c:v>5.42</c:v>
                </c:pt>
                <c:pt idx="16">
                  <c:v>1.1100000000000001</c:v>
                </c:pt>
                <c:pt idx="17">
                  <c:v>1.29</c:v>
                </c:pt>
                <c:pt idx="18">
                  <c:v>1.6400000000000001</c:v>
                </c:pt>
                <c:pt idx="19">
                  <c:v>3.44</c:v>
                </c:pt>
                <c:pt idx="20">
                  <c:v>3.82</c:v>
                </c:pt>
                <c:pt idx="21">
                  <c:v>1.9300000000000015</c:v>
                </c:pt>
                <c:pt idx="22">
                  <c:v>2.96</c:v>
                </c:pt>
                <c:pt idx="23">
                  <c:v>2.1</c:v>
                </c:pt>
                <c:pt idx="24">
                  <c:v>0.86000000000000065</c:v>
                </c:pt>
                <c:pt idx="25">
                  <c:v>3.06</c:v>
                </c:pt>
                <c:pt idx="26">
                  <c:v>4.8499999999999996</c:v>
                </c:pt>
                <c:pt idx="27">
                  <c:v>1.57</c:v>
                </c:pt>
                <c:pt idx="28">
                  <c:v>0.84000000000000064</c:v>
                </c:pt>
              </c:numCache>
            </c:numRef>
          </c:val>
        </c:ser>
        <c:axId val="148888960"/>
        <c:axId val="63214720"/>
      </c:barChart>
      <c:catAx>
        <c:axId val="14888896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3214720"/>
        <c:crosses val="autoZero"/>
        <c:auto val="1"/>
        <c:lblAlgn val="ctr"/>
        <c:lblOffset val="100"/>
      </c:catAx>
      <c:valAx>
        <c:axId val="63214720"/>
        <c:scaling>
          <c:orientation val="minMax"/>
        </c:scaling>
        <c:axPos val="b"/>
        <c:majorGridlines/>
        <c:numFmt formatCode="General" sourceLinked="1"/>
        <c:tickLblPos val="nextTo"/>
        <c:crossAx val="14888896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844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Лист1!$A$90</c:f>
              <c:strCache>
                <c:ptCount val="1"/>
                <c:pt idx="0">
                  <c:v>р.Кара-Кенгир (Карагандинская)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88888888888893E-2"/>
                  <c:y val="-6.944444444444450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444444444444445E-2"/>
                  <c:y val="-6.481517935258092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Лист1!$B$89:$D$89</c:f>
              <c:strCache>
                <c:ptCount val="3"/>
                <c:pt idx="0">
                  <c:v>июль 2013 г.</c:v>
                </c:pt>
                <c:pt idx="1">
                  <c:v>июнь 2014 г.</c:v>
                </c:pt>
                <c:pt idx="2">
                  <c:v>июль 2014 г.</c:v>
                </c:pt>
              </c:strCache>
            </c:strRef>
          </c:cat>
          <c:val>
            <c:numRef>
              <c:f>Лист1!$B$90:$D$90</c:f>
              <c:numCache>
                <c:formatCode>0.00</c:formatCode>
                <c:ptCount val="3"/>
                <c:pt idx="0">
                  <c:v>5.5</c:v>
                </c:pt>
                <c:pt idx="1">
                  <c:v>5.6</c:v>
                </c:pt>
                <c:pt idx="2" formatCode="General">
                  <c:v>177.9</c:v>
                </c:pt>
              </c:numCache>
            </c:numRef>
          </c:val>
        </c:ser>
        <c:shape val="box"/>
        <c:axId val="63231872"/>
        <c:axId val="63233408"/>
        <c:axId val="0"/>
      </c:bar3DChart>
      <c:catAx>
        <c:axId val="63231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33408"/>
        <c:crosses val="autoZero"/>
        <c:auto val="1"/>
        <c:lblAlgn val="ctr"/>
        <c:lblOffset val="100"/>
      </c:catAx>
      <c:valAx>
        <c:axId val="63233408"/>
        <c:scaling>
          <c:orientation val="minMax"/>
        </c:scaling>
        <c:axPos val="l"/>
        <c:majorGridlines>
          <c:spPr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</c:majorGridlines>
        <c:numFmt formatCode="0.00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31872"/>
        <c:crosses val="autoZero"/>
        <c:crossBetween val="between"/>
      </c:valAx>
    </c:plotArea>
    <c:plotVisOnly val="1"/>
  </c:chart>
  <c:spPr>
    <a:solidFill>
      <a:schemeClr val="tx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ortbayeva_a</cp:lastModifiedBy>
  <cp:revision>4</cp:revision>
  <cp:lastPrinted>2014-08-18T08:57:00Z</cp:lastPrinted>
  <dcterms:created xsi:type="dcterms:W3CDTF">2014-07-17T10:35:00Z</dcterms:created>
  <dcterms:modified xsi:type="dcterms:W3CDTF">2014-08-18T08:58:00Z</dcterms:modified>
</cp:coreProperties>
</file>