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6C" w:rsidRPr="005E261F" w:rsidRDefault="009B316C" w:rsidP="009B316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  <w:r w:rsidRPr="005E261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 xml:space="preserve">Қазақстан Республикасының 2014 жылғы </w:t>
      </w:r>
    </w:p>
    <w:p w:rsidR="009B316C" w:rsidRDefault="00DB7604" w:rsidP="009B316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>тамыз</w:t>
      </w:r>
      <w:r w:rsidR="009B316C" w:rsidRPr="005E261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 xml:space="preserve"> айындағы қоршаған орта жай-күйі</w:t>
      </w:r>
    </w:p>
    <w:p w:rsidR="009B316C" w:rsidRPr="005E261F" w:rsidRDefault="009B316C" w:rsidP="009B316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</w:p>
    <w:p w:rsidR="00862D8A" w:rsidRDefault="00552036">
      <w:pPr>
        <w:rPr>
          <w:lang w:val="kk-KZ"/>
        </w:rPr>
      </w:pPr>
      <w:r>
        <w:rPr>
          <w:noProof/>
        </w:rPr>
        <w:drawing>
          <wp:inline distT="0" distB="0" distL="0" distR="0">
            <wp:extent cx="5939790" cy="4451985"/>
            <wp:effectExtent l="0" t="0" r="0" b="0"/>
            <wp:docPr id="6" name="Рисунок 6" descr="C:\Users\akanova_g\Pictures\31_08_2014-21_31_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akanova_g\Pictures\31_08_2014-21_31_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16C" w:rsidRDefault="009B316C" w:rsidP="009B316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5E26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>Атмосфералық ауа ластануының жай-күйі</w:t>
      </w:r>
    </w:p>
    <w:p w:rsidR="009B316C" w:rsidRPr="005E261F" w:rsidRDefault="009B316C" w:rsidP="009B316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9B316C" w:rsidRPr="005E261F" w:rsidRDefault="009B316C" w:rsidP="009B3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5E261F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en-US" w:bidi="en-US"/>
        </w:rPr>
        <w:t>Атмосфералық ауа ластануыныңжалпы бағалауы</w:t>
      </w:r>
    </w:p>
    <w:p w:rsidR="009B316C" w:rsidRPr="005E261F" w:rsidRDefault="009B316C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E261F">
        <w:rPr>
          <w:rFonts w:ascii="Times New Roman" w:hAnsi="Times New Roman"/>
          <w:bCs/>
          <w:sz w:val="28"/>
          <w:szCs w:val="28"/>
          <w:lang w:val="kk-KZ"/>
        </w:rPr>
        <w:t xml:space="preserve">СИ және 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ЕҮҚ есептеулеріне сәйкес, 2014 жылдың </w:t>
      </w:r>
      <w:r w:rsidR="00DB7604">
        <w:rPr>
          <w:rFonts w:ascii="Times New Roman" w:hAnsi="Times New Roman"/>
          <w:sz w:val="28"/>
          <w:szCs w:val="28"/>
          <w:lang w:val="kk-KZ"/>
        </w:rPr>
        <w:t>тамыз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 айында </w:t>
      </w:r>
      <w:r w:rsidRPr="005E261F">
        <w:rPr>
          <w:rFonts w:ascii="Times New Roman" w:hAnsi="Times New Roman"/>
          <w:i/>
          <w:sz w:val="28"/>
          <w:szCs w:val="28"/>
          <w:lang w:val="kk-KZ"/>
        </w:rPr>
        <w:t>ең жоғарғы ластану деңгейі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 5 қалада (</w:t>
      </w:r>
      <w:r w:rsidRPr="005E261F">
        <w:rPr>
          <w:rFonts w:ascii="Times New Roman" w:hAnsi="Times New Roman"/>
          <w:bCs/>
          <w:sz w:val="28"/>
          <w:szCs w:val="28"/>
          <w:lang w:val="kk-KZ"/>
        </w:rPr>
        <w:t xml:space="preserve">СИ – 10 жоғары,  </w:t>
      </w:r>
      <w:r w:rsidRPr="005E261F">
        <w:rPr>
          <w:rFonts w:ascii="Times New Roman" w:hAnsi="Times New Roman"/>
          <w:sz w:val="28"/>
          <w:szCs w:val="28"/>
          <w:lang w:val="kk-KZ"/>
        </w:rPr>
        <w:t>ЕҮҚ - 50</w:t>
      </w:r>
      <w:r w:rsidRPr="005E261F">
        <w:rPr>
          <w:rFonts w:ascii="Times New Roman" w:hAnsi="Times New Roman"/>
          <w:iCs/>
          <w:sz w:val="28"/>
          <w:szCs w:val="28"/>
          <w:lang w:val="kk-KZ"/>
        </w:rPr>
        <w:t>%</w:t>
      </w:r>
      <w:r w:rsidRPr="005E261F">
        <w:rPr>
          <w:rFonts w:ascii="Times New Roman" w:hAnsi="Times New Roman"/>
          <w:bCs/>
          <w:sz w:val="28"/>
          <w:szCs w:val="28"/>
          <w:lang w:val="kk-KZ"/>
        </w:rPr>
        <w:t>жоғары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): Алматы, Өскемен, </w:t>
      </w:r>
      <w:r w:rsidR="00DB7604">
        <w:rPr>
          <w:rFonts w:ascii="Times New Roman" w:hAnsi="Times New Roman"/>
          <w:sz w:val="28"/>
          <w:szCs w:val="28"/>
          <w:lang w:val="kk-KZ"/>
        </w:rPr>
        <w:t>Ақай</w:t>
      </w:r>
      <w:r w:rsidR="00AE3857">
        <w:rPr>
          <w:rFonts w:ascii="Times New Roman" w:hAnsi="Times New Roman"/>
          <w:sz w:val="28"/>
          <w:szCs w:val="28"/>
          <w:lang w:val="kk-KZ"/>
        </w:rPr>
        <w:t xml:space="preserve"> к.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756A1C">
        <w:rPr>
          <w:rFonts w:ascii="Times New Roman" w:hAnsi="Times New Roman"/>
          <w:sz w:val="28"/>
          <w:szCs w:val="28"/>
          <w:lang w:val="kk-KZ"/>
        </w:rPr>
        <w:t xml:space="preserve">Ақтөбе, </w:t>
      </w:r>
      <w:r>
        <w:rPr>
          <w:rFonts w:ascii="Times New Roman" w:hAnsi="Times New Roman"/>
          <w:sz w:val="28"/>
          <w:szCs w:val="28"/>
          <w:lang w:val="kk-KZ"/>
        </w:rPr>
        <w:t xml:space="preserve">Астанада 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байқалған. </w:t>
      </w:r>
    </w:p>
    <w:p w:rsidR="009B316C" w:rsidRPr="005E261F" w:rsidRDefault="009B316C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E261F">
        <w:rPr>
          <w:rFonts w:ascii="Times New Roman" w:hAnsi="Times New Roman"/>
          <w:i/>
          <w:sz w:val="28"/>
          <w:szCs w:val="28"/>
          <w:lang w:val="kk-KZ"/>
        </w:rPr>
        <w:t xml:space="preserve">Жоғарғы ластану деңгейімен </w:t>
      </w:r>
      <w:r w:rsidRPr="005E261F">
        <w:rPr>
          <w:rFonts w:ascii="Times New Roman" w:hAnsi="Times New Roman"/>
          <w:sz w:val="28"/>
          <w:szCs w:val="28"/>
          <w:lang w:val="kk-KZ"/>
        </w:rPr>
        <w:t>(</w:t>
      </w:r>
      <w:r w:rsidRPr="005E261F">
        <w:rPr>
          <w:rFonts w:ascii="Times New Roman" w:hAnsi="Times New Roman"/>
          <w:bCs/>
          <w:sz w:val="28"/>
          <w:szCs w:val="28"/>
          <w:lang w:val="kk-KZ"/>
        </w:rPr>
        <w:t xml:space="preserve">СИ – 5-10,  </w:t>
      </w:r>
      <w:r w:rsidRPr="005E261F">
        <w:rPr>
          <w:rFonts w:ascii="Times New Roman" w:hAnsi="Times New Roman"/>
          <w:sz w:val="28"/>
          <w:szCs w:val="28"/>
          <w:lang w:val="kk-KZ"/>
        </w:rPr>
        <w:t>ЕҮҚ – 20-49</w:t>
      </w:r>
      <w:r w:rsidRPr="005E261F">
        <w:rPr>
          <w:rFonts w:ascii="Times New Roman" w:hAnsi="Times New Roman"/>
          <w:iCs/>
          <w:sz w:val="28"/>
          <w:szCs w:val="28"/>
          <w:lang w:val="kk-KZ"/>
        </w:rPr>
        <w:t>%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DB7604">
        <w:rPr>
          <w:rFonts w:ascii="Times New Roman" w:hAnsi="Times New Roman"/>
          <w:sz w:val="28"/>
          <w:szCs w:val="28"/>
          <w:lang w:val="kk-KZ"/>
        </w:rPr>
        <w:t xml:space="preserve">Теміртау, Зырян, Талдықорған, </w:t>
      </w:r>
      <w:r w:rsidR="00756A1C">
        <w:rPr>
          <w:rFonts w:ascii="Times New Roman" w:hAnsi="Times New Roman"/>
          <w:sz w:val="28"/>
          <w:szCs w:val="28"/>
          <w:lang w:val="kk-KZ"/>
        </w:rPr>
        <w:t>Атырау,</w:t>
      </w:r>
      <w:r w:rsidR="00DB7604">
        <w:rPr>
          <w:rFonts w:ascii="Times New Roman" w:hAnsi="Times New Roman"/>
          <w:sz w:val="28"/>
          <w:szCs w:val="28"/>
          <w:lang w:val="kk-KZ"/>
        </w:rPr>
        <w:t xml:space="preserve"> Тараз, Балқаш,</w:t>
      </w:r>
      <w:r w:rsidRPr="005E261F">
        <w:rPr>
          <w:rFonts w:ascii="Times New Roman" w:hAnsi="Times New Roman"/>
          <w:sz w:val="28"/>
          <w:szCs w:val="28"/>
          <w:lang w:val="kk-KZ"/>
        </w:rPr>
        <w:t>Жезқазған қалалары сипатталады.</w:t>
      </w:r>
    </w:p>
    <w:p w:rsidR="009B316C" w:rsidRPr="00D00DC7" w:rsidRDefault="009B316C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00DC7">
        <w:rPr>
          <w:rFonts w:ascii="Times New Roman" w:hAnsi="Times New Roman"/>
          <w:i/>
          <w:sz w:val="28"/>
          <w:szCs w:val="28"/>
          <w:lang w:val="kk-KZ"/>
        </w:rPr>
        <w:t>Орташа ластану деңгейіне</w:t>
      </w:r>
      <w:r w:rsidRPr="00D00DC7">
        <w:rPr>
          <w:rFonts w:ascii="Times New Roman" w:hAnsi="Times New Roman"/>
          <w:sz w:val="28"/>
          <w:szCs w:val="28"/>
          <w:lang w:val="kk-KZ"/>
        </w:rPr>
        <w:t xml:space="preserve"> (</w:t>
      </w:r>
      <w:r w:rsidRPr="00D00DC7">
        <w:rPr>
          <w:rFonts w:ascii="Times New Roman" w:hAnsi="Times New Roman"/>
          <w:bCs/>
          <w:sz w:val="28"/>
          <w:szCs w:val="28"/>
          <w:lang w:val="kk-KZ"/>
        </w:rPr>
        <w:t xml:space="preserve">СИ – 2-4,  </w:t>
      </w:r>
      <w:r w:rsidRPr="00D00DC7">
        <w:rPr>
          <w:rFonts w:ascii="Times New Roman" w:hAnsi="Times New Roman"/>
          <w:sz w:val="28"/>
          <w:szCs w:val="28"/>
          <w:lang w:val="kk-KZ"/>
        </w:rPr>
        <w:t>ЕҮҚ – 1-19</w:t>
      </w:r>
      <w:r w:rsidRPr="00D00DC7">
        <w:rPr>
          <w:rFonts w:ascii="Times New Roman" w:hAnsi="Times New Roman"/>
          <w:iCs/>
          <w:sz w:val="28"/>
          <w:szCs w:val="28"/>
          <w:lang w:val="kk-KZ"/>
        </w:rPr>
        <w:t>%</w:t>
      </w:r>
      <w:r w:rsidRPr="00D00DC7">
        <w:rPr>
          <w:rFonts w:ascii="Times New Roman" w:hAnsi="Times New Roman"/>
          <w:sz w:val="28"/>
          <w:szCs w:val="28"/>
          <w:lang w:val="kk-KZ"/>
        </w:rPr>
        <w:t>) 1</w:t>
      </w:r>
      <w:r w:rsidR="00756A1C" w:rsidRPr="00D00DC7">
        <w:rPr>
          <w:rFonts w:ascii="Times New Roman" w:hAnsi="Times New Roman"/>
          <w:sz w:val="28"/>
          <w:szCs w:val="28"/>
          <w:lang w:val="kk-KZ"/>
        </w:rPr>
        <w:t>6</w:t>
      </w:r>
      <w:r w:rsidRPr="00D00DC7">
        <w:rPr>
          <w:rFonts w:ascii="Times New Roman" w:hAnsi="Times New Roman"/>
          <w:sz w:val="28"/>
          <w:szCs w:val="28"/>
          <w:lang w:val="kk-KZ"/>
        </w:rPr>
        <w:t xml:space="preserve"> қала: </w:t>
      </w:r>
      <w:r w:rsidR="00756A1C" w:rsidRPr="00D00DC7">
        <w:rPr>
          <w:rFonts w:ascii="Times New Roman" w:hAnsi="Times New Roman"/>
          <w:sz w:val="28"/>
          <w:szCs w:val="28"/>
          <w:lang w:val="kk-KZ"/>
        </w:rPr>
        <w:t xml:space="preserve">Қарағанды, Ақтау, Петропавл, </w:t>
      </w:r>
      <w:r w:rsidR="00DB7604" w:rsidRPr="00D00DC7">
        <w:rPr>
          <w:rFonts w:ascii="Times New Roman" w:hAnsi="Times New Roman"/>
          <w:sz w:val="28"/>
          <w:szCs w:val="28"/>
          <w:lang w:val="kk-KZ"/>
        </w:rPr>
        <w:t xml:space="preserve">Шымкент, </w:t>
      </w:r>
      <w:r w:rsidRPr="00D00DC7">
        <w:rPr>
          <w:rFonts w:ascii="Times New Roman" w:hAnsi="Times New Roman"/>
          <w:sz w:val="28"/>
          <w:szCs w:val="28"/>
          <w:lang w:val="kk-KZ"/>
        </w:rPr>
        <w:t xml:space="preserve">Қызылорда, </w:t>
      </w:r>
      <w:r w:rsidR="00756A1C" w:rsidRPr="00D00DC7">
        <w:rPr>
          <w:rFonts w:ascii="Times New Roman" w:hAnsi="Times New Roman"/>
          <w:sz w:val="28"/>
          <w:szCs w:val="28"/>
          <w:lang w:val="kk-KZ"/>
        </w:rPr>
        <w:t xml:space="preserve">Екібастұз, </w:t>
      </w:r>
      <w:r w:rsidR="00DB7604" w:rsidRPr="00D00DC7">
        <w:rPr>
          <w:rFonts w:ascii="Times New Roman" w:hAnsi="Times New Roman"/>
          <w:sz w:val="28"/>
          <w:szCs w:val="28"/>
          <w:lang w:val="kk-KZ"/>
        </w:rPr>
        <w:t>Көкшетау, Жаңаөзен,</w:t>
      </w:r>
      <w:r w:rsidR="00756A1C" w:rsidRPr="00D00DC7">
        <w:rPr>
          <w:rFonts w:ascii="Times New Roman" w:hAnsi="Times New Roman"/>
          <w:sz w:val="28"/>
          <w:szCs w:val="28"/>
          <w:lang w:val="kk-KZ"/>
        </w:rPr>
        <w:t xml:space="preserve">Қостанай, Түркістан, Құлсары, </w:t>
      </w:r>
      <w:r w:rsidR="00DB7604" w:rsidRPr="00D00DC7">
        <w:rPr>
          <w:rFonts w:ascii="Times New Roman" w:hAnsi="Times New Roman"/>
          <w:sz w:val="28"/>
          <w:szCs w:val="28"/>
          <w:lang w:val="kk-KZ"/>
        </w:rPr>
        <w:t xml:space="preserve">Рудный, </w:t>
      </w:r>
      <w:r w:rsidRPr="00D00DC7">
        <w:rPr>
          <w:rFonts w:ascii="Times New Roman" w:hAnsi="Times New Roman"/>
          <w:sz w:val="28"/>
          <w:szCs w:val="28"/>
          <w:lang w:val="kk-KZ"/>
        </w:rPr>
        <w:t>Риддер,</w:t>
      </w:r>
      <w:r w:rsidR="00756A1C" w:rsidRPr="00D00DC7">
        <w:rPr>
          <w:rFonts w:ascii="Times New Roman" w:hAnsi="Times New Roman"/>
          <w:sz w:val="28"/>
          <w:szCs w:val="28"/>
          <w:lang w:val="kk-KZ"/>
        </w:rPr>
        <w:t xml:space="preserve"> Павлодар, Ақсу, Глубокое кенті </w:t>
      </w:r>
      <w:r w:rsidRPr="00D00DC7">
        <w:rPr>
          <w:rFonts w:ascii="Times New Roman" w:hAnsi="Times New Roman"/>
          <w:sz w:val="28"/>
          <w:szCs w:val="28"/>
          <w:lang w:val="kk-KZ"/>
        </w:rPr>
        <w:t>жатқызылды.</w:t>
      </w:r>
    </w:p>
    <w:p w:rsidR="009B316C" w:rsidRDefault="009B316C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00DC7">
        <w:rPr>
          <w:rFonts w:ascii="Times New Roman" w:hAnsi="Times New Roman"/>
          <w:i/>
          <w:sz w:val="28"/>
          <w:szCs w:val="28"/>
          <w:lang w:val="kk-KZ"/>
        </w:rPr>
        <w:t>Төмен ластану деңгейі</w:t>
      </w:r>
      <w:r w:rsidRPr="00D00DC7">
        <w:rPr>
          <w:rFonts w:ascii="Times New Roman" w:hAnsi="Times New Roman"/>
          <w:sz w:val="28"/>
          <w:szCs w:val="28"/>
          <w:lang w:val="kk-KZ"/>
        </w:rPr>
        <w:t xml:space="preserve"> (</w:t>
      </w:r>
      <w:r w:rsidRPr="00D00DC7">
        <w:rPr>
          <w:rFonts w:ascii="Times New Roman" w:hAnsi="Times New Roman"/>
          <w:bCs/>
          <w:sz w:val="28"/>
          <w:szCs w:val="28"/>
          <w:lang w:val="kk-KZ"/>
        </w:rPr>
        <w:t xml:space="preserve">СИ – 0-1,  </w:t>
      </w:r>
      <w:r w:rsidRPr="00D00DC7">
        <w:rPr>
          <w:rFonts w:ascii="Times New Roman" w:hAnsi="Times New Roman"/>
          <w:sz w:val="28"/>
          <w:szCs w:val="28"/>
          <w:lang w:val="kk-KZ"/>
        </w:rPr>
        <w:t>ЕҮҚ – 0</w:t>
      </w:r>
      <w:r w:rsidRPr="00D00DC7">
        <w:rPr>
          <w:rFonts w:ascii="Times New Roman" w:hAnsi="Times New Roman"/>
          <w:iCs/>
          <w:sz w:val="28"/>
          <w:szCs w:val="28"/>
          <w:lang w:val="kk-KZ"/>
        </w:rPr>
        <w:t>%</w:t>
      </w:r>
      <w:r w:rsidRPr="00D00DC7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756A1C" w:rsidRPr="00D00DC7">
        <w:rPr>
          <w:rFonts w:ascii="Times New Roman" w:hAnsi="Times New Roman"/>
          <w:sz w:val="28"/>
          <w:szCs w:val="28"/>
          <w:lang w:val="kk-KZ"/>
        </w:rPr>
        <w:t xml:space="preserve">Семей, </w:t>
      </w:r>
      <w:r w:rsidR="005B3FBF" w:rsidRPr="00D00DC7">
        <w:rPr>
          <w:rFonts w:ascii="Times New Roman" w:hAnsi="Times New Roman"/>
          <w:sz w:val="28"/>
          <w:szCs w:val="28"/>
          <w:lang w:val="kk-KZ"/>
        </w:rPr>
        <w:t xml:space="preserve">Щучинск санаториі, </w:t>
      </w:r>
      <w:r w:rsidRPr="00D00DC7">
        <w:rPr>
          <w:rFonts w:ascii="Times New Roman" w:hAnsi="Times New Roman"/>
          <w:sz w:val="28"/>
          <w:szCs w:val="28"/>
          <w:lang w:val="kk-KZ"/>
        </w:rPr>
        <w:t>Төретам елді мекендерінде байқалды.</w:t>
      </w:r>
    </w:p>
    <w:p w:rsidR="005B3FBF" w:rsidRDefault="005B3FBF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3FBF" w:rsidRDefault="005B3FBF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3FBF" w:rsidRDefault="005B3FBF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3FBF" w:rsidRDefault="005B3FBF" w:rsidP="009B3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3FBF" w:rsidRDefault="00824094">
      <w:pPr>
        <w:rPr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5939790" cy="343725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A13E6" w:rsidRPr="005E261F" w:rsidRDefault="00BA13E6" w:rsidP="00BA13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5E261F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1 сур. Қазақстан Республикасы елді мекендерінің 2014 жылғы </w:t>
      </w:r>
      <w:r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тамыз </w:t>
      </w:r>
      <w:r w:rsidRPr="005E261F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айындағы СИ мәні</w:t>
      </w:r>
    </w:p>
    <w:p w:rsidR="005B3FBF" w:rsidRPr="005E261F" w:rsidRDefault="005B3FBF" w:rsidP="005B3FBF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5B3FBF" w:rsidRDefault="005B3FBF" w:rsidP="005B3FBF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5B3FBF" w:rsidRPr="00EE236C" w:rsidRDefault="00824094" w:rsidP="00EE236C">
      <w:pPr>
        <w:jc w:val="center"/>
        <w:rPr>
          <w:lang w:val="kk-KZ"/>
        </w:rPr>
      </w:pPr>
      <w:bookmarkStart w:id="0" w:name="_GoBack"/>
      <w:r>
        <w:rPr>
          <w:noProof/>
        </w:rPr>
        <w:drawing>
          <wp:inline distT="0" distB="0" distL="0" distR="0">
            <wp:extent cx="5939790" cy="3609975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BA13E6" w:rsidRDefault="00BA13E6" w:rsidP="00BA13E6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  <w:r w:rsidRPr="005E261F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2 сур.  Қазақстан Республикасы елді мекендерінің 2014 жылғы </w:t>
      </w:r>
      <w:r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тамыз </w:t>
      </w:r>
      <w:r w:rsidRPr="005E261F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айындағы ЕҮҚ мәні</w:t>
      </w:r>
    </w:p>
    <w:p w:rsidR="00BA13E6" w:rsidRDefault="00BA13E6" w:rsidP="005B3FB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5B3FBF" w:rsidRPr="00EE236C" w:rsidRDefault="005B3FBF" w:rsidP="005B3FB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EE23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lastRenderedPageBreak/>
        <w:t>Жер үсті суларының жай-күйі</w:t>
      </w:r>
    </w:p>
    <w:p w:rsidR="005B3FBF" w:rsidRPr="00EE236C" w:rsidRDefault="005B3FBF" w:rsidP="005B3FB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</w:pPr>
    </w:p>
    <w:p w:rsidR="005B3FBF" w:rsidRPr="00552036" w:rsidRDefault="005B3FBF" w:rsidP="005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Барлық су объектілеріне жүргізілген зерттеу нәтижесінде жер үсті суларының гидрохимиялық көрсеткіштері бойынша су сапасы төмендегідей сипатталады: </w:t>
      </w:r>
    </w:p>
    <w:p w:rsidR="005B3FBF" w:rsidRPr="00EE236C" w:rsidRDefault="005B3FBF" w:rsidP="005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EE236C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Судың «таза» деңгейі</w:t>
      </w:r>
      <w:r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- </w:t>
      </w:r>
      <w:r w:rsidR="000411FD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9</w:t>
      </w:r>
      <w:r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өзені,</w:t>
      </w:r>
      <w:r w:rsidR="000411FD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1 көлі,4 су қоймасы</w:t>
      </w:r>
      <w:r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: Ертіс (ШҚО), </w:t>
      </w:r>
      <w:r w:rsidR="00554C82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Қара Ертіс, </w:t>
      </w:r>
      <w:r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Бұқтырма, </w:t>
      </w:r>
      <w:r w:rsidR="00554C82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Оба, </w:t>
      </w:r>
      <w:r w:rsidR="00D00DC7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Орал (Атырау облысы</w:t>
      </w:r>
      <w:r w:rsidR="00554C82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), </w:t>
      </w:r>
      <w:r w:rsidR="00D00DC7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Үлкен Алматы, Шаған, </w:t>
      </w:r>
      <w:r w:rsidR="000411FD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Арыс, Берқара өзендері; Қарасу көлі;  </w:t>
      </w:r>
      <w:r w:rsidR="00554C82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Өскемен, Бұқтырма</w:t>
      </w:r>
      <w:r w:rsidR="000411FD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,Астаналық,Қапшағай </w:t>
      </w:r>
      <w:r w:rsidR="002934A6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су қоймасы. </w:t>
      </w:r>
    </w:p>
    <w:p w:rsidR="002934A6" w:rsidRPr="00EE236C" w:rsidRDefault="005B3FBF" w:rsidP="00EC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EE236C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«орташа ластанған»деңгейі</w:t>
      </w:r>
      <w:r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– </w:t>
      </w:r>
      <w:r w:rsidR="00EC23CA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29</w:t>
      </w:r>
      <w:r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өзені,</w:t>
      </w:r>
      <w:r w:rsidR="00EC23CA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4</w:t>
      </w:r>
      <w:r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су қоймасы, </w:t>
      </w:r>
      <w:r w:rsidR="00EC23CA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6</w:t>
      </w:r>
      <w:r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көлі, 1 теңізі: </w:t>
      </w:r>
      <w:r w:rsidR="00554C82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Еміл, </w:t>
      </w:r>
      <w:r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Ертіс (Павлодар облысы),</w:t>
      </w:r>
      <w:r w:rsidR="00554C82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Шароновка, Қиғаш, </w:t>
      </w:r>
      <w:r w:rsidR="000411FD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Орал (БҚО</w:t>
      </w:r>
      <w:r w:rsidR="00554C82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), </w:t>
      </w:r>
      <w:r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Деркөл,</w:t>
      </w:r>
      <w:r w:rsidR="00850DB8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Кіші Өзен, Үлкен Өзен, Ілек, Тобыл, Аят, Тоғызақ, Үй, </w:t>
      </w:r>
      <w:r w:rsidR="00554C82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Есіл, Кеттібұлақ, Нұра, Іле, Есентай, Текес, Қорғас, </w:t>
      </w:r>
      <w:r w:rsidR="005F635C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Кіші Алматы, </w:t>
      </w:r>
      <w:r w:rsidR="00850DB8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Келес,</w:t>
      </w:r>
      <w:r w:rsidR="005F635C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Талас, Шу, Асса, Ақсу, Сарғоу, Бадам, Сырдария</w:t>
      </w:r>
      <w:r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өзендері; </w:t>
      </w:r>
      <w:r w:rsidR="005F635C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Үлкен Алматы, </w:t>
      </w:r>
      <w:r w:rsidR="002934A6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Бурабай, Шортан, </w:t>
      </w:r>
      <w:r w:rsidR="005F635C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Кіші Арал теңізі,  </w:t>
      </w:r>
      <w:r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Сұлукөл, </w:t>
      </w:r>
      <w:r w:rsidR="00E25581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Балқаш көл</w:t>
      </w:r>
      <w:r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дері; </w:t>
      </w:r>
      <w:r w:rsidR="002934A6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Қаратомар, Амангелді, Жоғарытобыл,  </w:t>
      </w:r>
      <w:r w:rsidR="00EC23CA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Сергеевское </w:t>
      </w:r>
      <w:r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су қоймалары; </w:t>
      </w:r>
      <w:r w:rsidR="002934A6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Каспий теңізі.</w:t>
      </w:r>
    </w:p>
    <w:p w:rsidR="005B3FBF" w:rsidRPr="00EE236C" w:rsidRDefault="005B3FBF" w:rsidP="005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EE236C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«ластанған» деңгейі</w:t>
      </w:r>
      <w:r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- </w:t>
      </w:r>
      <w:r w:rsidR="00EC23CA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6</w:t>
      </w:r>
      <w:r w:rsidR="00477B44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өзені, </w:t>
      </w:r>
      <w:r w:rsidR="00EC23CA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4</w:t>
      </w:r>
      <w:r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көлі, 1 су қоймасы</w:t>
      </w:r>
      <w:r w:rsidR="00477B44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 1 су арнасы</w:t>
      </w:r>
      <w:r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:</w:t>
      </w:r>
      <w:r w:rsidR="00EC23CA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Брекса, Үлбі,</w:t>
      </w:r>
      <w:r w:rsidR="002A4A24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Глубочанка, Ақ-Бұлақ, Тоқташ, </w:t>
      </w:r>
      <w:r w:rsidR="00EC23CA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Қарабалты </w:t>
      </w:r>
      <w:r w:rsidR="00477B44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өзендері; </w:t>
      </w:r>
      <w:r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Сұлтанкелді, Қопа, </w:t>
      </w:r>
      <w:r w:rsidR="00EC23CA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Зеренді, Үлкен Шабақты</w:t>
      </w:r>
      <w:r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көлдері; </w:t>
      </w:r>
      <w:r w:rsidR="00EC23CA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Нұра - Есіл</w:t>
      </w:r>
      <w:r w:rsidR="00767CDC">
        <w:rPr>
          <w:rFonts w:ascii="Times New Roman" w:hAnsi="Times New Roman"/>
          <w:sz w:val="28"/>
          <w:szCs w:val="28"/>
          <w:lang w:val="kk-KZ"/>
        </w:rPr>
        <w:t xml:space="preserve"> су арнасы; Шардаринск </w:t>
      </w:r>
      <w:r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су қоймасы.</w:t>
      </w:r>
    </w:p>
    <w:p w:rsidR="005B3FBF" w:rsidRPr="00EE236C" w:rsidRDefault="005B3FBF" w:rsidP="005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EE236C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 xml:space="preserve"> «лас» деңгейі </w:t>
      </w:r>
      <w:r w:rsidR="00E25581" w:rsidRPr="00EE236C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–</w:t>
      </w:r>
      <w:r w:rsidR="005352A9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3 өзен, 1</w:t>
      </w:r>
      <w:r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көл</w:t>
      </w:r>
      <w:r w:rsidR="006704F5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 2 су қоймасы</w:t>
      </w:r>
      <w:r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: </w:t>
      </w:r>
      <w:r w:rsidR="005352A9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Красноярка,  Сары-бұлақ, Нұра (Қарағанды) өзендері</w:t>
      </w:r>
      <w:r w:rsidR="006704F5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; </w:t>
      </w:r>
      <w:r w:rsidR="005352A9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Билікөл</w:t>
      </w:r>
      <w:r w:rsidR="00E25581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көлі</w:t>
      </w:r>
      <w:r w:rsidR="006704F5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; Самарқанд, Кеңгір су қоймалары.</w:t>
      </w:r>
    </w:p>
    <w:p w:rsidR="006704F5" w:rsidRPr="00EE236C" w:rsidRDefault="005B3FBF" w:rsidP="005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EE236C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«өте лас» деңгейі -</w:t>
      </w:r>
      <w:r w:rsidR="005352A9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1</w:t>
      </w:r>
      <w:r w:rsidR="006704F5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</w:t>
      </w:r>
      <w:r w:rsidR="005352A9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і, 1 көлі</w:t>
      </w:r>
      <w:r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: </w:t>
      </w:r>
      <w:r w:rsidR="005352A9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Тихая өзені;Кіші Шабақты көлі.</w:t>
      </w:r>
    </w:p>
    <w:p w:rsidR="005B3FBF" w:rsidRPr="005E261F" w:rsidRDefault="006704F5" w:rsidP="005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EE236C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«аса лас» деңгейі -</w:t>
      </w:r>
      <w:r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2 өзен: </w:t>
      </w:r>
      <w:r w:rsidR="00986815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Шерубайнұра</w:t>
      </w:r>
      <w:r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</w:t>
      </w:r>
      <w:r w:rsidR="00294FE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Қара-Кеңгір </w:t>
      </w:r>
      <w:r w:rsidR="005B3FBF"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өзендері</w:t>
      </w:r>
      <w:r w:rsidRPr="00EE236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.</w:t>
      </w:r>
    </w:p>
    <w:p w:rsidR="005B3FBF" w:rsidRPr="005E261F" w:rsidRDefault="005B3FBF" w:rsidP="005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</w:p>
    <w:p w:rsidR="005B3FBF" w:rsidRDefault="005B3FBF" w:rsidP="005B3FBF">
      <w:pPr>
        <w:jc w:val="center"/>
        <w:rPr>
          <w:lang w:val="kk-KZ"/>
        </w:rPr>
      </w:pPr>
    </w:p>
    <w:p w:rsidR="00986815" w:rsidRDefault="00986815" w:rsidP="005B3FBF">
      <w:pPr>
        <w:jc w:val="center"/>
        <w:rPr>
          <w:lang w:val="kk-KZ"/>
        </w:rPr>
      </w:pPr>
    </w:p>
    <w:p w:rsidR="00986815" w:rsidRDefault="00986815" w:rsidP="005B3FBF">
      <w:pPr>
        <w:jc w:val="center"/>
        <w:rPr>
          <w:lang w:val="kk-KZ"/>
        </w:rPr>
      </w:pPr>
    </w:p>
    <w:p w:rsidR="00986815" w:rsidRDefault="00986815" w:rsidP="005B3FBF">
      <w:pPr>
        <w:jc w:val="center"/>
        <w:rPr>
          <w:lang w:val="kk-KZ"/>
        </w:rPr>
      </w:pPr>
    </w:p>
    <w:p w:rsidR="00986815" w:rsidRDefault="00986815" w:rsidP="005B3FBF">
      <w:pPr>
        <w:jc w:val="center"/>
        <w:rPr>
          <w:lang w:val="kk-KZ"/>
        </w:rPr>
      </w:pPr>
    </w:p>
    <w:p w:rsidR="00986815" w:rsidRDefault="00986815" w:rsidP="005B3FBF">
      <w:pPr>
        <w:jc w:val="center"/>
        <w:rPr>
          <w:lang w:val="kk-KZ"/>
        </w:rPr>
      </w:pPr>
    </w:p>
    <w:p w:rsidR="00986815" w:rsidRDefault="00986815" w:rsidP="005B3FBF">
      <w:pPr>
        <w:jc w:val="center"/>
        <w:rPr>
          <w:lang w:val="kk-KZ"/>
        </w:rPr>
      </w:pPr>
    </w:p>
    <w:p w:rsidR="00986815" w:rsidRDefault="00986815" w:rsidP="005B3FBF">
      <w:pPr>
        <w:jc w:val="center"/>
        <w:rPr>
          <w:lang w:val="kk-KZ"/>
        </w:rPr>
      </w:pPr>
    </w:p>
    <w:p w:rsidR="00986815" w:rsidRDefault="00986815" w:rsidP="005B3FBF">
      <w:pPr>
        <w:jc w:val="center"/>
        <w:rPr>
          <w:lang w:val="kk-KZ"/>
        </w:rPr>
      </w:pPr>
    </w:p>
    <w:p w:rsidR="00986815" w:rsidRDefault="00986815" w:rsidP="00824094">
      <w:pPr>
        <w:rPr>
          <w:lang w:val="kk-KZ"/>
        </w:rPr>
      </w:pPr>
    </w:p>
    <w:p w:rsidR="00986815" w:rsidRDefault="00986815" w:rsidP="005B3FBF">
      <w:pPr>
        <w:jc w:val="center"/>
        <w:rPr>
          <w:lang w:val="kk-KZ"/>
        </w:rPr>
      </w:pPr>
    </w:p>
    <w:p w:rsidR="00824094" w:rsidRDefault="00824094" w:rsidP="005B3FBF">
      <w:pPr>
        <w:jc w:val="center"/>
        <w:rPr>
          <w:lang w:val="kk-KZ"/>
        </w:rPr>
      </w:pPr>
    </w:p>
    <w:p w:rsidR="00986815" w:rsidRDefault="00986815" w:rsidP="005B3FBF">
      <w:pPr>
        <w:jc w:val="center"/>
        <w:rPr>
          <w:lang w:val="kk-KZ"/>
        </w:rPr>
      </w:pPr>
    </w:p>
    <w:p w:rsidR="00986815" w:rsidRDefault="00986815" w:rsidP="005B3FBF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5E261F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lastRenderedPageBreak/>
        <w:t>Қазақстан Республикасы су объектілерінің ластану индексінің өзгеруі</w:t>
      </w:r>
    </w:p>
    <w:p w:rsidR="00EE236C" w:rsidRPr="00BE0451" w:rsidRDefault="00BE0451" w:rsidP="00BE0451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>
        <w:rPr>
          <w:noProof/>
        </w:rPr>
        <w:drawing>
          <wp:inline distT="0" distB="0" distL="0" distR="0">
            <wp:extent cx="5939790" cy="8542020"/>
            <wp:effectExtent l="57150" t="57150" r="22860" b="304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6815" w:rsidRPr="005E261F" w:rsidRDefault="00986815" w:rsidP="0098681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5E261F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lastRenderedPageBreak/>
        <w:t xml:space="preserve">Қазақстан Республикасы су бөгендерінің, көлдерінің және </w:t>
      </w:r>
    </w:p>
    <w:p w:rsidR="00986815" w:rsidRDefault="00986815" w:rsidP="0098681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5E261F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су арналарының  ластану индексінің өзгеруі </w:t>
      </w:r>
    </w:p>
    <w:p w:rsidR="006704F5" w:rsidRDefault="006704F5" w:rsidP="0098681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986815" w:rsidRPr="005E261F" w:rsidRDefault="00BE0451" w:rsidP="0098681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>
        <w:rPr>
          <w:noProof/>
        </w:rPr>
        <w:drawing>
          <wp:inline distT="0" distB="0" distL="0" distR="0">
            <wp:extent cx="5286375" cy="5010149"/>
            <wp:effectExtent l="0" t="0" r="9525" b="6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0093" w:rsidRPr="00240FD4" w:rsidRDefault="00460093" w:rsidP="005B3FBF">
      <w:pPr>
        <w:jc w:val="center"/>
        <w:rPr>
          <w:sz w:val="28"/>
          <w:szCs w:val="28"/>
          <w:lang w:val="kk-KZ"/>
        </w:rPr>
      </w:pPr>
    </w:p>
    <w:p w:rsidR="00986815" w:rsidRDefault="00986815" w:rsidP="0098681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5E26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 xml:space="preserve">Радиациялық жай-күйі </w:t>
      </w:r>
    </w:p>
    <w:p w:rsidR="006B6B5F" w:rsidRPr="005E261F" w:rsidRDefault="00E56871" w:rsidP="006B6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6B6B5F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Қазақстан Республикасының елді-мекендерінің атмосфералық ауа қабатына орташа тәуліктік радиоактивтілік түсу тығыздығының мәні </w:t>
      </w:r>
      <w:r w:rsidR="006B6B5F">
        <w:rPr>
          <w:rFonts w:ascii="Times New Roman" w:hAnsi="Times New Roman"/>
          <w:sz w:val="28"/>
          <w:szCs w:val="28"/>
          <w:lang w:val="kk-KZ"/>
        </w:rPr>
        <w:t xml:space="preserve">0,05-0,22 </w:t>
      </w:r>
      <w:r w:rsidR="006B6B5F" w:rsidRPr="005E261F">
        <w:rPr>
          <w:rFonts w:ascii="Times New Roman" w:hAnsi="Times New Roman"/>
          <w:sz w:val="28"/>
          <w:szCs w:val="28"/>
          <w:lang w:val="kk-KZ"/>
        </w:rPr>
        <w:t xml:space="preserve">мкЗв/ч, </w:t>
      </w:r>
      <w:r w:rsidR="006B6B5F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радиациялық гамма- фонның орташа мәні </w:t>
      </w:r>
      <w:r w:rsidR="006B6B5F" w:rsidRPr="00986815">
        <w:rPr>
          <w:rFonts w:ascii="Times New Roman" w:hAnsi="Times New Roman"/>
          <w:sz w:val="28"/>
          <w:szCs w:val="28"/>
          <w:lang w:val="kk-KZ"/>
        </w:rPr>
        <w:t xml:space="preserve">0,13 </w:t>
      </w:r>
      <w:r w:rsidR="00DD0396" w:rsidRPr="005E261F">
        <w:rPr>
          <w:rFonts w:ascii="Times New Roman" w:hAnsi="Times New Roman"/>
          <w:sz w:val="28"/>
          <w:szCs w:val="28"/>
          <w:lang w:val="kk-KZ"/>
        </w:rPr>
        <w:t>мкЗв/ч</w:t>
      </w:r>
      <w:r w:rsidR="006B6B5F" w:rsidRPr="005E261F">
        <w:rPr>
          <w:rFonts w:ascii="Times New Roman" w:hAnsi="Times New Roman"/>
          <w:sz w:val="28"/>
          <w:szCs w:val="28"/>
          <w:lang w:val="kk-KZ"/>
        </w:rPr>
        <w:t xml:space="preserve">,  яғни </w:t>
      </w:r>
      <w:r w:rsidR="006B6B5F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нормаға сәйкес келеді. </w:t>
      </w:r>
    </w:p>
    <w:p w:rsidR="00986815" w:rsidRDefault="006B6B5F" w:rsidP="00BE045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   </w:t>
      </w:r>
      <w:r w:rsidR="00BE0451" w:rsidRPr="00BE0451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ҚР аумағында атмосфераның жерге</w:t>
      </w:r>
      <w:r w:rsidR="00BE0451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жақын қабатында орта тәуліктік </w:t>
      </w:r>
      <w:r w:rsidR="00BE0451" w:rsidRPr="00BE0451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радиоактивтердің түсу тығыздығы 0,8-1,5 Бк/м2 шегінде болды. ҚР аумағында радиоактивті түсулердің орташа тығыздығы 1,2 Бк/м2,  бұл шекті жол берілетін  деңгейінен аспады.</w:t>
      </w:r>
    </w:p>
    <w:p w:rsidR="00BE0451" w:rsidRPr="005E261F" w:rsidRDefault="00BE0451" w:rsidP="00BE045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</w:pPr>
    </w:p>
    <w:p w:rsidR="00986815" w:rsidRPr="005E261F" w:rsidRDefault="00986815" w:rsidP="0098681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5E26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 xml:space="preserve">Қосымша: </w:t>
      </w:r>
    </w:p>
    <w:p w:rsidR="00986815" w:rsidRPr="002872C7" w:rsidRDefault="00986815" w:rsidP="00986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Толығырақ мәліметтер РМК «Қазгидромет» сайттарында енгізілетін ақпараттық бюлетенінде жарияланады.</w:t>
      </w:r>
    </w:p>
    <w:p w:rsidR="00986815" w:rsidRPr="009B316C" w:rsidRDefault="00986815" w:rsidP="005B3FBF">
      <w:pPr>
        <w:jc w:val="center"/>
        <w:rPr>
          <w:lang w:val="kk-KZ"/>
        </w:rPr>
      </w:pPr>
    </w:p>
    <w:sectPr w:rsidR="00986815" w:rsidRPr="009B316C" w:rsidSect="00460093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A82" w:rsidRDefault="00741A82" w:rsidP="0074420A">
      <w:pPr>
        <w:spacing w:after="0" w:line="240" w:lineRule="auto"/>
      </w:pPr>
      <w:r>
        <w:separator/>
      </w:r>
    </w:p>
  </w:endnote>
  <w:endnote w:type="continuationSeparator" w:id="1">
    <w:p w:rsidR="00741A82" w:rsidRDefault="00741A82" w:rsidP="007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A82" w:rsidRDefault="00741A82" w:rsidP="0074420A">
      <w:pPr>
        <w:spacing w:after="0" w:line="240" w:lineRule="auto"/>
      </w:pPr>
      <w:r>
        <w:separator/>
      </w:r>
    </w:p>
  </w:footnote>
  <w:footnote w:type="continuationSeparator" w:id="1">
    <w:p w:rsidR="00741A82" w:rsidRDefault="00741A82" w:rsidP="00744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16C"/>
    <w:rsid w:val="000411FD"/>
    <w:rsid w:val="00240FD4"/>
    <w:rsid w:val="002934A6"/>
    <w:rsid w:val="00294FEA"/>
    <w:rsid w:val="002A4A24"/>
    <w:rsid w:val="003E62B9"/>
    <w:rsid w:val="00412221"/>
    <w:rsid w:val="00460093"/>
    <w:rsid w:val="00477B44"/>
    <w:rsid w:val="005352A9"/>
    <w:rsid w:val="00552036"/>
    <w:rsid w:val="00554C82"/>
    <w:rsid w:val="005555A7"/>
    <w:rsid w:val="005B3FBF"/>
    <w:rsid w:val="005F635C"/>
    <w:rsid w:val="005F70E8"/>
    <w:rsid w:val="006704F5"/>
    <w:rsid w:val="006B6B5F"/>
    <w:rsid w:val="00741A82"/>
    <w:rsid w:val="0074420A"/>
    <w:rsid w:val="00755EEC"/>
    <w:rsid w:val="00756A1C"/>
    <w:rsid w:val="00767CDC"/>
    <w:rsid w:val="00824094"/>
    <w:rsid w:val="00850DB8"/>
    <w:rsid w:val="00862D8A"/>
    <w:rsid w:val="00967987"/>
    <w:rsid w:val="00986815"/>
    <w:rsid w:val="009A0688"/>
    <w:rsid w:val="009B316C"/>
    <w:rsid w:val="00A873F8"/>
    <w:rsid w:val="00AE3857"/>
    <w:rsid w:val="00B33831"/>
    <w:rsid w:val="00BA13E6"/>
    <w:rsid w:val="00BD1AF4"/>
    <w:rsid w:val="00BE0451"/>
    <w:rsid w:val="00CF3B7C"/>
    <w:rsid w:val="00D00DC7"/>
    <w:rsid w:val="00D76C20"/>
    <w:rsid w:val="00DB4E58"/>
    <w:rsid w:val="00DB7604"/>
    <w:rsid w:val="00DD0396"/>
    <w:rsid w:val="00E1290F"/>
    <w:rsid w:val="00E15DC5"/>
    <w:rsid w:val="00E25581"/>
    <w:rsid w:val="00E56871"/>
    <w:rsid w:val="00EA7584"/>
    <w:rsid w:val="00EC23CA"/>
    <w:rsid w:val="00EE236C"/>
    <w:rsid w:val="00EE2849"/>
    <w:rsid w:val="00FA2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16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4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420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4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420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kanova_g\Desktop\&#1072;&#1074;&#1075;&#1091;&#1089;&#1090;%202014\&#1043;&#1088;&#1072;&#1092;&#1080;&#1082;%20&#1057;&#1048;%20%20&#1080;%20&#1053;&#1055;%202014%20&#1075;&#1086;&#1076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kanova_g\Desktop\&#1072;&#1074;&#1075;&#1091;&#1089;&#1090;%202014\&#1043;&#1088;&#1072;&#1092;&#1080;&#1082;%20&#1057;&#1048;%20%20&#1080;%20&#1053;&#1055;%202014%20&#1075;&#1086;&#1076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kanova_g\Desktop\&#1072;&#1074;&#1075;&#1091;&#1089;&#1090;%202014\&#1043;&#1088;&#1072;&#1092;&#1080;&#1082;%20&#1072;&#1074;&#1075;%20201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kanova_g\Desktop\&#1072;&#1074;&#1075;&#1091;&#1089;&#1090;%202014\&#1043;&#1088;&#1072;&#1092;&#1080;&#1082;%20&#1072;&#1074;&#1075;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plotArea>
      <c:layout>
        <c:manualLayout>
          <c:layoutTarget val="inner"/>
          <c:xMode val="edge"/>
          <c:yMode val="edge"/>
          <c:x val="8.5943390000441461E-2"/>
          <c:y val="9.5639766986667735E-2"/>
          <c:w val="0.87890281103645762"/>
          <c:h val="0.55899219200146089"/>
        </c:manualLayout>
      </c:layout>
      <c:bar3DChart>
        <c:barDir val="col"/>
        <c:grouping val="clustered"/>
        <c:ser>
          <c:idx val="0"/>
          <c:order val="0"/>
          <c:tx>
            <c:strRef>
              <c:f>'СИ и НП август график'!$B$3</c:f>
              <c:strCache>
                <c:ptCount val="1"/>
                <c:pt idx="0">
                  <c:v>СИ за август 2014 года</c:v>
                </c:pt>
              </c:strCache>
            </c:strRef>
          </c:tx>
          <c:cat>
            <c:strRef>
              <c:f>'СИ и НП август график'!$A$4:$A$34</c:f>
              <c:strCache>
                <c:ptCount val="31"/>
                <c:pt idx="0">
                  <c:v>Щучинск шипажайы</c:v>
                </c:pt>
                <c:pt idx="1">
                  <c:v>Семей</c:v>
                </c:pt>
                <c:pt idx="2">
                  <c:v>Төретам</c:v>
                </c:pt>
                <c:pt idx="3">
                  <c:v>Петропавловск</c:v>
                </c:pt>
                <c:pt idx="4">
                  <c:v>Шымкент</c:v>
                </c:pt>
                <c:pt idx="5">
                  <c:v>Глубокое к.</c:v>
                </c:pt>
                <c:pt idx="6">
                  <c:v>Қараганды</c:v>
                </c:pt>
                <c:pt idx="7">
                  <c:v>Екібастұз</c:v>
                </c:pt>
                <c:pt idx="8">
                  <c:v>Қызылорда</c:v>
                </c:pt>
                <c:pt idx="9">
                  <c:v>Кокшетау</c:v>
                </c:pt>
                <c:pt idx="10">
                  <c:v>Жаңаөзен</c:v>
                </c:pt>
                <c:pt idx="11">
                  <c:v>Рудный</c:v>
                </c:pt>
                <c:pt idx="12">
                  <c:v>Күлсары</c:v>
                </c:pt>
                <c:pt idx="13">
                  <c:v>Ақтау</c:v>
                </c:pt>
                <c:pt idx="14">
                  <c:v>Павлодар</c:v>
                </c:pt>
                <c:pt idx="15">
                  <c:v>Қостанай</c:v>
                </c:pt>
                <c:pt idx="16">
                  <c:v>Ақсу</c:v>
                </c:pt>
                <c:pt idx="17">
                  <c:v>Түркістан</c:v>
                </c:pt>
                <c:pt idx="18">
                  <c:v>Риддер</c:v>
                </c:pt>
                <c:pt idx="19">
                  <c:v>Теміртау</c:v>
                </c:pt>
                <c:pt idx="20">
                  <c:v>Зыряновск</c:v>
                </c:pt>
                <c:pt idx="21">
                  <c:v>Талдықорган</c:v>
                </c:pt>
                <c:pt idx="22">
                  <c:v>Балқаш</c:v>
                </c:pt>
                <c:pt idx="23">
                  <c:v>Атырау</c:v>
                </c:pt>
                <c:pt idx="24">
                  <c:v>Тараз</c:v>
                </c:pt>
                <c:pt idx="25">
                  <c:v>Жезқазған</c:v>
                </c:pt>
                <c:pt idx="26">
                  <c:v>Алматы</c:v>
                </c:pt>
                <c:pt idx="27">
                  <c:v>Өскемен</c:v>
                </c:pt>
                <c:pt idx="28">
                  <c:v>Ақай</c:v>
                </c:pt>
                <c:pt idx="29">
                  <c:v>Астана</c:v>
                </c:pt>
                <c:pt idx="30">
                  <c:v>Ақтөбе</c:v>
                </c:pt>
              </c:strCache>
            </c:strRef>
          </c:cat>
          <c:val>
            <c:numRef>
              <c:f>'СИ и НП август график'!$B$4:$B$34</c:f>
              <c:numCache>
                <c:formatCode>General</c:formatCode>
                <c:ptCount val="31"/>
                <c:pt idx="0">
                  <c:v>0.8</c:v>
                </c:pt>
                <c:pt idx="1">
                  <c:v>1.5</c:v>
                </c:pt>
                <c:pt idx="2">
                  <c:v>1.6</c:v>
                </c:pt>
                <c:pt idx="3">
                  <c:v>1.1000000000000001</c:v>
                </c:pt>
                <c:pt idx="4">
                  <c:v>1.3</c:v>
                </c:pt>
                <c:pt idx="5">
                  <c:v>1.6</c:v>
                </c:pt>
                <c:pt idx="6">
                  <c:v>2</c:v>
                </c:pt>
                <c:pt idx="7">
                  <c:v>2.4</c:v>
                </c:pt>
                <c:pt idx="8">
                  <c:v>2.8</c:v>
                </c:pt>
                <c:pt idx="9">
                  <c:v>3.8</c:v>
                </c:pt>
                <c:pt idx="10">
                  <c:v>4.9000000000000004</c:v>
                </c:pt>
                <c:pt idx="11" formatCode="0.0">
                  <c:v>3</c:v>
                </c:pt>
                <c:pt idx="12">
                  <c:v>3.2</c:v>
                </c:pt>
                <c:pt idx="13">
                  <c:v>3.2</c:v>
                </c:pt>
                <c:pt idx="14">
                  <c:v>3.3</c:v>
                </c:pt>
                <c:pt idx="15">
                  <c:v>3.3</c:v>
                </c:pt>
                <c:pt idx="16">
                  <c:v>3.5</c:v>
                </c:pt>
                <c:pt idx="17">
                  <c:v>3.8</c:v>
                </c:pt>
                <c:pt idx="18">
                  <c:v>4.5999999999999996</c:v>
                </c:pt>
                <c:pt idx="19">
                  <c:v>4.4000000000000004</c:v>
                </c:pt>
                <c:pt idx="20">
                  <c:v>5.2</c:v>
                </c:pt>
                <c:pt idx="21">
                  <c:v>7.4</c:v>
                </c:pt>
                <c:pt idx="22">
                  <c:v>8.4</c:v>
                </c:pt>
                <c:pt idx="23">
                  <c:v>2.4</c:v>
                </c:pt>
                <c:pt idx="24">
                  <c:v>2.6</c:v>
                </c:pt>
                <c:pt idx="25">
                  <c:v>3.2</c:v>
                </c:pt>
                <c:pt idx="26">
                  <c:v>8.2000000000000011</c:v>
                </c:pt>
                <c:pt idx="27">
                  <c:v>11.7</c:v>
                </c:pt>
                <c:pt idx="28">
                  <c:v>17.3</c:v>
                </c:pt>
                <c:pt idx="29">
                  <c:v>19.600000000000001</c:v>
                </c:pt>
                <c:pt idx="30">
                  <c:v>29.6</c:v>
                </c:pt>
              </c:numCache>
            </c:numRef>
          </c:val>
        </c:ser>
        <c:shape val="box"/>
        <c:axId val="66983424"/>
        <c:axId val="66984960"/>
        <c:axId val="0"/>
      </c:bar3DChart>
      <c:catAx>
        <c:axId val="669834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66984960"/>
        <c:crosses val="autoZero"/>
        <c:auto val="1"/>
        <c:lblAlgn val="ctr"/>
        <c:lblOffset val="100"/>
      </c:catAx>
      <c:valAx>
        <c:axId val="66984960"/>
        <c:scaling>
          <c:orientation val="minMax"/>
          <c:max val="12"/>
          <c:min val="1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600" b="1">
                    <a:solidFill>
                      <a:schemeClr val="tx1"/>
                    </a:solidFill>
                  </a:defRPr>
                </a:pPr>
                <a:r>
                  <a:rPr lang="ru-RU" sz="1600" b="1">
                    <a:solidFill>
                      <a:schemeClr val="tx1"/>
                    </a:solidFill>
                  </a:rPr>
                  <a:t>СИ</a:t>
                </a:r>
              </a:p>
            </c:rich>
          </c:tx>
          <c:layout>
            <c:manualLayout>
              <c:xMode val="edge"/>
              <c:yMode val="edge"/>
              <c:x val="6.6402883483575703E-2"/>
              <c:y val="1.274585892074495E-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crossAx val="66983424"/>
        <c:crosses val="autoZero"/>
        <c:crossBetween val="between"/>
        <c:majorUnit val="1"/>
      </c:valAx>
      <c:spPr>
        <a:ln>
          <a:solidFill>
            <a:schemeClr val="accent5">
              <a:lumMod val="40000"/>
              <a:lumOff val="60000"/>
              <a:alpha val="37000"/>
            </a:schemeClr>
          </a:solidFill>
        </a:ln>
        <a:effectLst>
          <a:glow rad="101600">
            <a:schemeClr val="accent1">
              <a:alpha val="40000"/>
            </a:schemeClr>
          </a:glow>
          <a:softEdge rad="63500"/>
        </a:effectLst>
      </c:spPr>
    </c:plotArea>
    <c:plotVisOnly val="1"/>
    <c:dispBlanksAs val="gap"/>
  </c:chart>
  <c:spPr>
    <a:gradFill flip="none" rotWithShape="1">
      <a:gsLst>
        <a:gs pos="15000">
          <a:srgbClr val="00B0F0">
            <a:alpha val="74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16200000" scaled="1"/>
      <a:tileRect/>
    </a:gradFill>
    <a:ln>
      <a:solidFill>
        <a:srgbClr val="4BACC6">
          <a:lumMod val="40000"/>
          <a:lumOff val="60000"/>
          <a:alpha val="82000"/>
        </a:srgbClr>
      </a:solidFill>
      <a:bevel/>
    </a:ln>
    <a:effectLst>
      <a:outerShdw blurRad="177800" dir="3000000" sx="72000" sy="72000" algn="ctr" rotWithShape="0">
        <a:srgbClr val="4BACC6">
          <a:lumMod val="40000"/>
          <a:lumOff val="60000"/>
          <a:alpha val="59000"/>
        </a:srgbClr>
      </a:outerShdw>
    </a:effectLst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kk-KZ" sz="1800" b="1" i="1" u="none" strike="noStrike" baseline="0"/>
              <a:t>ЕҮҚ </a:t>
            </a:r>
            <a:r>
              <a:rPr lang="ru-RU"/>
              <a:t>, % </a:t>
            </a:r>
          </a:p>
        </c:rich>
      </c:tx>
      <c:layout>
        <c:manualLayout>
          <c:xMode val="edge"/>
          <c:yMode val="edge"/>
          <c:x val="4.82670262753397E-2"/>
          <c:y val="1.3850511430134583E-5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6.9255815441286644E-2"/>
          <c:y val="7.4909383028968393E-2"/>
          <c:w val="0.87734128500924435"/>
          <c:h val="0.58991347993851351"/>
        </c:manualLayout>
      </c:layout>
      <c:lineChart>
        <c:grouping val="standard"/>
        <c:ser>
          <c:idx val="0"/>
          <c:order val="0"/>
          <c:tx>
            <c:strRef>
              <c:f>'СИ и НП август график'!$B$36</c:f>
              <c:strCache>
                <c:ptCount val="1"/>
                <c:pt idx="0">
                  <c:v>НП, % за август 2014 года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none"/>
          </c:marker>
          <c:cat>
            <c:strRef>
              <c:f>'СИ и НП август график'!$A$37:$A$67</c:f>
              <c:strCache>
                <c:ptCount val="31"/>
                <c:pt idx="0">
                  <c:v>Щучинск шипажайы</c:v>
                </c:pt>
                <c:pt idx="1">
                  <c:v>Семей</c:v>
                </c:pt>
                <c:pt idx="2">
                  <c:v>Төретам</c:v>
                </c:pt>
                <c:pt idx="3">
                  <c:v>Петропавловск</c:v>
                </c:pt>
                <c:pt idx="4">
                  <c:v>Шымкент</c:v>
                </c:pt>
                <c:pt idx="5">
                  <c:v>Глубокое к.</c:v>
                </c:pt>
                <c:pt idx="6">
                  <c:v>Қарағанды</c:v>
                </c:pt>
                <c:pt idx="7">
                  <c:v>Екібастұз</c:v>
                </c:pt>
                <c:pt idx="8">
                  <c:v>Қызылорда</c:v>
                </c:pt>
                <c:pt idx="9">
                  <c:v>Көкшетау</c:v>
                </c:pt>
                <c:pt idx="10">
                  <c:v>Жаңаөзен</c:v>
                </c:pt>
                <c:pt idx="11">
                  <c:v>Рудный</c:v>
                </c:pt>
                <c:pt idx="12">
                  <c:v>Күлсары</c:v>
                </c:pt>
                <c:pt idx="13">
                  <c:v>Ақтау</c:v>
                </c:pt>
                <c:pt idx="14">
                  <c:v>Павлодар</c:v>
                </c:pt>
                <c:pt idx="15">
                  <c:v>Қостанай</c:v>
                </c:pt>
                <c:pt idx="16">
                  <c:v>Ақсу</c:v>
                </c:pt>
                <c:pt idx="17">
                  <c:v>Түркістан</c:v>
                </c:pt>
                <c:pt idx="18">
                  <c:v>Риддер</c:v>
                </c:pt>
                <c:pt idx="19">
                  <c:v>Теміртау</c:v>
                </c:pt>
                <c:pt idx="20">
                  <c:v>Зыряновск</c:v>
                </c:pt>
                <c:pt idx="21">
                  <c:v>Талдықорған</c:v>
                </c:pt>
                <c:pt idx="22">
                  <c:v>Балқаш</c:v>
                </c:pt>
                <c:pt idx="23">
                  <c:v>Атырау</c:v>
                </c:pt>
                <c:pt idx="24">
                  <c:v>Тараз</c:v>
                </c:pt>
                <c:pt idx="25">
                  <c:v>Жезқазған</c:v>
                </c:pt>
                <c:pt idx="26">
                  <c:v>Алматы</c:v>
                </c:pt>
                <c:pt idx="27">
                  <c:v>Өскемен</c:v>
                </c:pt>
                <c:pt idx="28">
                  <c:v>Ақай</c:v>
                </c:pt>
                <c:pt idx="29">
                  <c:v>Астана</c:v>
                </c:pt>
                <c:pt idx="30">
                  <c:v>Ақтөбе</c:v>
                </c:pt>
              </c:strCache>
            </c:strRef>
          </c:cat>
          <c:val>
            <c:numRef>
              <c:f>'СИ и НП август график'!$B$37:$B$67</c:f>
              <c:numCache>
                <c:formatCode>General</c:formatCode>
                <c:ptCount val="31"/>
                <c:pt idx="0">
                  <c:v>0.8</c:v>
                </c:pt>
                <c:pt idx="1">
                  <c:v>1.5</c:v>
                </c:pt>
                <c:pt idx="2">
                  <c:v>1.6</c:v>
                </c:pt>
                <c:pt idx="3">
                  <c:v>1.1000000000000001</c:v>
                </c:pt>
                <c:pt idx="4">
                  <c:v>1.3</c:v>
                </c:pt>
                <c:pt idx="5">
                  <c:v>1.6</c:v>
                </c:pt>
                <c:pt idx="6">
                  <c:v>2</c:v>
                </c:pt>
                <c:pt idx="7">
                  <c:v>2.4</c:v>
                </c:pt>
                <c:pt idx="8">
                  <c:v>2.8</c:v>
                </c:pt>
                <c:pt idx="9">
                  <c:v>3.8</c:v>
                </c:pt>
                <c:pt idx="10">
                  <c:v>4.9000000000000004</c:v>
                </c:pt>
                <c:pt idx="11" formatCode="0.0">
                  <c:v>3</c:v>
                </c:pt>
                <c:pt idx="12">
                  <c:v>3.2</c:v>
                </c:pt>
                <c:pt idx="13">
                  <c:v>3.2</c:v>
                </c:pt>
                <c:pt idx="14">
                  <c:v>3.3</c:v>
                </c:pt>
                <c:pt idx="15">
                  <c:v>3.3</c:v>
                </c:pt>
                <c:pt idx="16">
                  <c:v>3.5</c:v>
                </c:pt>
                <c:pt idx="17">
                  <c:v>3.8</c:v>
                </c:pt>
                <c:pt idx="18">
                  <c:v>4.5999999999999996</c:v>
                </c:pt>
                <c:pt idx="19">
                  <c:v>4.4000000000000004</c:v>
                </c:pt>
                <c:pt idx="20">
                  <c:v>5.2</c:v>
                </c:pt>
                <c:pt idx="21">
                  <c:v>7.4</c:v>
                </c:pt>
                <c:pt idx="22">
                  <c:v>8.4</c:v>
                </c:pt>
                <c:pt idx="23">
                  <c:v>2.4</c:v>
                </c:pt>
                <c:pt idx="24">
                  <c:v>2.6</c:v>
                </c:pt>
                <c:pt idx="25">
                  <c:v>3.2</c:v>
                </c:pt>
                <c:pt idx="26">
                  <c:v>8.2000000000000011</c:v>
                </c:pt>
                <c:pt idx="27">
                  <c:v>11.7</c:v>
                </c:pt>
                <c:pt idx="28">
                  <c:v>17.3</c:v>
                </c:pt>
                <c:pt idx="29">
                  <c:v>19.600000000000001</c:v>
                </c:pt>
                <c:pt idx="30">
                  <c:v>29.6</c:v>
                </c:pt>
              </c:numCache>
            </c:numRef>
          </c:val>
        </c:ser>
        <c:marker val="1"/>
        <c:axId val="67024000"/>
        <c:axId val="67025536"/>
      </c:lineChart>
      <c:catAx>
        <c:axId val="67024000"/>
        <c:scaling>
          <c:orientation val="minMax"/>
        </c:scaling>
        <c:axPos val="b"/>
        <c:numFmt formatCode="General" sourceLinked="1"/>
        <c:tickLblPos val="nextTo"/>
        <c:crossAx val="67025536"/>
        <c:crosses val="autoZero"/>
        <c:auto val="1"/>
        <c:lblAlgn val="ctr"/>
        <c:lblOffset val="100"/>
      </c:catAx>
      <c:valAx>
        <c:axId val="67025536"/>
        <c:scaling>
          <c:orientation val="minMax"/>
          <c:max val="100"/>
          <c:min val="0"/>
        </c:scaling>
        <c:axPos val="l"/>
        <c:majorGridlines>
          <c:spPr>
            <a:ln>
              <a:solidFill>
                <a:schemeClr val="tx1">
                  <a:lumMod val="50000"/>
                  <a:lumOff val="50000"/>
                  <a:alpha val="96000"/>
                </a:schemeClr>
              </a:solidFill>
            </a:ln>
          </c:spPr>
        </c:majorGridlines>
        <c:numFmt formatCode="General" sourceLinked="1"/>
        <c:tickLblPos val="nextTo"/>
        <c:crossAx val="67024000"/>
        <c:crosses val="autoZero"/>
        <c:crossBetween val="between"/>
        <c:majorUnit val="10"/>
        <c:minorUnit val="10"/>
      </c:valAx>
      <c:spPr>
        <a:solidFill>
          <a:schemeClr val="tx1">
            <a:lumMod val="50000"/>
            <a:lumOff val="50000"/>
            <a:alpha val="0"/>
          </a:schemeClr>
        </a:solidFill>
        <a:ln>
          <a:solidFill>
            <a:srgbClr val="A8D6F6">
              <a:alpha val="37000"/>
            </a:srgbClr>
          </a:solidFill>
        </a:ln>
        <a:effectLst>
          <a:glow rad="101600">
            <a:srgbClr val="0070C0">
              <a:alpha val="40000"/>
            </a:srgbClr>
          </a:glow>
          <a:softEdge rad="63500"/>
        </a:effectLst>
      </c:spPr>
    </c:plotArea>
    <c:plotVisOnly val="1"/>
    <c:dispBlanksAs val="gap"/>
  </c:chart>
  <c:spPr>
    <a:gradFill>
      <a:gsLst>
        <a:gs pos="15000">
          <a:srgbClr val="00B0F0">
            <a:alpha val="74000"/>
            <a:lumMod val="10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16200000" scaled="1"/>
    </a:gradFill>
    <a:ln>
      <a:solidFill>
        <a:schemeClr val="accent5">
          <a:lumMod val="40000"/>
          <a:lumOff val="60000"/>
          <a:alpha val="82000"/>
        </a:schemeClr>
      </a:solidFill>
      <a:bevel/>
    </a:ln>
    <a:effectLst>
      <a:innerShdw blurRad="914400" dist="635000" dir="840000">
        <a:srgbClr val="A8D6F6">
          <a:alpha val="59000"/>
        </a:srgbClr>
      </a:innerShdw>
    </a:effectLst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plotArea>
      <c:layout>
        <c:manualLayout>
          <c:layoutTarget val="inner"/>
          <c:xMode val="edge"/>
          <c:yMode val="edge"/>
          <c:x val="0.32031770538487087"/>
          <c:y val="2.0455602045560212E-2"/>
          <c:w val="0.6610876091468989"/>
          <c:h val="0.91378484802192517"/>
        </c:manualLayout>
      </c:layout>
      <c:barChart>
        <c:barDir val="bar"/>
        <c:grouping val="clustered"/>
        <c:ser>
          <c:idx val="0"/>
          <c:order val="0"/>
          <c:tx>
            <c:strRef>
              <c:f>Лист1!$B$2</c:f>
              <c:strCache>
                <c:ptCount val="1"/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 w="0" h="0"/>
            </a:sp3d>
          </c:spPr>
          <c:cat>
            <c:strRef>
              <c:f>Лист1!$A$3:$A$55</c:f>
              <c:strCache>
                <c:ptCount val="53"/>
                <c:pt idx="0">
                  <c:v>Қара Ертіс ө. (ШҚО)</c:v>
                </c:pt>
                <c:pt idx="1">
                  <c:v>Ертіс ө. (ШҚО)</c:v>
                </c:pt>
                <c:pt idx="2">
                  <c:v>Ертіс ө. (Павлодар облысы)</c:v>
                </c:pt>
                <c:pt idx="3">
                  <c:v>Буқтырма ө. (ШҚО)</c:v>
                </c:pt>
                <c:pt idx="4">
                  <c:v>Брекса ө. (ШҚО) </c:v>
                </c:pt>
                <c:pt idx="5">
                  <c:v>Тихая ө. (ШҚО)</c:v>
                </c:pt>
                <c:pt idx="6">
                  <c:v>Үлбі ө. (ШҚО) </c:v>
                </c:pt>
                <c:pt idx="7">
                  <c:v>Глубочанка ө. (ШҚО)</c:v>
                </c:pt>
                <c:pt idx="8">
                  <c:v>Красноярка ө. (ШҚО)</c:v>
                </c:pt>
                <c:pt idx="9">
                  <c:v>Оба ө. (ШҚО)</c:v>
                </c:pt>
                <c:pt idx="10">
                  <c:v>Еміл ө. (ШҚО)</c:v>
                </c:pt>
                <c:pt idx="11">
                  <c:v>Шароновка ө. (Атырау облысы)</c:v>
                </c:pt>
                <c:pt idx="12">
                  <c:v>Қиғаш ө. (Атырауоблысы)</c:v>
                </c:pt>
                <c:pt idx="13">
                  <c:v>Орал ө. (Атырау облысы)</c:v>
                </c:pt>
                <c:pt idx="14">
                  <c:v>Орал ө. (БҚО)</c:v>
                </c:pt>
                <c:pt idx="15">
                  <c:v>Шаған ө. (БҚО)</c:v>
                </c:pt>
                <c:pt idx="16">
                  <c:v>Деркөл ө. (БҚО)</c:v>
                </c:pt>
                <c:pt idx="17">
                  <c:v>Үлкен Өзен ө. (БҚО)</c:v>
                </c:pt>
                <c:pt idx="18">
                  <c:v>Кіші Өзен ө. (БҚО)</c:v>
                </c:pt>
                <c:pt idx="19">
                  <c:v>Ілек ө. (БҚО)</c:v>
                </c:pt>
                <c:pt idx="20">
                  <c:v>Ілек ө. (Ақтөбе облысы)</c:v>
                </c:pt>
                <c:pt idx="21">
                  <c:v>Тобыл ө. (Қостанай облысы)</c:v>
                </c:pt>
                <c:pt idx="22">
                  <c:v>Аят ө. (Қостанай облысы)</c:v>
                </c:pt>
                <c:pt idx="23">
                  <c:v>Тоғызақ ө.  (Қостанай облысы)</c:v>
                </c:pt>
                <c:pt idx="24">
                  <c:v>Үй ө. (Қостанай облысы)</c:v>
                </c:pt>
                <c:pt idx="25">
                  <c:v>Есіл ө. (СҚО)</c:v>
                </c:pt>
                <c:pt idx="26">
                  <c:v>Есіл ө. (Ақмола облысы)</c:v>
                </c:pt>
                <c:pt idx="27">
                  <c:v>Кеттібұлақ ө. (Ақмола облысы)</c:v>
                </c:pt>
                <c:pt idx="28">
                  <c:v>Ақ-Бұлақ ө. (Астана қ.)</c:v>
                </c:pt>
                <c:pt idx="29">
                  <c:v>Сары-Бұлақ ө. (Астана қ.)</c:v>
                </c:pt>
                <c:pt idx="30">
                  <c:v>Нұра ө. (Ақмола облысы)</c:v>
                </c:pt>
                <c:pt idx="31">
                  <c:v>Нұра ө. (Қарағанды облысы)</c:v>
                </c:pt>
                <c:pt idx="32">
                  <c:v>Қара-Кенгір ө. (Қарағанды облысы)</c:v>
                </c:pt>
                <c:pt idx="33">
                  <c:v>Шерубайнұра ө. (Қарағанды облысы)</c:v>
                </c:pt>
                <c:pt idx="34">
                  <c:v>Іле ө. (Алматы облысы)</c:v>
                </c:pt>
                <c:pt idx="35">
                  <c:v>Текес ө. (Алматы облысы)</c:v>
                </c:pt>
                <c:pt idx="36">
                  <c:v>Қорғас ө. (Алматы облысы)</c:v>
                </c:pt>
                <c:pt idx="37">
                  <c:v>Кіші Алматы (Алматы қ.)</c:v>
                </c:pt>
                <c:pt idx="38">
                  <c:v>Есентай (Алматы қ.)</c:v>
                </c:pt>
                <c:pt idx="39">
                  <c:v>Үлкен Алматы (Алматы қ.)</c:v>
                </c:pt>
                <c:pt idx="40">
                  <c:v>Талас ө. (Жамбыл облысы)</c:v>
                </c:pt>
                <c:pt idx="41">
                  <c:v>Шу ө. (Жамбыл облысы)</c:v>
                </c:pt>
                <c:pt idx="42">
                  <c:v>Асса ө. (Жамбыл облысы)</c:v>
                </c:pt>
                <c:pt idx="43">
                  <c:v>Ақсу ө. (Жамбыл облысы)</c:v>
                </c:pt>
                <c:pt idx="44">
                  <c:v>Қарабалты ө. (Жамбыл облысы)</c:v>
                </c:pt>
                <c:pt idx="45">
                  <c:v>Тоқташ ө. (Жамбыл облысы)</c:v>
                </c:pt>
                <c:pt idx="46">
                  <c:v>Берқара ө. (Жамбыл облысы)</c:v>
                </c:pt>
                <c:pt idx="47">
                  <c:v>Сарғоу ө. (Жамбыл облысы)</c:v>
                </c:pt>
                <c:pt idx="48">
                  <c:v>Келес ө. (БҚО)</c:v>
                </c:pt>
                <c:pt idx="49">
                  <c:v>Бадам ө. (ОҚО)</c:v>
                </c:pt>
                <c:pt idx="50">
                  <c:v>Арыс ө. (ОҚО)</c:v>
                </c:pt>
                <c:pt idx="51">
                  <c:v>Сырдария (ОҚО)</c:v>
                </c:pt>
                <c:pt idx="52">
                  <c:v>Сырдария (Қызылорда облысы)</c:v>
                </c:pt>
              </c:strCache>
            </c:strRef>
          </c:cat>
          <c:val>
            <c:numRef>
              <c:f>Лист1!$B$3:$B$55</c:f>
              <c:numCache>
                <c:formatCode>General</c:formatCode>
                <c:ptCount val="53"/>
                <c:pt idx="0">
                  <c:v>0.88</c:v>
                </c:pt>
                <c:pt idx="1">
                  <c:v>0.96000000000000063</c:v>
                </c:pt>
                <c:pt idx="2">
                  <c:v>1.01</c:v>
                </c:pt>
                <c:pt idx="3">
                  <c:v>0.63000000000000078</c:v>
                </c:pt>
                <c:pt idx="4">
                  <c:v>3.13</c:v>
                </c:pt>
                <c:pt idx="5">
                  <c:v>6.64</c:v>
                </c:pt>
                <c:pt idx="6">
                  <c:v>3.56</c:v>
                </c:pt>
                <c:pt idx="7">
                  <c:v>3.2600000000000002</c:v>
                </c:pt>
                <c:pt idx="8">
                  <c:v>4.71</c:v>
                </c:pt>
                <c:pt idx="9">
                  <c:v>0.74000000000000066</c:v>
                </c:pt>
                <c:pt idx="10">
                  <c:v>1.23</c:v>
                </c:pt>
                <c:pt idx="11">
                  <c:v>1.06</c:v>
                </c:pt>
                <c:pt idx="12">
                  <c:v>1.0900000000000001</c:v>
                </c:pt>
                <c:pt idx="13">
                  <c:v>0.98</c:v>
                </c:pt>
                <c:pt idx="14">
                  <c:v>1.05</c:v>
                </c:pt>
                <c:pt idx="15">
                  <c:v>0.94000000000000061</c:v>
                </c:pt>
                <c:pt idx="16">
                  <c:v>1.33</c:v>
                </c:pt>
                <c:pt idx="17">
                  <c:v>1.52</c:v>
                </c:pt>
                <c:pt idx="18">
                  <c:v>1.41</c:v>
                </c:pt>
                <c:pt idx="19">
                  <c:v>1.26</c:v>
                </c:pt>
                <c:pt idx="20">
                  <c:v>1.9400000000000013</c:v>
                </c:pt>
                <c:pt idx="21">
                  <c:v>1.3800000000000001</c:v>
                </c:pt>
                <c:pt idx="22">
                  <c:v>1.07</c:v>
                </c:pt>
                <c:pt idx="23">
                  <c:v>1.55</c:v>
                </c:pt>
                <c:pt idx="24">
                  <c:v>1.82</c:v>
                </c:pt>
                <c:pt idx="25">
                  <c:v>1.1000000000000001</c:v>
                </c:pt>
                <c:pt idx="26">
                  <c:v>1.73</c:v>
                </c:pt>
                <c:pt idx="27">
                  <c:v>1.08</c:v>
                </c:pt>
                <c:pt idx="28">
                  <c:v>3.17</c:v>
                </c:pt>
                <c:pt idx="29">
                  <c:v>4.8199999999999985</c:v>
                </c:pt>
                <c:pt idx="30">
                  <c:v>1.8</c:v>
                </c:pt>
                <c:pt idx="31">
                  <c:v>5.2</c:v>
                </c:pt>
                <c:pt idx="32">
                  <c:v>50.2</c:v>
                </c:pt>
                <c:pt idx="33">
                  <c:v>10.1</c:v>
                </c:pt>
                <c:pt idx="34">
                  <c:v>1.81</c:v>
                </c:pt>
                <c:pt idx="35">
                  <c:v>2.04</c:v>
                </c:pt>
                <c:pt idx="36">
                  <c:v>1.84</c:v>
                </c:pt>
                <c:pt idx="37">
                  <c:v>1.21</c:v>
                </c:pt>
                <c:pt idx="38">
                  <c:v>1.29</c:v>
                </c:pt>
                <c:pt idx="39">
                  <c:v>0.8</c:v>
                </c:pt>
                <c:pt idx="40">
                  <c:v>1.81</c:v>
                </c:pt>
                <c:pt idx="41">
                  <c:v>1.27</c:v>
                </c:pt>
                <c:pt idx="42">
                  <c:v>1.05</c:v>
                </c:pt>
                <c:pt idx="43">
                  <c:v>2.2000000000000002</c:v>
                </c:pt>
                <c:pt idx="44">
                  <c:v>3.29</c:v>
                </c:pt>
                <c:pt idx="45">
                  <c:v>2.8899999999999997</c:v>
                </c:pt>
                <c:pt idx="46">
                  <c:v>0.89</c:v>
                </c:pt>
                <c:pt idx="47">
                  <c:v>2.27</c:v>
                </c:pt>
                <c:pt idx="48">
                  <c:v>2.4299999999999997</c:v>
                </c:pt>
                <c:pt idx="49">
                  <c:v>1.37</c:v>
                </c:pt>
                <c:pt idx="50">
                  <c:v>0.94000000000000061</c:v>
                </c:pt>
                <c:pt idx="51">
                  <c:v>2.2000000000000002</c:v>
                </c:pt>
                <c:pt idx="52">
                  <c:v>1.71</c:v>
                </c:pt>
              </c:numCache>
            </c:numRef>
          </c:val>
        </c:ser>
        <c:axId val="72182400"/>
        <c:axId val="72208768"/>
      </c:barChart>
      <c:catAx>
        <c:axId val="72182400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72208768"/>
        <c:crosses val="autoZero"/>
        <c:auto val="1"/>
        <c:lblAlgn val="ctr"/>
        <c:lblOffset val="100"/>
      </c:catAx>
      <c:valAx>
        <c:axId val="72208768"/>
        <c:scaling>
          <c:orientation val="minMax"/>
        </c:scaling>
        <c:axPos val="b"/>
        <c:majorGridlines/>
        <c:numFmt formatCode="General" sourceLinked="1"/>
        <c:tickLblPos val="nextTo"/>
        <c:crossAx val="72182400"/>
        <c:crosses val="autoZero"/>
        <c:crossBetween val="between"/>
      </c:valAx>
      <c:spPr>
        <a:gradFill flip="none" rotWithShape="1"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  <a:tileRect r="-100000" b="-100000"/>
        </a:gradFill>
        <a:scene3d>
          <a:camera prst="orthographicFront"/>
          <a:lightRig rig="threePt" dir="t"/>
        </a:scene3d>
        <a:sp3d/>
      </c:spPr>
    </c:plotArea>
    <c:legend>
      <c:legendPos val="r"/>
      <c:layout>
        <c:manualLayout>
          <c:xMode val="edge"/>
          <c:yMode val="edge"/>
          <c:x val="0.44463096935218138"/>
          <c:y val="0.96975618481292236"/>
          <c:w val="0.42315982075844588"/>
          <c:h val="1.9039472760947581E-2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  <a:tileRect r="-100000" b="-100000"/>
    </a:gradFill>
    <a:scene3d>
      <a:camera prst="orthographicFront"/>
      <a:lightRig rig="threePt" dir="t">
        <a:rot lat="0" lon="0" rev="0"/>
      </a:lightRig>
    </a:scene3d>
    <a:sp3d>
      <a:bevelT/>
      <a:bevelB/>
    </a:sp3d>
  </c:spPr>
  <c:txPr>
    <a:bodyPr/>
    <a:lstStyle/>
    <a:p>
      <a:pPr>
        <a:defRPr sz="600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plotArea>
      <c:layout>
        <c:manualLayout>
          <c:layoutTarget val="inner"/>
          <c:xMode val="edge"/>
          <c:yMode val="edge"/>
          <c:x val="0.39763353905086357"/>
          <c:y val="2.6618269812462191E-2"/>
          <c:w val="0.57998231302168313"/>
          <c:h val="0.8660779076624236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Лист1!$B$89</c:f>
              <c:strCache>
                <c:ptCount val="1"/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cat>
            <c:strRef>
              <c:f>Лист1!$A$91:$A$115</c:f>
              <c:strCache>
                <c:ptCount val="25"/>
                <c:pt idx="0">
                  <c:v>Буқтырма су қоймасы (ШҚО)</c:v>
                </c:pt>
                <c:pt idx="1">
                  <c:v>Өскемен су қоймасы (ШҚО)</c:v>
                </c:pt>
                <c:pt idx="2">
                  <c:v>Қаратомар су қоймасы (Қостанай облысы)</c:v>
                </c:pt>
                <c:pt idx="3">
                  <c:v>Амангелді су қоймасы (Қостанай облысы)</c:v>
                </c:pt>
                <c:pt idx="4">
                  <c:v>Жоғарытобыл су қоймасы (Қостанай облысы)</c:v>
                </c:pt>
                <c:pt idx="5">
                  <c:v>Сергеевское су қоймасы(СҚО)</c:v>
                </c:pt>
                <c:pt idx="6">
                  <c:v>Астаналық су қоймасы (Ақмола облысы)</c:v>
                </c:pt>
                <c:pt idx="7">
                  <c:v>Қопа көлі  (Ақмола облысы)</c:v>
                </c:pt>
                <c:pt idx="8">
                  <c:v>Сұлтанкелді көлі  (Ақмола облысы)</c:v>
                </c:pt>
                <c:pt idx="9">
                  <c:v>Зеренді көлі (Ақмола облысы)</c:v>
                </c:pt>
                <c:pt idx="10">
                  <c:v>Бурабай көлі (Ақмола облысы)</c:v>
                </c:pt>
                <c:pt idx="11">
                  <c:v>Үлкен Шабақты көлі (Ақмола облысы)</c:v>
                </c:pt>
                <c:pt idx="12">
                  <c:v>Шортан көлі (Ақмола облысы)</c:v>
                </c:pt>
                <c:pt idx="13">
                  <c:v>Кіші Шабақты көлі (Ақмола облысы)</c:v>
                </c:pt>
                <c:pt idx="14">
                  <c:v>Қарасу (Ақмола облысы)</c:v>
                </c:pt>
                <c:pt idx="15">
                  <c:v>Сұлукөл көлі (Ақмола облысы)</c:v>
                </c:pt>
                <c:pt idx="16">
                  <c:v>Нұра-Есіл каналы (Ақмола облысы)</c:v>
                </c:pt>
                <c:pt idx="17">
                  <c:v>Кеңгір су қоймасы (Карагандинская)</c:v>
                </c:pt>
                <c:pt idx="18">
                  <c:v>Самарқан су қоймасы (Қарағанды облысы)</c:v>
                </c:pt>
                <c:pt idx="19">
                  <c:v>Балқаш көлі (Қарағанды облысы)</c:v>
                </c:pt>
                <c:pt idx="20">
                  <c:v>Қапшағай су қоймасы (Алматы облысы)</c:v>
                </c:pt>
                <c:pt idx="21">
                  <c:v>Үлкен Алматы (Алматы облысы)</c:v>
                </c:pt>
                <c:pt idx="22">
                  <c:v>Билікөл көлі (Жамбыл облысы)</c:v>
                </c:pt>
                <c:pt idx="23">
                  <c:v>Шардара су қоймасы (ОҚО)</c:v>
                </c:pt>
                <c:pt idx="24">
                  <c:v>Каспий теңізі</c:v>
                </c:pt>
              </c:strCache>
            </c:strRef>
          </c:cat>
          <c:val>
            <c:numRef>
              <c:f>Лист1!$B$91:$B$115</c:f>
              <c:numCache>
                <c:formatCode>General</c:formatCode>
                <c:ptCount val="25"/>
                <c:pt idx="0">
                  <c:v>0.67000000000000093</c:v>
                </c:pt>
                <c:pt idx="1">
                  <c:v>0.68</c:v>
                </c:pt>
                <c:pt idx="2">
                  <c:v>1.3</c:v>
                </c:pt>
                <c:pt idx="3">
                  <c:v>1.06</c:v>
                </c:pt>
                <c:pt idx="4">
                  <c:v>1.71</c:v>
                </c:pt>
                <c:pt idx="5">
                  <c:v>1.05</c:v>
                </c:pt>
                <c:pt idx="6">
                  <c:v>0.99</c:v>
                </c:pt>
                <c:pt idx="7">
                  <c:v>2.73</c:v>
                </c:pt>
                <c:pt idx="8">
                  <c:v>3.25</c:v>
                </c:pt>
                <c:pt idx="9">
                  <c:v>2.61</c:v>
                </c:pt>
                <c:pt idx="10">
                  <c:v>1.02</c:v>
                </c:pt>
                <c:pt idx="11">
                  <c:v>3.3099999999999987</c:v>
                </c:pt>
                <c:pt idx="12">
                  <c:v>2.42</c:v>
                </c:pt>
                <c:pt idx="13">
                  <c:v>6.81</c:v>
                </c:pt>
                <c:pt idx="14">
                  <c:v>0.9</c:v>
                </c:pt>
                <c:pt idx="15">
                  <c:v>1.73</c:v>
                </c:pt>
                <c:pt idx="16">
                  <c:v>2.75</c:v>
                </c:pt>
                <c:pt idx="17">
                  <c:v>4.1499999999999995</c:v>
                </c:pt>
                <c:pt idx="18">
                  <c:v>4.0199999999999996</c:v>
                </c:pt>
                <c:pt idx="19">
                  <c:v>2.06</c:v>
                </c:pt>
                <c:pt idx="20">
                  <c:v>0.96000000000000063</c:v>
                </c:pt>
                <c:pt idx="21">
                  <c:v>1.23</c:v>
                </c:pt>
                <c:pt idx="22">
                  <c:v>5.6599999999999975</c:v>
                </c:pt>
                <c:pt idx="23">
                  <c:v>2.59</c:v>
                </c:pt>
                <c:pt idx="24">
                  <c:v>0.89</c:v>
                </c:pt>
              </c:numCache>
            </c:numRef>
          </c:val>
        </c:ser>
        <c:axId val="73153920"/>
        <c:axId val="73168000"/>
      </c:barChart>
      <c:catAx>
        <c:axId val="73153920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73168000"/>
        <c:crosses val="autoZero"/>
        <c:auto val="1"/>
        <c:lblAlgn val="ctr"/>
        <c:lblOffset val="100"/>
      </c:catAx>
      <c:valAx>
        <c:axId val="73168000"/>
        <c:scaling>
          <c:orientation val="minMax"/>
        </c:scaling>
        <c:axPos val="b"/>
        <c:majorGridlines/>
        <c:numFmt formatCode="General" sourceLinked="1"/>
        <c:tickLblPos val="nextTo"/>
        <c:crossAx val="73153920"/>
        <c:crosses val="autoZero"/>
        <c:crossBetween val="between"/>
      </c:valAx>
      <c:spPr>
        <a:gradFill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</a:gradFill>
      </c:spPr>
    </c:plotArea>
    <c:legend>
      <c:legendPos val="r"/>
      <c:layout>
        <c:manualLayout>
          <c:xMode val="edge"/>
          <c:yMode val="edge"/>
          <c:x val="0.35072353455818023"/>
          <c:y val="0.95563612426260158"/>
          <c:w val="0.63260979877515577"/>
          <c:h val="3.2267767172190452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gradFill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</a:gradFill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kazhydromet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ortbayeva_a</dc:creator>
  <cp:keywords/>
  <dc:description/>
  <cp:lastModifiedBy>abdiyeva_z</cp:lastModifiedBy>
  <cp:revision>26</cp:revision>
  <cp:lastPrinted>2014-08-18T08:57:00Z</cp:lastPrinted>
  <dcterms:created xsi:type="dcterms:W3CDTF">2014-07-17T10:35:00Z</dcterms:created>
  <dcterms:modified xsi:type="dcterms:W3CDTF">2014-09-16T09:08:00Z</dcterms:modified>
</cp:coreProperties>
</file>