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064000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мамыр 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 шешімдерді қабылдау үдерістері туралы жұртшылықтың ақпаратқа қол жетімділігі бойынша жергілікті атқарушы органдар интернет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ресурстарының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жұмысына талдау.</w:t>
      </w:r>
    </w:p>
    <w:p w:rsidR="004D737D" w:rsidRPr="00064000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1B7341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D737D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proofErr w:type="spellStart"/>
      <w:r w:rsidRPr="004D737D">
        <w:rPr>
          <w:sz w:val="24"/>
          <w:szCs w:val="24"/>
        </w:rPr>
        <w:t>Қазақстан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Республикасы</w:t>
      </w:r>
      <w:proofErr w:type="spellEnd"/>
      <w:r w:rsidRPr="004D737D">
        <w:rPr>
          <w:sz w:val="24"/>
          <w:szCs w:val="24"/>
        </w:rPr>
        <w:t xml:space="preserve"> Энергетика </w:t>
      </w:r>
      <w:proofErr w:type="spellStart"/>
      <w:r w:rsidRPr="004D737D">
        <w:rPr>
          <w:sz w:val="24"/>
          <w:szCs w:val="24"/>
        </w:rPr>
        <w:t>министрлігі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мемлекеттік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органдар</w:t>
      </w:r>
      <w:proofErr w:type="spellEnd"/>
      <w:r w:rsidRPr="004D737D">
        <w:rPr>
          <w:sz w:val="24"/>
          <w:szCs w:val="24"/>
        </w:rPr>
        <w:t xml:space="preserve"> интернет</w:t>
      </w:r>
      <w:r>
        <w:rPr>
          <w:sz w:val="24"/>
          <w:szCs w:val="24"/>
          <w:lang w:val="kk-KZ"/>
        </w:rPr>
        <w:t xml:space="preserve"> ресурстарында </w:t>
      </w:r>
      <w:proofErr w:type="spellStart"/>
      <w:r w:rsidRPr="004D737D">
        <w:rPr>
          <w:sz w:val="24"/>
          <w:szCs w:val="24"/>
        </w:rPr>
        <w:t>шешімдерді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қабылдау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үдерістері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туралы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жұртшылықтың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ақпаратқа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қол</w:t>
      </w:r>
      <w:proofErr w:type="spellEnd"/>
      <w:r w:rsidRPr="004D737D">
        <w:rPr>
          <w:sz w:val="24"/>
          <w:szCs w:val="24"/>
        </w:rPr>
        <w:t xml:space="preserve"> </w:t>
      </w:r>
      <w:bookmarkStart w:id="0" w:name="_GoBack"/>
      <w:proofErr w:type="spellStart"/>
      <w:r w:rsidRPr="004D737D">
        <w:rPr>
          <w:sz w:val="24"/>
          <w:szCs w:val="24"/>
        </w:rPr>
        <w:t>жетімділігіне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тұрақты</w:t>
      </w:r>
      <w:proofErr w:type="spellEnd"/>
      <w:r w:rsidRPr="004D737D">
        <w:rPr>
          <w:sz w:val="24"/>
          <w:szCs w:val="24"/>
        </w:rPr>
        <w:t xml:space="preserve"> мониторинг пен </w:t>
      </w:r>
      <w:proofErr w:type="spellStart"/>
      <w:r w:rsidRPr="004D737D">
        <w:rPr>
          <w:sz w:val="24"/>
          <w:szCs w:val="24"/>
        </w:rPr>
        <w:t>жұртшылықтың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пікірі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есебінің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нәтижесінде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келесіні</w:t>
      </w:r>
      <w:proofErr w:type="spellEnd"/>
      <w:r w:rsidRPr="004D737D">
        <w:rPr>
          <w:sz w:val="24"/>
          <w:szCs w:val="24"/>
        </w:rPr>
        <w:t xml:space="preserve"> </w:t>
      </w:r>
      <w:bookmarkEnd w:id="0"/>
      <w:proofErr w:type="spellStart"/>
      <w:r w:rsidRPr="004D737D">
        <w:rPr>
          <w:sz w:val="24"/>
          <w:szCs w:val="24"/>
        </w:rPr>
        <w:t>атап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өтеді</w:t>
      </w:r>
      <w:proofErr w:type="spellEnd"/>
      <w:r w:rsidRPr="004D737D">
        <w:rPr>
          <w:sz w:val="24"/>
          <w:szCs w:val="24"/>
        </w:rPr>
        <w:t>.</w:t>
      </w:r>
    </w:p>
    <w:p w:rsidR="004D737D" w:rsidRPr="00584498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 Табиғи ресурстар және табиғатты пайдалануды реттеу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басқармаларының ресми интернет ресурстарында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153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134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Pr="00FC611F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121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D73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44</w:t>
      </w:r>
      <w:r w:rsidR="00CE3B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Pr="004D73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77</w:t>
      </w:r>
      <w:r w:rsidR="00CE3B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4D737D" w:rsidRPr="004D737D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76662D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4D737D" w:rsidRDefault="004D737D" w:rsidP="004D737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73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4D737D" w:rsidRDefault="004D737D" w:rsidP="004D7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73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4D737D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3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4D737D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37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</w:t>
            </w:r>
          </w:p>
        </w:tc>
      </w:tr>
      <w:tr w:rsidR="00EA31A4" w:rsidRPr="0076662D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4D737D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4D737D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4D737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73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4D737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73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4D737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73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4D737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73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76662D" w:rsidTr="00712471">
        <w:trPr>
          <w:trHeight w:val="94"/>
        </w:trPr>
        <w:tc>
          <w:tcPr>
            <w:tcW w:w="567" w:type="dxa"/>
            <w:vMerge/>
            <w:vAlign w:val="center"/>
          </w:tcPr>
          <w:p w:rsidR="00EA31A4" w:rsidRPr="004D737D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4D737D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4D737D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4D737D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4D737D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4D737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73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Хаттама ескертулері</w:t>
            </w:r>
          </w:p>
        </w:tc>
        <w:tc>
          <w:tcPr>
            <w:tcW w:w="1303" w:type="dxa"/>
            <w:vAlign w:val="center"/>
          </w:tcPr>
          <w:p w:rsidR="00EA31A4" w:rsidRPr="004D737D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73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Хаттама жоқ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EA31A4" w:rsidRPr="004D737D" w:rsidRDefault="00EA31A4" w:rsidP="0053048C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76662D">
              <w:rPr>
                <w:sz w:val="16"/>
                <w:szCs w:val="16"/>
              </w:rPr>
              <w:t>Астана</w:t>
            </w:r>
            <w:r w:rsidR="004D737D"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EA31A4" w:rsidRPr="004D737D" w:rsidRDefault="00EA31A4" w:rsidP="0053048C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76662D">
              <w:rPr>
                <w:sz w:val="16"/>
                <w:szCs w:val="16"/>
              </w:rPr>
              <w:t>Алматы</w:t>
            </w:r>
            <w:r w:rsidR="004D737D"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D737D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D737D" w:rsidRPr="0076662D" w:rsidTr="00613B56">
        <w:trPr>
          <w:trHeight w:val="152"/>
        </w:trPr>
        <w:tc>
          <w:tcPr>
            <w:tcW w:w="567" w:type="dxa"/>
            <w:vAlign w:val="center"/>
            <w:hideMark/>
          </w:tcPr>
          <w:p w:rsidR="004D737D" w:rsidRPr="0076662D" w:rsidRDefault="004D737D" w:rsidP="004D737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4D737D" w:rsidRPr="00FC611F" w:rsidRDefault="004D737D" w:rsidP="004D737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737D" w:rsidRPr="0076662D" w:rsidRDefault="004D737D" w:rsidP="004D737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76662D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EA31A4" w:rsidRPr="004D737D" w:rsidRDefault="0041307E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Мамыр</w:t>
            </w:r>
            <w:r w:rsidR="004D737D">
              <w:rPr>
                <w:sz w:val="16"/>
                <w:szCs w:val="16"/>
                <w:lang w:val="kk-KZ"/>
              </w:rPr>
              <w:t xml:space="preserve"> айына жиыны </w:t>
            </w:r>
          </w:p>
        </w:tc>
        <w:tc>
          <w:tcPr>
            <w:tcW w:w="1275" w:type="dxa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153</w:t>
            </w:r>
          </w:p>
        </w:tc>
        <w:tc>
          <w:tcPr>
            <w:tcW w:w="1418" w:type="dxa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134</w:t>
            </w:r>
          </w:p>
        </w:tc>
        <w:tc>
          <w:tcPr>
            <w:tcW w:w="1417" w:type="dxa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552" w:type="dxa"/>
            <w:gridSpan w:val="2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77</w:t>
            </w:r>
          </w:p>
        </w:tc>
      </w:tr>
    </w:tbl>
    <w:p w:rsidR="004D737D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Қоғамдық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тыңдаулар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ақпаратты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орнал</w:t>
      </w:r>
      <w:r>
        <w:rPr>
          <w:rFonts w:ascii="Times New Roman" w:eastAsia="Times New Roman" w:hAnsi="Times New Roman" w:cs="Times New Roman"/>
          <w:sz w:val="24"/>
          <w:szCs w:val="24"/>
        </w:rPr>
        <w:t>астыру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8832CA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тармағыны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>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бұзуш</w:t>
      </w:r>
      <w:r>
        <w:rPr>
          <w:rFonts w:ascii="Times New Roman" w:eastAsia="Times New Roman" w:hAnsi="Times New Roman" w:cs="Times New Roman"/>
          <w:sz w:val="24"/>
          <w:szCs w:val="24"/>
        </w:rPr>
        <w:t>ылықтар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 ЖАО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байқалады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стана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қ. (</w:t>
      </w:r>
      <w:r w:rsidR="00415B4B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), Алматы </w:t>
      </w:r>
      <w:r w:rsidR="00415B4B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облысы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15B4B">
        <w:rPr>
          <w:rFonts w:ascii="Times New Roman" w:eastAsia="Times New Roman" w:hAnsi="Times New Roman" w:cs="Times New Roman"/>
          <w:sz w:val="24"/>
          <w:szCs w:val="24"/>
          <w:lang w:val="kk-KZ"/>
        </w:rPr>
        <w:t>, Қарағанды облысы (2), Қостанай облысы (2)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411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4D737D" w:rsidRDefault="004D737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737D" w:rsidRDefault="004D737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15B4B" w:rsidRDefault="00415B4B" w:rsidP="00415B4B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Сондай-ақ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 ЖАО-да қ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оғамдық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тыңдаулар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күні көрсетілмеген хабарландыруларды орналастыруда бұзушылықтар анықталды: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4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4149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 облысы</w:t>
      </w:r>
      <w:r>
        <w:rPr>
          <w:rFonts w:ascii="Times New Roman" w:hAnsi="Times New Roman" w:cs="Times New Roman"/>
          <w:sz w:val="24"/>
          <w:szCs w:val="24"/>
        </w:rPr>
        <w:t xml:space="preserve"> (1). </w:t>
      </w:r>
      <w:r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хабарландырудың орналастырылған күні</w:t>
      </w:r>
      <w:r w:rsidR="00F55D16">
        <w:rPr>
          <w:rFonts w:ascii="Times New Roman" w:hAnsi="Times New Roman" w:cs="Times New Roman"/>
          <w:sz w:val="24"/>
          <w:szCs w:val="24"/>
          <w:lang w:val="kk-KZ"/>
        </w:rPr>
        <w:t>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көрсетілмегені Алматы облысында (20) анықталды. </w:t>
      </w:r>
    </w:p>
    <w:p w:rsidR="00415B4B" w:rsidRDefault="00750229" w:rsidP="00415B4B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хабарландырудың өзін орналастырмай қ</w:t>
      </w:r>
      <w:r w:rsidR="00415B4B">
        <w:rPr>
          <w:rFonts w:ascii="Times New Roman" w:hAnsi="Times New Roman" w:cs="Times New Roman"/>
          <w:sz w:val="24"/>
          <w:szCs w:val="24"/>
          <w:lang w:val="kk-KZ"/>
        </w:rPr>
        <w:t>оғамдық тыңдаулар хаттамасын орналастыруда Қағидалар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8832CA">
        <w:rPr>
          <w:rFonts w:ascii="Times New Roman" w:hAnsi="Times New Roman" w:cs="Times New Roman"/>
          <w:sz w:val="24"/>
          <w:szCs w:val="24"/>
          <w:lang w:val="kk-KZ"/>
        </w:rPr>
        <w:t>11-</w:t>
      </w:r>
      <w:r>
        <w:rPr>
          <w:rFonts w:ascii="Times New Roman" w:hAnsi="Times New Roman" w:cs="Times New Roman"/>
          <w:sz w:val="24"/>
          <w:szCs w:val="24"/>
          <w:lang w:val="kk-KZ"/>
        </w:rPr>
        <w:t>т. бұзылғаны анықталды – Астана қ. (1).</w:t>
      </w:r>
      <w:r w:rsidR="00415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15B4B" w:rsidRPr="00750229" w:rsidRDefault="008832CA" w:rsidP="00415B4B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 тыңдаулар</w:t>
      </w:r>
      <w:r w:rsidR="00F55D16">
        <w:rPr>
          <w:rFonts w:ascii="Times New Roman" w:eastAsia="Times New Roman" w:hAnsi="Times New Roman" w:cs="Times New Roman"/>
          <w:sz w:val="24"/>
          <w:szCs w:val="24"/>
          <w:lang w:val="kk-KZ"/>
        </w:rPr>
        <w:t>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өткізу Қағидаларының 24-т бұзушылықтар бар, сауалнама формасында қоғамдық тыңдауларды өткізу туралы ЖАО интернет ресурстарында орналастырылған хабарландыруларда тыңдауларды өткізу кезеңі 20 жұмыс күннен аз мерзімді құрайды – Астана қ. (2), Ақмола облысы (1). </w:t>
      </w:r>
    </w:p>
    <w:p w:rsidR="00750229" w:rsidRPr="008832CA" w:rsidRDefault="00750229" w:rsidP="008832CA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50229">
        <w:rPr>
          <w:rFonts w:ascii="Times New Roman" w:hAnsi="Times New Roman" w:cs="Times New Roman"/>
          <w:sz w:val="24"/>
          <w:szCs w:val="24"/>
          <w:lang w:val="kk-KZ"/>
        </w:rPr>
        <w:t xml:space="preserve">ЖАО интернет ресурсында хаттамаларды орналастыруға </w:t>
      </w:r>
      <w:r w:rsidRPr="008832CA">
        <w:rPr>
          <w:rFonts w:ascii="Times New Roman" w:hAnsi="Times New Roman" w:cs="Times New Roman"/>
          <w:sz w:val="24"/>
          <w:szCs w:val="24"/>
          <w:lang w:val="kk-KZ"/>
        </w:rPr>
        <w:t xml:space="preserve">қатысты </w:t>
      </w:r>
      <w:r w:rsidRPr="00750229">
        <w:rPr>
          <w:rFonts w:ascii="Times New Roman" w:hAnsi="Times New Roman" w:cs="Times New Roman"/>
          <w:sz w:val="24"/>
          <w:szCs w:val="24"/>
          <w:lang w:val="kk-KZ"/>
        </w:rPr>
        <w:t>Қағидалардың 19 және 28 т. талаптары бұзылған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(хаттама жоқ):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(6), Алматы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(6), Ақмол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(13), Ақтөбе облысы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(4), Алмат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(2),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облысы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(3), Жамбыл обл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(1), Қара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ғ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анд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 о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(5), Қостанай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(3),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Оңтүстік Қазақстан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(2), </w:t>
      </w:r>
      <w:r w:rsidRPr="00750229">
        <w:rPr>
          <w:rFonts w:ascii="Times New Roman" w:hAnsi="Times New Roman" w:cs="Times New Roman"/>
          <w:sz w:val="24"/>
          <w:szCs w:val="24"/>
          <w:lang w:val="kk-KZ"/>
        </w:rPr>
        <w:t>сондай-ақ хаттамаларды орналастыру мерзімі (7 жұмыс күннен кеш)</w:t>
      </w:r>
      <w:r w:rsidRPr="008832CA">
        <w:rPr>
          <w:rFonts w:ascii="Times New Roman" w:hAnsi="Times New Roman" w:cs="Times New Roman"/>
          <w:sz w:val="24"/>
          <w:szCs w:val="24"/>
          <w:lang w:val="kk-KZ"/>
        </w:rPr>
        <w:t xml:space="preserve">):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қмола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(2), Ақтөбе облысы (1), Алмат</w:t>
      </w:r>
      <w:r w:rsid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ы облысы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(1), </w:t>
      </w:r>
      <w:r w:rsidR="008832CA"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Қарағанды облысы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(2),</w:t>
      </w:r>
      <w:r w:rsid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Қостанай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(2).</w:t>
      </w:r>
    </w:p>
    <w:p w:rsidR="00750229" w:rsidRDefault="00750229" w:rsidP="00750229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D31EE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байланысты, ЖАО қоғамдық тыңдаулар туралы ақпаратты орналастырған кезде Қағидалардың талаптарын сақтау бойынша </w:t>
      </w:r>
      <w:r w:rsidR="008832CA">
        <w:rPr>
          <w:rFonts w:ascii="Times New Roman" w:hAnsi="Times New Roman" w:cs="Times New Roman"/>
          <w:sz w:val="24"/>
          <w:szCs w:val="24"/>
          <w:lang w:val="kk-KZ"/>
        </w:rPr>
        <w:t xml:space="preserve">шараларды </w:t>
      </w:r>
      <w:r w:rsidRPr="008D31EE">
        <w:rPr>
          <w:rFonts w:ascii="Times New Roman" w:hAnsi="Times New Roman" w:cs="Times New Roman"/>
          <w:sz w:val="24"/>
          <w:szCs w:val="24"/>
          <w:lang w:val="kk-KZ"/>
        </w:rPr>
        <w:t>қабылдауы керек.</w:t>
      </w:r>
    </w:p>
    <w:p w:rsidR="00750229" w:rsidRDefault="00750229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50229" w:rsidRDefault="00750229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277FC5"/>
    <w:rsid w:val="002A3C5D"/>
    <w:rsid w:val="002E447E"/>
    <w:rsid w:val="003400FC"/>
    <w:rsid w:val="00383AE2"/>
    <w:rsid w:val="003D695F"/>
    <w:rsid w:val="0041307E"/>
    <w:rsid w:val="00415B4B"/>
    <w:rsid w:val="00433B7F"/>
    <w:rsid w:val="004C489B"/>
    <w:rsid w:val="004D737D"/>
    <w:rsid w:val="00572002"/>
    <w:rsid w:val="006A5F19"/>
    <w:rsid w:val="00703388"/>
    <w:rsid w:val="00712471"/>
    <w:rsid w:val="00750229"/>
    <w:rsid w:val="00791225"/>
    <w:rsid w:val="008832CA"/>
    <w:rsid w:val="00893649"/>
    <w:rsid w:val="009503B0"/>
    <w:rsid w:val="00B409D6"/>
    <w:rsid w:val="00C95796"/>
    <w:rsid w:val="00CA7A07"/>
    <w:rsid w:val="00CE3BDA"/>
    <w:rsid w:val="00DB2F62"/>
    <w:rsid w:val="00E262D7"/>
    <w:rsid w:val="00E5126E"/>
    <w:rsid w:val="00EA31A4"/>
    <w:rsid w:val="00F23073"/>
    <w:rsid w:val="00F5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3</cp:revision>
  <dcterms:created xsi:type="dcterms:W3CDTF">2018-06-06T04:20:00Z</dcterms:created>
  <dcterms:modified xsi:type="dcterms:W3CDTF">2018-06-06T04:24:00Z</dcterms:modified>
</cp:coreProperties>
</file>