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4D737D" w:rsidRPr="00064000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53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маусым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6400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 шешімдерді қабылдау үдерістері туралы жұртшылықтың ақпаратқа қол жетімділігі бойынша жергілікті атқарушы органдар интернет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ресурстарының</w:t>
      </w:r>
      <w:r w:rsidRPr="0006400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жұмысына талдау.</w:t>
      </w:r>
    </w:p>
    <w:p w:rsidR="004D737D" w:rsidRPr="00064000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A31A4" w:rsidRPr="001B7341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D737D" w:rsidRDefault="004D737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proofErr w:type="spellStart"/>
      <w:r w:rsidRPr="004D737D">
        <w:rPr>
          <w:sz w:val="24"/>
          <w:szCs w:val="24"/>
        </w:rPr>
        <w:t>Қазақстан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Республикасы</w:t>
      </w:r>
      <w:proofErr w:type="spellEnd"/>
      <w:r w:rsidRPr="004D737D">
        <w:rPr>
          <w:sz w:val="24"/>
          <w:szCs w:val="24"/>
        </w:rPr>
        <w:t xml:space="preserve"> Энергетика </w:t>
      </w:r>
      <w:proofErr w:type="spellStart"/>
      <w:r w:rsidRPr="004D737D">
        <w:rPr>
          <w:sz w:val="24"/>
          <w:szCs w:val="24"/>
        </w:rPr>
        <w:t>министрлігі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мемлекеттік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органдар</w:t>
      </w:r>
      <w:proofErr w:type="spellEnd"/>
      <w:r w:rsidRPr="004D737D">
        <w:rPr>
          <w:sz w:val="24"/>
          <w:szCs w:val="24"/>
        </w:rPr>
        <w:t xml:space="preserve"> интернет</w:t>
      </w:r>
      <w:r>
        <w:rPr>
          <w:sz w:val="24"/>
          <w:szCs w:val="24"/>
          <w:lang w:val="kk-KZ"/>
        </w:rPr>
        <w:t xml:space="preserve"> ресурстарында </w:t>
      </w:r>
      <w:proofErr w:type="spellStart"/>
      <w:r w:rsidRPr="004D737D">
        <w:rPr>
          <w:sz w:val="24"/>
          <w:szCs w:val="24"/>
        </w:rPr>
        <w:t>шешімдерді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қабылдау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үдерістері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туралы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жұртшылықтың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ақпаратқа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қол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жетімділігіне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тұрақты</w:t>
      </w:r>
      <w:proofErr w:type="spellEnd"/>
      <w:r w:rsidRPr="004D737D">
        <w:rPr>
          <w:sz w:val="24"/>
          <w:szCs w:val="24"/>
        </w:rPr>
        <w:t xml:space="preserve"> мониторинг пен </w:t>
      </w:r>
      <w:proofErr w:type="spellStart"/>
      <w:r w:rsidRPr="004D737D">
        <w:rPr>
          <w:sz w:val="24"/>
          <w:szCs w:val="24"/>
        </w:rPr>
        <w:t>жұртшылықтың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пікірі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есебінің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нәтижесінде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келесіні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атап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өтеді</w:t>
      </w:r>
      <w:proofErr w:type="spellEnd"/>
      <w:r w:rsidRPr="004D737D">
        <w:rPr>
          <w:sz w:val="24"/>
          <w:szCs w:val="24"/>
        </w:rPr>
        <w:t>.</w:t>
      </w:r>
    </w:p>
    <w:p w:rsidR="004D737D" w:rsidRPr="00584498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>Облыстардың және республикалық маңызы бар қалалардың жергілікті атқарушы органдарының аумақтық Табиғи ресурстар және табиғатты пайдалануды реттеу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басқармаларының ресми интернет ресурстарында 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 w:rsidR="00364CB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143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 w:rsidR="00364CB0">
        <w:rPr>
          <w:rFonts w:ascii="Times New Roman" w:eastAsia="Times New Roman" w:hAnsi="Times New Roman" w:cs="Times New Roman"/>
          <w:sz w:val="24"/>
          <w:szCs w:val="24"/>
          <w:lang w:val="kk-KZ"/>
        </w:rPr>
        <w:t>121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хаттама жарияланған.</w:t>
      </w:r>
    </w:p>
    <w:p w:rsidR="004D737D" w:rsidRPr="00FC611F" w:rsidRDefault="00364CB0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116</w:t>
      </w:r>
      <w:r w:rsidR="004D737D"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бұзушылық анықталған, оның ішінде</w:t>
      </w:r>
      <w:r w:rsidR="004D737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32</w:t>
      </w:r>
      <w:r w:rsidR="00CE3BD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4D737D"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 және</w:t>
      </w:r>
      <w:r w:rsidR="004D737D" w:rsidRPr="004D73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84</w:t>
      </w:r>
      <w:r w:rsidR="00CE3BD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r w:rsidR="004D737D"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бойынша.</w:t>
      </w:r>
    </w:p>
    <w:p w:rsidR="004D737D" w:rsidRPr="004D737D" w:rsidRDefault="004D737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kk-KZ"/>
        </w:rPr>
      </w:pPr>
    </w:p>
    <w:tbl>
      <w:tblPr>
        <w:tblStyle w:val="a3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4D737D" w:rsidRPr="0076662D" w:rsidTr="0071247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4D737D" w:rsidRPr="00D4265D" w:rsidRDefault="004D737D" w:rsidP="004D737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4265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№ р/с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4D737D" w:rsidRPr="00D4265D" w:rsidRDefault="004D737D" w:rsidP="004D7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4265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4D737D" w:rsidRPr="00D4265D" w:rsidRDefault="004D737D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65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Орналастыру 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4D737D" w:rsidRPr="00EA7776" w:rsidRDefault="00D4265D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D4265D">
              <w:rPr>
                <w:rFonts w:ascii="Times New Roman" w:hAnsi="Times New Roman" w:cs="Times New Roman"/>
                <w:sz w:val="16"/>
                <w:szCs w:val="16"/>
              </w:rPr>
              <w:t>Бұзушылық</w:t>
            </w:r>
            <w:proofErr w:type="spellEnd"/>
            <w:r w:rsidR="00EA777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тар</w:t>
            </w:r>
          </w:p>
        </w:tc>
      </w:tr>
      <w:tr w:rsidR="00EA31A4" w:rsidRPr="0076662D" w:rsidTr="0071247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A31A4" w:rsidRPr="00D4265D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EA31A4" w:rsidRPr="00D4265D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EA31A4" w:rsidRPr="00D4265D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4265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A31A4" w:rsidRPr="00D4265D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4265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A31A4" w:rsidRPr="00D4265D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4265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EA31A4" w:rsidRPr="00D4265D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4265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</w:tr>
      <w:tr w:rsidR="00EA31A4" w:rsidRPr="0076662D" w:rsidTr="00712471">
        <w:trPr>
          <w:trHeight w:val="94"/>
        </w:trPr>
        <w:tc>
          <w:tcPr>
            <w:tcW w:w="567" w:type="dxa"/>
            <w:vMerge/>
            <w:vAlign w:val="center"/>
          </w:tcPr>
          <w:p w:rsidR="00EA31A4" w:rsidRPr="00D4265D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:rsidR="00EA31A4" w:rsidRPr="00D4265D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31A4" w:rsidRPr="00D4265D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31A4" w:rsidRPr="00D4265D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A31A4" w:rsidRPr="00D4265D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</w:tcPr>
          <w:p w:rsidR="00EA31A4" w:rsidRPr="00D4265D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4265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Хаттама ескертулері</w:t>
            </w:r>
          </w:p>
        </w:tc>
        <w:tc>
          <w:tcPr>
            <w:tcW w:w="1303" w:type="dxa"/>
            <w:vAlign w:val="center"/>
          </w:tcPr>
          <w:p w:rsidR="00EA31A4" w:rsidRPr="00D4265D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4265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Хаттама жоқ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</w:t>
            </w:r>
          </w:p>
        </w:tc>
        <w:tc>
          <w:tcPr>
            <w:tcW w:w="2155" w:type="dxa"/>
            <w:vAlign w:val="center"/>
            <w:hideMark/>
          </w:tcPr>
          <w:p w:rsidR="00EA31A4" w:rsidRPr="004D737D" w:rsidRDefault="00EA31A4" w:rsidP="0053048C">
            <w:pPr>
              <w:spacing w:after="160" w:line="259" w:lineRule="auto"/>
              <w:rPr>
                <w:sz w:val="16"/>
                <w:szCs w:val="16"/>
                <w:lang w:val="kk-KZ"/>
              </w:rPr>
            </w:pPr>
            <w:r w:rsidRPr="0076662D">
              <w:rPr>
                <w:sz w:val="16"/>
                <w:szCs w:val="16"/>
              </w:rPr>
              <w:t>Астана</w:t>
            </w:r>
            <w:r w:rsidR="004D737D">
              <w:rPr>
                <w:sz w:val="16"/>
                <w:szCs w:val="16"/>
                <w:lang w:val="kk-KZ"/>
              </w:rPr>
              <w:t xml:space="preserve"> қ.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364CB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364CB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364CB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364CB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364CB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  <w:hideMark/>
          </w:tcPr>
          <w:p w:rsidR="00EA31A4" w:rsidRPr="004D737D" w:rsidRDefault="00EA31A4" w:rsidP="0053048C">
            <w:pPr>
              <w:spacing w:after="160" w:line="259" w:lineRule="auto"/>
              <w:rPr>
                <w:sz w:val="16"/>
                <w:szCs w:val="16"/>
                <w:lang w:val="kk-KZ"/>
              </w:rPr>
            </w:pPr>
            <w:r w:rsidRPr="0076662D">
              <w:rPr>
                <w:sz w:val="16"/>
                <w:szCs w:val="16"/>
              </w:rPr>
              <w:t>Алматы</w:t>
            </w:r>
            <w:r w:rsidR="004D737D">
              <w:rPr>
                <w:sz w:val="16"/>
                <w:szCs w:val="16"/>
                <w:lang w:val="kk-KZ"/>
              </w:rPr>
              <w:t xml:space="preserve"> қ.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364CB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364CB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364CB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364CB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364CB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3</w:t>
            </w:r>
          </w:p>
        </w:tc>
        <w:tc>
          <w:tcPr>
            <w:tcW w:w="2155" w:type="dxa"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Ақмола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4</w:t>
            </w:r>
          </w:p>
        </w:tc>
        <w:tc>
          <w:tcPr>
            <w:tcW w:w="2155" w:type="dxa"/>
            <w:shd w:val="clear" w:color="auto" w:fill="auto"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Ақтөбе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Алматы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6</w:t>
            </w:r>
          </w:p>
        </w:tc>
        <w:tc>
          <w:tcPr>
            <w:tcW w:w="2155" w:type="dxa"/>
            <w:shd w:val="clear" w:color="auto" w:fill="auto"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Атырау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7</w:t>
            </w:r>
          </w:p>
        </w:tc>
        <w:tc>
          <w:tcPr>
            <w:tcW w:w="2155" w:type="dxa"/>
            <w:shd w:val="clear" w:color="auto" w:fill="auto"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ШҚО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8</w:t>
            </w:r>
          </w:p>
        </w:tc>
        <w:tc>
          <w:tcPr>
            <w:tcW w:w="2155" w:type="dxa"/>
            <w:shd w:val="clear" w:color="auto" w:fill="auto"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БҚО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9</w:t>
            </w:r>
          </w:p>
        </w:tc>
        <w:tc>
          <w:tcPr>
            <w:tcW w:w="2155" w:type="dxa"/>
            <w:shd w:val="clear" w:color="auto" w:fill="auto"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Жамбыл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10</w:t>
            </w:r>
          </w:p>
        </w:tc>
        <w:tc>
          <w:tcPr>
            <w:tcW w:w="2155" w:type="dxa"/>
            <w:shd w:val="clear" w:color="auto" w:fill="auto"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Қарағанды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11</w:t>
            </w:r>
          </w:p>
        </w:tc>
        <w:tc>
          <w:tcPr>
            <w:tcW w:w="2155" w:type="dxa"/>
            <w:shd w:val="clear" w:color="auto" w:fill="auto"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Қостанай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12</w:t>
            </w:r>
          </w:p>
        </w:tc>
        <w:tc>
          <w:tcPr>
            <w:tcW w:w="2155" w:type="dxa"/>
            <w:shd w:val="clear" w:color="auto" w:fill="auto"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Қызылорда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13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Маңғыстау облысы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14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Павлодар облысы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СҚО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D737D" w:rsidRPr="0076662D" w:rsidTr="00613B56">
        <w:trPr>
          <w:trHeight w:val="152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ОҚО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364CB0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EA31A4" w:rsidRPr="0076662D" w:rsidTr="00712471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EA31A4" w:rsidRPr="004D737D" w:rsidRDefault="00A553FD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маусым</w:t>
            </w:r>
            <w:r w:rsidR="004D737D">
              <w:rPr>
                <w:sz w:val="16"/>
                <w:szCs w:val="16"/>
                <w:lang w:val="kk-KZ"/>
              </w:rPr>
              <w:t xml:space="preserve"> айына жиыны </w:t>
            </w:r>
          </w:p>
        </w:tc>
        <w:tc>
          <w:tcPr>
            <w:tcW w:w="1275" w:type="dxa"/>
            <w:noWrap/>
            <w:vAlign w:val="center"/>
          </w:tcPr>
          <w:p w:rsidR="00EA31A4" w:rsidRPr="0076662D" w:rsidRDefault="00364CB0" w:rsidP="00364CB0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143</w:t>
            </w:r>
          </w:p>
        </w:tc>
        <w:tc>
          <w:tcPr>
            <w:tcW w:w="1418" w:type="dxa"/>
            <w:noWrap/>
            <w:vAlign w:val="center"/>
          </w:tcPr>
          <w:p w:rsidR="00EA31A4" w:rsidRPr="0076662D" w:rsidRDefault="00364CB0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121</w:t>
            </w:r>
          </w:p>
        </w:tc>
        <w:tc>
          <w:tcPr>
            <w:tcW w:w="1417" w:type="dxa"/>
            <w:noWrap/>
            <w:vAlign w:val="center"/>
          </w:tcPr>
          <w:p w:rsidR="00EA31A4" w:rsidRPr="0076662D" w:rsidRDefault="00364CB0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552" w:type="dxa"/>
            <w:gridSpan w:val="2"/>
            <w:vAlign w:val="center"/>
          </w:tcPr>
          <w:p w:rsidR="00EA31A4" w:rsidRPr="0076662D" w:rsidRDefault="00364CB0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84</w:t>
            </w:r>
          </w:p>
        </w:tc>
      </w:tr>
    </w:tbl>
    <w:p w:rsidR="004D737D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Қоғамдық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тыңдаулар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ақпаратты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орнал</w:t>
      </w:r>
      <w:r>
        <w:rPr>
          <w:rFonts w:ascii="Times New Roman" w:eastAsia="Times New Roman" w:hAnsi="Times New Roman" w:cs="Times New Roman"/>
          <w:sz w:val="24"/>
          <w:szCs w:val="24"/>
        </w:rPr>
        <w:t>астыру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Қағидалардың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8832CA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тармағыны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>ң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талаптары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бұзуш</w:t>
      </w:r>
      <w:r>
        <w:rPr>
          <w:rFonts w:ascii="Times New Roman" w:eastAsia="Times New Roman" w:hAnsi="Times New Roman" w:cs="Times New Roman"/>
          <w:sz w:val="24"/>
          <w:szCs w:val="24"/>
        </w:rPr>
        <w:t>ылықтар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келес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і ЖАО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байқалады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стана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қ. (</w:t>
      </w:r>
      <w:r w:rsidR="006D6C1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), Алматы </w:t>
      </w:r>
      <w:r w:rsidR="00415B4B">
        <w:rPr>
          <w:rFonts w:ascii="Times New Roman" w:eastAsia="Times New Roman" w:hAnsi="Times New Roman" w:cs="Times New Roman"/>
          <w:sz w:val="24"/>
          <w:szCs w:val="24"/>
          <w:lang w:val="kk-KZ"/>
        </w:rPr>
        <w:t>облысы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15B4B">
        <w:rPr>
          <w:rFonts w:ascii="Times New Roman" w:eastAsia="Times New Roman" w:hAnsi="Times New Roman" w:cs="Times New Roman"/>
          <w:sz w:val="24"/>
          <w:szCs w:val="24"/>
          <w:lang w:val="kk-KZ"/>
        </w:rPr>
        <w:t>, Қарағанды облысы (</w:t>
      </w:r>
      <w:r w:rsidR="006D6C15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415B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), </w:t>
      </w:r>
      <w:r w:rsidR="000C36EE">
        <w:rPr>
          <w:rFonts w:ascii="Times New Roman" w:eastAsia="Times New Roman" w:hAnsi="Times New Roman" w:cs="Times New Roman"/>
          <w:sz w:val="24"/>
          <w:szCs w:val="24"/>
          <w:lang w:val="kk-KZ"/>
        </w:rPr>
        <w:t>Қызылорда облысы</w:t>
      </w:r>
      <w:r w:rsidR="00415B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0C36EE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415B4B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411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9D768F" w:rsidRDefault="00415B4B" w:rsidP="00415B4B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553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ЖАО интернет ресурсында хабарландырудың орналастырылған күні</w:t>
      </w:r>
      <w:r w:rsidR="00F55D16">
        <w:rPr>
          <w:rFonts w:ascii="Times New Roman" w:hAnsi="Times New Roman" w:cs="Times New Roman"/>
          <w:sz w:val="24"/>
          <w:szCs w:val="24"/>
          <w:lang w:val="kk-KZ"/>
        </w:rPr>
        <w:t>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көрсетілмегені Алматы </w:t>
      </w:r>
      <w:r w:rsidR="009F4B34">
        <w:rPr>
          <w:rFonts w:ascii="Times New Roman" w:hAnsi="Times New Roman" w:cs="Times New Roman"/>
          <w:sz w:val="24"/>
          <w:szCs w:val="24"/>
          <w:lang w:val="kk-KZ"/>
        </w:rPr>
        <w:t>қ.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9F4B34">
        <w:rPr>
          <w:rFonts w:ascii="Times New Roman" w:hAnsi="Times New Roman" w:cs="Times New Roman"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sz w:val="24"/>
          <w:szCs w:val="24"/>
          <w:lang w:val="kk-KZ"/>
        </w:rPr>
        <w:t>) анықталды.</w:t>
      </w:r>
    </w:p>
    <w:p w:rsidR="00F37A3C" w:rsidRDefault="00415B4B" w:rsidP="00A553F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  <w:r w:rsidR="008832CA">
        <w:rPr>
          <w:rFonts w:ascii="Times New Roman" w:eastAsia="Times New Roman" w:hAnsi="Times New Roman" w:cs="Times New Roman"/>
          <w:sz w:val="24"/>
          <w:szCs w:val="24"/>
          <w:lang w:val="kk-KZ"/>
        </w:rPr>
        <w:t>Қоғамдық тыңдаулар</w:t>
      </w:r>
      <w:r w:rsidR="00F55D16">
        <w:rPr>
          <w:rFonts w:ascii="Times New Roman" w:eastAsia="Times New Roman" w:hAnsi="Times New Roman" w:cs="Times New Roman"/>
          <w:sz w:val="24"/>
          <w:szCs w:val="24"/>
          <w:lang w:val="kk-KZ"/>
        </w:rPr>
        <w:t>ды</w:t>
      </w:r>
      <w:r w:rsidR="008832C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өткізу Қағидаларының 24-т бұзушылықтар бар, сауалнама формасында қоғамдық тыңдауларды өткізу туралы ЖАО интернет ресурстарында орналастырылған хабарландыруларда тыңдауларды өткізу кезеңі 20 жұмыс күннен аз мерзімді құрайды – Астана қ. (</w:t>
      </w:r>
      <w:r w:rsidR="009D768F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8832CA">
        <w:rPr>
          <w:rFonts w:ascii="Times New Roman" w:eastAsia="Times New Roman" w:hAnsi="Times New Roman" w:cs="Times New Roman"/>
          <w:sz w:val="24"/>
          <w:szCs w:val="24"/>
          <w:lang w:val="kk-KZ"/>
        </w:rPr>
        <w:t>).</w:t>
      </w:r>
    </w:p>
    <w:p w:rsidR="0093339D" w:rsidRPr="00D4265D" w:rsidRDefault="00F37A3C" w:rsidP="00A553FD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ЖАО интернет ресурсында </w:t>
      </w:r>
      <w:r w:rsidR="0093339D">
        <w:rPr>
          <w:rFonts w:ascii="Times New Roman" w:hAnsi="Times New Roman" w:cs="Times New Roman"/>
          <w:sz w:val="24"/>
          <w:szCs w:val="24"/>
          <w:lang w:val="kk-KZ"/>
        </w:rPr>
        <w:t>сауалнама формасында</w:t>
      </w:r>
      <w:r w:rsidR="0093339D" w:rsidRPr="0093339D">
        <w:rPr>
          <w:rFonts w:ascii="Times New Roman" w:hAnsi="Times New Roman" w:cs="Times New Roman"/>
          <w:sz w:val="24"/>
          <w:szCs w:val="24"/>
          <w:lang w:val="kk-KZ"/>
        </w:rPr>
        <w:t xml:space="preserve"> қоғамдық тындауларды</w:t>
      </w:r>
      <w:r w:rsidR="0093339D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>
        <w:rPr>
          <w:rFonts w:ascii="Times New Roman" w:hAnsi="Times New Roman" w:cs="Times New Roman"/>
          <w:sz w:val="24"/>
          <w:szCs w:val="24"/>
          <w:lang w:val="kk-KZ"/>
        </w:rPr>
        <w:t>хабарландырудың орналастырылған күнінің көрсетілмегені Алматы қ. (1) анықталды.</w:t>
      </w:r>
    </w:p>
    <w:p w:rsidR="0093339D" w:rsidRPr="00D4265D" w:rsidRDefault="0093339D" w:rsidP="00A553FD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D426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339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Сондай-ақ </w:t>
      </w:r>
      <w:r w:rsidRPr="00D4265D">
        <w:rPr>
          <w:rFonts w:ascii="Times New Roman" w:eastAsia="Times New Roman" w:hAnsi="Times New Roman" w:cs="Times New Roman"/>
          <w:sz w:val="24"/>
          <w:szCs w:val="24"/>
          <w:lang w:val="kk-KZ"/>
        </w:rPr>
        <w:t>келес</w:t>
      </w:r>
      <w:r w:rsidRPr="0093339D">
        <w:rPr>
          <w:rFonts w:ascii="Times New Roman" w:eastAsia="Times New Roman" w:hAnsi="Times New Roman" w:cs="Times New Roman"/>
          <w:sz w:val="24"/>
          <w:szCs w:val="24"/>
          <w:lang w:val="kk-KZ"/>
        </w:rPr>
        <w:t>і ЖАО-да сауалнама</w:t>
      </w:r>
      <w:r w:rsidRPr="00D4265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өткізу </w:t>
      </w:r>
      <w:r w:rsidRPr="0093339D">
        <w:rPr>
          <w:rFonts w:ascii="Times New Roman" w:eastAsia="Times New Roman" w:hAnsi="Times New Roman" w:cs="Times New Roman"/>
          <w:sz w:val="24"/>
          <w:szCs w:val="24"/>
          <w:lang w:val="kk-KZ"/>
        </w:rPr>
        <w:t>күні көрсетілмеген хабарландыруларды орналастыруда бұзушылықтар анықталды:</w:t>
      </w:r>
      <w:r w:rsidRPr="00D4265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265D">
        <w:rPr>
          <w:rFonts w:ascii="Times New Roman" w:hAnsi="Times New Roman" w:cs="Times New Roman"/>
          <w:sz w:val="24"/>
          <w:szCs w:val="24"/>
          <w:lang w:val="kk-KZ"/>
        </w:rPr>
        <w:t>Ақтөбе облысы (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D4265D">
        <w:rPr>
          <w:rFonts w:ascii="Times New Roman" w:hAnsi="Times New Roman" w:cs="Times New Roman"/>
          <w:sz w:val="24"/>
          <w:szCs w:val="24"/>
          <w:lang w:val="kk-KZ"/>
        </w:rPr>
        <w:t>),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339D">
        <w:rPr>
          <w:rFonts w:ascii="Times New Roman" w:hAnsi="Times New Roman" w:cs="Times New Roman"/>
          <w:sz w:val="24"/>
          <w:szCs w:val="24"/>
          <w:lang w:val="kk-KZ"/>
        </w:rPr>
        <w:t>Батыс Қазақстан облысы (3),</w:t>
      </w:r>
      <w:r w:rsidRPr="00D4265D">
        <w:rPr>
          <w:rFonts w:ascii="Times New Roman" w:hAnsi="Times New Roman" w:cs="Times New Roman"/>
          <w:sz w:val="24"/>
          <w:szCs w:val="24"/>
          <w:lang w:val="kk-KZ"/>
        </w:rPr>
        <w:t xml:space="preserve"> Қарағанды</w:t>
      </w:r>
      <w:r w:rsidRPr="0093339D">
        <w:rPr>
          <w:rFonts w:ascii="Times New Roman" w:hAnsi="Times New Roman" w:cs="Times New Roman"/>
          <w:sz w:val="24"/>
          <w:szCs w:val="24"/>
          <w:lang w:val="kk-KZ"/>
        </w:rPr>
        <w:t xml:space="preserve"> облысы</w:t>
      </w:r>
      <w:r w:rsidRPr="00D4265D">
        <w:rPr>
          <w:rFonts w:ascii="Times New Roman" w:hAnsi="Times New Roman" w:cs="Times New Roman"/>
          <w:sz w:val="24"/>
          <w:szCs w:val="24"/>
          <w:lang w:val="kk-KZ"/>
        </w:rPr>
        <w:t xml:space="preserve"> (1).</w:t>
      </w:r>
    </w:p>
    <w:p w:rsidR="00A553FD" w:rsidRDefault="00750229" w:rsidP="00A553FD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50229">
        <w:rPr>
          <w:rFonts w:ascii="Times New Roman" w:hAnsi="Times New Roman" w:cs="Times New Roman"/>
          <w:sz w:val="24"/>
          <w:szCs w:val="24"/>
          <w:lang w:val="kk-KZ"/>
        </w:rPr>
        <w:t xml:space="preserve">ЖАО интернет ресурсында хаттамаларды орналастыруға </w:t>
      </w:r>
      <w:r w:rsidRPr="008832CA">
        <w:rPr>
          <w:rFonts w:ascii="Times New Roman" w:hAnsi="Times New Roman" w:cs="Times New Roman"/>
          <w:sz w:val="24"/>
          <w:szCs w:val="24"/>
          <w:lang w:val="kk-KZ"/>
        </w:rPr>
        <w:t xml:space="preserve">қатысты </w:t>
      </w:r>
      <w:r w:rsidRPr="00750229">
        <w:rPr>
          <w:rFonts w:ascii="Times New Roman" w:hAnsi="Times New Roman" w:cs="Times New Roman"/>
          <w:sz w:val="24"/>
          <w:szCs w:val="24"/>
          <w:lang w:val="kk-KZ"/>
        </w:rPr>
        <w:t>Қағидалардың 19 және 28 т. талаптары бұзылған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(хаттама жоқ):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Астана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103C95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), Алматы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103C95">
        <w:rPr>
          <w:rFonts w:ascii="Times New Roman" w:hAnsi="Times New Roman" w:cs="Times New Roman"/>
          <w:i/>
          <w:sz w:val="24"/>
          <w:szCs w:val="24"/>
          <w:lang w:val="kk-KZ"/>
        </w:rPr>
        <w:t>16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), Ақмол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103C95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), Ақтөбе облысы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103C95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), Алмат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 облысы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103C95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103C95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Шығыс Қазақстан облысы </w:t>
      </w:r>
      <w:r w:rsidR="00103C95" w:rsidRPr="00D4265D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103C95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103C95" w:rsidRPr="00D4265D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103C95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Батыс Қазақстан облысы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103C95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), Жамбыл обл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ысы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103C95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), Қара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ғ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анд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 о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бл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(5), Қостанай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103C95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103C95">
        <w:rPr>
          <w:rFonts w:ascii="Times New Roman" w:hAnsi="Times New Roman" w:cs="Times New Roman"/>
          <w:i/>
          <w:sz w:val="24"/>
          <w:szCs w:val="24"/>
          <w:lang w:val="kk-KZ"/>
        </w:rPr>
        <w:t>Қызылорда облысы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103C95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AD5692">
        <w:rPr>
          <w:rFonts w:ascii="Times New Roman" w:hAnsi="Times New Roman" w:cs="Times New Roman"/>
          <w:i/>
          <w:sz w:val="24"/>
          <w:szCs w:val="24"/>
          <w:lang w:val="kk-KZ"/>
        </w:rPr>
        <w:t>Солтүстік Қазақстан облысы (1), Онтүстік Қазақстан облысы (1),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750229">
        <w:rPr>
          <w:rFonts w:ascii="Times New Roman" w:hAnsi="Times New Roman" w:cs="Times New Roman"/>
          <w:sz w:val="24"/>
          <w:szCs w:val="24"/>
          <w:lang w:val="kk-KZ"/>
        </w:rPr>
        <w:t>сондай-ақ хаттамаларды орналастыру мерзімі (7 жұмыс күннен кеш)</w:t>
      </w:r>
      <w:r w:rsidRPr="008832C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D5692">
        <w:rPr>
          <w:rFonts w:ascii="Times New Roman" w:hAnsi="Times New Roman" w:cs="Times New Roman"/>
          <w:i/>
          <w:sz w:val="24"/>
          <w:szCs w:val="24"/>
          <w:lang w:val="kk-KZ"/>
        </w:rPr>
        <w:t>Астана қ.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AD5692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), Алмат</w:t>
      </w:r>
      <w:r w:rsid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ы облысы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AD5692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AD5692">
        <w:rPr>
          <w:rFonts w:ascii="Times New Roman" w:hAnsi="Times New Roman" w:cs="Times New Roman"/>
          <w:i/>
          <w:sz w:val="24"/>
          <w:szCs w:val="24"/>
          <w:lang w:val="kk-KZ"/>
        </w:rPr>
        <w:t>Батыс Қазақстан</w:t>
      </w:r>
      <w:r w:rsidR="008832CA"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AD5692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D5692">
        <w:rPr>
          <w:rFonts w:ascii="Times New Roman" w:hAnsi="Times New Roman" w:cs="Times New Roman"/>
          <w:i/>
          <w:sz w:val="24"/>
          <w:szCs w:val="24"/>
          <w:lang w:val="kk-KZ"/>
        </w:rPr>
        <w:t>Павлодар</w:t>
      </w:r>
      <w:r w:rsid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AD5692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:rsidR="00A553FD" w:rsidRPr="00A553FD" w:rsidRDefault="00A553FD" w:rsidP="008832CA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553FD">
        <w:rPr>
          <w:rFonts w:ascii="Times New Roman" w:hAnsi="Times New Roman" w:cs="Times New Roman"/>
          <w:sz w:val="24"/>
          <w:szCs w:val="24"/>
          <w:lang w:val="kk-KZ"/>
        </w:rPr>
        <w:t>ЖАО интернет ресурсында қоғамдық тындаулардын хаттамаларды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bookmarkStart w:id="0" w:name="_GoBack"/>
      <w:bookmarkEnd w:id="0"/>
      <w:r w:rsidRPr="00A553FD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 күнінің көрсетілмегені Алматы қ. (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A553FD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, Ақтөбе обылысы (14)</w:t>
      </w:r>
      <w:r w:rsidRPr="00A553FD">
        <w:rPr>
          <w:rFonts w:ascii="Times New Roman" w:hAnsi="Times New Roman" w:cs="Times New Roman"/>
          <w:sz w:val="24"/>
          <w:szCs w:val="24"/>
          <w:lang w:val="kk-KZ"/>
        </w:rPr>
        <w:t xml:space="preserve"> анықталды.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750229" w:rsidRDefault="00750229" w:rsidP="00750229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D31EE">
        <w:rPr>
          <w:rFonts w:ascii="Times New Roman" w:hAnsi="Times New Roman" w:cs="Times New Roman"/>
          <w:sz w:val="24"/>
          <w:szCs w:val="24"/>
          <w:lang w:val="kk-KZ"/>
        </w:rPr>
        <w:t xml:space="preserve">Осыған байланысты, ЖАО қоғамдық тыңдаулар туралы ақпаратты орналастырған кезде Қағидалардың талаптарын сақтау бойынша </w:t>
      </w:r>
      <w:r w:rsidR="008832CA">
        <w:rPr>
          <w:rFonts w:ascii="Times New Roman" w:hAnsi="Times New Roman" w:cs="Times New Roman"/>
          <w:sz w:val="24"/>
          <w:szCs w:val="24"/>
          <w:lang w:val="kk-KZ"/>
        </w:rPr>
        <w:t xml:space="preserve">шараларды </w:t>
      </w:r>
      <w:r w:rsidRPr="008D31EE">
        <w:rPr>
          <w:rFonts w:ascii="Times New Roman" w:hAnsi="Times New Roman" w:cs="Times New Roman"/>
          <w:sz w:val="24"/>
          <w:szCs w:val="24"/>
          <w:lang w:val="kk-KZ"/>
        </w:rPr>
        <w:t>қабылдауы керек.</w:t>
      </w:r>
    </w:p>
    <w:p w:rsidR="00750229" w:rsidRDefault="00750229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50229" w:rsidRDefault="00750229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5F19" w:rsidRPr="008832CA" w:rsidRDefault="006A5F19">
      <w:pPr>
        <w:rPr>
          <w:lang w:val="kk-KZ"/>
        </w:rPr>
      </w:pPr>
    </w:p>
    <w:sectPr w:rsidR="006A5F19" w:rsidRPr="008832CA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C36EE"/>
    <w:rsid w:val="00103C95"/>
    <w:rsid w:val="00277FC5"/>
    <w:rsid w:val="002A3C5D"/>
    <w:rsid w:val="002E447E"/>
    <w:rsid w:val="003400FC"/>
    <w:rsid w:val="00364CB0"/>
    <w:rsid w:val="00383AE2"/>
    <w:rsid w:val="003D695F"/>
    <w:rsid w:val="0041307E"/>
    <w:rsid w:val="00415B4B"/>
    <w:rsid w:val="00433B7F"/>
    <w:rsid w:val="004C489B"/>
    <w:rsid w:val="004D737D"/>
    <w:rsid w:val="00572002"/>
    <w:rsid w:val="006A5F19"/>
    <w:rsid w:val="006D6C15"/>
    <w:rsid w:val="00703388"/>
    <w:rsid w:val="00712471"/>
    <w:rsid w:val="00750229"/>
    <w:rsid w:val="00791225"/>
    <w:rsid w:val="008832CA"/>
    <w:rsid w:val="00893649"/>
    <w:rsid w:val="0093339D"/>
    <w:rsid w:val="009503B0"/>
    <w:rsid w:val="009D768F"/>
    <w:rsid w:val="009F4B34"/>
    <w:rsid w:val="00A553FD"/>
    <w:rsid w:val="00AD5692"/>
    <w:rsid w:val="00B409D6"/>
    <w:rsid w:val="00C95796"/>
    <w:rsid w:val="00C97766"/>
    <w:rsid w:val="00CA7A07"/>
    <w:rsid w:val="00CE3BDA"/>
    <w:rsid w:val="00D4265D"/>
    <w:rsid w:val="00DB2F62"/>
    <w:rsid w:val="00E262D7"/>
    <w:rsid w:val="00E5126E"/>
    <w:rsid w:val="00EA31A4"/>
    <w:rsid w:val="00EA7776"/>
    <w:rsid w:val="00F23073"/>
    <w:rsid w:val="00F37A3C"/>
    <w:rsid w:val="00F5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09A-470D-476F-8F94-C86A3BA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test test</cp:lastModifiedBy>
  <cp:revision>5</cp:revision>
  <dcterms:created xsi:type="dcterms:W3CDTF">2018-06-06T04:20:00Z</dcterms:created>
  <dcterms:modified xsi:type="dcterms:W3CDTF">2018-07-09T03:22:00Z</dcterms:modified>
</cp:coreProperties>
</file>