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206E1C">
        <w:rPr>
          <w:sz w:val="24"/>
          <w:szCs w:val="24"/>
        </w:rPr>
        <w:t>август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3B0566">
        <w:rPr>
          <w:b/>
          <w:bCs/>
          <w:sz w:val="24"/>
          <w:szCs w:val="24"/>
        </w:rPr>
        <w:t>81</w:t>
      </w:r>
      <w:r w:rsidRPr="008A2398">
        <w:rPr>
          <w:bCs/>
          <w:sz w:val="24"/>
          <w:szCs w:val="24"/>
        </w:rPr>
        <w:t xml:space="preserve"> –объявлений, </w:t>
      </w:r>
      <w:r w:rsidR="003B0566">
        <w:rPr>
          <w:b/>
          <w:bCs/>
          <w:sz w:val="24"/>
          <w:szCs w:val="24"/>
        </w:rPr>
        <w:t>176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45225C">
        <w:rPr>
          <w:b/>
          <w:bCs/>
          <w:sz w:val="24"/>
          <w:szCs w:val="24"/>
        </w:rPr>
        <w:t>133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472B2A">
        <w:rPr>
          <w:bCs/>
          <w:sz w:val="24"/>
          <w:szCs w:val="24"/>
        </w:rPr>
        <w:t>й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45225C">
        <w:rPr>
          <w:b/>
          <w:bCs/>
          <w:sz w:val="24"/>
          <w:szCs w:val="24"/>
        </w:rPr>
        <w:t>47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8A5C9F">
        <w:rPr>
          <w:b/>
          <w:bCs/>
          <w:sz w:val="24"/>
          <w:szCs w:val="24"/>
        </w:rPr>
        <w:t>86</w:t>
      </w:r>
      <w:r w:rsidR="00472B2A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21"/>
        <w:tblW w:w="976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987"/>
        <w:gridCol w:w="1133"/>
        <w:gridCol w:w="992"/>
        <w:gridCol w:w="1188"/>
        <w:gridCol w:w="1124"/>
        <w:gridCol w:w="904"/>
        <w:gridCol w:w="1021"/>
      </w:tblGrid>
      <w:tr w:rsidR="008A5C9F" w:rsidRPr="003B5625" w:rsidTr="0045275E">
        <w:trPr>
          <w:trHeight w:val="300"/>
          <w:jc w:val="center"/>
        </w:trPr>
        <w:tc>
          <w:tcPr>
            <w:tcW w:w="564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ind w:left="-142" w:right="-532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5C9F" w:rsidRPr="0045275E" w:rsidRDefault="008A5C9F" w:rsidP="0045275E">
            <w:pPr>
              <w:ind w:left="-142" w:right="-53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847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МИО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8A5C9F" w:rsidRPr="0045275E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5229" w:type="dxa"/>
            <w:gridSpan w:val="5"/>
            <w:noWrap/>
            <w:vAlign w:val="center"/>
            <w:hideMark/>
          </w:tcPr>
          <w:p w:rsidR="008A5C9F" w:rsidRPr="0045275E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</w:tr>
      <w:tr w:rsidR="008A5C9F" w:rsidRPr="003B5625" w:rsidTr="0045275E">
        <w:trPr>
          <w:trHeight w:val="208"/>
          <w:jc w:val="center"/>
        </w:trPr>
        <w:tc>
          <w:tcPr>
            <w:tcW w:w="564" w:type="dxa"/>
            <w:vMerge/>
            <w:vAlign w:val="center"/>
            <w:hideMark/>
          </w:tcPr>
          <w:p w:rsidR="008A5C9F" w:rsidRPr="003B5625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8A5C9F" w:rsidRPr="003B5625" w:rsidRDefault="008A5C9F" w:rsidP="0045275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8A5C9F" w:rsidRPr="0045275E" w:rsidRDefault="008A5C9F" w:rsidP="004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Протокола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8A5C9F" w:rsidRPr="0045275E" w:rsidRDefault="008A5C9F" w:rsidP="0045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75E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4237" w:type="dxa"/>
            <w:gridSpan w:val="4"/>
            <w:noWrap/>
            <w:vAlign w:val="center"/>
            <w:hideMark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8A5C9F" w:rsidRPr="003B5625" w:rsidTr="0045275E">
        <w:trPr>
          <w:trHeight w:val="205"/>
          <w:jc w:val="center"/>
        </w:trPr>
        <w:tc>
          <w:tcPr>
            <w:tcW w:w="564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21" w:type="dxa"/>
            <w:vMerge w:val="restart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8A5C9F" w:rsidRPr="003B5625" w:rsidTr="0045275E">
        <w:trPr>
          <w:trHeight w:val="240"/>
          <w:jc w:val="center"/>
        </w:trPr>
        <w:tc>
          <w:tcPr>
            <w:tcW w:w="564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A5C9F" w:rsidRPr="003B5625" w:rsidRDefault="008A5C9F" w:rsidP="0017498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center"/>
          </w:tcPr>
          <w:p w:rsidR="008A5C9F" w:rsidRPr="003B5625" w:rsidRDefault="00566720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указана дата </w:t>
            </w:r>
            <w:r w:rsidR="00E161D9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124" w:type="dxa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указана дата проведения</w:t>
            </w:r>
          </w:p>
        </w:tc>
        <w:tc>
          <w:tcPr>
            <w:tcW w:w="904" w:type="dxa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Позднее 7 рабочих дней</w:t>
            </w:r>
          </w:p>
        </w:tc>
        <w:tc>
          <w:tcPr>
            <w:tcW w:w="1021" w:type="dxa"/>
            <w:vMerge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E161D9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E161D9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525B39" w:rsidRDefault="00525B39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16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45225C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7" w:type="dxa"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noWrap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7" w:type="dxa"/>
            <w:noWrap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5C9F" w:rsidRPr="003B5625" w:rsidTr="0045275E">
        <w:trPr>
          <w:trHeight w:val="315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7" w:type="dxa"/>
            <w:noWrap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5C9F" w:rsidRPr="003B5625" w:rsidTr="0045275E">
        <w:trPr>
          <w:trHeight w:val="152"/>
          <w:jc w:val="center"/>
        </w:trPr>
        <w:tc>
          <w:tcPr>
            <w:tcW w:w="564" w:type="dxa"/>
            <w:vAlign w:val="center"/>
            <w:hideMark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7" w:type="dxa"/>
            <w:noWrap/>
            <w:vAlign w:val="center"/>
            <w:hideMark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5C9F" w:rsidRPr="003B5625" w:rsidTr="0045275E">
        <w:trPr>
          <w:trHeight w:val="152"/>
          <w:jc w:val="center"/>
        </w:trPr>
        <w:tc>
          <w:tcPr>
            <w:tcW w:w="564" w:type="dxa"/>
            <w:vAlign w:val="center"/>
          </w:tcPr>
          <w:p w:rsidR="008A5C9F" w:rsidRPr="003B5625" w:rsidRDefault="008A5C9F" w:rsidP="0017498C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7" w:type="dxa"/>
            <w:noWrap/>
            <w:vAlign w:val="center"/>
          </w:tcPr>
          <w:p w:rsidR="008A5C9F" w:rsidRPr="003B5625" w:rsidRDefault="008A5C9F" w:rsidP="0017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25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5C9F" w:rsidRPr="003B5625" w:rsidRDefault="008A5C9F" w:rsidP="00174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6720" w:rsidRPr="003B5625" w:rsidTr="0045275E">
        <w:trPr>
          <w:trHeight w:val="183"/>
          <w:jc w:val="center"/>
        </w:trPr>
        <w:tc>
          <w:tcPr>
            <w:tcW w:w="2411" w:type="dxa"/>
            <w:gridSpan w:val="2"/>
            <w:vMerge w:val="restart"/>
            <w:noWrap/>
            <w:vAlign w:val="center"/>
            <w:hideMark/>
          </w:tcPr>
          <w:p w:rsidR="00566720" w:rsidRPr="003B5625" w:rsidRDefault="00566720" w:rsidP="0017498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август</w:t>
            </w:r>
          </w:p>
        </w:tc>
        <w:tc>
          <w:tcPr>
            <w:tcW w:w="987" w:type="dxa"/>
            <w:vMerge w:val="restart"/>
            <w:noWrap/>
            <w:vAlign w:val="center"/>
          </w:tcPr>
          <w:p w:rsidR="00566720" w:rsidRPr="003B5625" w:rsidRDefault="00566720" w:rsidP="00174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3" w:type="dxa"/>
            <w:vMerge w:val="restart"/>
            <w:noWrap/>
            <w:vAlign w:val="center"/>
          </w:tcPr>
          <w:p w:rsidR="00566720" w:rsidRPr="003B5625" w:rsidRDefault="00566720" w:rsidP="001749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566720" w:rsidRPr="003B5625" w:rsidRDefault="0045225C" w:rsidP="00174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8" w:type="dxa"/>
            <w:vAlign w:val="center"/>
          </w:tcPr>
          <w:p w:rsidR="00566720" w:rsidRPr="00566720" w:rsidRDefault="00566720" w:rsidP="0056672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566720" w:rsidRPr="00566720" w:rsidRDefault="00566720" w:rsidP="0056672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04" w:type="dxa"/>
            <w:vAlign w:val="center"/>
          </w:tcPr>
          <w:p w:rsidR="00566720" w:rsidRPr="00566720" w:rsidRDefault="00566720" w:rsidP="0056672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566720" w:rsidRPr="00566720" w:rsidRDefault="00566720" w:rsidP="0056672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68</w:t>
            </w:r>
          </w:p>
        </w:tc>
      </w:tr>
      <w:tr w:rsidR="00566720" w:rsidRPr="003B5625" w:rsidTr="0045275E">
        <w:trPr>
          <w:trHeight w:val="159"/>
          <w:jc w:val="center"/>
        </w:trPr>
        <w:tc>
          <w:tcPr>
            <w:tcW w:w="2411" w:type="dxa"/>
            <w:gridSpan w:val="2"/>
            <w:vMerge/>
            <w:noWrap/>
            <w:vAlign w:val="center"/>
          </w:tcPr>
          <w:p w:rsidR="00566720" w:rsidRDefault="00566720" w:rsidP="0017498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566720" w:rsidRDefault="00566720" w:rsidP="00174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noWrap/>
            <w:vAlign w:val="center"/>
          </w:tcPr>
          <w:p w:rsidR="00566720" w:rsidRDefault="00566720" w:rsidP="001749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566720" w:rsidRDefault="00566720" w:rsidP="00174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4"/>
            <w:vAlign w:val="center"/>
          </w:tcPr>
          <w:p w:rsidR="00566720" w:rsidRDefault="00566720" w:rsidP="005667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86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5C3763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A51840">
        <w:rPr>
          <w:rFonts w:ascii="Times New Roman" w:hAnsi="Times New Roman" w:cs="Times New Roman"/>
          <w:b/>
          <w:sz w:val="24"/>
          <w:szCs w:val="24"/>
        </w:rPr>
        <w:t xml:space="preserve">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Default="00683638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>:</w:t>
      </w:r>
      <w:r w:rsidR="00AA2AAC">
        <w:rPr>
          <w:rFonts w:ascii="Times New Roman" w:hAnsi="Times New Roman" w:cs="Times New Roman"/>
          <w:sz w:val="24"/>
          <w:szCs w:val="24"/>
        </w:rPr>
        <w:t xml:space="preserve"> </w:t>
      </w:r>
      <w:r w:rsidR="0082699B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82699B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82699B">
        <w:rPr>
          <w:rFonts w:ascii="Times New Roman" w:hAnsi="Times New Roman" w:cs="Times New Roman"/>
          <w:i/>
          <w:sz w:val="24"/>
          <w:szCs w:val="24"/>
        </w:rPr>
        <w:t>-Султан(14), г. Алматы (</w:t>
      </w:r>
      <w:r w:rsidR="00874F27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7020C">
        <w:rPr>
          <w:rFonts w:ascii="Times New Roman" w:hAnsi="Times New Roman" w:cs="Times New Roman"/>
          <w:i/>
          <w:sz w:val="24"/>
          <w:szCs w:val="24"/>
        </w:rPr>
        <w:t>)</w:t>
      </w:r>
      <w:r w:rsidR="00372CB0" w:rsidRPr="003E090E">
        <w:rPr>
          <w:rFonts w:ascii="Times New Roman" w:hAnsi="Times New Roman" w:cs="Times New Roman"/>
          <w:i/>
          <w:sz w:val="24"/>
          <w:szCs w:val="24"/>
        </w:rPr>
        <w:t>,</w:t>
      </w:r>
      <w:r w:rsidR="00BC1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1949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BC1949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="00206E1C">
        <w:rPr>
          <w:rFonts w:ascii="Times New Roman" w:hAnsi="Times New Roman" w:cs="Times New Roman"/>
          <w:i/>
          <w:sz w:val="24"/>
          <w:szCs w:val="24"/>
        </w:rPr>
        <w:t xml:space="preserve"> (1), </w:t>
      </w:r>
      <w:r w:rsidR="00BC1949">
        <w:rPr>
          <w:rFonts w:ascii="Times New Roman" w:hAnsi="Times New Roman" w:cs="Times New Roman"/>
          <w:i/>
          <w:sz w:val="24"/>
          <w:szCs w:val="24"/>
        </w:rPr>
        <w:t>ВКО (</w:t>
      </w:r>
      <w:r w:rsidR="0014171F">
        <w:rPr>
          <w:rFonts w:ascii="Times New Roman" w:hAnsi="Times New Roman" w:cs="Times New Roman"/>
          <w:i/>
          <w:sz w:val="24"/>
          <w:szCs w:val="24"/>
        </w:rPr>
        <w:t>2</w:t>
      </w:r>
      <w:r w:rsidR="0082699B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2699B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82699B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874F27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BC1949">
        <w:rPr>
          <w:rFonts w:ascii="Times New Roman" w:hAnsi="Times New Roman" w:cs="Times New Roman"/>
          <w:i/>
          <w:sz w:val="24"/>
          <w:szCs w:val="24"/>
        </w:rPr>
        <w:t xml:space="preserve">), </w:t>
      </w:r>
      <w:bookmarkStart w:id="0" w:name="_GoBack"/>
      <w:bookmarkEnd w:id="0"/>
      <w:r w:rsidR="00BC1949">
        <w:rPr>
          <w:rFonts w:ascii="Times New Roman" w:hAnsi="Times New Roman" w:cs="Times New Roman"/>
          <w:i/>
          <w:sz w:val="24"/>
          <w:szCs w:val="24"/>
        </w:rPr>
        <w:t>Ка</w:t>
      </w:r>
      <w:r w:rsidR="0014171F">
        <w:rPr>
          <w:rFonts w:ascii="Times New Roman" w:hAnsi="Times New Roman" w:cs="Times New Roman"/>
          <w:i/>
          <w:sz w:val="24"/>
          <w:szCs w:val="24"/>
        </w:rPr>
        <w:t>р</w:t>
      </w:r>
      <w:r w:rsidR="00BC1949">
        <w:rPr>
          <w:rFonts w:ascii="Times New Roman" w:hAnsi="Times New Roman" w:cs="Times New Roman"/>
          <w:i/>
          <w:sz w:val="24"/>
          <w:szCs w:val="24"/>
        </w:rPr>
        <w:t xml:space="preserve">агандинская обл. (1), </w:t>
      </w:r>
      <w:proofErr w:type="spellStart"/>
      <w:r w:rsidR="00BC1949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BC1949">
        <w:rPr>
          <w:rFonts w:ascii="Times New Roman" w:hAnsi="Times New Roman" w:cs="Times New Roman"/>
          <w:i/>
          <w:sz w:val="24"/>
          <w:szCs w:val="24"/>
        </w:rPr>
        <w:t xml:space="preserve"> обл. (7).</w:t>
      </w:r>
    </w:p>
    <w:p w:rsidR="00BB3535" w:rsidRDefault="008269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Объявления общественных слушаний без указания даты размещения на Интернет-ресурсах МИО: </w:t>
      </w:r>
      <w:r w:rsidRPr="0082699B">
        <w:rPr>
          <w:rFonts w:ascii="Times New Roman" w:hAnsi="Times New Roman" w:cs="Times New Roman"/>
          <w:i/>
          <w:sz w:val="24"/>
          <w:szCs w:val="24"/>
        </w:rPr>
        <w:t>Туркестанская обл. (3)</w:t>
      </w:r>
      <w:r>
        <w:rPr>
          <w:rFonts w:ascii="Times New Roman" w:hAnsi="Times New Roman" w:cs="Times New Roman"/>
          <w:sz w:val="24"/>
          <w:szCs w:val="24"/>
        </w:rPr>
        <w:t xml:space="preserve">, а также, без указания даты проведения: </w:t>
      </w:r>
      <w:proofErr w:type="spellStart"/>
      <w:r w:rsidRPr="0082699B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82699B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proofErr w:type="spellStart"/>
      <w:r w:rsidRPr="0082699B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82699B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proofErr w:type="spellStart"/>
      <w:r w:rsidRPr="0082699B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Pr="0082699B">
        <w:rPr>
          <w:rFonts w:ascii="Times New Roman" w:hAnsi="Times New Roman" w:cs="Times New Roman"/>
          <w:i/>
          <w:sz w:val="24"/>
          <w:szCs w:val="24"/>
        </w:rPr>
        <w:t xml:space="preserve"> обл. 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5EB" w:rsidRPr="00566720" w:rsidRDefault="002715EB" w:rsidP="000240EE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A479D0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566720">
        <w:rPr>
          <w:rFonts w:ascii="Times New Roman" w:hAnsi="Times New Roman" w:cs="Times New Roman"/>
          <w:b/>
          <w:sz w:val="24"/>
          <w:szCs w:val="24"/>
          <w:lang w:val="kk-KZ"/>
        </w:rPr>
        <w:t>опроса.</w:t>
      </w:r>
    </w:p>
    <w:p w:rsidR="00DD53DB" w:rsidRPr="00A479D0" w:rsidRDefault="00A479D0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общественных слушаний без указания периода проведения опроса</w:t>
      </w:r>
      <w:r w:rsidR="006910D1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A479D0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A479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683638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A479D0">
        <w:rPr>
          <w:rFonts w:ascii="Times New Roman" w:hAnsi="Times New Roman" w:cs="Times New Roman"/>
          <w:sz w:val="24"/>
          <w:szCs w:val="24"/>
        </w:rPr>
        <w:t xml:space="preserve">МИО: </w:t>
      </w:r>
      <w:r w:rsidRPr="00A479D0">
        <w:rPr>
          <w:rFonts w:ascii="Times New Roman" w:hAnsi="Times New Roman" w:cs="Times New Roman"/>
          <w:i/>
          <w:sz w:val="24"/>
          <w:szCs w:val="24"/>
        </w:rPr>
        <w:t>Актюбинская обл.</w:t>
      </w:r>
      <w:r w:rsidR="00470E5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D5" w:rsidRPr="00A479D0">
        <w:rPr>
          <w:rFonts w:ascii="Times New Roman" w:hAnsi="Times New Roman" w:cs="Times New Roman"/>
          <w:i/>
          <w:sz w:val="24"/>
          <w:szCs w:val="24"/>
        </w:rPr>
        <w:t>(</w:t>
      </w:r>
      <w:r w:rsidR="00BC1949" w:rsidRPr="00A479D0">
        <w:rPr>
          <w:rFonts w:ascii="Times New Roman" w:hAnsi="Times New Roman" w:cs="Times New Roman"/>
          <w:i/>
          <w:sz w:val="24"/>
          <w:szCs w:val="24"/>
        </w:rPr>
        <w:t>3</w:t>
      </w:r>
      <w:r w:rsidR="00741ED5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2715EB" w:rsidRPr="00A479D0">
        <w:rPr>
          <w:rFonts w:ascii="Times New Roman" w:hAnsi="Times New Roman" w:cs="Times New Roman"/>
          <w:i/>
          <w:sz w:val="24"/>
          <w:szCs w:val="24"/>
        </w:rPr>
        <w:t>,</w:t>
      </w:r>
      <w:r w:rsidR="00BC1949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1949" w:rsidRPr="00A479D0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2715EB" w:rsidRPr="00A479D0">
        <w:rPr>
          <w:rFonts w:ascii="Times New Roman" w:hAnsi="Times New Roman" w:cs="Times New Roman"/>
          <w:i/>
          <w:sz w:val="24"/>
          <w:szCs w:val="24"/>
        </w:rPr>
        <w:t xml:space="preserve"> обл. (1).</w:t>
      </w:r>
    </w:p>
    <w:p w:rsidR="00B11157" w:rsidRPr="00A479D0" w:rsidRDefault="00DD53DB" w:rsidP="00030E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479D0">
        <w:rPr>
          <w:rFonts w:ascii="Times New Roman" w:hAnsi="Times New Roman" w:cs="Times New Roman"/>
          <w:sz w:val="24"/>
          <w:szCs w:val="24"/>
        </w:rPr>
        <w:t>Нарушены</w:t>
      </w:r>
      <w:r w:rsidR="00E7664E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79D0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г. Нур-Султан (9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B222A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г. Алматы (4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BB222A" w:rsidRPr="00A47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обл. (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3), Актюбинская обл. (8), Алматинская область (16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Атыраус</w:t>
      </w:r>
      <w:r w:rsidR="00212B45" w:rsidRPr="00A479D0">
        <w:rPr>
          <w:rFonts w:ascii="Times New Roman" w:hAnsi="Times New Roman" w:cs="Times New Roman"/>
          <w:i/>
          <w:sz w:val="24"/>
          <w:szCs w:val="24"/>
          <w:lang w:val="kk-KZ"/>
        </w:rPr>
        <w:t>кая область (1), ВКО (4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ЗКО (4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Жамбылская обл. (1), Карагандинска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я обл. (6), Костанайская обл. (</w:t>
      </w:r>
      <w:r w:rsidR="00212B45" w:rsidRPr="00A479D0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Мангистауская обл. (3), Павлодарс</w:t>
      </w:r>
      <w:r w:rsidR="00212B45" w:rsidRPr="00A479D0">
        <w:rPr>
          <w:rFonts w:ascii="Times New Roman" w:hAnsi="Times New Roman" w:cs="Times New Roman"/>
          <w:i/>
          <w:sz w:val="24"/>
          <w:szCs w:val="24"/>
          <w:lang w:val="kk-KZ"/>
        </w:rPr>
        <w:t>кая обл. (2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СКО(1), Туркеста</w:t>
      </w:r>
      <w:r w:rsidR="00600B32" w:rsidRPr="00A479D0">
        <w:rPr>
          <w:rFonts w:ascii="Times New Roman" w:hAnsi="Times New Roman" w:cs="Times New Roman"/>
          <w:i/>
          <w:sz w:val="24"/>
          <w:szCs w:val="24"/>
          <w:lang w:val="kk-KZ"/>
        </w:rPr>
        <w:t>н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ская обл. (</w:t>
      </w:r>
      <w:r w:rsidR="008A5C9F" w:rsidRPr="00A479D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г. Шымент (1), </w:t>
      </w:r>
      <w:r w:rsidR="00C6369B" w:rsidRPr="00A479D0">
        <w:rPr>
          <w:rFonts w:ascii="Times New Roman" w:hAnsi="Times New Roman" w:cs="Times New Roman"/>
          <w:sz w:val="24"/>
          <w:szCs w:val="24"/>
        </w:rPr>
        <w:t>а</w:t>
      </w:r>
      <w:r w:rsidR="00C6369B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9D0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 w:rsidRPr="00A479D0">
        <w:rPr>
          <w:rFonts w:ascii="Times New Roman" w:hAnsi="Times New Roman" w:cs="Times New Roman"/>
          <w:i/>
          <w:sz w:val="24"/>
          <w:szCs w:val="24"/>
        </w:rPr>
        <w:t>):</w:t>
      </w:r>
      <w:r w:rsidR="00470E5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CD0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04C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030E93" w:rsidRPr="00A479D0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030E93" w:rsidRPr="00A479D0">
        <w:rPr>
          <w:rFonts w:ascii="Times New Roman" w:hAnsi="Times New Roman" w:cs="Times New Roman"/>
          <w:i/>
          <w:sz w:val="24"/>
          <w:szCs w:val="24"/>
        </w:rPr>
        <w:t>-Султан (5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>, г. Алматы (1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>)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, Алматинская обл</w:t>
      </w:r>
      <w:r w:rsidR="004168C0">
        <w:rPr>
          <w:rFonts w:ascii="Times New Roman" w:hAnsi="Times New Roman" w:cs="Times New Roman"/>
          <w:i/>
          <w:sz w:val="24"/>
          <w:szCs w:val="24"/>
        </w:rPr>
        <w:t>.(2</w:t>
      </w:r>
      <w:r w:rsidR="00600B32" w:rsidRPr="00A479D0">
        <w:rPr>
          <w:rFonts w:ascii="Times New Roman" w:hAnsi="Times New Roman" w:cs="Times New Roman"/>
          <w:i/>
          <w:sz w:val="24"/>
          <w:szCs w:val="24"/>
        </w:rPr>
        <w:t>),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5C9F" w:rsidRPr="00A479D0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 обл. (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>2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240EE" w:rsidRPr="00A479D0" w:rsidRDefault="000240EE" w:rsidP="000240E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479D0">
        <w:rPr>
          <w:rFonts w:ascii="Times New Roman" w:hAnsi="Times New Roman" w:cs="Times New Roman"/>
          <w:sz w:val="24"/>
          <w:szCs w:val="24"/>
        </w:rPr>
        <w:t>Также были выявлены протокол</w:t>
      </w:r>
      <w:r w:rsidR="005C3763" w:rsidRPr="00A479D0">
        <w:rPr>
          <w:rFonts w:ascii="Times New Roman" w:hAnsi="Times New Roman" w:cs="Times New Roman"/>
          <w:sz w:val="24"/>
          <w:szCs w:val="24"/>
        </w:rPr>
        <w:t>ы</w:t>
      </w:r>
      <w:r w:rsidRPr="00A479D0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C03CD0" w:rsidRPr="00A47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9F" w:rsidRPr="00A479D0">
        <w:rPr>
          <w:rFonts w:ascii="Times New Roman" w:hAnsi="Times New Roman" w:cs="Times New Roman"/>
          <w:i/>
          <w:sz w:val="24"/>
          <w:szCs w:val="24"/>
        </w:rPr>
        <w:t>г.Алматы</w:t>
      </w:r>
      <w:proofErr w:type="spellEnd"/>
      <w:r w:rsidR="008A5C9F" w:rsidRPr="00A479D0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030E93" w:rsidRPr="00A479D0">
        <w:rPr>
          <w:rFonts w:ascii="Times New Roman" w:hAnsi="Times New Roman" w:cs="Times New Roman"/>
          <w:i/>
          <w:sz w:val="24"/>
          <w:szCs w:val="24"/>
        </w:rPr>
        <w:t>,</w:t>
      </w:r>
      <w:r w:rsidR="00030E93" w:rsidRPr="00A479D0">
        <w:rPr>
          <w:rFonts w:ascii="Times New Roman" w:hAnsi="Times New Roman" w:cs="Times New Roman"/>
          <w:sz w:val="24"/>
          <w:szCs w:val="24"/>
        </w:rPr>
        <w:t xml:space="preserve"> 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>ВКО (1)</w:t>
      </w:r>
      <w:r w:rsidR="004168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68C0"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="004168C0">
        <w:rPr>
          <w:rFonts w:ascii="Times New Roman" w:hAnsi="Times New Roman" w:cs="Times New Roman"/>
          <w:i/>
          <w:sz w:val="24"/>
          <w:szCs w:val="24"/>
        </w:rPr>
        <w:t>. Шымкент (1)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C9F" w:rsidRPr="00A479D0">
        <w:rPr>
          <w:rFonts w:ascii="Times New Roman" w:hAnsi="Times New Roman" w:cs="Times New Roman"/>
          <w:sz w:val="24"/>
          <w:szCs w:val="24"/>
        </w:rPr>
        <w:t xml:space="preserve">и без указания даты проведения: </w:t>
      </w:r>
      <w:r w:rsidR="008A5C9F" w:rsidRPr="00A479D0">
        <w:rPr>
          <w:rFonts w:ascii="Times New Roman" w:hAnsi="Times New Roman" w:cs="Times New Roman"/>
          <w:i/>
          <w:sz w:val="24"/>
          <w:szCs w:val="24"/>
        </w:rPr>
        <w:t>Актюбинская обл. (5)</w:t>
      </w:r>
      <w:r w:rsidR="008A5C9F" w:rsidRPr="00A479D0">
        <w:rPr>
          <w:rFonts w:ascii="Times New Roman" w:hAnsi="Times New Roman" w:cs="Times New Roman"/>
          <w:sz w:val="24"/>
          <w:szCs w:val="24"/>
        </w:rPr>
        <w:t>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15B6C"/>
    <w:rsid w:val="0014171F"/>
    <w:rsid w:val="00171AAC"/>
    <w:rsid w:val="001771D1"/>
    <w:rsid w:val="00196381"/>
    <w:rsid w:val="001C3CFA"/>
    <w:rsid w:val="001C7877"/>
    <w:rsid w:val="001D3B2F"/>
    <w:rsid w:val="001F01B6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C17A3"/>
    <w:rsid w:val="004C489B"/>
    <w:rsid w:val="004D585B"/>
    <w:rsid w:val="004F2926"/>
    <w:rsid w:val="005028A9"/>
    <w:rsid w:val="00505C0C"/>
    <w:rsid w:val="005115C0"/>
    <w:rsid w:val="00511AC9"/>
    <w:rsid w:val="00514EA1"/>
    <w:rsid w:val="0051531C"/>
    <w:rsid w:val="005241C9"/>
    <w:rsid w:val="00525B39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C3763"/>
    <w:rsid w:val="005C3EF3"/>
    <w:rsid w:val="005D7372"/>
    <w:rsid w:val="005E1086"/>
    <w:rsid w:val="005F578A"/>
    <w:rsid w:val="00600B32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B66C1"/>
    <w:rsid w:val="006C2A9C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812A8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5505A"/>
    <w:rsid w:val="0085568F"/>
    <w:rsid w:val="00863563"/>
    <w:rsid w:val="008707F5"/>
    <w:rsid w:val="00874F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E243F"/>
    <w:rsid w:val="00BE4329"/>
    <w:rsid w:val="00BF7133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4105"/>
    <w:rsid w:val="00D01DB8"/>
    <w:rsid w:val="00D11C8F"/>
    <w:rsid w:val="00D21A82"/>
    <w:rsid w:val="00D37B87"/>
    <w:rsid w:val="00D41DFC"/>
    <w:rsid w:val="00D62618"/>
    <w:rsid w:val="00D63DFB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73CBE"/>
    <w:rsid w:val="00E7664E"/>
    <w:rsid w:val="00E81127"/>
    <w:rsid w:val="00E96BE7"/>
    <w:rsid w:val="00E97916"/>
    <w:rsid w:val="00EA31A4"/>
    <w:rsid w:val="00EB2252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9A67-C853-4288-8113-F3487EF7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Дамир Ками</cp:lastModifiedBy>
  <cp:revision>33</cp:revision>
  <cp:lastPrinted>2019-09-06T03:07:00Z</cp:lastPrinted>
  <dcterms:created xsi:type="dcterms:W3CDTF">2019-08-06T04:16:00Z</dcterms:created>
  <dcterms:modified xsi:type="dcterms:W3CDTF">2019-09-06T04:54:00Z</dcterms:modified>
</cp:coreProperties>
</file>