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936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1F0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тамыз</w:t>
      </w:r>
      <w:r w:rsidR="006F4EC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 шешімдерді қабылдау үдерістері туралы жұртшылықтың ақпаратқа қол жетімділігі бойынша жергілікті атқарушы органдар интерне</w:t>
      </w:r>
      <w:r w:rsidR="00F632F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 ресурстарының жұмысына талдау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 xml:space="preserve">Қазақстан Республикасы </w:t>
      </w:r>
      <w:r w:rsidR="005B48D1">
        <w:rPr>
          <w:sz w:val="24"/>
          <w:szCs w:val="24"/>
          <w:lang w:val="kk-KZ"/>
        </w:rPr>
        <w:t xml:space="preserve">Экология, геология және табиғат ресурстары минисрлігі </w:t>
      </w:r>
      <w:r w:rsidRPr="008419F2">
        <w:rPr>
          <w:sz w:val="24"/>
          <w:szCs w:val="24"/>
          <w:lang w:val="kk-KZ"/>
        </w:rPr>
        <w:t xml:space="preserve">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B65131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4B3C4E">
        <w:rPr>
          <w:rFonts w:ascii="Times New Roman" w:hAnsi="Times New Roman" w:cs="Times New Roman"/>
          <w:b/>
          <w:bCs/>
          <w:sz w:val="24"/>
          <w:szCs w:val="24"/>
          <w:lang w:val="kk-KZ"/>
        </w:rPr>
        <w:t>81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4B3C4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176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 жарияланған.</w:t>
      </w:r>
    </w:p>
    <w:p w:rsidR="004D737D" w:rsidRDefault="005933F2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133</w:t>
      </w:r>
      <w:r w:rsidR="001D1F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бұзушылық анықталған, оның ішінде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47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81EB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86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p w:rsidR="0057237B" w:rsidRP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21"/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551"/>
        <w:gridCol w:w="987"/>
        <w:gridCol w:w="1134"/>
        <w:gridCol w:w="992"/>
        <w:gridCol w:w="1185"/>
        <w:gridCol w:w="1125"/>
        <w:gridCol w:w="902"/>
        <w:gridCol w:w="1021"/>
      </w:tblGrid>
      <w:tr w:rsidR="00681EBC" w:rsidRPr="003B5625" w:rsidTr="007C26FB">
        <w:trPr>
          <w:trHeight w:val="300"/>
          <w:jc w:val="center"/>
        </w:trPr>
        <w:tc>
          <w:tcPr>
            <w:tcW w:w="565" w:type="dxa"/>
            <w:vMerge w:val="restart"/>
            <w:vAlign w:val="center"/>
          </w:tcPr>
          <w:p w:rsidR="00681EBC" w:rsidRPr="007C26FB" w:rsidRDefault="00681EBC" w:rsidP="007C26FB">
            <w:pPr>
              <w:ind w:left="-142" w:right="-532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551" w:type="dxa"/>
            <w:vMerge w:val="restart"/>
            <w:vAlign w:val="center"/>
          </w:tcPr>
          <w:p w:rsidR="00681EBC" w:rsidRPr="007C26FB" w:rsidRDefault="00681EBC" w:rsidP="007C26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Ж</w:t>
            </w:r>
            <w:bookmarkStart w:id="0" w:name="_GoBack"/>
            <w:bookmarkEnd w:id="0"/>
            <w:r w:rsidRPr="007C26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АО</w:t>
            </w:r>
          </w:p>
        </w:tc>
        <w:tc>
          <w:tcPr>
            <w:tcW w:w="2121" w:type="dxa"/>
            <w:gridSpan w:val="2"/>
            <w:vAlign w:val="center"/>
            <w:hideMark/>
          </w:tcPr>
          <w:p w:rsidR="00681EBC" w:rsidRPr="007C26FB" w:rsidRDefault="00681EBC" w:rsidP="007C26FB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6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Орналастыру</w:t>
            </w:r>
          </w:p>
        </w:tc>
        <w:tc>
          <w:tcPr>
            <w:tcW w:w="5225" w:type="dxa"/>
            <w:gridSpan w:val="5"/>
            <w:noWrap/>
            <w:vAlign w:val="center"/>
            <w:hideMark/>
          </w:tcPr>
          <w:p w:rsidR="00681EBC" w:rsidRPr="007C26FB" w:rsidRDefault="005B48D1" w:rsidP="007C26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Бұзушылық</w:t>
            </w:r>
          </w:p>
        </w:tc>
      </w:tr>
      <w:tr w:rsidR="00681EBC" w:rsidRPr="003B5625" w:rsidTr="007C26FB">
        <w:trPr>
          <w:trHeight w:val="208"/>
          <w:jc w:val="center"/>
        </w:trPr>
        <w:tc>
          <w:tcPr>
            <w:tcW w:w="565" w:type="dxa"/>
            <w:vMerge/>
            <w:vAlign w:val="center"/>
          </w:tcPr>
          <w:p w:rsidR="00681EBC" w:rsidRPr="007C26FB" w:rsidRDefault="00681EBC" w:rsidP="007C26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81EBC" w:rsidRPr="007C26FB" w:rsidRDefault="00681EBC" w:rsidP="007C26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681EBC" w:rsidRPr="007C26FB" w:rsidRDefault="00681EBC" w:rsidP="007C26F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26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Хабарландырулар</w:t>
            </w:r>
          </w:p>
        </w:tc>
        <w:tc>
          <w:tcPr>
            <w:tcW w:w="1134" w:type="dxa"/>
            <w:vMerge w:val="restart"/>
            <w:vAlign w:val="center"/>
          </w:tcPr>
          <w:p w:rsidR="00681EBC" w:rsidRPr="007C26FB" w:rsidRDefault="00681EBC" w:rsidP="007C26F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26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Хаттамалар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81EBC" w:rsidRPr="007C26FB" w:rsidRDefault="00681EBC" w:rsidP="007C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Хабарландырулар</w:t>
            </w:r>
          </w:p>
        </w:tc>
        <w:tc>
          <w:tcPr>
            <w:tcW w:w="4233" w:type="dxa"/>
            <w:gridSpan w:val="4"/>
            <w:noWrap/>
            <w:vAlign w:val="center"/>
            <w:hideMark/>
          </w:tcPr>
          <w:p w:rsidR="00681EBC" w:rsidRPr="003B5625" w:rsidRDefault="005B48D1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Хаттамалар</w:t>
            </w:r>
            <w:proofErr w:type="spellEnd"/>
          </w:p>
        </w:tc>
      </w:tr>
      <w:tr w:rsidR="00681EBC" w:rsidRPr="003B5625" w:rsidTr="007C26FB">
        <w:trPr>
          <w:trHeight w:val="205"/>
          <w:jc w:val="center"/>
        </w:trPr>
        <w:tc>
          <w:tcPr>
            <w:tcW w:w="565" w:type="dxa"/>
            <w:vMerge/>
            <w:vAlign w:val="center"/>
          </w:tcPr>
          <w:p w:rsidR="00681EBC" w:rsidRPr="003B5625" w:rsidRDefault="00681EBC" w:rsidP="00681EB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81EBC" w:rsidRPr="003B5625" w:rsidRDefault="00681EBC" w:rsidP="00681EB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noWrap/>
            <w:vAlign w:val="center"/>
          </w:tcPr>
          <w:p w:rsidR="00681EBC" w:rsidRPr="003B5625" w:rsidRDefault="005B48D1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Ескертулер </w:t>
            </w:r>
          </w:p>
        </w:tc>
        <w:tc>
          <w:tcPr>
            <w:tcW w:w="1021" w:type="dxa"/>
            <w:vMerge w:val="restart"/>
            <w:vAlign w:val="center"/>
          </w:tcPr>
          <w:p w:rsidR="00681EBC" w:rsidRPr="005B48D1" w:rsidRDefault="005B48D1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жоқ</w:t>
            </w:r>
          </w:p>
        </w:tc>
      </w:tr>
      <w:tr w:rsidR="00681EBC" w:rsidRPr="003B5625" w:rsidTr="007C26FB">
        <w:trPr>
          <w:trHeight w:val="240"/>
          <w:jc w:val="center"/>
        </w:trPr>
        <w:tc>
          <w:tcPr>
            <w:tcW w:w="565" w:type="dxa"/>
            <w:vMerge/>
            <w:vAlign w:val="center"/>
          </w:tcPr>
          <w:p w:rsidR="00681EBC" w:rsidRPr="003B5625" w:rsidRDefault="00681EBC" w:rsidP="00681EB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81EBC" w:rsidRPr="003B5625" w:rsidRDefault="00681EBC" w:rsidP="00681EB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noWrap/>
            <w:vAlign w:val="center"/>
          </w:tcPr>
          <w:p w:rsidR="00681EBC" w:rsidRPr="005B48D1" w:rsidRDefault="005B48D1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Жүктеу уақыты көрсетілмеген</w:t>
            </w:r>
          </w:p>
        </w:tc>
        <w:tc>
          <w:tcPr>
            <w:tcW w:w="1125" w:type="dxa"/>
            <w:vAlign w:val="center"/>
          </w:tcPr>
          <w:p w:rsidR="00681EBC" w:rsidRPr="005B48D1" w:rsidRDefault="005B48D1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уақыты көрстеілмеген</w:t>
            </w:r>
          </w:p>
        </w:tc>
        <w:tc>
          <w:tcPr>
            <w:tcW w:w="902" w:type="dxa"/>
            <w:vAlign w:val="center"/>
          </w:tcPr>
          <w:p w:rsidR="00681EBC" w:rsidRPr="005B48D1" w:rsidRDefault="005B48D1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жұмыс күнінен кешіктіргендер</w:t>
            </w:r>
          </w:p>
        </w:tc>
        <w:tc>
          <w:tcPr>
            <w:tcW w:w="1021" w:type="dxa"/>
            <w:vMerge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proofErr w:type="spellStart"/>
            <w:r w:rsidRPr="00690843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қ.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Алматы қ.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Ақмола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Ақтөбе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Алматы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Атырау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ШҚО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525B39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161D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БҚО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Жамбыл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1" w:type="dxa"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1" w:type="dxa"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Қостанай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1" w:type="dxa"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Қызылорда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1" w:type="dxa"/>
            <w:noWrap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Маңғыстау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1" w:type="dxa"/>
            <w:noWrap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Павлодар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B48D1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1" w:type="dxa"/>
            <w:noWrap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СҚО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48D1" w:rsidRPr="003B5625" w:rsidTr="007C26FB">
        <w:trPr>
          <w:trHeight w:val="152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1" w:type="dxa"/>
            <w:noWrap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Түркістан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48D1" w:rsidRPr="003B5625" w:rsidTr="007C26FB">
        <w:trPr>
          <w:trHeight w:val="152"/>
          <w:jc w:val="center"/>
        </w:trPr>
        <w:tc>
          <w:tcPr>
            <w:tcW w:w="565" w:type="dxa"/>
            <w:vAlign w:val="center"/>
          </w:tcPr>
          <w:p w:rsidR="005B48D1" w:rsidRPr="00532828" w:rsidRDefault="005B48D1" w:rsidP="005B48D1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1" w:type="dxa"/>
            <w:noWrap/>
          </w:tcPr>
          <w:p w:rsidR="005B48D1" w:rsidRPr="00532828" w:rsidRDefault="005B48D1" w:rsidP="005B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Шымкент </w:t>
            </w:r>
            <w:r w:rsidRPr="00532828">
              <w:rPr>
                <w:rFonts w:ascii="Times New Roman" w:hAnsi="Times New Roman" w:cs="Times New Roman"/>
              </w:rPr>
              <w:t>қ.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48D1" w:rsidRPr="003B5625" w:rsidTr="007C26FB">
        <w:trPr>
          <w:trHeight w:val="210"/>
          <w:jc w:val="center"/>
        </w:trPr>
        <w:tc>
          <w:tcPr>
            <w:tcW w:w="3116" w:type="dxa"/>
            <w:gridSpan w:val="2"/>
            <w:vMerge w:val="restart"/>
            <w:noWrap/>
            <w:vAlign w:val="center"/>
          </w:tcPr>
          <w:p w:rsidR="005B48D1" w:rsidRPr="003B5625" w:rsidRDefault="005B48D1" w:rsidP="005B48D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Тамыз  айының қорытындысы</w:t>
            </w:r>
          </w:p>
        </w:tc>
        <w:tc>
          <w:tcPr>
            <w:tcW w:w="987" w:type="dxa"/>
            <w:vMerge w:val="restart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85" w:type="dxa"/>
            <w:vAlign w:val="center"/>
          </w:tcPr>
          <w:p w:rsidR="005B48D1" w:rsidRPr="00566720" w:rsidRDefault="005B48D1" w:rsidP="005B48D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25" w:type="dxa"/>
            <w:vAlign w:val="center"/>
          </w:tcPr>
          <w:p w:rsidR="005B48D1" w:rsidRPr="00566720" w:rsidRDefault="005B48D1" w:rsidP="005B48D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02" w:type="dxa"/>
            <w:vAlign w:val="center"/>
          </w:tcPr>
          <w:p w:rsidR="005B48D1" w:rsidRPr="00566720" w:rsidRDefault="005B48D1" w:rsidP="005B48D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021" w:type="dxa"/>
            <w:vAlign w:val="center"/>
          </w:tcPr>
          <w:p w:rsidR="005B48D1" w:rsidRPr="00566720" w:rsidRDefault="005B48D1" w:rsidP="005B48D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68</w:t>
            </w:r>
          </w:p>
        </w:tc>
      </w:tr>
      <w:tr w:rsidR="005B48D1" w:rsidRPr="003B5625" w:rsidTr="007C26FB">
        <w:trPr>
          <w:trHeight w:val="105"/>
          <w:jc w:val="center"/>
        </w:trPr>
        <w:tc>
          <w:tcPr>
            <w:tcW w:w="3116" w:type="dxa"/>
            <w:gridSpan w:val="2"/>
            <w:vMerge/>
            <w:noWrap/>
            <w:vAlign w:val="center"/>
          </w:tcPr>
          <w:p w:rsidR="005B48D1" w:rsidRDefault="005B48D1" w:rsidP="005B48D1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  <w:vMerge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5B48D1" w:rsidRPr="003B5625" w:rsidRDefault="005B48D1" w:rsidP="005B4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gridSpan w:val="4"/>
            <w:vAlign w:val="center"/>
          </w:tcPr>
          <w:p w:rsidR="005B48D1" w:rsidRPr="005B48D1" w:rsidRDefault="005B48D1" w:rsidP="005B48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86</w:t>
            </w:r>
          </w:p>
        </w:tc>
      </w:tr>
    </w:tbl>
    <w:p w:rsidR="00C936D2" w:rsidRDefault="00C936D2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B04" w:rsidRPr="008419F2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А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шық жиналыстар түрінде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оғамдық тыңдауларды өткізу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Ережесін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талаптарды бұзу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айқалады.</w:t>
      </w:r>
    </w:p>
    <w:p w:rsidR="001D1F05" w:rsidRDefault="001D4B04" w:rsidP="001D1F05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туралы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 орналастыру бойы</w:t>
      </w:r>
      <w:r w:rsidR="004606B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(хабарландыру жари</w:t>
      </w:r>
      <w:r w:rsid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лау 20 жұмыс күн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інен кем емес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10-тармағының талаптары бойынша бұз</w:t>
      </w:r>
      <w:r w:rsidR="00FF6264">
        <w:rPr>
          <w:rFonts w:ascii="Times New Roman" w:eastAsia="Times New Roman" w:hAnsi="Times New Roman" w:cs="Times New Roman"/>
          <w:sz w:val="24"/>
          <w:szCs w:val="24"/>
          <w:lang w:val="kk-KZ"/>
        </w:rPr>
        <w:t>ушылықтар келесі ЖАО байқалады:</w:t>
      </w:r>
      <w:r w:rsidR="00FF6264" w:rsidRPr="00FF62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D1F05">
        <w:rPr>
          <w:rFonts w:ascii="Times New Roman" w:hAnsi="Times New Roman" w:cs="Times New Roman"/>
          <w:i/>
          <w:sz w:val="24"/>
          <w:szCs w:val="24"/>
          <w:lang w:val="kk-KZ"/>
        </w:rPr>
        <w:t>Нұр-Сұ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>лтан</w:t>
      </w:r>
      <w:r w:rsidR="005933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 </w:t>
      </w:r>
      <w:r w:rsidR="00681EBC">
        <w:rPr>
          <w:rFonts w:ascii="Times New Roman" w:hAnsi="Times New Roman" w:cs="Times New Roman"/>
          <w:i/>
          <w:sz w:val="24"/>
          <w:szCs w:val="24"/>
          <w:lang w:val="kk-KZ"/>
        </w:rPr>
        <w:t>(14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>), Алматы</w:t>
      </w:r>
      <w:r w:rsidR="001D1F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5933F2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>), А</w:t>
      </w:r>
      <w:r w:rsidR="001D1F05">
        <w:rPr>
          <w:rFonts w:ascii="Times New Roman" w:hAnsi="Times New Roman" w:cs="Times New Roman"/>
          <w:i/>
          <w:sz w:val="24"/>
          <w:szCs w:val="24"/>
          <w:lang w:val="kk-KZ"/>
        </w:rPr>
        <w:t>қмола</w:t>
      </w:r>
      <w:r w:rsidR="0021539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(1),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ШҚО (2</w:t>
      </w:r>
      <w:r w:rsidR="001D1F05">
        <w:rPr>
          <w:rFonts w:ascii="Times New Roman" w:hAnsi="Times New Roman" w:cs="Times New Roman"/>
          <w:i/>
          <w:sz w:val="24"/>
          <w:szCs w:val="24"/>
          <w:lang w:val="kk-KZ"/>
        </w:rPr>
        <w:t>), Жамбыл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(</w:t>
      </w:r>
      <w:r w:rsidR="005933F2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1D1F05">
        <w:rPr>
          <w:rFonts w:ascii="Times New Roman" w:hAnsi="Times New Roman" w:cs="Times New Roman"/>
          <w:i/>
          <w:sz w:val="24"/>
          <w:szCs w:val="24"/>
          <w:lang w:val="kk-KZ"/>
        </w:rPr>
        <w:t>Қарағанды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(1), </w:t>
      </w:r>
      <w:r w:rsidR="001D1F05">
        <w:rPr>
          <w:rFonts w:ascii="Times New Roman" w:hAnsi="Times New Roman" w:cs="Times New Roman"/>
          <w:i/>
          <w:sz w:val="24"/>
          <w:szCs w:val="24"/>
          <w:lang w:val="kk-KZ"/>
        </w:rPr>
        <w:t>Қызылорда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(7).</w:t>
      </w:r>
    </w:p>
    <w:p w:rsidR="00681EBC" w:rsidRPr="00681EBC" w:rsidRDefault="00681EBC" w:rsidP="00681EBC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1EBC">
        <w:rPr>
          <w:rFonts w:ascii="Times New Roman" w:hAnsi="Times New Roman" w:cs="Times New Roman"/>
          <w:sz w:val="24"/>
          <w:szCs w:val="24"/>
          <w:lang w:val="kk-KZ"/>
        </w:rPr>
        <w:t>ЖАО интернет-ресурстер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інде сауалнаманы </w:t>
      </w:r>
      <w:r w:rsidR="005B48D1">
        <w:rPr>
          <w:rFonts w:ascii="Times New Roman" w:hAnsi="Times New Roman" w:cs="Times New Roman"/>
          <w:sz w:val="24"/>
          <w:szCs w:val="24"/>
          <w:lang w:val="kk-KZ"/>
        </w:rPr>
        <w:t xml:space="preserve">жүктеу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уақыты көрсетілмеген: </w:t>
      </w:r>
      <w:r w:rsidRPr="005933F2">
        <w:rPr>
          <w:rFonts w:ascii="Times New Roman" w:hAnsi="Times New Roman" w:cs="Times New Roman"/>
          <w:i/>
          <w:sz w:val="24"/>
          <w:szCs w:val="24"/>
          <w:lang w:val="kk-KZ"/>
        </w:rPr>
        <w:t>Түркістан обл. (3)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сонымен қатар сауалнама өткізу уақыты көрсетілмеген: </w:t>
      </w:r>
      <w:r w:rsidRPr="005933F2">
        <w:rPr>
          <w:rFonts w:ascii="Times New Roman" w:hAnsi="Times New Roman" w:cs="Times New Roman"/>
          <w:i/>
          <w:sz w:val="24"/>
          <w:szCs w:val="24"/>
          <w:lang w:val="kk-KZ"/>
        </w:rPr>
        <w:t>Алматы обл. (1)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33F2">
        <w:rPr>
          <w:rFonts w:ascii="Times New Roman" w:hAnsi="Times New Roman" w:cs="Times New Roman"/>
          <w:i/>
          <w:sz w:val="24"/>
          <w:szCs w:val="24"/>
          <w:lang w:val="kk-KZ"/>
        </w:rPr>
        <w:t>Жамбыл обл. (1), Қызылорда обл. (1)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D0408" w:rsidRDefault="00FD0408" w:rsidP="00FD0408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44539">
        <w:rPr>
          <w:rFonts w:ascii="Times New Roman" w:hAnsi="Times New Roman" w:cs="Times New Roman"/>
          <w:b/>
          <w:sz w:val="24"/>
          <w:szCs w:val="24"/>
          <w:lang w:val="kk-KZ"/>
        </w:rPr>
        <w:t>Сауалнама формасында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 xml:space="preserve"> қоғамдық тыңдауларды 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қағидалары талаптарының 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>бұзушылықтар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 анықталды. </w:t>
      </w:r>
    </w:p>
    <w:p w:rsidR="00A15C62" w:rsidRPr="00894A2E" w:rsidRDefault="00EC14BB" w:rsidP="00A15C62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ЖАО интернет ресурстарында қағидалардың 24-т бұзушылықтары (сауалнама формасында қоғамдық тыңдауларды өткізу туралы орналастырылған хабарландыруларда сауалнаманың басталуы мен аяқ</w:t>
      </w:r>
      <w:r w:rsidR="00894A2E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талуы көрсетілмеген) анықталды: </w:t>
      </w:r>
      <w:r w:rsidR="00681EBC" w:rsidRPr="005933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Ақтөбе обл. (3), Атырау обл. (1)</w:t>
      </w:r>
      <w:r w:rsidR="00681E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</w:p>
    <w:p w:rsidR="00894A2E" w:rsidRPr="005933F2" w:rsidRDefault="00750229" w:rsidP="005933F2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</w:t>
      </w:r>
      <w:r w:rsidR="00747CA6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61D9A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28 </w:t>
      </w:r>
      <w:r w:rsidR="00747CA6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т.</w:t>
      </w:r>
      <w:r w:rsidR="00471371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 бұзылған</w:t>
      </w:r>
      <w:r w:rsidR="00471371" w:rsidRPr="00894A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:</w:t>
      </w:r>
      <w:r w:rsidR="00AF01B8" w:rsidRPr="00894A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Нұр-Сұлтан қ. (9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894A2E" w:rsidRPr="00894A2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Алматы қ.  (4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894A2E" w:rsidRPr="00894A2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Ақмола обл. (3), Ақтөбе обл. (8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), Алматы обл. (1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), Атырау обл. (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>1), ШҚО (4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), БҚО (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), Жамбыл обл. (1), Қарағанды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(6), Қостанай обл. (4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),  Маңғ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>ыстау обл. (3), Павлодар обл</w:t>
      </w:r>
      <w:r w:rsidR="005933F2">
        <w:rPr>
          <w:rFonts w:ascii="Times New Roman" w:hAnsi="Times New Roman" w:cs="Times New Roman"/>
          <w:i/>
          <w:sz w:val="24"/>
          <w:szCs w:val="24"/>
          <w:lang w:val="kk-KZ"/>
        </w:rPr>
        <w:t>. (2), СҚО(1), Түркістан обл. (1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), г. Шым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к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ент (1)</w:t>
      </w:r>
      <w:r w:rsidR="00E04C9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, </w:t>
      </w:r>
      <w:r w:rsidR="002B3333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де </w:t>
      </w:r>
      <w:r w:rsidR="00FD0408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B3333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хаттамаларды орналастыру мерзімдері (7 жұмыс күнінен кешіктірілді):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Нұр-Сұлтан қ. (5), Алматы қ.  (1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Алматы обл.(1), </w:t>
      </w:r>
      <w:r w:rsidR="00E04C93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Қарағанды </w:t>
      </w:r>
      <w:r w:rsidR="005933F2">
        <w:rPr>
          <w:rFonts w:ascii="Times New Roman" w:hAnsi="Times New Roman" w:cs="Times New Roman"/>
          <w:i/>
          <w:sz w:val="24"/>
          <w:szCs w:val="24"/>
          <w:lang w:val="kk-KZ"/>
        </w:rPr>
        <w:t>обл.(2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750229" w:rsidRPr="00894A2E" w:rsidRDefault="006F31F0" w:rsidP="00894A2E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94A2E">
        <w:rPr>
          <w:rFonts w:ascii="Times New Roman" w:eastAsia="Consolas" w:hAnsi="Times New Roman" w:cs="Times New Roman"/>
          <w:sz w:val="24"/>
          <w:szCs w:val="24"/>
          <w:lang w:val="kk-KZ"/>
        </w:rPr>
        <w:t>Хаттаманың орналастыру күнін көрсетілмегені</w:t>
      </w:r>
      <w:r w:rsidR="00E04C93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5933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5933F2" w:rsidRPr="005933F2">
        <w:rPr>
          <w:rFonts w:ascii="Times New Roman" w:eastAsia="Consolas" w:hAnsi="Times New Roman" w:cs="Times New Roman"/>
          <w:i/>
          <w:sz w:val="24"/>
          <w:szCs w:val="24"/>
          <w:lang w:val="kk-KZ"/>
        </w:rPr>
        <w:t xml:space="preserve">Алматы қ. (1), </w:t>
      </w:r>
      <w:r w:rsidR="00894A2E" w:rsidRPr="005933F2">
        <w:rPr>
          <w:rFonts w:ascii="Times New Roman" w:eastAsia="Consolas" w:hAnsi="Times New Roman" w:cs="Times New Roman"/>
          <w:i/>
          <w:sz w:val="24"/>
          <w:szCs w:val="24"/>
          <w:lang w:val="kk-KZ"/>
        </w:rPr>
        <w:t>Ш</w:t>
      </w:r>
      <w:r w:rsidR="00894A2E" w:rsidRPr="005933F2">
        <w:rPr>
          <w:rFonts w:ascii="Times New Roman" w:hAnsi="Times New Roman" w:cs="Times New Roman"/>
          <w:i/>
          <w:sz w:val="24"/>
          <w:szCs w:val="24"/>
          <w:lang w:val="kk-KZ"/>
        </w:rPr>
        <w:t>ҚО</w:t>
      </w:r>
      <w:r w:rsidR="005933F2" w:rsidRPr="005933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</w:t>
      </w:r>
      <w:r w:rsidR="00E04C93" w:rsidRPr="005933F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933F2" w:rsidRPr="005933F2">
        <w:rPr>
          <w:rFonts w:ascii="Times New Roman" w:hAnsi="Times New Roman" w:cs="Times New Roman"/>
          <w:sz w:val="24"/>
          <w:szCs w:val="24"/>
          <w:lang w:val="kk-KZ"/>
        </w:rPr>
        <w:t>және де өткізілу</w:t>
      </w:r>
      <w:r w:rsidR="00593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33F2" w:rsidRPr="005933F2">
        <w:rPr>
          <w:rFonts w:ascii="Times New Roman" w:hAnsi="Times New Roman" w:cs="Times New Roman"/>
          <w:sz w:val="24"/>
          <w:szCs w:val="24"/>
          <w:lang w:val="kk-KZ"/>
        </w:rPr>
        <w:t>уақытын көрсетпеген</w:t>
      </w:r>
      <w:r w:rsidR="005933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Ақтөбе обл. (5)</w:t>
      </w:r>
      <w:r w:rsidR="002B3333" w:rsidRPr="00894A2E">
        <w:rPr>
          <w:rFonts w:ascii="Times New Roman" w:eastAsia="Consolas" w:hAnsi="Times New Roman" w:cs="Times New Roman"/>
          <w:i/>
          <w:sz w:val="24"/>
          <w:szCs w:val="24"/>
          <w:lang w:val="kk-KZ"/>
        </w:rPr>
        <w:t xml:space="preserve"> </w:t>
      </w:r>
      <w:r w:rsidR="000A26B5" w:rsidRPr="00894A2E">
        <w:rPr>
          <w:rFonts w:ascii="Times New Roman" w:eastAsia="Consolas" w:hAnsi="Times New Roman" w:cs="Times New Roman"/>
          <w:sz w:val="24"/>
          <w:szCs w:val="24"/>
          <w:lang w:val="kk-KZ"/>
        </w:rPr>
        <w:t>анықталды.</w:t>
      </w:r>
    </w:p>
    <w:p w:rsidR="00925736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94A2E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қабылдауы керек.</w:t>
      </w: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0A26B5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4606B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44539"/>
    <w:rsid w:val="00055B7A"/>
    <w:rsid w:val="000A26B5"/>
    <w:rsid w:val="000B1D90"/>
    <w:rsid w:val="000D2CB4"/>
    <w:rsid w:val="001822A3"/>
    <w:rsid w:val="001D1F05"/>
    <w:rsid w:val="001D4B04"/>
    <w:rsid w:val="00215394"/>
    <w:rsid w:val="0025728D"/>
    <w:rsid w:val="00261120"/>
    <w:rsid w:val="00277FC5"/>
    <w:rsid w:val="0028137E"/>
    <w:rsid w:val="002A3C5D"/>
    <w:rsid w:val="002B3333"/>
    <w:rsid w:val="002E447E"/>
    <w:rsid w:val="002E4B2E"/>
    <w:rsid w:val="002E7D53"/>
    <w:rsid w:val="003400FC"/>
    <w:rsid w:val="00356778"/>
    <w:rsid w:val="00383AE2"/>
    <w:rsid w:val="003D695F"/>
    <w:rsid w:val="003F5204"/>
    <w:rsid w:val="0041307E"/>
    <w:rsid w:val="00415B4B"/>
    <w:rsid w:val="00433B7F"/>
    <w:rsid w:val="00440D97"/>
    <w:rsid w:val="004606B7"/>
    <w:rsid w:val="00471371"/>
    <w:rsid w:val="0047649C"/>
    <w:rsid w:val="004B3C4E"/>
    <w:rsid w:val="004C489B"/>
    <w:rsid w:val="004D737D"/>
    <w:rsid w:val="004E665C"/>
    <w:rsid w:val="00532828"/>
    <w:rsid w:val="005347D2"/>
    <w:rsid w:val="0054596D"/>
    <w:rsid w:val="005570FC"/>
    <w:rsid w:val="00572002"/>
    <w:rsid w:val="0057237B"/>
    <w:rsid w:val="005933F2"/>
    <w:rsid w:val="005B4752"/>
    <w:rsid w:val="005B48D1"/>
    <w:rsid w:val="00681EBC"/>
    <w:rsid w:val="00690843"/>
    <w:rsid w:val="006A4B00"/>
    <w:rsid w:val="006A5F19"/>
    <w:rsid w:val="006D6A6A"/>
    <w:rsid w:val="006E574D"/>
    <w:rsid w:val="006F31F0"/>
    <w:rsid w:val="006F47AE"/>
    <w:rsid w:val="006F4EC7"/>
    <w:rsid w:val="006F67E2"/>
    <w:rsid w:val="00703388"/>
    <w:rsid w:val="00712471"/>
    <w:rsid w:val="00737999"/>
    <w:rsid w:val="00740B20"/>
    <w:rsid w:val="00747CA6"/>
    <w:rsid w:val="00750229"/>
    <w:rsid w:val="00791225"/>
    <w:rsid w:val="0079442F"/>
    <w:rsid w:val="007C26FB"/>
    <w:rsid w:val="007E35C3"/>
    <w:rsid w:val="007E523E"/>
    <w:rsid w:val="008039EA"/>
    <w:rsid w:val="0081585C"/>
    <w:rsid w:val="008419F2"/>
    <w:rsid w:val="00856A3D"/>
    <w:rsid w:val="00876F54"/>
    <w:rsid w:val="008832CA"/>
    <w:rsid w:val="00893649"/>
    <w:rsid w:val="008948DE"/>
    <w:rsid w:val="00894A2E"/>
    <w:rsid w:val="008A52F6"/>
    <w:rsid w:val="00925736"/>
    <w:rsid w:val="00927047"/>
    <w:rsid w:val="009503B0"/>
    <w:rsid w:val="009B42A9"/>
    <w:rsid w:val="009C121C"/>
    <w:rsid w:val="00A03216"/>
    <w:rsid w:val="00A11232"/>
    <w:rsid w:val="00A15C62"/>
    <w:rsid w:val="00A717FA"/>
    <w:rsid w:val="00A92AE7"/>
    <w:rsid w:val="00AA58F8"/>
    <w:rsid w:val="00AA65CE"/>
    <w:rsid w:val="00AA7D22"/>
    <w:rsid w:val="00AC14C1"/>
    <w:rsid w:val="00AF01B8"/>
    <w:rsid w:val="00B409D6"/>
    <w:rsid w:val="00B63924"/>
    <w:rsid w:val="00B65131"/>
    <w:rsid w:val="00B72BA3"/>
    <w:rsid w:val="00B873D2"/>
    <w:rsid w:val="00C33D1B"/>
    <w:rsid w:val="00C84C1C"/>
    <w:rsid w:val="00C936D2"/>
    <w:rsid w:val="00C95796"/>
    <w:rsid w:val="00CA7A07"/>
    <w:rsid w:val="00CB6983"/>
    <w:rsid w:val="00CE3BDA"/>
    <w:rsid w:val="00D271E2"/>
    <w:rsid w:val="00D61D9A"/>
    <w:rsid w:val="00D92BC3"/>
    <w:rsid w:val="00DB2F62"/>
    <w:rsid w:val="00DF665F"/>
    <w:rsid w:val="00E04C93"/>
    <w:rsid w:val="00E262D7"/>
    <w:rsid w:val="00E5126E"/>
    <w:rsid w:val="00E542A3"/>
    <w:rsid w:val="00E9127F"/>
    <w:rsid w:val="00EA31A4"/>
    <w:rsid w:val="00EC14BB"/>
    <w:rsid w:val="00ED1D42"/>
    <w:rsid w:val="00F23073"/>
    <w:rsid w:val="00F449EF"/>
    <w:rsid w:val="00F55D16"/>
    <w:rsid w:val="00F632F4"/>
    <w:rsid w:val="00FD0408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E574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574D"/>
    <w:rPr>
      <w:rFonts w:ascii="Consolas" w:hAnsi="Consolas" w:cs="Consolas"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4B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Дамир Ками</cp:lastModifiedBy>
  <cp:revision>14</cp:revision>
  <dcterms:created xsi:type="dcterms:W3CDTF">2019-08-06T05:50:00Z</dcterms:created>
  <dcterms:modified xsi:type="dcterms:W3CDTF">2019-09-06T04:55:00Z</dcterms:modified>
</cp:coreProperties>
</file>