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2F1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</w:t>
      </w:r>
      <w:r w:rsidR="0089065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араша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</w:t>
      </w:r>
      <w:r w:rsidR="0080142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ағы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 xml:space="preserve">Қазақстан Республикасы </w:t>
      </w:r>
      <w:r w:rsidR="005B48D1">
        <w:rPr>
          <w:sz w:val="24"/>
          <w:szCs w:val="24"/>
          <w:lang w:val="kk-KZ"/>
        </w:rPr>
        <w:t xml:space="preserve">Экология, геология және табиғат ресурстары минисрлігі </w:t>
      </w:r>
      <w:r w:rsidRPr="008419F2">
        <w:rPr>
          <w:sz w:val="24"/>
          <w:szCs w:val="24"/>
          <w:lang w:val="kk-KZ"/>
        </w:rPr>
        <w:t xml:space="preserve">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461466">
        <w:rPr>
          <w:rFonts w:ascii="Times New Roman" w:hAnsi="Times New Roman" w:cs="Times New Roman"/>
          <w:b/>
          <w:bCs/>
          <w:sz w:val="24"/>
          <w:szCs w:val="24"/>
          <w:lang w:val="kk-KZ"/>
        </w:rPr>
        <w:t>154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4614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173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 жарияланған.</w:t>
      </w:r>
    </w:p>
    <w:p w:rsidR="004D737D" w:rsidRDefault="00461466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64</w:t>
      </w:r>
      <w:r w:rsidR="001D1F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бұзушылық анықталған, оның ішінде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54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p w:rsidR="0057237B" w:rsidRPr="0057237B" w:rsidRDefault="0057237B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21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1906"/>
        <w:gridCol w:w="1277"/>
        <w:gridCol w:w="1276"/>
        <w:gridCol w:w="1134"/>
        <w:gridCol w:w="1410"/>
        <w:gridCol w:w="1197"/>
        <w:gridCol w:w="1295"/>
      </w:tblGrid>
      <w:tr w:rsidR="00890658" w:rsidRPr="00FC43DD" w:rsidTr="00A304D3">
        <w:trPr>
          <w:trHeight w:val="226"/>
          <w:jc w:val="center"/>
        </w:trPr>
        <w:tc>
          <w:tcPr>
            <w:tcW w:w="1034" w:type="dxa"/>
            <w:vMerge w:val="restart"/>
            <w:vAlign w:val="center"/>
            <w:hideMark/>
          </w:tcPr>
          <w:p w:rsidR="00890658" w:rsidRPr="00FC43DD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0658" w:rsidRPr="00A304D3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890658" w:rsidRPr="00A304D3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ЖАО</w:t>
            </w:r>
          </w:p>
        </w:tc>
        <w:tc>
          <w:tcPr>
            <w:tcW w:w="2553" w:type="dxa"/>
            <w:gridSpan w:val="2"/>
            <w:vAlign w:val="center"/>
            <w:hideMark/>
          </w:tcPr>
          <w:p w:rsidR="00890658" w:rsidRPr="00461466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Орналастыру</w:t>
            </w:r>
          </w:p>
        </w:tc>
        <w:tc>
          <w:tcPr>
            <w:tcW w:w="5036" w:type="dxa"/>
            <w:gridSpan w:val="4"/>
            <w:shd w:val="clear" w:color="auto" w:fill="AEAAAA" w:themeFill="background2" w:themeFillShade="BF"/>
            <w:noWrap/>
            <w:vAlign w:val="center"/>
            <w:hideMark/>
          </w:tcPr>
          <w:p w:rsidR="00890658" w:rsidRPr="00461466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Бұзушылық</w:t>
            </w:r>
          </w:p>
        </w:tc>
      </w:tr>
      <w:tr w:rsidR="00890658" w:rsidRPr="00FC43DD" w:rsidTr="00A304D3">
        <w:trPr>
          <w:trHeight w:val="158"/>
          <w:jc w:val="center"/>
        </w:trPr>
        <w:tc>
          <w:tcPr>
            <w:tcW w:w="1034" w:type="dxa"/>
            <w:vMerge/>
            <w:vAlign w:val="center"/>
            <w:hideMark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Хаттамалар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Хабарландырулар</w:t>
            </w:r>
          </w:p>
        </w:tc>
        <w:tc>
          <w:tcPr>
            <w:tcW w:w="3902" w:type="dxa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890658" w:rsidRPr="00890658" w:rsidRDefault="00890658" w:rsidP="00036A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Хаттамалар</w:t>
            </w:r>
          </w:p>
        </w:tc>
      </w:tr>
      <w:tr w:rsidR="00890658" w:rsidRPr="00FC43DD" w:rsidTr="00890658">
        <w:trPr>
          <w:trHeight w:val="240"/>
          <w:jc w:val="center"/>
        </w:trPr>
        <w:tc>
          <w:tcPr>
            <w:tcW w:w="1034" w:type="dxa"/>
            <w:vMerge/>
            <w:vAlign w:val="center"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90658" w:rsidRPr="00FC43DD" w:rsidRDefault="00890658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0658" w:rsidRPr="00FC43DD" w:rsidRDefault="00890658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shd w:val="clear" w:color="auto" w:fill="AEAAAA" w:themeFill="background2" w:themeFillShade="BF"/>
            <w:noWrap/>
            <w:vAlign w:val="center"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Бұзушылықтар</w:t>
            </w:r>
          </w:p>
        </w:tc>
        <w:tc>
          <w:tcPr>
            <w:tcW w:w="1295" w:type="dxa"/>
            <w:vMerge w:val="restart"/>
            <w:shd w:val="clear" w:color="auto" w:fill="AEAAAA" w:themeFill="background2" w:themeFillShade="BF"/>
            <w:vAlign w:val="center"/>
          </w:tcPr>
          <w:p w:rsidR="00890658" w:rsidRPr="00461466" w:rsidRDefault="00890658" w:rsidP="008906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Хаттамалар ж</w:t>
            </w:r>
            <w:r w:rsidRPr="004614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оқ</w:t>
            </w:r>
          </w:p>
        </w:tc>
      </w:tr>
      <w:tr w:rsidR="00890658" w:rsidRPr="00FC43DD" w:rsidTr="00890658">
        <w:trPr>
          <w:trHeight w:val="215"/>
          <w:jc w:val="center"/>
        </w:trPr>
        <w:tc>
          <w:tcPr>
            <w:tcW w:w="1034" w:type="dxa"/>
            <w:vMerge/>
            <w:vAlign w:val="center"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890658" w:rsidRPr="00FC43DD" w:rsidRDefault="00890658" w:rsidP="00036A1D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90658" w:rsidRPr="00FC43DD" w:rsidRDefault="00890658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90658" w:rsidRPr="00FC43DD" w:rsidRDefault="00890658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:rsidR="00890658" w:rsidRPr="00461466" w:rsidRDefault="00890658" w:rsidP="00036A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EAAAA" w:themeFill="background2" w:themeFillShade="BF"/>
            <w:noWrap/>
            <w:vAlign w:val="center"/>
          </w:tcPr>
          <w:p w:rsidR="00890658" w:rsidRPr="00890658" w:rsidRDefault="00890658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ж.к кешіктіріп салынған</w:t>
            </w:r>
          </w:p>
        </w:tc>
        <w:tc>
          <w:tcPr>
            <w:tcW w:w="1197" w:type="dxa"/>
            <w:shd w:val="clear" w:color="auto" w:fill="AEAAAA" w:themeFill="background2" w:themeFillShade="BF"/>
            <w:vAlign w:val="center"/>
          </w:tcPr>
          <w:p w:rsidR="00890658" w:rsidRPr="00890658" w:rsidRDefault="00890658" w:rsidP="00036A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6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Орналастыру күні көрсетілмеген </w:t>
            </w:r>
          </w:p>
        </w:tc>
        <w:tc>
          <w:tcPr>
            <w:tcW w:w="1295" w:type="dxa"/>
            <w:vMerge/>
            <w:shd w:val="clear" w:color="auto" w:fill="AEAAAA" w:themeFill="background2" w:themeFillShade="BF"/>
            <w:vAlign w:val="center"/>
          </w:tcPr>
          <w:p w:rsidR="00890658" w:rsidRDefault="00890658" w:rsidP="0089065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ұлтан қ.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Ақмола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қтөбе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Атырау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БҚО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Жамбыл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Қостанай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6" w:type="dxa"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Қызылорда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6" w:type="dxa"/>
            <w:noWrap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Маңғыстау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6" w:type="dxa"/>
            <w:noWrap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Павлодар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0658" w:rsidRPr="00FC43DD" w:rsidTr="00890658">
        <w:trPr>
          <w:trHeight w:val="239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6" w:type="dxa"/>
            <w:noWrap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90658" w:rsidRPr="00FC43DD" w:rsidTr="00890658">
        <w:trPr>
          <w:trHeight w:val="114"/>
          <w:jc w:val="center"/>
        </w:trPr>
        <w:tc>
          <w:tcPr>
            <w:tcW w:w="1034" w:type="dxa"/>
            <w:vAlign w:val="center"/>
            <w:hideMark/>
          </w:tcPr>
          <w:p w:rsidR="00890658" w:rsidRPr="00FC43DD" w:rsidRDefault="00890658" w:rsidP="0089065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6" w:type="dxa"/>
            <w:noWrap/>
            <w:vAlign w:val="center"/>
            <w:hideMark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Түркістан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90658" w:rsidRPr="00FC43DD" w:rsidTr="00890658">
        <w:trPr>
          <w:trHeight w:val="114"/>
          <w:jc w:val="center"/>
        </w:trPr>
        <w:tc>
          <w:tcPr>
            <w:tcW w:w="1034" w:type="dxa"/>
            <w:vAlign w:val="center"/>
          </w:tcPr>
          <w:p w:rsidR="00890658" w:rsidRPr="00FC43DD" w:rsidRDefault="00890658" w:rsidP="00890658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6" w:type="dxa"/>
            <w:noWrap/>
            <w:vAlign w:val="center"/>
          </w:tcPr>
          <w:p w:rsidR="00890658" w:rsidRPr="00A304D3" w:rsidRDefault="00890658" w:rsidP="008906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Шымкент қ.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890658" w:rsidRPr="00FC43DD" w:rsidRDefault="00890658" w:rsidP="008906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0658" w:rsidRPr="00FC43DD" w:rsidTr="00890658">
        <w:trPr>
          <w:trHeight w:val="137"/>
          <w:jc w:val="center"/>
        </w:trPr>
        <w:tc>
          <w:tcPr>
            <w:tcW w:w="2940" w:type="dxa"/>
            <w:gridSpan w:val="2"/>
            <w:vMerge w:val="restart"/>
            <w:noWrap/>
            <w:hideMark/>
          </w:tcPr>
          <w:p w:rsidR="00890658" w:rsidRPr="00A304D3" w:rsidRDefault="00890658" w:rsidP="0089065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Қараша айының қорытындысы</w:t>
            </w:r>
          </w:p>
        </w:tc>
        <w:tc>
          <w:tcPr>
            <w:tcW w:w="1277" w:type="dxa"/>
            <w:vMerge w:val="restart"/>
            <w:noWrap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76" w:type="dxa"/>
            <w:vMerge w:val="restart"/>
            <w:noWrap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34" w:type="dxa"/>
            <w:vMerge w:val="restart"/>
            <w:noWrap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0" w:type="dxa"/>
            <w:tcBorders>
              <w:bottom w:val="nil"/>
            </w:tcBorders>
          </w:tcPr>
          <w:p w:rsidR="00890658" w:rsidRPr="00890658" w:rsidRDefault="00890658" w:rsidP="008906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197" w:type="dxa"/>
            <w:tcBorders>
              <w:bottom w:val="nil"/>
            </w:tcBorders>
          </w:tcPr>
          <w:p w:rsidR="00890658" w:rsidRPr="00890658" w:rsidRDefault="00890658" w:rsidP="008906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295" w:type="dxa"/>
            <w:tcBorders>
              <w:bottom w:val="nil"/>
            </w:tcBorders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</w:tr>
      <w:tr w:rsidR="00890658" w:rsidRPr="00FC43DD" w:rsidTr="00890658">
        <w:trPr>
          <w:trHeight w:val="70"/>
          <w:jc w:val="center"/>
        </w:trPr>
        <w:tc>
          <w:tcPr>
            <w:tcW w:w="2940" w:type="dxa"/>
            <w:gridSpan w:val="2"/>
            <w:vMerge/>
            <w:noWrap/>
            <w:vAlign w:val="center"/>
          </w:tcPr>
          <w:p w:rsidR="00890658" w:rsidRPr="00FC43DD" w:rsidRDefault="00890658" w:rsidP="0089065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noWrap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noWrap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890658" w:rsidRPr="00FC43DD" w:rsidRDefault="00890658" w:rsidP="008906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890658" w:rsidRPr="00FC43DD" w:rsidRDefault="00890658" w:rsidP="008906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</w:tcBorders>
          </w:tcPr>
          <w:p w:rsidR="00890658" w:rsidRPr="00FC43DD" w:rsidRDefault="00890658" w:rsidP="008906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890658" w:rsidRPr="00FC43DD" w:rsidRDefault="00890658" w:rsidP="008906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шық жиналыстар түрінде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оғамдық тыңдауларды өткізу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талаптарды бұзу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айқалады.</w:t>
      </w:r>
    </w:p>
    <w:p w:rsidR="00211C50" w:rsidRDefault="001D4B04" w:rsidP="00211C50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11C50">
        <w:rPr>
          <w:rFonts w:ascii="Times New Roman" w:eastAsia="Times New Roman" w:hAnsi="Times New Roman" w:cs="Times New Roman"/>
          <w:sz w:val="24"/>
          <w:szCs w:val="24"/>
          <w:lang w:val="kk-KZ"/>
        </w:rPr>
        <w:t>12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-тармағының талаптары бойынша бұз</w:t>
      </w:r>
      <w:r w:rsidR="00FF6264"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="00FF6264"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>БҚО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1)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681EBC" w:rsidRDefault="00681EBC" w:rsidP="00681EBC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81EBC">
        <w:rPr>
          <w:rFonts w:ascii="Times New Roman" w:hAnsi="Times New Roman" w:cs="Times New Roman"/>
          <w:sz w:val="24"/>
          <w:szCs w:val="24"/>
          <w:lang w:val="kk-KZ"/>
        </w:rPr>
        <w:t>ЖАО интернет-ресурстер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інде </w:t>
      </w:r>
      <w:r w:rsidR="00211C50">
        <w:rPr>
          <w:rFonts w:ascii="Times New Roman" w:hAnsi="Times New Roman" w:cs="Times New Roman"/>
          <w:sz w:val="24"/>
          <w:szCs w:val="24"/>
          <w:lang w:val="kk-KZ"/>
        </w:rPr>
        <w:t>хаттамаеы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48D1">
        <w:rPr>
          <w:rFonts w:ascii="Times New Roman" w:hAnsi="Times New Roman" w:cs="Times New Roman"/>
          <w:sz w:val="24"/>
          <w:szCs w:val="24"/>
          <w:lang w:val="kk-KZ"/>
        </w:rPr>
        <w:t xml:space="preserve">жүктеу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уақыты көрсетілмеген: 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>Қызылорда обл.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2).</w:t>
      </w:r>
    </w:p>
    <w:p w:rsidR="00FD0408" w:rsidRDefault="00FD0408" w:rsidP="00FD0408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44539">
        <w:rPr>
          <w:rFonts w:ascii="Times New Roman" w:hAnsi="Times New Roman" w:cs="Times New Roman"/>
          <w:b/>
          <w:sz w:val="24"/>
          <w:szCs w:val="24"/>
          <w:lang w:val="kk-KZ"/>
        </w:rPr>
        <w:t>Сауалнама формасында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тыңдауларды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қағидалары талаптарының 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бұзушылықтар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 анықталды. </w:t>
      </w:r>
    </w:p>
    <w:p w:rsidR="00A15C62" w:rsidRPr="00C22F14" w:rsidRDefault="00EC14BB" w:rsidP="00A15C62">
      <w:pPr>
        <w:widowControl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ЖАО интернет ресурстарында қағидалардың 24-т бұзушылықтары (сауалнама формасында қоғамдық тыңдауларды өткізу туралы орналастырылға</w:t>
      </w:r>
      <w:r w:rsidR="00211C50">
        <w:rPr>
          <w:rFonts w:ascii="Times New Roman" w:eastAsia="Times New Roman" w:hAnsi="Times New Roman" w:cs="Times New Roman"/>
          <w:sz w:val="24"/>
          <w:szCs w:val="24"/>
          <w:lang w:val="kk-KZ"/>
        </w:rPr>
        <w:t>н хабарландыруларда сауалнаманы өткізу уақыт аралығы көрсетілмеген</w:t>
      </w:r>
      <w:r w:rsidR="00894A2E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анықталды: </w:t>
      </w:r>
      <w:r w:rsidR="00681EBC" w:rsidRPr="005933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Ақтөбе обл. (</w:t>
      </w:r>
      <w:r w:rsidR="00211C50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1</w:t>
      </w:r>
      <w:r w:rsidR="00681EBC" w:rsidRPr="005933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),</w:t>
      </w:r>
      <w:r w:rsidR="00211C5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C22F14" w:rsidRPr="00C22F1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Атырау обл. (</w:t>
      </w:r>
      <w:r w:rsidR="00461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6).</w:t>
      </w:r>
      <w:r w:rsidR="0046146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ab/>
      </w:r>
    </w:p>
    <w:p w:rsidR="00894A2E" w:rsidRDefault="00750229" w:rsidP="005933F2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61D9A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28 </w:t>
      </w:r>
      <w:r w:rsidR="00747CA6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>т.</w:t>
      </w:r>
      <w:r w:rsidR="00471371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 бұзылған</w:t>
      </w:r>
      <w:r w:rsidR="00471371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:</w:t>
      </w:r>
      <w:r w:rsidR="00AF01B8" w:rsidRPr="00894A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894A2E" w:rsidRPr="00894A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Ақмола обл.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>), Ақтөбе обл. (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 Алматы обл.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ҚО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Жамбыл обл. (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894A2E" w:rsidRPr="00894A2E">
        <w:rPr>
          <w:rFonts w:ascii="Times New Roman" w:hAnsi="Times New Roman" w:cs="Times New Roman"/>
          <w:i/>
          <w:sz w:val="24"/>
          <w:szCs w:val="24"/>
          <w:lang w:val="kk-KZ"/>
        </w:rPr>
        <w:t>), Қарағанды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</w:t>
      </w:r>
      <w:r w:rsidR="00161235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4B3C4E">
        <w:rPr>
          <w:rFonts w:ascii="Times New Roman" w:hAnsi="Times New Roman" w:cs="Times New Roman"/>
          <w:i/>
          <w:sz w:val="24"/>
          <w:szCs w:val="24"/>
          <w:lang w:val="kk-KZ"/>
        </w:rPr>
        <w:t>), Қостанай обл.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Қызылорда обл. (2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Павлодар обл.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</w:t>
      </w:r>
      <w:r w:rsidR="00461466" w:rsidRPr="00894A2E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О (1),</w:t>
      </w:r>
      <w:r w:rsidR="00211C5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Түркістан обл. (2)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және де </w:t>
      </w:r>
      <w:r w:rsidR="00FD0408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B3333" w:rsidRPr="00894A2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хаттамаларды орналастыру мерзімдері (7 жұмыс күнінен кешіктірілді): 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Нұр-Сұлтан қ.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E04C93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Жамбыл обл.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C22F14">
        <w:rPr>
          <w:rFonts w:ascii="Times New Roman" w:hAnsi="Times New Roman" w:cs="Times New Roman"/>
          <w:i/>
          <w:sz w:val="24"/>
          <w:szCs w:val="24"/>
          <w:lang w:val="kk-KZ"/>
        </w:rPr>
        <w:t>), Қ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останай</w:t>
      </w:r>
      <w:r w:rsidR="0082594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обл. (1), Павлодар обл.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2).</w:t>
      </w:r>
    </w:p>
    <w:p w:rsidR="00750229" w:rsidRDefault="006F31F0" w:rsidP="00894A2E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Хаттаманың орналастыру күнін көрсетілмегені</w:t>
      </w:r>
      <w:r w:rsidR="00E04C93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5933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="00894A2E" w:rsidRPr="005933F2">
        <w:rPr>
          <w:rFonts w:ascii="Times New Roman" w:eastAsia="Consolas" w:hAnsi="Times New Roman" w:cs="Times New Roman"/>
          <w:i/>
          <w:sz w:val="24"/>
          <w:szCs w:val="24"/>
          <w:lang w:val="kk-KZ"/>
        </w:rPr>
        <w:t>Ш</w:t>
      </w:r>
      <w:r w:rsidR="00894A2E" w:rsidRPr="005933F2">
        <w:rPr>
          <w:rFonts w:ascii="Times New Roman" w:hAnsi="Times New Roman" w:cs="Times New Roman"/>
          <w:i/>
          <w:sz w:val="24"/>
          <w:szCs w:val="24"/>
          <w:lang w:val="kk-KZ"/>
        </w:rPr>
        <w:t>ҚО</w:t>
      </w:r>
      <w:r w:rsidR="005933F2" w:rsidRPr="005933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E04C93" w:rsidRPr="005933F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5861C0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825945">
        <w:rPr>
          <w:rFonts w:ascii="Times New Roman" w:hAnsi="Times New Roman" w:cs="Times New Roman"/>
          <w:i/>
          <w:sz w:val="24"/>
          <w:szCs w:val="24"/>
          <w:lang w:val="kk-KZ"/>
        </w:rPr>
        <w:t>Қарағанды обл. (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5), Қызылорда (1), </w:t>
      </w:r>
      <w:r w:rsidR="00461466" w:rsidRPr="004614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Шымкент </w:t>
      </w:r>
      <w:r w:rsidR="00461466">
        <w:rPr>
          <w:rFonts w:ascii="Times New Roman" w:hAnsi="Times New Roman" w:cs="Times New Roman"/>
          <w:i/>
          <w:sz w:val="24"/>
          <w:szCs w:val="24"/>
          <w:lang w:val="kk-KZ"/>
        </w:rPr>
        <w:t>қ. (1)</w:t>
      </w:r>
      <w:r w:rsidR="00461466" w:rsidRPr="0046146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2594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0A26B5" w:rsidRPr="00894A2E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94A2E">
        <w:rPr>
          <w:rFonts w:ascii="Times New Roman" w:hAnsi="Times New Roman" w:cs="Times New Roman"/>
          <w:sz w:val="24"/>
          <w:szCs w:val="24"/>
          <w:lang w:val="kk-KZ"/>
        </w:rPr>
        <w:t xml:space="preserve">Осыған байланысты, ЖАО </w:t>
      </w:r>
      <w:r w:rsidR="00161235">
        <w:rPr>
          <w:rFonts w:ascii="Times New Roman" w:hAnsi="Times New Roman" w:cs="Times New Roman"/>
          <w:sz w:val="24"/>
          <w:szCs w:val="24"/>
          <w:lang w:val="kk-KZ"/>
        </w:rPr>
        <w:t xml:space="preserve">осы бұзушылықтарды жоюуы және </w:t>
      </w:r>
      <w:r w:rsidRPr="00894A2E">
        <w:rPr>
          <w:rFonts w:ascii="Times New Roman" w:hAnsi="Times New Roman" w:cs="Times New Roman"/>
          <w:sz w:val="24"/>
          <w:szCs w:val="24"/>
          <w:lang w:val="kk-KZ"/>
        </w:rPr>
        <w:t>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0142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801427" w:rsidRPr="00211C50" w:rsidRDefault="00801427" w:rsidP="00801427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211C50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44539"/>
    <w:rsid w:val="00055B7A"/>
    <w:rsid w:val="000A26B5"/>
    <w:rsid w:val="000B1D90"/>
    <w:rsid w:val="000D2CB4"/>
    <w:rsid w:val="00161235"/>
    <w:rsid w:val="001822A3"/>
    <w:rsid w:val="001D1F05"/>
    <w:rsid w:val="001D4B04"/>
    <w:rsid w:val="00211C50"/>
    <w:rsid w:val="00215394"/>
    <w:rsid w:val="0025728D"/>
    <w:rsid w:val="00261120"/>
    <w:rsid w:val="00277FC5"/>
    <w:rsid w:val="0028137E"/>
    <w:rsid w:val="002A3C5D"/>
    <w:rsid w:val="002B3333"/>
    <w:rsid w:val="002E447E"/>
    <w:rsid w:val="002E4B2E"/>
    <w:rsid w:val="002E7D53"/>
    <w:rsid w:val="003400FC"/>
    <w:rsid w:val="00356778"/>
    <w:rsid w:val="00383AE2"/>
    <w:rsid w:val="003D695F"/>
    <w:rsid w:val="003F5204"/>
    <w:rsid w:val="0041307E"/>
    <w:rsid w:val="00415B4B"/>
    <w:rsid w:val="00433B7F"/>
    <w:rsid w:val="00440D97"/>
    <w:rsid w:val="004606B7"/>
    <w:rsid w:val="00461466"/>
    <w:rsid w:val="00471371"/>
    <w:rsid w:val="0047649C"/>
    <w:rsid w:val="004B3C4E"/>
    <w:rsid w:val="004C489B"/>
    <w:rsid w:val="004D737D"/>
    <w:rsid w:val="004E665C"/>
    <w:rsid w:val="00532828"/>
    <w:rsid w:val="005347D2"/>
    <w:rsid w:val="0054596D"/>
    <w:rsid w:val="005570FC"/>
    <w:rsid w:val="00572002"/>
    <w:rsid w:val="0057237B"/>
    <w:rsid w:val="005861C0"/>
    <w:rsid w:val="005933F2"/>
    <w:rsid w:val="005B4752"/>
    <w:rsid w:val="005B48D1"/>
    <w:rsid w:val="00681EBC"/>
    <w:rsid w:val="00690843"/>
    <w:rsid w:val="006A4B00"/>
    <w:rsid w:val="006A5F19"/>
    <w:rsid w:val="006D6A6A"/>
    <w:rsid w:val="006E574D"/>
    <w:rsid w:val="006F31F0"/>
    <w:rsid w:val="006F47AE"/>
    <w:rsid w:val="006F4EC7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C26FB"/>
    <w:rsid w:val="007E35C3"/>
    <w:rsid w:val="007E523E"/>
    <w:rsid w:val="00801427"/>
    <w:rsid w:val="008039EA"/>
    <w:rsid w:val="0081585C"/>
    <w:rsid w:val="00825945"/>
    <w:rsid w:val="008419F2"/>
    <w:rsid w:val="00856A3D"/>
    <w:rsid w:val="00876F54"/>
    <w:rsid w:val="008832CA"/>
    <w:rsid w:val="00890658"/>
    <w:rsid w:val="00893649"/>
    <w:rsid w:val="008948DE"/>
    <w:rsid w:val="00894A2E"/>
    <w:rsid w:val="008A52F6"/>
    <w:rsid w:val="00925736"/>
    <w:rsid w:val="00927047"/>
    <w:rsid w:val="009503B0"/>
    <w:rsid w:val="009B42A9"/>
    <w:rsid w:val="009C121C"/>
    <w:rsid w:val="00A03216"/>
    <w:rsid w:val="00A11232"/>
    <w:rsid w:val="00A15C62"/>
    <w:rsid w:val="00A304D3"/>
    <w:rsid w:val="00A717FA"/>
    <w:rsid w:val="00A92AE7"/>
    <w:rsid w:val="00AA58F8"/>
    <w:rsid w:val="00AA65CE"/>
    <w:rsid w:val="00AA7D22"/>
    <w:rsid w:val="00AC14C1"/>
    <w:rsid w:val="00AF01B8"/>
    <w:rsid w:val="00B409D6"/>
    <w:rsid w:val="00B63924"/>
    <w:rsid w:val="00B65131"/>
    <w:rsid w:val="00B72BA3"/>
    <w:rsid w:val="00B873D2"/>
    <w:rsid w:val="00C22F14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92BC3"/>
    <w:rsid w:val="00DB2F62"/>
    <w:rsid w:val="00DF665F"/>
    <w:rsid w:val="00E04C93"/>
    <w:rsid w:val="00E262D7"/>
    <w:rsid w:val="00E5126E"/>
    <w:rsid w:val="00E542A3"/>
    <w:rsid w:val="00E9127F"/>
    <w:rsid w:val="00EA31A4"/>
    <w:rsid w:val="00EC14BB"/>
    <w:rsid w:val="00ED1D42"/>
    <w:rsid w:val="00F23073"/>
    <w:rsid w:val="00F449EF"/>
    <w:rsid w:val="00F55D16"/>
    <w:rsid w:val="00F632F4"/>
    <w:rsid w:val="00FD0408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09EF7-9257-4E5C-AB91-BBC57CB6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E574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574D"/>
    <w:rPr>
      <w:rFonts w:ascii="Consolas" w:hAnsi="Consolas" w:cs="Consolas"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4B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test test</cp:lastModifiedBy>
  <cp:revision>20</cp:revision>
  <dcterms:created xsi:type="dcterms:W3CDTF">2019-08-06T05:50:00Z</dcterms:created>
  <dcterms:modified xsi:type="dcterms:W3CDTF">2019-12-03T10:32:00Z</dcterms:modified>
</cp:coreProperties>
</file>