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A" w:rsidRPr="008419F2" w:rsidRDefault="00EE430A" w:rsidP="00EE430A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жылдың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наурыз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ағы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шешімдерді қабылдау үдерістері туралы жұртшылықтың ақпаратқа қол жетімділігі бойынша жергілікті атқарушы органдар интерне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EE430A" w:rsidRPr="008419F2" w:rsidRDefault="00EE430A" w:rsidP="00EE430A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E430A" w:rsidRPr="008419F2" w:rsidRDefault="00EE430A" w:rsidP="00EE430A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 xml:space="preserve">Қазақстан Республикасы </w:t>
      </w:r>
      <w:r>
        <w:rPr>
          <w:sz w:val="24"/>
          <w:szCs w:val="24"/>
          <w:lang w:val="kk-KZ"/>
        </w:rPr>
        <w:t xml:space="preserve">Экология, геология және табиғат ресурстары минисрлігі </w:t>
      </w:r>
      <w:r w:rsidRPr="008419F2">
        <w:rPr>
          <w:sz w:val="24"/>
          <w:szCs w:val="24"/>
          <w:lang w:val="kk-KZ"/>
        </w:rPr>
        <w:t xml:space="preserve">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EE430A" w:rsidRDefault="00EE430A" w:rsidP="00EE430A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(бұдан әрі - Қағидалар) сәйкес:</w:t>
      </w:r>
    </w:p>
    <w:p w:rsidR="00EE430A" w:rsidRDefault="00EE430A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7810">
        <w:rPr>
          <w:rFonts w:ascii="Times New Roman" w:hAnsi="Times New Roman" w:cs="Times New Roman"/>
          <w:b/>
          <w:bCs/>
          <w:sz w:val="24"/>
          <w:szCs w:val="24"/>
          <w:lang w:val="kk-KZ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– хабарландыру;</w:t>
      </w:r>
    </w:p>
    <w:p w:rsidR="00EE430A" w:rsidRDefault="00EE430A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78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8781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хаттама;</w:t>
      </w:r>
    </w:p>
    <w:p w:rsidR="00EE430A" w:rsidRDefault="00EE430A" w:rsidP="00EE430A">
      <w:pPr>
        <w:widowControl w:val="0"/>
        <w:ind w:left="39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оның ішінде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EE430A" w:rsidRDefault="00EE430A" w:rsidP="00EE430A">
      <w:pPr>
        <w:widowControl w:val="0"/>
        <w:ind w:left="39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бұзушылық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тар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EE430A" w:rsidRDefault="00EE430A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781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5 -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бойынша;</w:t>
      </w:r>
    </w:p>
    <w:p w:rsidR="00EE430A" w:rsidRPr="00E87810" w:rsidRDefault="00EE430A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781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46</w:t>
      </w:r>
      <w:r w:rsidRPr="00E878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хаттама бойынша.</w:t>
      </w:r>
    </w:p>
    <w:p w:rsidR="00EE430A" w:rsidRPr="0057237B" w:rsidRDefault="00EE430A" w:rsidP="00EE430A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1906"/>
        <w:gridCol w:w="1277"/>
        <w:gridCol w:w="1276"/>
        <w:gridCol w:w="1134"/>
        <w:gridCol w:w="1410"/>
        <w:gridCol w:w="1197"/>
        <w:gridCol w:w="1295"/>
      </w:tblGrid>
      <w:tr w:rsidR="00EE430A" w:rsidRPr="00FC43DD" w:rsidTr="009C5BE3">
        <w:trPr>
          <w:trHeight w:val="226"/>
          <w:jc w:val="center"/>
        </w:trPr>
        <w:tc>
          <w:tcPr>
            <w:tcW w:w="1034" w:type="dxa"/>
            <w:vMerge w:val="restart"/>
            <w:vAlign w:val="center"/>
            <w:hideMark/>
          </w:tcPr>
          <w:p w:rsidR="00EE430A" w:rsidRPr="00FC43DD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430A" w:rsidRPr="00A304D3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EE430A" w:rsidRPr="00A304D3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ЖАО</w:t>
            </w:r>
          </w:p>
        </w:tc>
        <w:tc>
          <w:tcPr>
            <w:tcW w:w="2553" w:type="dxa"/>
            <w:gridSpan w:val="2"/>
            <w:vAlign w:val="center"/>
            <w:hideMark/>
          </w:tcPr>
          <w:p w:rsidR="00EE430A" w:rsidRPr="00461466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Орналастыру</w:t>
            </w:r>
          </w:p>
        </w:tc>
        <w:tc>
          <w:tcPr>
            <w:tcW w:w="5036" w:type="dxa"/>
            <w:gridSpan w:val="4"/>
            <w:shd w:val="clear" w:color="auto" w:fill="C4BC96" w:themeFill="background2" w:themeFillShade="BF"/>
            <w:noWrap/>
            <w:vAlign w:val="center"/>
            <w:hideMark/>
          </w:tcPr>
          <w:p w:rsidR="00EE430A" w:rsidRPr="00461466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Бұзушылық</w:t>
            </w:r>
          </w:p>
        </w:tc>
      </w:tr>
      <w:tr w:rsidR="00EE430A" w:rsidRPr="00FC43DD" w:rsidTr="009C5BE3">
        <w:trPr>
          <w:trHeight w:val="158"/>
          <w:jc w:val="center"/>
        </w:trPr>
        <w:tc>
          <w:tcPr>
            <w:tcW w:w="1034" w:type="dxa"/>
            <w:vMerge/>
            <w:vAlign w:val="center"/>
            <w:hideMark/>
          </w:tcPr>
          <w:p w:rsidR="00EE430A" w:rsidRPr="00FC43DD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EE430A" w:rsidRPr="00FC43DD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  <w:hideMark/>
          </w:tcPr>
          <w:p w:rsidR="00EE430A" w:rsidRPr="00461466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E430A" w:rsidRPr="00461466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noWrap/>
            <w:vAlign w:val="center"/>
            <w:hideMark/>
          </w:tcPr>
          <w:p w:rsidR="00EE430A" w:rsidRPr="00461466" w:rsidRDefault="00EE430A" w:rsidP="009C5B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3902" w:type="dxa"/>
            <w:gridSpan w:val="3"/>
            <w:shd w:val="clear" w:color="auto" w:fill="C4BC96" w:themeFill="background2" w:themeFillShade="BF"/>
            <w:noWrap/>
            <w:vAlign w:val="center"/>
            <w:hideMark/>
          </w:tcPr>
          <w:p w:rsidR="00EE430A" w:rsidRPr="00890658" w:rsidRDefault="00EE430A" w:rsidP="009C5B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Хаттамалар</w:t>
            </w:r>
          </w:p>
        </w:tc>
      </w:tr>
      <w:tr w:rsidR="00EE430A" w:rsidRPr="00FC43DD" w:rsidTr="009C5BE3">
        <w:trPr>
          <w:trHeight w:val="651"/>
          <w:jc w:val="center"/>
        </w:trPr>
        <w:tc>
          <w:tcPr>
            <w:tcW w:w="1034" w:type="dxa"/>
            <w:vMerge/>
            <w:vAlign w:val="center"/>
          </w:tcPr>
          <w:p w:rsidR="00EE430A" w:rsidRPr="00FC43DD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E430A" w:rsidRPr="00FC43DD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E430A" w:rsidRPr="00FC43DD" w:rsidRDefault="00EE430A" w:rsidP="009C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430A" w:rsidRPr="00FC43DD" w:rsidRDefault="00EE430A" w:rsidP="009C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noWrap/>
            <w:vAlign w:val="center"/>
          </w:tcPr>
          <w:p w:rsidR="00EE430A" w:rsidRPr="00461466" w:rsidRDefault="00EE430A" w:rsidP="009C5B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C4BC96" w:themeFill="background2" w:themeFillShade="BF"/>
            <w:noWrap/>
            <w:vAlign w:val="center"/>
          </w:tcPr>
          <w:p w:rsidR="00EE430A" w:rsidRPr="00461466" w:rsidRDefault="00EE430A" w:rsidP="009C5B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ж.к кешіктіріп салынған</w:t>
            </w:r>
          </w:p>
        </w:tc>
        <w:tc>
          <w:tcPr>
            <w:tcW w:w="1197" w:type="dxa"/>
            <w:shd w:val="clear" w:color="auto" w:fill="C4BC96" w:themeFill="background2" w:themeFillShade="BF"/>
            <w:vAlign w:val="center"/>
          </w:tcPr>
          <w:p w:rsidR="00EE430A" w:rsidRPr="00461466" w:rsidRDefault="00EE430A" w:rsidP="009C5B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Орналастыру күні көрсетілмеген </w:t>
            </w:r>
          </w:p>
        </w:tc>
        <w:tc>
          <w:tcPr>
            <w:tcW w:w="1295" w:type="dxa"/>
            <w:shd w:val="clear" w:color="auto" w:fill="C4BC96" w:themeFill="background2" w:themeFillShade="BF"/>
            <w:vAlign w:val="center"/>
          </w:tcPr>
          <w:p w:rsidR="00EE430A" w:rsidRPr="00461466" w:rsidRDefault="00EE430A" w:rsidP="009C5B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Хаттамалар ж</w:t>
            </w: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оқ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ұлтан қ.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Ақмола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қтөбе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Жамбыл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Қостанай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6" w:type="dxa"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6" w:type="dxa"/>
            <w:noWrap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Маңғыстау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6" w:type="dxa"/>
            <w:noWrap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430A" w:rsidRPr="00FC43DD" w:rsidTr="009C5BE3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6" w:type="dxa"/>
            <w:noWrap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430A" w:rsidRPr="00FC43DD" w:rsidTr="009C5BE3">
        <w:trPr>
          <w:trHeight w:val="114"/>
          <w:jc w:val="center"/>
        </w:trPr>
        <w:tc>
          <w:tcPr>
            <w:tcW w:w="1034" w:type="dxa"/>
            <w:vAlign w:val="center"/>
            <w:hideMark/>
          </w:tcPr>
          <w:p w:rsidR="00EE430A" w:rsidRPr="00FC43DD" w:rsidRDefault="00EE430A" w:rsidP="009C5BE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6" w:type="dxa"/>
            <w:noWrap/>
            <w:vAlign w:val="center"/>
            <w:hideMark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430A" w:rsidRPr="00FC43DD" w:rsidTr="009C5BE3">
        <w:trPr>
          <w:trHeight w:val="114"/>
          <w:jc w:val="center"/>
        </w:trPr>
        <w:tc>
          <w:tcPr>
            <w:tcW w:w="1034" w:type="dxa"/>
            <w:vAlign w:val="center"/>
          </w:tcPr>
          <w:p w:rsidR="00EE430A" w:rsidRPr="00FC43DD" w:rsidRDefault="00EE430A" w:rsidP="009C5BE3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6" w:type="dxa"/>
            <w:noWrap/>
            <w:vAlign w:val="center"/>
          </w:tcPr>
          <w:p w:rsidR="00EE430A" w:rsidRPr="00A304D3" w:rsidRDefault="00EE430A" w:rsidP="009C5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E430A" w:rsidRDefault="00EE430A" w:rsidP="009C5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E430A" w:rsidRPr="00FC43DD" w:rsidTr="009C5BE3">
        <w:trPr>
          <w:trHeight w:val="137"/>
          <w:jc w:val="center"/>
        </w:trPr>
        <w:tc>
          <w:tcPr>
            <w:tcW w:w="2940" w:type="dxa"/>
            <w:gridSpan w:val="2"/>
            <w:vMerge w:val="restart"/>
            <w:noWrap/>
            <w:hideMark/>
          </w:tcPr>
          <w:p w:rsidR="00EE430A" w:rsidRPr="00703A32" w:rsidRDefault="00EE430A" w:rsidP="009C5BE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Наурыз</w:t>
            </w:r>
            <w:r w:rsidRPr="00703A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айының қорытындысы</w:t>
            </w:r>
          </w:p>
        </w:tc>
        <w:tc>
          <w:tcPr>
            <w:tcW w:w="1277" w:type="dxa"/>
            <w:vMerge w:val="restart"/>
            <w:noWrap/>
          </w:tcPr>
          <w:p w:rsidR="00EE430A" w:rsidRPr="00A5364D" w:rsidRDefault="00EE430A" w:rsidP="009C5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vMerge w:val="restart"/>
            <w:noWrap/>
          </w:tcPr>
          <w:p w:rsidR="00EE430A" w:rsidRPr="00A5364D" w:rsidRDefault="00EE430A" w:rsidP="009C5B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vMerge w:val="restart"/>
            <w:noWrap/>
          </w:tcPr>
          <w:p w:rsidR="00EE430A" w:rsidRPr="00A5364D" w:rsidRDefault="00EE430A" w:rsidP="009C5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bottom w:val="nil"/>
            </w:tcBorders>
          </w:tcPr>
          <w:p w:rsidR="00EE430A" w:rsidRPr="00A5364D" w:rsidRDefault="00EE430A" w:rsidP="009C5B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tcBorders>
              <w:bottom w:val="nil"/>
            </w:tcBorders>
          </w:tcPr>
          <w:p w:rsidR="00EE430A" w:rsidRPr="00A5364D" w:rsidRDefault="00EE430A" w:rsidP="009C5B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tcBorders>
              <w:bottom w:val="nil"/>
            </w:tcBorders>
          </w:tcPr>
          <w:p w:rsidR="00EE430A" w:rsidRPr="00E56D62" w:rsidRDefault="00EE430A" w:rsidP="009C5B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38</w:t>
            </w:r>
          </w:p>
        </w:tc>
      </w:tr>
      <w:tr w:rsidR="00EE430A" w:rsidRPr="00FC43DD" w:rsidTr="009C5BE3">
        <w:trPr>
          <w:trHeight w:val="70"/>
          <w:jc w:val="center"/>
        </w:trPr>
        <w:tc>
          <w:tcPr>
            <w:tcW w:w="2940" w:type="dxa"/>
            <w:gridSpan w:val="2"/>
            <w:vMerge/>
            <w:noWrap/>
            <w:vAlign w:val="center"/>
          </w:tcPr>
          <w:p w:rsidR="00EE430A" w:rsidRPr="00FC43DD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noWrap/>
          </w:tcPr>
          <w:p w:rsidR="00EE430A" w:rsidRPr="00FC43DD" w:rsidRDefault="00EE430A" w:rsidP="009C5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noWrap/>
          </w:tcPr>
          <w:p w:rsidR="00EE430A" w:rsidRPr="00FC43DD" w:rsidRDefault="00EE430A" w:rsidP="009C5B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EE430A" w:rsidRPr="00FC43DD" w:rsidRDefault="00EE430A" w:rsidP="009C5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EE430A" w:rsidRPr="00FC43DD" w:rsidRDefault="00EE430A" w:rsidP="009C5B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EE430A" w:rsidRPr="00FC43DD" w:rsidRDefault="00EE430A" w:rsidP="009C5B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EE430A" w:rsidRPr="00FC43DD" w:rsidRDefault="00EE430A" w:rsidP="009C5B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E430A" w:rsidRDefault="00EE430A" w:rsidP="00EE430A">
      <w:pPr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E430A" w:rsidRDefault="00EE430A" w:rsidP="00EE430A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тыңдауларды өткізу туралы ақпаратты орналастыру бойынша (хабарландыру жари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күннен кем емес)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Қағидан</w:t>
      </w: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ың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-тармағының талаптары бойынша бұз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Түркістан  облысы (1).</w:t>
      </w:r>
    </w:p>
    <w:p w:rsidR="00EE430A" w:rsidRDefault="00EE430A" w:rsidP="00EE430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 және 28 т. талаптар бұзылған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анықталды (хаттамалар орналастырылмаған)</w:t>
      </w:r>
      <w:r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Алматы қ.</w:t>
      </w:r>
      <w:r w:rsidRPr="0021496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(11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Pr="0021496B">
        <w:rPr>
          <w:rFonts w:ascii="Times New Roman" w:hAnsi="Times New Roman" w:cs="Times New Roman"/>
          <w:i/>
          <w:sz w:val="24"/>
          <w:szCs w:val="24"/>
          <w:lang w:val="kk-KZ"/>
        </w:rPr>
        <w:t>Шымкент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Pr="0021496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Ақмола</w:t>
      </w:r>
      <w:r w:rsidRPr="0021496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</w:t>
      </w:r>
      <w:r>
        <w:rPr>
          <w:rFonts w:ascii="Times New Roman" w:hAnsi="Times New Roman" w:cs="Times New Roman"/>
          <w:i/>
          <w:sz w:val="24"/>
          <w:szCs w:val="24"/>
        </w:rPr>
        <w:t xml:space="preserve">(4), Алматы обл. (13), Жамбыл обл. (1),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Қарағанды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обл. (3),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останай обл. (3),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i/>
          <w:sz w:val="24"/>
          <w:szCs w:val="24"/>
        </w:rPr>
        <w:t>ызылорд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я обл. (2) </w:t>
      </w:r>
      <w:r>
        <w:rPr>
          <w:rFonts w:ascii="Times New Roman" w:hAnsi="Times New Roman" w:cs="Times New Roman"/>
          <w:sz w:val="24"/>
          <w:szCs w:val="24"/>
          <w:lang w:val="kk-KZ"/>
        </w:rPr>
        <w:t>және де хаттманың салыну уақыты бұзылған</w:t>
      </w:r>
      <w:r>
        <w:rPr>
          <w:rFonts w:ascii="Times New Roman" w:hAnsi="Times New Roman" w:cs="Times New Roman"/>
          <w:sz w:val="24"/>
          <w:szCs w:val="24"/>
        </w:rPr>
        <w:t xml:space="preserve"> (7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күнінен кешіктіріп</w:t>
      </w:r>
      <w:r>
        <w:rPr>
          <w:rFonts w:ascii="Times New Roman" w:hAnsi="Times New Roman" w:cs="Times New Roman"/>
          <w:i/>
          <w:sz w:val="24"/>
          <w:szCs w:val="24"/>
        </w:rPr>
        <w:t xml:space="preserve">): Жамбыл обл. (2),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Павлодар обл. (1). </w:t>
      </w:r>
    </w:p>
    <w:p w:rsidR="00EE430A" w:rsidRPr="0021496B" w:rsidRDefault="00EE430A" w:rsidP="00EE430A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Сонымен бірге хаттаманың орналастыру уақыты көрсетілмей салынғаны анықталды: </w:t>
      </w:r>
      <w:r w:rsidRPr="0021496B">
        <w:rPr>
          <w:rFonts w:ascii="Times New Roman" w:hAnsi="Times New Roman" w:cs="Times New Roman"/>
          <w:i/>
          <w:sz w:val="24"/>
          <w:szCs w:val="24"/>
          <w:lang w:val="kk-KZ"/>
        </w:rPr>
        <w:t>Жамбыл обл.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496B">
        <w:rPr>
          <w:rFonts w:ascii="Times New Roman" w:hAnsi="Times New Roman" w:cs="Times New Roman"/>
          <w:i/>
          <w:sz w:val="24"/>
          <w:szCs w:val="24"/>
          <w:lang w:val="kk-KZ"/>
        </w:rPr>
        <w:t>(2),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Қарағанды обл. </w:t>
      </w:r>
      <w:r w:rsidRPr="0021496B">
        <w:rPr>
          <w:rFonts w:ascii="Times New Roman" w:hAnsi="Times New Roman" w:cs="Times New Roman"/>
          <w:i/>
          <w:sz w:val="24"/>
          <w:szCs w:val="24"/>
          <w:lang w:val="kk-KZ"/>
        </w:rPr>
        <w:t>(3).</w:t>
      </w:r>
    </w:p>
    <w:p w:rsidR="00EE430A" w:rsidRDefault="00EE430A" w:rsidP="00EE430A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A7473F">
        <w:rPr>
          <w:color w:val="000000"/>
          <w:lang w:val="kk-KZ"/>
        </w:rPr>
        <w:t xml:space="preserve">Сонымен </w:t>
      </w:r>
      <w:r w:rsidRPr="00A7473F">
        <w:rPr>
          <w:lang w:val="kk-KZ"/>
        </w:rPr>
        <w:t>қатар</w:t>
      </w:r>
      <w:r w:rsidRPr="00A7473F">
        <w:rPr>
          <w:color w:val="000000"/>
          <w:lang w:val="kk-KZ"/>
        </w:rPr>
        <w:t xml:space="preserve">, күнделікті скриншот жасау арқылы жүргізіліп отыратын «Қоғамдық тыңдаулар» айдарының бақылауы, а.ж.  наурыз айында </w:t>
      </w:r>
      <w:r w:rsidRPr="00A7473F">
        <w:rPr>
          <w:i/>
          <w:lang w:val="kk-KZ"/>
        </w:rPr>
        <w:t>Алматы обл. (1), ШҚО (1), Қарағанды обл. (1), Қостанай  обл. (1)</w:t>
      </w:r>
      <w:r w:rsidRPr="00A7473F">
        <w:rPr>
          <w:color w:val="000000"/>
          <w:lang w:val="kk-KZ"/>
        </w:rPr>
        <w:t xml:space="preserve"> хабарландырулардың </w:t>
      </w:r>
      <w:r w:rsidRPr="00A7473F">
        <w:rPr>
          <w:i/>
          <w:lang w:val="kk-KZ"/>
        </w:rPr>
        <w:t xml:space="preserve"> </w:t>
      </w:r>
      <w:r w:rsidRPr="00A7473F">
        <w:rPr>
          <w:lang w:val="kk-KZ"/>
        </w:rPr>
        <w:t xml:space="preserve">соңғы мониторинг </w:t>
      </w:r>
      <w:r w:rsidRPr="00A7473F">
        <w:rPr>
          <w:color w:val="000000"/>
          <w:lang w:val="kk-KZ"/>
        </w:rPr>
        <w:t>жасалған күнен кейін орналастырылғаны анықталды. Яғни, соңғы жүргізілген мониторинг кезінде хабарландырулар орналастырылмаған болатын, алайда қайталап жүргізілген мониторингтің нәтижесінде хабарландырулардың өтіп кеткен күнмен орналастырылғаны анықталды</w:t>
      </w:r>
      <w:r>
        <w:rPr>
          <w:color w:val="000000"/>
          <w:lang w:val="kk-KZ"/>
        </w:rPr>
        <w:t>.</w:t>
      </w:r>
    </w:p>
    <w:p w:rsidR="00EE430A" w:rsidRDefault="00EE430A" w:rsidP="00EE430A">
      <w:pPr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Алайда, былтырғы жылғы осы уақытпен салыстырғанда қазіргі таңда Қағиданың талаптарын орындау бұзушылықтарының анағұрлым азайғандығы байқалады. Төменде 2019 ж. және 2020 ж. наурыз айларының салыстырмалы динамикасы көрсетілген. </w:t>
      </w:r>
    </w:p>
    <w:p w:rsidR="00EE430A" w:rsidRPr="00E96620" w:rsidRDefault="00EE430A" w:rsidP="00EE430A">
      <w:pPr>
        <w:ind w:firstLine="0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46F13802" wp14:editId="2EFE774D">
            <wp:extent cx="6050604" cy="2996119"/>
            <wp:effectExtent l="0" t="0" r="2667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430A" w:rsidRDefault="00EE430A" w:rsidP="00EE430A">
      <w:pPr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E430A" w:rsidRDefault="00EE430A" w:rsidP="00EE430A">
      <w:pPr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Графикте көрсетілгендей Нұр-Сұлтан қ., Ақтөбе, Атырау, Батыс-Қазақстан, Солтүстік-Қазақстан облыстарында 2020 жылы бұзушылықтар жоқ, ал басқа облыстарда бұзушылықтардың біраз азайғандығы байқалады. </w:t>
      </w:r>
    </w:p>
    <w:p w:rsidR="00EE430A" w:rsidRDefault="00EE430A" w:rsidP="00EE430A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94A2E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байланысты, ЖАО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бұзушылықтарды жоюға байланысты қажетті шараларды қолдану  және </w:t>
      </w:r>
      <w:r w:rsidRPr="00894A2E">
        <w:rPr>
          <w:rFonts w:ascii="Times New Roman" w:hAnsi="Times New Roman" w:cs="Times New Roman"/>
          <w:sz w:val="24"/>
          <w:szCs w:val="24"/>
          <w:lang w:val="kk-KZ"/>
        </w:rPr>
        <w:t>қоғамдық тыңдаулар туралы ақпаратты орналастырған кезде Қағидалардың талаптарын сақтау керек.</w:t>
      </w:r>
      <w:r w:rsidRPr="008832CA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</w:p>
    <w:p w:rsidR="000A5A93" w:rsidRPr="00EE430A" w:rsidRDefault="00EE430A">
      <w:pPr>
        <w:rPr>
          <w:lang w:val="kk-KZ"/>
        </w:rPr>
      </w:pPr>
      <w:bookmarkStart w:id="0" w:name="_GoBack"/>
      <w:bookmarkEnd w:id="0"/>
    </w:p>
    <w:sectPr w:rsidR="000A5A93" w:rsidRPr="00EE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0A"/>
    <w:rsid w:val="00185F3D"/>
    <w:rsid w:val="00576284"/>
    <w:rsid w:val="00CA33FE"/>
    <w:rsid w:val="00E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4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30A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3"/>
    <w:uiPriority w:val="3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3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3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4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30A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3"/>
    <w:uiPriority w:val="3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3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3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ҚР аймақтары бойынша Қағиданың талаптарын бұзу динамикасы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салыстырмалы түрде 2019  жылдың наурыз айы және  2020 жылдың наурыз айында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9.7045898108890236E-2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наурыз 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Лист6!$A$2:$A$18</c:f>
              <c:strCache>
                <c:ptCount val="17"/>
                <c:pt idx="0">
                  <c:v>Нұр-Cұлтан қ.</c:v>
                </c:pt>
                <c:pt idx="1">
                  <c:v>Алматы қ.</c:v>
                </c:pt>
                <c:pt idx="2">
                  <c:v>Ақмола</c:v>
                </c:pt>
                <c:pt idx="3">
                  <c:v>Ақтөбе</c:v>
                </c:pt>
                <c:pt idx="4">
                  <c:v>Алматы</c:v>
                </c:pt>
                <c:pt idx="5">
                  <c:v>Атырау</c:v>
                </c:pt>
                <c:pt idx="6">
                  <c:v>ШҚО</c:v>
                </c:pt>
                <c:pt idx="7">
                  <c:v>БҚО</c:v>
                </c:pt>
                <c:pt idx="8">
                  <c:v>Жамбыл</c:v>
                </c:pt>
                <c:pt idx="9">
                  <c:v>Қарағанды</c:v>
                </c:pt>
                <c:pt idx="10">
                  <c:v>Қостанай</c:v>
                </c:pt>
                <c:pt idx="11">
                  <c:v>Қызылорда</c:v>
                </c:pt>
                <c:pt idx="12">
                  <c:v>Маңғыстау</c:v>
                </c:pt>
                <c:pt idx="13">
                  <c:v>Павлодар</c:v>
                </c:pt>
                <c:pt idx="14">
                  <c:v>СҚО</c:v>
                </c:pt>
                <c:pt idx="15">
                  <c:v>Түркістан</c:v>
                </c:pt>
                <c:pt idx="16">
                  <c:v>Шымкент қ.</c:v>
                </c:pt>
              </c:strCache>
            </c:strRef>
          </c:cat>
          <c:val>
            <c:numRef>
              <c:f>Лист6!$B$2:$B$18</c:f>
              <c:numCache>
                <c:formatCode>General</c:formatCode>
                <c:ptCount val="17"/>
                <c:pt idx="0">
                  <c:v>7</c:v>
                </c:pt>
                <c:pt idx="1">
                  <c:v>18</c:v>
                </c:pt>
                <c:pt idx="2">
                  <c:v>9</c:v>
                </c:pt>
                <c:pt idx="3">
                  <c:v>12</c:v>
                </c:pt>
                <c:pt idx="4">
                  <c:v>2</c:v>
                </c:pt>
                <c:pt idx="5">
                  <c:v>9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7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наурыз 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Лист6!$A$2:$A$18</c:f>
              <c:strCache>
                <c:ptCount val="17"/>
                <c:pt idx="0">
                  <c:v>Нұр-Cұлтан қ.</c:v>
                </c:pt>
                <c:pt idx="1">
                  <c:v>Алматы қ.</c:v>
                </c:pt>
                <c:pt idx="2">
                  <c:v>Ақмола</c:v>
                </c:pt>
                <c:pt idx="3">
                  <c:v>Ақтөбе</c:v>
                </c:pt>
                <c:pt idx="4">
                  <c:v>Алматы</c:v>
                </c:pt>
                <c:pt idx="5">
                  <c:v>Атырау</c:v>
                </c:pt>
                <c:pt idx="6">
                  <c:v>ШҚО</c:v>
                </c:pt>
                <c:pt idx="7">
                  <c:v>БҚО</c:v>
                </c:pt>
                <c:pt idx="8">
                  <c:v>Жамбыл</c:v>
                </c:pt>
                <c:pt idx="9">
                  <c:v>Қарағанды</c:v>
                </c:pt>
                <c:pt idx="10">
                  <c:v>Қостанай</c:v>
                </c:pt>
                <c:pt idx="11">
                  <c:v>Қызылорда</c:v>
                </c:pt>
                <c:pt idx="12">
                  <c:v>Маңғыстау</c:v>
                </c:pt>
                <c:pt idx="13">
                  <c:v>Павлодар</c:v>
                </c:pt>
                <c:pt idx="14">
                  <c:v>СҚО</c:v>
                </c:pt>
                <c:pt idx="15">
                  <c:v>Түркістан</c:v>
                </c:pt>
                <c:pt idx="16">
                  <c:v>Шымкент қ.</c:v>
                </c:pt>
              </c:strCache>
            </c:strRef>
          </c:cat>
          <c:val>
            <c:numRef>
              <c:f>Лист6!$C$2:$C$18</c:f>
              <c:numCache>
                <c:formatCode>General</c:formatCode>
                <c:ptCount val="17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5</c:v>
                </c:pt>
                <c:pt idx="9">
                  <c:v>7</c:v>
                </c:pt>
                <c:pt idx="10">
                  <c:v>4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0627456"/>
        <c:axId val="150628992"/>
      </c:barChart>
      <c:catAx>
        <c:axId val="1506274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628992"/>
        <c:crosses val="autoZero"/>
        <c:auto val="1"/>
        <c:lblAlgn val="ctr"/>
        <c:lblOffset val="100"/>
        <c:noMultiLvlLbl val="0"/>
      </c:catAx>
      <c:valAx>
        <c:axId val="15062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06274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2020-04-03T09:35:00Z</dcterms:created>
  <dcterms:modified xsi:type="dcterms:W3CDTF">2020-04-03T09:36:00Z</dcterms:modified>
</cp:coreProperties>
</file>