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49" w:rsidRDefault="0077667A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49" w:rsidRDefault="0077667A">
      <w:pPr>
        <w:spacing w:after="0"/>
      </w:pPr>
      <w:bookmarkStart w:id="0" w:name="_GoBack"/>
      <w:r>
        <w:rPr>
          <w:b/>
          <w:color w:val="000000"/>
          <w:sz w:val="28"/>
        </w:rPr>
        <w:t xml:space="preserve">2020-2025 </w:t>
      </w:r>
      <w:proofErr w:type="spellStart"/>
      <w:r>
        <w:rPr>
          <w:b/>
          <w:color w:val="000000"/>
          <w:sz w:val="28"/>
        </w:rPr>
        <w:t>жылдар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кезеңінде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озонды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бұзатын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заттарды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тұтыну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лимиттерін</w:t>
      </w:r>
      <w:proofErr w:type="spellEnd"/>
      <w:r>
        <w:rPr>
          <w:b/>
          <w:color w:val="000000"/>
          <w:sz w:val="28"/>
        </w:rPr>
        <w:t xml:space="preserve"> (</w:t>
      </w:r>
      <w:proofErr w:type="spellStart"/>
      <w:r>
        <w:rPr>
          <w:b/>
          <w:color w:val="000000"/>
          <w:sz w:val="28"/>
        </w:rPr>
        <w:t>квоталарын</w:t>
      </w:r>
      <w:proofErr w:type="spellEnd"/>
      <w:r>
        <w:rPr>
          <w:b/>
          <w:color w:val="000000"/>
          <w:sz w:val="28"/>
        </w:rPr>
        <w:t xml:space="preserve">)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F60449" w:rsidRDefault="0077667A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109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мамырда</w:t>
      </w:r>
      <w:proofErr w:type="spellEnd"/>
      <w:r>
        <w:rPr>
          <w:color w:val="000000"/>
          <w:sz w:val="28"/>
        </w:rPr>
        <w:t xml:space="preserve"> № 20671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F60449" w:rsidRDefault="0077667A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313-бабына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1997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</w:t>
      </w:r>
      <w:r>
        <w:rPr>
          <w:color w:val="000000"/>
          <w:sz w:val="28"/>
        </w:rPr>
        <w:t>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Монреаль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міндеттемелерін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color w:val="000000"/>
          <w:sz w:val="28"/>
        </w:rPr>
        <w:t xml:space="preserve"> БҰЙЫРАМЫН:</w:t>
      </w:r>
    </w:p>
    <w:p w:rsidR="00F60449" w:rsidRDefault="0077667A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2020-2025 </w:t>
      </w:r>
      <w:proofErr w:type="spellStart"/>
      <w:r>
        <w:rPr>
          <w:color w:val="000000"/>
          <w:sz w:val="28"/>
        </w:rPr>
        <w:t>жылдар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лимиттері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квоталары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F60449" w:rsidRDefault="0077667A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Климаттық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жасыл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F60449" w:rsidRDefault="0077667A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</w:t>
      </w:r>
      <w:r>
        <w:rPr>
          <w:color w:val="000000"/>
          <w:sz w:val="28"/>
        </w:rPr>
        <w:t>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интернет-ресурсында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орналастырылуын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</w:t>
      </w:r>
      <w:r>
        <w:rPr>
          <w:color w:val="000000"/>
          <w:sz w:val="28"/>
        </w:rPr>
        <w:t>келгеннен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геология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табиғи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ресурстар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тармақтың</w:t>
      </w:r>
      <w:proofErr w:type="spellEnd"/>
      <w:r>
        <w:rPr>
          <w:color w:val="000000"/>
          <w:sz w:val="28"/>
        </w:rPr>
        <w:t xml:space="preserve"> 1)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2) </w:t>
      </w:r>
      <w:proofErr w:type="spellStart"/>
      <w:r>
        <w:rPr>
          <w:color w:val="000000"/>
          <w:sz w:val="28"/>
        </w:rPr>
        <w:t>тармақшаларында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іс-шараларды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</w:t>
      </w:r>
      <w:r>
        <w:rPr>
          <w:color w:val="000000"/>
          <w:sz w:val="28"/>
        </w:rPr>
        <w:t>сін</w:t>
      </w:r>
      <w:proofErr w:type="spellEnd"/>
      <w:r>
        <w:rPr>
          <w:color w:val="000000"/>
          <w:sz w:val="28"/>
        </w:rPr>
        <w:t>.</w:t>
      </w:r>
    </w:p>
    <w:p w:rsidR="00F60449" w:rsidRDefault="0077667A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14"/>
        <w:gridCol w:w="3387"/>
        <w:gridCol w:w="278"/>
      </w:tblGrid>
      <w:tr w:rsidR="00F60449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60449" w:rsidRDefault="0077667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Қазақстан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Экология</w:t>
            </w:r>
            <w:proofErr w:type="spellEnd"/>
            <w:r>
              <w:rPr>
                <w:i/>
                <w:color w:val="000000"/>
                <w:sz w:val="20"/>
              </w:rPr>
              <w:t xml:space="preserve">, </w:t>
            </w:r>
            <w:proofErr w:type="spellStart"/>
            <w:r>
              <w:rPr>
                <w:i/>
                <w:color w:val="000000"/>
                <w:sz w:val="20"/>
              </w:rPr>
              <w:t>геология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және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табиғи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ресурстар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министрі</w:t>
            </w:r>
            <w:proofErr w:type="spellEnd"/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М. </w:t>
            </w:r>
            <w:proofErr w:type="spellStart"/>
            <w:r>
              <w:rPr>
                <w:i/>
                <w:color w:val="000000"/>
                <w:sz w:val="20"/>
              </w:rPr>
              <w:t>Мирзагалиев</w:t>
            </w:r>
            <w:proofErr w:type="spellEnd"/>
          </w:p>
        </w:tc>
      </w:tr>
      <w:tr w:rsidR="00F6044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Экология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геолог</w:t>
            </w:r>
            <w:r>
              <w:rPr>
                <w:color w:val="000000"/>
                <w:sz w:val="20"/>
              </w:rPr>
              <w:t>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табиғи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ресурстар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109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</w:p>
        </w:tc>
      </w:tr>
    </w:tbl>
    <w:p w:rsidR="00F60449" w:rsidRDefault="0077667A">
      <w:pPr>
        <w:spacing w:after="0"/>
      </w:pPr>
      <w:bookmarkStart w:id="8" w:name="z9"/>
      <w:r>
        <w:rPr>
          <w:b/>
          <w:color w:val="000000"/>
        </w:rPr>
        <w:t xml:space="preserve"> 2020-2025 </w:t>
      </w:r>
      <w:proofErr w:type="spellStart"/>
      <w:r>
        <w:rPr>
          <w:b/>
          <w:color w:val="000000"/>
        </w:rPr>
        <w:t>жылдар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кезеңінде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озонды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бұзатын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заттарды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тұтыну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лимиттері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квоталары</w:t>
      </w:r>
      <w:proofErr w:type="spellEnd"/>
      <w:r>
        <w:rPr>
          <w:b/>
          <w:color w:val="000000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38"/>
        <w:gridCol w:w="4482"/>
      </w:tblGrid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F60449" w:rsidRDefault="007766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Жылдар</w:t>
            </w:r>
            <w:proofErr w:type="spellEnd"/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Квоталар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тонна</w:t>
            </w:r>
            <w:proofErr w:type="spellEnd"/>
            <w:r>
              <w:rPr>
                <w:color w:val="000000"/>
                <w:sz w:val="20"/>
              </w:rPr>
              <w:t>) *</w:t>
            </w:r>
          </w:p>
        </w:tc>
      </w:tr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2021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4,5</w:t>
            </w:r>
          </w:p>
        </w:tc>
      </w:tr>
      <w:tr w:rsidR="00F60449">
        <w:trPr>
          <w:trHeight w:val="30"/>
          <w:tblCellSpacing w:w="0" w:type="auto"/>
        </w:trPr>
        <w:tc>
          <w:tcPr>
            <w:tcW w:w="66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w="56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0449" w:rsidRDefault="0077667A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</w:tr>
    </w:tbl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       * </w:t>
      </w:r>
      <w:proofErr w:type="spellStart"/>
      <w:r>
        <w:rPr>
          <w:color w:val="000000"/>
          <w:sz w:val="28"/>
        </w:rPr>
        <w:t>цифрлар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Еуразиялық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одағының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әкетуге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бірыңғай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тізбесінің</w:t>
      </w:r>
      <w:proofErr w:type="spellEnd"/>
      <w:r>
        <w:rPr>
          <w:color w:val="000000"/>
          <w:sz w:val="28"/>
        </w:rPr>
        <w:t xml:space="preserve"> 2.1-бөлімінің С </w:t>
      </w:r>
      <w:proofErr w:type="spellStart"/>
      <w:r>
        <w:rPr>
          <w:color w:val="000000"/>
          <w:sz w:val="28"/>
        </w:rPr>
        <w:t>тізімінде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Монреаль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Хаттамасының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(№ XXIX/14, 2017 </w:t>
      </w:r>
      <w:proofErr w:type="spellStart"/>
      <w:r>
        <w:rPr>
          <w:color w:val="000000"/>
          <w:sz w:val="28"/>
        </w:rPr>
        <w:t>жыл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. 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</w:t>
      </w:r>
      <w:r>
        <w:rPr>
          <w:color w:val="000000"/>
          <w:sz w:val="28"/>
        </w:rPr>
        <w:t>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2016 - 2019 </w:t>
      </w:r>
      <w:proofErr w:type="spellStart"/>
      <w:r>
        <w:rPr>
          <w:color w:val="000000"/>
          <w:sz w:val="28"/>
        </w:rPr>
        <w:t>жылдары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пропорционалды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 xml:space="preserve"> (</w:t>
      </w:r>
      <w:proofErr w:type="gram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i(</w:t>
      </w:r>
      <w:proofErr w:type="gramEnd"/>
      <w:r>
        <w:rPr>
          <w:color w:val="000000"/>
          <w:vertAlign w:val="subscript"/>
        </w:rPr>
        <w:t>2016)</w:t>
      </w:r>
      <w:r>
        <w:rPr>
          <w:color w:val="000000"/>
          <w:sz w:val="28"/>
        </w:rPr>
        <w:t>, V</w:t>
      </w:r>
      <w:r>
        <w:rPr>
          <w:color w:val="000000"/>
          <w:vertAlign w:val="subscript"/>
        </w:rPr>
        <w:t>i(2017)</w:t>
      </w:r>
      <w:r>
        <w:rPr>
          <w:color w:val="000000"/>
          <w:sz w:val="28"/>
        </w:rPr>
        <w:t>, V</w:t>
      </w:r>
      <w:r>
        <w:rPr>
          <w:color w:val="000000"/>
          <w:vertAlign w:val="subscript"/>
        </w:rPr>
        <w:t>i(2018)</w:t>
      </w:r>
      <w:r>
        <w:rPr>
          <w:color w:val="000000"/>
          <w:sz w:val="28"/>
        </w:rPr>
        <w:t>, V</w:t>
      </w:r>
      <w:r>
        <w:rPr>
          <w:color w:val="000000"/>
          <w:vertAlign w:val="subscript"/>
        </w:rPr>
        <w:t>i(2019)</w:t>
      </w:r>
      <w:r>
        <w:rPr>
          <w:color w:val="000000"/>
          <w:sz w:val="28"/>
        </w:rPr>
        <w:t>).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"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экспорты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импортын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жөніндегі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біліктілік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сәйкестікті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лицензияны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лицензияға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лицензия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лицензияға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нысандарын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эконом</w:t>
      </w:r>
      <w:r>
        <w:rPr>
          <w:color w:val="000000"/>
          <w:sz w:val="28"/>
        </w:rPr>
        <w:t>ика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2015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30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№ 67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актiлерiнiң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тізілімінде</w:t>
      </w:r>
      <w:proofErr w:type="spellEnd"/>
      <w:r>
        <w:rPr>
          <w:color w:val="000000"/>
          <w:sz w:val="28"/>
        </w:rPr>
        <w:t xml:space="preserve"> № 11074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) 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лицензияны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лицензияға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өтініште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ө</w:t>
      </w:r>
      <w:r>
        <w:rPr>
          <w:color w:val="000000"/>
          <w:sz w:val="28"/>
        </w:rPr>
        <w:t>тініш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қарамастан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көлемнен</w:t>
      </w:r>
      <w:proofErr w:type="spellEnd"/>
      <w:r>
        <w:rPr>
          <w:color w:val="000000"/>
          <w:sz w:val="28"/>
        </w:rPr>
        <w:t xml:space="preserve"> (V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аспауы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>.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2020, 2021, 2022, 2023, 2024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2025 </w:t>
      </w:r>
      <w:proofErr w:type="spellStart"/>
      <w:r>
        <w:rPr>
          <w:color w:val="000000"/>
          <w:sz w:val="28"/>
        </w:rPr>
        <w:t>жылдар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</w:t>
      </w:r>
      <w:r>
        <w:rPr>
          <w:color w:val="000000"/>
          <w:sz w:val="28"/>
        </w:rPr>
        <w:t>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көлемді</w:t>
      </w:r>
      <w:proofErr w:type="spellEnd"/>
      <w:r>
        <w:rPr>
          <w:color w:val="000000"/>
          <w:sz w:val="28"/>
        </w:rPr>
        <w:t xml:space="preserve"> (V</w:t>
      </w:r>
      <w:r>
        <w:rPr>
          <w:color w:val="000000"/>
          <w:vertAlign w:val="subscript"/>
        </w:rPr>
        <w:t>i</w:t>
      </w:r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есептеу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асырылады</w:t>
      </w:r>
      <w:proofErr w:type="spellEnd"/>
      <w:r>
        <w:rPr>
          <w:color w:val="000000"/>
          <w:sz w:val="28"/>
        </w:rPr>
        <w:t>:</w:t>
      </w:r>
    </w:p>
    <w:p w:rsidR="00F60449" w:rsidRDefault="0077667A">
      <w:pPr>
        <w:spacing w:after="0"/>
      </w:pPr>
      <w:r>
        <w:br/>
      </w:r>
    </w:p>
    <w:p w:rsidR="00F60449" w:rsidRDefault="0077667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2573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49" w:rsidRDefault="0077667A">
      <w:pPr>
        <w:spacing w:after="0"/>
      </w:pPr>
      <w:r>
        <w:br/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мұндағы</w:t>
      </w:r>
      <w:proofErr w:type="spellEnd"/>
      <w:r>
        <w:rPr>
          <w:color w:val="000000"/>
          <w:sz w:val="28"/>
        </w:rPr>
        <w:t>: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жалпы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мөлшерлік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шектеумен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20</w:t>
      </w:r>
      <w:r>
        <w:rPr>
          <w:color w:val="000000"/>
          <w:sz w:val="28"/>
        </w:rPr>
        <w:t xml:space="preserve">20-2025 </w:t>
      </w:r>
      <w:proofErr w:type="spellStart"/>
      <w:r>
        <w:rPr>
          <w:color w:val="000000"/>
          <w:sz w:val="28"/>
        </w:rPr>
        <w:t>жылдары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тұтынуға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рұқсат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k</w:t>
      </w:r>
      <w:r>
        <w:rPr>
          <w:color w:val="000000"/>
          <w:vertAlign w:val="subscript"/>
        </w:rPr>
        <w:t>i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формула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коэффициент</w:t>
      </w:r>
      <w:proofErr w:type="spellEnd"/>
      <w:r>
        <w:rPr>
          <w:color w:val="000000"/>
          <w:sz w:val="28"/>
        </w:rPr>
        <w:t>:</w:t>
      </w:r>
    </w:p>
    <w:p w:rsidR="00F60449" w:rsidRDefault="0077667A">
      <w:pPr>
        <w:spacing w:after="0"/>
      </w:pPr>
      <w:r>
        <w:br/>
      </w:r>
    </w:p>
    <w:p w:rsidR="00F60449" w:rsidRDefault="0077667A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4622800" cy="469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449" w:rsidRDefault="0077667A">
      <w:pPr>
        <w:spacing w:after="0"/>
      </w:pPr>
      <w:r>
        <w:br/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мұндағы</w:t>
      </w:r>
      <w:proofErr w:type="spellEnd"/>
      <w:r>
        <w:rPr>
          <w:color w:val="000000"/>
          <w:sz w:val="28"/>
        </w:rPr>
        <w:t>: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i(</w:t>
      </w:r>
      <w:proofErr w:type="gramEnd"/>
      <w:r>
        <w:rPr>
          <w:color w:val="000000"/>
          <w:vertAlign w:val="subscript"/>
        </w:rPr>
        <w:t>2016)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</w:t>
      </w:r>
      <w:r>
        <w:rPr>
          <w:color w:val="000000"/>
          <w:sz w:val="28"/>
        </w:rPr>
        <w:t>ысы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i(</w:t>
      </w:r>
      <w:proofErr w:type="gramEnd"/>
      <w:r>
        <w:rPr>
          <w:color w:val="000000"/>
          <w:vertAlign w:val="subscript"/>
        </w:rPr>
        <w:t>2017)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i(</w:t>
      </w:r>
      <w:proofErr w:type="gramEnd"/>
      <w:r>
        <w:rPr>
          <w:color w:val="000000"/>
          <w:vertAlign w:val="subscript"/>
        </w:rPr>
        <w:t>2018)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</w:t>
      </w:r>
      <w:r>
        <w:rPr>
          <w:color w:val="000000"/>
          <w:sz w:val="28"/>
        </w:rPr>
        <w:t>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V</w:t>
      </w:r>
      <w:r>
        <w:rPr>
          <w:color w:val="000000"/>
          <w:vertAlign w:val="subscript"/>
        </w:rPr>
        <w:t>i(</w:t>
      </w:r>
      <w:proofErr w:type="gramEnd"/>
      <w:r>
        <w:rPr>
          <w:color w:val="000000"/>
          <w:vertAlign w:val="subscript"/>
        </w:rPr>
        <w:t>2019)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і-</w:t>
      </w:r>
      <w:proofErr w:type="spellStart"/>
      <w:r>
        <w:rPr>
          <w:color w:val="000000"/>
          <w:sz w:val="28"/>
        </w:rPr>
        <w:t>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қатысушысы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V</w:t>
      </w:r>
      <w:proofErr w:type="gramStart"/>
      <w:r>
        <w:rPr>
          <w:color w:val="000000"/>
          <w:vertAlign w:val="subscript"/>
        </w:rPr>
        <w:t>жалпы</w:t>
      </w:r>
      <w:proofErr w:type="spellEnd"/>
      <w:r>
        <w:rPr>
          <w:color w:val="000000"/>
          <w:vertAlign w:val="subscript"/>
        </w:rPr>
        <w:t>(</w:t>
      </w:r>
      <w:proofErr w:type="gramEnd"/>
      <w:r>
        <w:rPr>
          <w:color w:val="000000"/>
          <w:vertAlign w:val="subscript"/>
        </w:rPr>
        <w:t>2016)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2016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</w:t>
      </w:r>
      <w:r>
        <w:rPr>
          <w:color w:val="000000"/>
          <w:sz w:val="28"/>
        </w:rPr>
        <w:t>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V</w:t>
      </w:r>
      <w:proofErr w:type="gramStart"/>
      <w:r>
        <w:rPr>
          <w:color w:val="000000"/>
          <w:vertAlign w:val="subscript"/>
        </w:rPr>
        <w:t>жалпы</w:t>
      </w:r>
      <w:proofErr w:type="spellEnd"/>
      <w:r>
        <w:rPr>
          <w:color w:val="000000"/>
          <w:vertAlign w:val="subscript"/>
        </w:rPr>
        <w:t>(</w:t>
      </w:r>
      <w:proofErr w:type="gramEnd"/>
      <w:r>
        <w:rPr>
          <w:color w:val="000000"/>
          <w:vertAlign w:val="subscript"/>
        </w:rPr>
        <w:t>2017)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2017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V</w:t>
      </w:r>
      <w:proofErr w:type="gramStart"/>
      <w:r>
        <w:rPr>
          <w:color w:val="000000"/>
          <w:vertAlign w:val="subscript"/>
        </w:rPr>
        <w:t>жалпы</w:t>
      </w:r>
      <w:proofErr w:type="spellEnd"/>
      <w:r>
        <w:rPr>
          <w:color w:val="000000"/>
          <w:vertAlign w:val="subscript"/>
        </w:rPr>
        <w:t>(</w:t>
      </w:r>
      <w:proofErr w:type="gramEnd"/>
      <w:r>
        <w:rPr>
          <w:color w:val="000000"/>
          <w:vertAlign w:val="subscript"/>
        </w:rPr>
        <w:t>2018)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;</w:t>
      </w:r>
    </w:p>
    <w:p w:rsidR="00F60449" w:rsidRDefault="0077667A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V</w:t>
      </w:r>
      <w:proofErr w:type="gramStart"/>
      <w:r>
        <w:rPr>
          <w:color w:val="000000"/>
          <w:vertAlign w:val="subscript"/>
        </w:rPr>
        <w:t>жалпы</w:t>
      </w:r>
      <w:proofErr w:type="spellEnd"/>
      <w:r>
        <w:rPr>
          <w:color w:val="000000"/>
          <w:vertAlign w:val="subscript"/>
        </w:rPr>
        <w:t>(</w:t>
      </w:r>
      <w:proofErr w:type="gramEnd"/>
      <w:r>
        <w:rPr>
          <w:color w:val="000000"/>
          <w:vertAlign w:val="subscript"/>
        </w:rPr>
        <w:t>2019)</w:t>
      </w:r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сыртқы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сауда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қатысушылары</w:t>
      </w:r>
      <w:proofErr w:type="spellEnd"/>
      <w:r>
        <w:rPr>
          <w:color w:val="000000"/>
          <w:sz w:val="28"/>
        </w:rPr>
        <w:t xml:space="preserve"> 2019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озонды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тонна</w:t>
      </w:r>
      <w:proofErr w:type="spellEnd"/>
      <w:r>
        <w:rPr>
          <w:color w:val="000000"/>
          <w:sz w:val="28"/>
        </w:rPr>
        <w:t>.</w:t>
      </w:r>
    </w:p>
    <w:p w:rsidR="00F60449" w:rsidRDefault="0077667A">
      <w:pPr>
        <w:spacing w:after="0"/>
      </w:pPr>
      <w:r>
        <w:br/>
      </w:r>
      <w:r>
        <w:br/>
      </w:r>
    </w:p>
    <w:p w:rsidR="00F60449" w:rsidRDefault="0077667A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</w:t>
      </w:r>
      <w:r>
        <w:rPr>
          <w:color w:val="000000"/>
        </w:rPr>
        <w:t>ЖҚ РМК</w:t>
      </w:r>
    </w:p>
    <w:sectPr w:rsidR="00F6044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49"/>
    <w:rsid w:val="004025D3"/>
    <w:rsid w:val="0077667A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50A48-F8B2-4B49-9FA7-E21B6E63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2020-05-25T04:42:00Z</dcterms:created>
  <dcterms:modified xsi:type="dcterms:W3CDTF">2020-05-25T04:42:00Z</dcterms:modified>
</cp:coreProperties>
</file>