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BA" w:rsidRPr="00A67E7E" w:rsidRDefault="00A67E7E" w:rsidP="00A67E7E">
      <w:pPr>
        <w:pStyle w:val="a5"/>
        <w:ind w:right="521"/>
        <w:jc w:val="center"/>
        <w:rPr>
          <w:rFonts w:asciiTheme="majorBidi" w:hAnsiTheme="majorBidi" w:cstheme="majorBidi"/>
          <w:b/>
          <w:bCs/>
          <w:sz w:val="28"/>
          <w:szCs w:val="28"/>
          <w:lang w:val="ru-RU"/>
        </w:rPr>
      </w:pPr>
      <w:r w:rsidRPr="00A67E7E">
        <w:rPr>
          <w:rFonts w:asciiTheme="majorBidi" w:hAnsiTheme="majorBidi" w:cstheme="majorBidi"/>
          <w:b/>
          <w:bCs/>
          <w:sz w:val="28"/>
          <w:szCs w:val="28"/>
          <w:lang w:val="ru-RU"/>
        </w:rPr>
        <w:t>Проект рекомендаций относительно запроса на консультацию</w:t>
      </w:r>
      <w:r>
        <w:rPr>
          <w:rFonts w:asciiTheme="majorBidi" w:hAnsiTheme="majorBidi" w:cstheme="majorBidi"/>
          <w:b/>
          <w:bCs/>
          <w:sz w:val="28"/>
          <w:szCs w:val="28"/>
          <w:lang w:val="ru-RU"/>
        </w:rPr>
        <w:t xml:space="preserve"> </w:t>
      </w:r>
      <w:r w:rsidRPr="00A67E7E">
        <w:rPr>
          <w:rFonts w:asciiTheme="majorBidi" w:hAnsiTheme="majorBidi" w:cstheme="majorBidi"/>
          <w:b/>
          <w:bCs/>
          <w:sz w:val="28"/>
          <w:szCs w:val="28"/>
        </w:rPr>
        <w:t>ACCC</w:t>
      </w:r>
      <w:r w:rsidRPr="00A67E7E">
        <w:rPr>
          <w:rFonts w:asciiTheme="majorBidi" w:hAnsiTheme="majorBidi" w:cstheme="majorBidi"/>
          <w:b/>
          <w:bCs/>
          <w:sz w:val="28"/>
          <w:szCs w:val="28"/>
          <w:lang w:val="ru-RU"/>
        </w:rPr>
        <w:t xml:space="preserve"> / </w:t>
      </w:r>
      <w:r w:rsidRPr="00A67E7E">
        <w:rPr>
          <w:rFonts w:asciiTheme="majorBidi" w:hAnsiTheme="majorBidi" w:cstheme="majorBidi"/>
          <w:b/>
          <w:bCs/>
          <w:sz w:val="28"/>
          <w:szCs w:val="28"/>
        </w:rPr>
        <w:t>A</w:t>
      </w:r>
      <w:r w:rsidRPr="00A67E7E">
        <w:rPr>
          <w:rFonts w:asciiTheme="majorBidi" w:hAnsiTheme="majorBidi" w:cstheme="majorBidi"/>
          <w:b/>
          <w:bCs/>
          <w:sz w:val="28"/>
          <w:szCs w:val="28"/>
          <w:lang w:val="ru-RU"/>
        </w:rPr>
        <w:t xml:space="preserve"> / 2020/2 Казахстаном</w:t>
      </w:r>
    </w:p>
    <w:p w:rsidR="0030663D" w:rsidRPr="00A67E7E" w:rsidRDefault="0030663D" w:rsidP="0030663D">
      <w:pPr>
        <w:pStyle w:val="a5"/>
        <w:ind w:right="521"/>
        <w:jc w:val="center"/>
        <w:rPr>
          <w:rFonts w:asciiTheme="majorBidi" w:hAnsiTheme="majorBidi" w:cstheme="majorBidi"/>
          <w:b/>
          <w:bCs/>
          <w:sz w:val="24"/>
          <w:szCs w:val="24"/>
          <w:lang w:val="ru-RU"/>
        </w:rPr>
      </w:pPr>
    </w:p>
    <w:p w:rsidR="0030663D" w:rsidRPr="00A67E7E" w:rsidRDefault="008A71B1" w:rsidP="0030663D">
      <w:pPr>
        <w:pStyle w:val="a5"/>
        <w:ind w:right="521"/>
        <w:jc w:val="center"/>
        <w:rPr>
          <w:rFonts w:asciiTheme="majorBidi" w:hAnsiTheme="majorBidi" w:cstheme="majorBidi"/>
          <w:b/>
          <w:bCs/>
          <w:sz w:val="24"/>
          <w:szCs w:val="24"/>
          <w:lang w:val="ru-RU"/>
        </w:rPr>
      </w:pPr>
      <w:r>
        <w:rPr>
          <w:rFonts w:asciiTheme="majorBidi" w:hAnsiTheme="majorBidi" w:cstheme="majorBidi"/>
          <w:b/>
          <w:bCs/>
          <w:sz w:val="24"/>
          <w:szCs w:val="24"/>
          <w:lang w:val="ru-RU"/>
        </w:rPr>
        <w:t>Принят Комитетом 1 июля 2020 года</w:t>
      </w:r>
    </w:p>
    <w:p w:rsidR="001410ED" w:rsidRPr="001410ED" w:rsidRDefault="001410ED" w:rsidP="001410ED">
      <w:pPr>
        <w:pStyle w:val="HChG"/>
        <w:numPr>
          <w:ilvl w:val="0"/>
          <w:numId w:val="3"/>
        </w:numPr>
        <w:ind w:hanging="828"/>
        <w:jc w:val="both"/>
        <w:rPr>
          <w:rFonts w:asciiTheme="majorBidi" w:hAnsiTheme="majorBidi" w:cstheme="majorBidi"/>
        </w:rPr>
      </w:pPr>
      <w:r>
        <w:rPr>
          <w:rFonts w:asciiTheme="majorBidi" w:hAnsiTheme="majorBidi" w:cstheme="majorBidi"/>
          <w:lang w:val="ru-RU"/>
        </w:rPr>
        <w:t>Введение</w:t>
      </w:r>
    </w:p>
    <w:p w:rsidR="001410ED" w:rsidRPr="001410ED" w:rsidRDefault="001410ED" w:rsidP="001410ED">
      <w:pPr>
        <w:numPr>
          <w:ilvl w:val="0"/>
          <w:numId w:val="17"/>
        </w:numPr>
        <w:spacing w:after="0"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14 мая 2020 года Казахстан подал запрос в Комитет по соблюдению с просьбой дать ему совет относительно того, будет ли проведение публичных слушаний во время пандемии COVID-19 посредством видеоконференций соответствовать требованиям Конвенции.</w:t>
      </w:r>
    </w:p>
    <w:p w:rsidR="001410ED" w:rsidRPr="001410ED" w:rsidRDefault="001410ED" w:rsidP="001410ED">
      <w:pPr>
        <w:spacing w:after="0" w:line="185" w:lineRule="atLeast"/>
        <w:ind w:left="567" w:right="521"/>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20"/>
          <w:szCs w:val="20"/>
          <w:lang w:val="ru-RU" w:eastAsia="ru-RU"/>
        </w:rPr>
        <w:t> </w:t>
      </w:r>
    </w:p>
    <w:p w:rsidR="001410ED" w:rsidRPr="001410ED" w:rsidRDefault="001410ED" w:rsidP="001410ED">
      <w:pPr>
        <w:numPr>
          <w:ilvl w:val="0"/>
          <w:numId w:val="18"/>
        </w:numPr>
        <w:spacing w:after="0"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По электронной почте от 25 мая 2020 года секретариат проинформировал соответствующую Сторону о том, что Председатель Комитета подтвердил готовность Комитета предост</w:t>
      </w:r>
      <w:r>
        <w:rPr>
          <w:rFonts w:ascii="Times New Roman" w:eastAsia="Times New Roman" w:hAnsi="Times New Roman" w:cs="Times New Roman"/>
          <w:color w:val="000000"/>
          <w:sz w:val="20"/>
          <w:szCs w:val="20"/>
          <w:lang w:val="ru-RU" w:eastAsia="ru-RU"/>
        </w:rPr>
        <w:t xml:space="preserve">авить запрошенные рекомендации. </w:t>
      </w:r>
      <w:r w:rsidRPr="001410ED">
        <w:rPr>
          <w:rFonts w:ascii="Times New Roman" w:eastAsia="Times New Roman" w:hAnsi="Times New Roman" w:cs="Times New Roman"/>
          <w:color w:val="000000"/>
          <w:sz w:val="20"/>
          <w:szCs w:val="20"/>
          <w:lang w:val="ru-RU" w:eastAsia="ru-RU"/>
        </w:rPr>
        <w:t xml:space="preserve">Комитет выразил свою </w:t>
      </w:r>
      <w:r>
        <w:rPr>
          <w:rFonts w:ascii="Times New Roman" w:eastAsia="Times New Roman" w:hAnsi="Times New Roman" w:cs="Times New Roman"/>
          <w:color w:val="000000"/>
          <w:sz w:val="20"/>
          <w:szCs w:val="20"/>
          <w:lang w:val="ru-RU" w:eastAsia="ru-RU"/>
        </w:rPr>
        <w:t xml:space="preserve">признательность соответствующей </w:t>
      </w:r>
      <w:r w:rsidRPr="001410ED">
        <w:rPr>
          <w:rFonts w:ascii="Times New Roman" w:eastAsia="Times New Roman" w:hAnsi="Times New Roman" w:cs="Times New Roman"/>
          <w:color w:val="000000"/>
          <w:sz w:val="20"/>
          <w:szCs w:val="20"/>
          <w:lang w:val="ru-RU" w:eastAsia="ru-RU"/>
        </w:rPr>
        <w:t>Стороне за ее активный подход к информированию Комитета по этому важному и своевременному вопросу . В своей электронной почте, </w:t>
      </w:r>
      <w:r>
        <w:rPr>
          <w:rFonts w:ascii="Times New Roman" w:eastAsia="Times New Roman" w:hAnsi="Times New Roman" w:cs="Times New Roman"/>
          <w:color w:val="000000"/>
          <w:sz w:val="20"/>
          <w:szCs w:val="20"/>
          <w:lang w:val="ru-RU" w:eastAsia="ru-RU"/>
        </w:rPr>
        <w:t>секретариат</w:t>
      </w:r>
      <w:r w:rsidRPr="001410ED">
        <w:rPr>
          <w:rFonts w:ascii="Times New Roman" w:eastAsia="Times New Roman" w:hAnsi="Times New Roman" w:cs="Times New Roman"/>
          <w:color w:val="000000"/>
          <w:sz w:val="20"/>
          <w:szCs w:val="20"/>
          <w:lang w:val="ru-RU" w:eastAsia="ru-RU"/>
        </w:rPr>
        <w:t xml:space="preserve"> также объяснили процедуру Комитета и приблизительный период время для подготовки запрошенного совета.</w:t>
      </w:r>
    </w:p>
    <w:p w:rsidR="001410ED" w:rsidRPr="001410ED" w:rsidRDefault="001410ED" w:rsidP="001410ED">
      <w:pPr>
        <w:spacing w:after="0" w:line="185" w:lineRule="atLeast"/>
        <w:ind w:left="567" w:right="521"/>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20"/>
          <w:szCs w:val="20"/>
          <w:lang w:val="ru-RU" w:eastAsia="ru-RU"/>
        </w:rPr>
        <w:t> </w:t>
      </w:r>
    </w:p>
    <w:p w:rsidR="001410ED" w:rsidRPr="001410ED" w:rsidRDefault="001410ED" w:rsidP="001410ED">
      <w:pPr>
        <w:numPr>
          <w:ilvl w:val="0"/>
          <w:numId w:val="19"/>
        </w:numPr>
        <w:spacing w:after="0"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По электронной почте от 26 мая 2020 года соответствующая Сторона подтвердила свое согласие с процедурой, предложенной Комитетом.</w:t>
      </w:r>
    </w:p>
    <w:p w:rsidR="001410ED" w:rsidRPr="001410ED" w:rsidRDefault="001410ED" w:rsidP="001410ED">
      <w:pPr>
        <w:spacing w:after="0" w:line="185" w:lineRule="atLeast"/>
        <w:ind w:left="567" w:right="521"/>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20"/>
          <w:szCs w:val="20"/>
          <w:lang w:val="ru-RU" w:eastAsia="ru-RU"/>
        </w:rPr>
        <w:t> </w:t>
      </w:r>
    </w:p>
    <w:p w:rsidR="001410ED" w:rsidRPr="001410ED" w:rsidRDefault="001410ED" w:rsidP="001410ED">
      <w:pPr>
        <w:numPr>
          <w:ilvl w:val="0"/>
          <w:numId w:val="20"/>
        </w:numPr>
        <w:spacing w:after="0"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 xml:space="preserve">27 мая 2020 года Комитет обратился к координационным центрам по вопросам соблюдения требований к Европейскому </w:t>
      </w:r>
      <w:proofErr w:type="spellStart"/>
      <w:r w:rsidRPr="001410ED">
        <w:rPr>
          <w:rFonts w:ascii="Times New Roman" w:eastAsia="Times New Roman" w:hAnsi="Times New Roman" w:cs="Times New Roman"/>
          <w:color w:val="000000"/>
          <w:sz w:val="20"/>
          <w:szCs w:val="20"/>
          <w:lang w:val="ru-RU" w:eastAsia="ru-RU"/>
        </w:rPr>
        <w:t>ЭкоФоруму</w:t>
      </w:r>
      <w:proofErr w:type="spellEnd"/>
      <w:r w:rsidRPr="001410ED">
        <w:rPr>
          <w:rFonts w:ascii="Times New Roman" w:eastAsia="Times New Roman" w:hAnsi="Times New Roman" w:cs="Times New Roman"/>
          <w:color w:val="000000"/>
          <w:sz w:val="20"/>
          <w:szCs w:val="20"/>
          <w:lang w:val="ru-RU" w:eastAsia="ru-RU"/>
        </w:rPr>
        <w:t xml:space="preserve"> с просьбой информировать Европейскую сеть </w:t>
      </w:r>
      <w:proofErr w:type="spellStart"/>
      <w:r w:rsidRPr="001410ED">
        <w:rPr>
          <w:rFonts w:ascii="Times New Roman" w:eastAsia="Times New Roman" w:hAnsi="Times New Roman" w:cs="Times New Roman"/>
          <w:color w:val="000000"/>
          <w:sz w:val="20"/>
          <w:szCs w:val="20"/>
          <w:lang w:val="ru-RU" w:eastAsia="ru-RU"/>
        </w:rPr>
        <w:t>ЭкоФорума</w:t>
      </w:r>
      <w:proofErr w:type="spellEnd"/>
      <w:r w:rsidRPr="001410ED">
        <w:rPr>
          <w:rFonts w:ascii="Times New Roman" w:eastAsia="Times New Roman" w:hAnsi="Times New Roman" w:cs="Times New Roman"/>
          <w:color w:val="000000"/>
          <w:sz w:val="20"/>
          <w:szCs w:val="20"/>
          <w:lang w:val="ru-RU" w:eastAsia="ru-RU"/>
        </w:rPr>
        <w:t xml:space="preserve">, включая природоохранные НПО и представителей общественности соответствующей Стороны, о возможности представить свои комментарии </w:t>
      </w:r>
      <w:r>
        <w:rPr>
          <w:rFonts w:ascii="Times New Roman" w:eastAsia="Times New Roman" w:hAnsi="Times New Roman" w:cs="Times New Roman"/>
          <w:color w:val="000000"/>
          <w:sz w:val="20"/>
          <w:szCs w:val="20"/>
          <w:lang w:val="ru-RU" w:eastAsia="ru-RU"/>
        </w:rPr>
        <w:t xml:space="preserve">к </w:t>
      </w:r>
      <w:r w:rsidRPr="001410ED">
        <w:rPr>
          <w:rFonts w:ascii="Times New Roman" w:eastAsia="Times New Roman" w:hAnsi="Times New Roman" w:cs="Times New Roman"/>
          <w:color w:val="000000"/>
          <w:sz w:val="20"/>
          <w:szCs w:val="20"/>
          <w:lang w:val="ru-RU" w:eastAsia="ru-RU"/>
        </w:rPr>
        <w:t>3 июня 2020 г.</w:t>
      </w:r>
    </w:p>
    <w:p w:rsidR="001410ED" w:rsidRPr="001410ED" w:rsidRDefault="001410ED" w:rsidP="001410ED">
      <w:pPr>
        <w:spacing w:after="0" w:line="185" w:lineRule="atLeast"/>
        <w:ind w:left="567" w:right="521"/>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20"/>
          <w:szCs w:val="20"/>
          <w:lang w:val="ru-RU" w:eastAsia="ru-RU"/>
        </w:rPr>
        <w:t> </w:t>
      </w:r>
    </w:p>
    <w:p w:rsidR="001410ED" w:rsidRPr="001410ED" w:rsidRDefault="001410ED" w:rsidP="001410ED">
      <w:pPr>
        <w:numPr>
          <w:ilvl w:val="0"/>
          <w:numId w:val="21"/>
        </w:numPr>
        <w:spacing w:after="0"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 xml:space="preserve">2 июня 2020 </w:t>
      </w:r>
      <w:r>
        <w:rPr>
          <w:rFonts w:ascii="Times New Roman" w:eastAsia="Times New Roman" w:hAnsi="Times New Roman" w:cs="Times New Roman"/>
          <w:color w:val="000000"/>
          <w:sz w:val="20"/>
          <w:szCs w:val="20"/>
          <w:lang w:val="ru-RU" w:eastAsia="ru-RU"/>
        </w:rPr>
        <w:t xml:space="preserve">года были получены замечания </w:t>
      </w:r>
      <w:r w:rsidRPr="001410ED">
        <w:rPr>
          <w:rFonts w:ascii="Times New Roman" w:eastAsia="Times New Roman" w:hAnsi="Times New Roman" w:cs="Times New Roman"/>
          <w:color w:val="000000"/>
          <w:sz w:val="20"/>
          <w:szCs w:val="20"/>
          <w:lang w:val="ru-RU" w:eastAsia="ru-RU"/>
        </w:rPr>
        <w:t>отдельно, </w:t>
      </w:r>
      <w:r>
        <w:rPr>
          <w:rFonts w:ascii="Times New Roman" w:eastAsia="Times New Roman" w:hAnsi="Times New Roman" w:cs="Times New Roman"/>
          <w:color w:val="000000"/>
          <w:sz w:val="20"/>
          <w:szCs w:val="20"/>
          <w:lang w:val="ru-RU" w:eastAsia="ru-RU"/>
        </w:rPr>
        <w:t>от Социально-экологического</w:t>
      </w:r>
      <w:r w:rsidRPr="001410ED">
        <w:rPr>
          <w:rFonts w:ascii="Times New Roman" w:eastAsia="Times New Roman" w:hAnsi="Times New Roman" w:cs="Times New Roman"/>
          <w:color w:val="000000"/>
          <w:sz w:val="20"/>
          <w:szCs w:val="20"/>
          <w:lang w:val="ru-RU" w:eastAsia="ru-RU"/>
        </w:rPr>
        <w:t xml:space="preserve"> фонд</w:t>
      </w:r>
      <w:r>
        <w:rPr>
          <w:rFonts w:ascii="Times New Roman" w:eastAsia="Times New Roman" w:hAnsi="Times New Roman" w:cs="Times New Roman"/>
          <w:color w:val="000000"/>
          <w:sz w:val="20"/>
          <w:szCs w:val="20"/>
          <w:lang w:val="ru-RU" w:eastAsia="ru-RU"/>
        </w:rPr>
        <w:t>а</w:t>
      </w:r>
      <w:r w:rsidRPr="001410ED">
        <w:rPr>
          <w:rFonts w:ascii="Times New Roman" w:eastAsia="Times New Roman" w:hAnsi="Times New Roman" w:cs="Times New Roman"/>
          <w:color w:val="000000"/>
          <w:sz w:val="20"/>
          <w:szCs w:val="20"/>
          <w:lang w:val="ru-RU" w:eastAsia="ru-RU"/>
        </w:rPr>
        <w:t xml:space="preserve"> и </w:t>
      </w:r>
      <w:proofErr w:type="spellStart"/>
      <w:r w:rsidRPr="001410ED">
        <w:rPr>
          <w:rFonts w:ascii="Times New Roman" w:eastAsia="Times New Roman" w:hAnsi="Times New Roman" w:cs="Times New Roman"/>
          <w:color w:val="000000"/>
          <w:sz w:val="20"/>
          <w:szCs w:val="20"/>
          <w:lang w:val="ru-RU" w:eastAsia="ru-RU"/>
        </w:rPr>
        <w:t>ЭкоФорум</w:t>
      </w:r>
      <w:proofErr w:type="spellEnd"/>
      <w:r w:rsidRPr="001410ED">
        <w:rPr>
          <w:rFonts w:ascii="Times New Roman" w:eastAsia="Times New Roman" w:hAnsi="Times New Roman" w:cs="Times New Roman"/>
          <w:color w:val="000000"/>
          <w:sz w:val="20"/>
          <w:szCs w:val="20"/>
          <w:lang w:val="ru-RU" w:eastAsia="ru-RU"/>
        </w:rPr>
        <w:t> _ Казахстан .</w:t>
      </w:r>
    </w:p>
    <w:p w:rsidR="001410ED" w:rsidRPr="001410ED" w:rsidRDefault="001410ED" w:rsidP="001410ED">
      <w:pPr>
        <w:spacing w:after="0" w:line="185" w:lineRule="atLeast"/>
        <w:ind w:left="567" w:right="521"/>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20"/>
          <w:szCs w:val="20"/>
          <w:lang w:val="ru-RU" w:eastAsia="ru-RU"/>
        </w:rPr>
        <w:t> </w:t>
      </w:r>
    </w:p>
    <w:p w:rsidR="001410ED" w:rsidRPr="001410ED" w:rsidRDefault="001410ED" w:rsidP="001410ED">
      <w:pPr>
        <w:numPr>
          <w:ilvl w:val="0"/>
          <w:numId w:val="22"/>
        </w:numPr>
        <w:spacing w:after="0"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3 июня 2020 года комментарии были получены отдельно от Центра международного права окружающей среды (CIEL) и Управления по праву окружающей среды Ирландской экологической сети.</w:t>
      </w:r>
    </w:p>
    <w:p w:rsidR="001410ED" w:rsidRPr="001410ED" w:rsidRDefault="001410ED" w:rsidP="001410ED">
      <w:pPr>
        <w:spacing w:after="0" w:line="185" w:lineRule="atLeast"/>
        <w:ind w:left="567" w:right="521"/>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20"/>
          <w:szCs w:val="20"/>
          <w:lang w:val="ru-RU" w:eastAsia="ru-RU"/>
        </w:rPr>
        <w:t> </w:t>
      </w:r>
    </w:p>
    <w:p w:rsidR="001410ED" w:rsidRPr="001410ED" w:rsidRDefault="001410ED" w:rsidP="001410ED">
      <w:pPr>
        <w:numPr>
          <w:ilvl w:val="0"/>
          <w:numId w:val="23"/>
        </w:numPr>
        <w:spacing w:line="185" w:lineRule="atLeast"/>
        <w:ind w:left="567" w:right="521" w:firstLine="0"/>
        <w:jc w:val="both"/>
        <w:rPr>
          <w:rFonts w:ascii="Times New Roman" w:eastAsia="Times New Roman" w:hAnsi="Times New Roman" w:cs="Times New Roman"/>
          <w:color w:val="000000"/>
          <w:sz w:val="20"/>
          <w:szCs w:val="20"/>
          <w:lang w:val="ru-RU" w:eastAsia="ru-RU"/>
        </w:rPr>
      </w:pPr>
      <w:r w:rsidRPr="001410ED">
        <w:rPr>
          <w:rFonts w:ascii="Times New Roman" w:eastAsia="Times New Roman" w:hAnsi="Times New Roman" w:cs="Times New Roman"/>
          <w:color w:val="000000"/>
          <w:sz w:val="14"/>
          <w:szCs w:val="14"/>
          <w:lang w:val="ru-RU" w:eastAsia="ru-RU"/>
        </w:rPr>
        <w:t>      </w:t>
      </w:r>
      <w:r w:rsidRPr="001410ED">
        <w:rPr>
          <w:rFonts w:ascii="Times New Roman" w:eastAsia="Times New Roman" w:hAnsi="Times New Roman" w:cs="Times New Roman"/>
          <w:color w:val="000000"/>
          <w:sz w:val="20"/>
          <w:szCs w:val="20"/>
          <w:lang w:val="ru-RU" w:eastAsia="ru-RU"/>
        </w:rPr>
        <w:t xml:space="preserve">4 июня 2020 года комментарии были получены от </w:t>
      </w:r>
      <w:proofErr w:type="spellStart"/>
      <w:r w:rsidRPr="001410ED">
        <w:rPr>
          <w:rFonts w:ascii="Times New Roman" w:eastAsia="Times New Roman" w:hAnsi="Times New Roman" w:cs="Times New Roman"/>
          <w:color w:val="000000"/>
          <w:sz w:val="20"/>
          <w:szCs w:val="20"/>
          <w:lang w:val="ru-RU" w:eastAsia="ru-RU"/>
        </w:rPr>
        <w:t>Earthjustice</w:t>
      </w:r>
      <w:proofErr w:type="spellEnd"/>
      <w:r w:rsidRPr="001410ED">
        <w:rPr>
          <w:rFonts w:ascii="Times New Roman" w:eastAsia="Times New Roman" w:hAnsi="Times New Roman" w:cs="Times New Roman"/>
          <w:color w:val="000000"/>
          <w:sz w:val="20"/>
          <w:szCs w:val="20"/>
          <w:lang w:val="ru-RU" w:eastAsia="ru-RU"/>
        </w:rPr>
        <w:t xml:space="preserve"> и Европейского экологического бюро. Управление по экологическому праву Ирландской экологической сети также представило дополнительную информацию</w:t>
      </w:r>
      <w:r>
        <w:rPr>
          <w:rFonts w:ascii="Times New Roman" w:eastAsia="Times New Roman" w:hAnsi="Times New Roman" w:cs="Times New Roman"/>
          <w:color w:val="000000"/>
          <w:sz w:val="20"/>
          <w:szCs w:val="20"/>
          <w:lang w:val="ru-RU" w:eastAsia="ru-RU"/>
        </w:rPr>
        <w:t xml:space="preserve"> этого же числа</w:t>
      </w:r>
      <w:r w:rsidRPr="001410ED">
        <w:rPr>
          <w:rFonts w:ascii="Times New Roman" w:eastAsia="Times New Roman" w:hAnsi="Times New Roman" w:cs="Times New Roman"/>
          <w:color w:val="000000"/>
          <w:sz w:val="20"/>
          <w:szCs w:val="20"/>
          <w:lang w:val="ru-RU" w:eastAsia="ru-RU"/>
        </w:rPr>
        <w:t>.</w:t>
      </w:r>
    </w:p>
    <w:p w:rsidR="001410ED" w:rsidRDefault="001410ED" w:rsidP="001410ED">
      <w:pPr>
        <w:spacing w:after="120" w:line="240" w:lineRule="auto"/>
        <w:ind w:left="567" w:right="521"/>
        <w:jc w:val="both"/>
        <w:rPr>
          <w:rFonts w:ascii="Times New Roman" w:eastAsia="Times New Roman" w:hAnsi="Times New Roman" w:cs="Times New Roman"/>
          <w:iCs/>
          <w:color w:val="000000"/>
          <w:sz w:val="20"/>
          <w:szCs w:val="20"/>
          <w:lang w:val="ru-RU" w:eastAsia="ru-RU"/>
        </w:rPr>
      </w:pPr>
      <w:r w:rsidRPr="008A71B1">
        <w:rPr>
          <w:rFonts w:ascii="Times New Roman" w:eastAsia="Times New Roman" w:hAnsi="Times New Roman" w:cs="Times New Roman"/>
          <w:iCs/>
          <w:color w:val="000000"/>
          <w:sz w:val="20"/>
          <w:szCs w:val="20"/>
          <w:lang w:val="ru-RU" w:eastAsia="ru-RU"/>
        </w:rPr>
        <w:t>8. После учета полученной информации Комитет подготовил свой проект рекомендации и согласовал его в рамках своей электронной процедуры принятия решений 19 июня 2020 года. В соответствии с пунктом 34 приложения к решению I / 7 проект рекомендации был затем в этот день направлен соответствующей Стороне и наблюдателям для их комментариев. Оба были приглашены предоставить комментарии до 26 июня 2020 года.</w:t>
      </w:r>
    </w:p>
    <w:p w:rsidR="008A71B1" w:rsidRPr="008A71B1" w:rsidRDefault="008A71B1" w:rsidP="008A71B1">
      <w:pPr>
        <w:spacing w:after="120" w:line="240" w:lineRule="auto"/>
        <w:ind w:left="567" w:right="521"/>
        <w:jc w:val="both"/>
        <w:rPr>
          <w:rFonts w:ascii="Times New Roman" w:eastAsia="Times New Roman" w:hAnsi="Times New Roman" w:cs="Times New Roman"/>
          <w:iCs/>
          <w:color w:val="000000"/>
          <w:sz w:val="20"/>
          <w:szCs w:val="20"/>
          <w:lang w:val="ru-RU" w:eastAsia="ru-RU"/>
        </w:rPr>
      </w:pPr>
      <w:r w:rsidRPr="008A71B1">
        <w:rPr>
          <w:rFonts w:ascii="Times New Roman" w:eastAsia="Times New Roman" w:hAnsi="Times New Roman" w:cs="Times New Roman"/>
          <w:iCs/>
          <w:color w:val="000000"/>
          <w:sz w:val="20"/>
          <w:szCs w:val="20"/>
          <w:lang w:val="ru-RU" w:eastAsia="ru-RU"/>
        </w:rPr>
        <w:t>9. Комментарии к проекту рекомендации были получены 20 июня 2020 года от Центра ресурсов и анализа наблюдателей «Общество и окружающая среда» и 29 июня 2020 года отдельно от CIEL и Бюро по экологическому праву Ирландской экологической сети.</w:t>
      </w:r>
    </w:p>
    <w:p w:rsidR="008A71B1" w:rsidRPr="008A71B1" w:rsidRDefault="008A71B1" w:rsidP="008A71B1">
      <w:pPr>
        <w:spacing w:after="120" w:line="240" w:lineRule="auto"/>
        <w:ind w:left="567" w:right="521"/>
        <w:jc w:val="both"/>
        <w:rPr>
          <w:rFonts w:ascii="Times New Roman" w:eastAsia="Times New Roman" w:hAnsi="Times New Roman" w:cs="Times New Roman"/>
          <w:iCs/>
          <w:color w:val="000000"/>
          <w:sz w:val="20"/>
          <w:szCs w:val="20"/>
          <w:lang w:val="ru-RU" w:eastAsia="ru-RU"/>
        </w:rPr>
      </w:pPr>
      <w:r w:rsidRPr="008A71B1">
        <w:rPr>
          <w:rFonts w:ascii="Times New Roman" w:eastAsia="Times New Roman" w:hAnsi="Times New Roman" w:cs="Times New Roman"/>
          <w:iCs/>
          <w:color w:val="000000"/>
          <w:sz w:val="20"/>
          <w:szCs w:val="20"/>
          <w:lang w:val="ru-RU" w:eastAsia="ru-RU"/>
        </w:rPr>
        <w:t>10. 30 июня 2020 года соответствующая Сторона поблагодарила Комитет за его поддержку и подтвердила, что у нее нет никаких замечаний по проекту рекомендации.</w:t>
      </w:r>
    </w:p>
    <w:p w:rsidR="008A71B1" w:rsidRPr="008A71B1" w:rsidRDefault="008A71B1" w:rsidP="008A71B1">
      <w:pPr>
        <w:spacing w:after="120" w:line="240" w:lineRule="auto"/>
        <w:ind w:left="567" w:right="521"/>
        <w:jc w:val="both"/>
        <w:rPr>
          <w:rFonts w:ascii="Times New Roman" w:eastAsia="Times New Roman" w:hAnsi="Times New Roman" w:cs="Times New Roman"/>
          <w:iCs/>
          <w:color w:val="000000"/>
          <w:sz w:val="20"/>
          <w:szCs w:val="20"/>
          <w:lang w:val="ru-RU" w:eastAsia="ru-RU"/>
        </w:rPr>
      </w:pPr>
      <w:r w:rsidRPr="008A71B1">
        <w:rPr>
          <w:rFonts w:ascii="Times New Roman" w:eastAsia="Times New Roman" w:hAnsi="Times New Roman" w:cs="Times New Roman"/>
          <w:iCs/>
          <w:color w:val="000000"/>
          <w:sz w:val="20"/>
          <w:szCs w:val="20"/>
          <w:lang w:val="ru-RU" w:eastAsia="ru-RU"/>
        </w:rPr>
        <w:t>11. После этого Комитет завершил подготовку своей рекомендации с учетом полученных замечаний и утвердил ее в рамках своей электронной процедуры принятия решений 1 июля 2020 года. Он просил секретариат направить эту рекомендацию соответствующей Стороне и наблюдателям.</w:t>
      </w:r>
    </w:p>
    <w:p w:rsidR="001410ED" w:rsidRPr="00473CFB" w:rsidRDefault="001410ED" w:rsidP="001410ED">
      <w:pPr>
        <w:pStyle w:val="SingleTxtG"/>
        <w:tabs>
          <w:tab w:val="left" w:pos="993"/>
        </w:tabs>
        <w:suppressAutoHyphens w:val="0"/>
        <w:autoSpaceDE w:val="0"/>
        <w:autoSpaceDN w:val="0"/>
        <w:adjustRightInd w:val="0"/>
        <w:spacing w:line="240" w:lineRule="auto"/>
        <w:ind w:left="567" w:right="521"/>
        <w:rPr>
          <w:rFonts w:asciiTheme="majorBidi" w:hAnsiTheme="majorBidi" w:cstheme="majorBidi"/>
          <w:i/>
          <w:lang w:eastAsia="en-GB"/>
        </w:rPr>
      </w:pPr>
    </w:p>
    <w:p w:rsidR="0030663D" w:rsidRPr="001410ED" w:rsidRDefault="001410ED" w:rsidP="00C90488">
      <w:pPr>
        <w:pStyle w:val="HChG"/>
        <w:numPr>
          <w:ilvl w:val="0"/>
          <w:numId w:val="3"/>
        </w:numPr>
        <w:ind w:hanging="828"/>
        <w:jc w:val="both"/>
        <w:rPr>
          <w:rFonts w:asciiTheme="majorBidi" w:hAnsiTheme="majorBidi" w:cstheme="majorBidi"/>
          <w:lang w:val="ru-RU"/>
        </w:rPr>
      </w:pPr>
      <w:r w:rsidRPr="001410ED">
        <w:rPr>
          <w:rFonts w:asciiTheme="majorBidi" w:hAnsiTheme="majorBidi" w:cstheme="majorBidi"/>
          <w:lang w:val="ru-RU"/>
        </w:rPr>
        <w:lastRenderedPageBreak/>
        <w:t>Резюме рекомендаций и помощи, запрошенных соответствующей Стороной</w:t>
      </w:r>
    </w:p>
    <w:p w:rsidR="00DB7FF0" w:rsidRPr="001410ED" w:rsidRDefault="001410ED" w:rsidP="008A71B1">
      <w:pPr>
        <w:pStyle w:val="a5"/>
        <w:numPr>
          <w:ilvl w:val="0"/>
          <w:numId w:val="25"/>
        </w:numPr>
        <w:tabs>
          <w:tab w:val="left" w:pos="993"/>
        </w:tabs>
        <w:ind w:left="567" w:right="521" w:firstLine="0"/>
        <w:jc w:val="both"/>
        <w:rPr>
          <w:rFonts w:asciiTheme="majorBidi" w:hAnsiTheme="majorBidi" w:cstheme="majorBidi"/>
          <w:sz w:val="20"/>
          <w:szCs w:val="20"/>
          <w:lang w:val="ru-RU" w:eastAsia="en-US"/>
        </w:rPr>
      </w:pPr>
      <w:r w:rsidRPr="001410ED">
        <w:rPr>
          <w:rFonts w:asciiTheme="majorBidi" w:hAnsiTheme="majorBidi" w:cstheme="majorBidi"/>
          <w:sz w:val="20"/>
          <w:szCs w:val="20"/>
          <w:lang w:val="ru-RU"/>
        </w:rPr>
        <w:t xml:space="preserve">В своем запросе о предоставлении консультаций от 14 мая 2020 года соответствующая Сторона заявляет, что для защиты жизни и здоровья граждан во время пандемии COVID-19 на всей территории страны с 15 марта 2020 года было объявлено чрезвычайное положение. </w:t>
      </w:r>
      <w:r w:rsidR="00ED5B0E" w:rsidRPr="00ED5B0E">
        <w:rPr>
          <w:rFonts w:asciiTheme="majorBidi" w:hAnsiTheme="majorBidi" w:cstheme="majorBidi"/>
          <w:sz w:val="20"/>
          <w:szCs w:val="20"/>
          <w:lang w:val="ru-RU"/>
        </w:rPr>
        <w:t xml:space="preserve">Из-за наложения запрета массовые собрания людей, то есть организация собраний и </w:t>
      </w:r>
      <w:r w:rsidR="00ED5B0E">
        <w:rPr>
          <w:rFonts w:asciiTheme="majorBidi" w:hAnsiTheme="majorBidi" w:cstheme="majorBidi"/>
          <w:sz w:val="20"/>
          <w:szCs w:val="20"/>
          <w:lang w:val="ru-RU"/>
        </w:rPr>
        <w:t>встреч</w:t>
      </w:r>
      <w:r w:rsidR="00ED5B0E" w:rsidRPr="00ED5B0E">
        <w:rPr>
          <w:rFonts w:asciiTheme="majorBidi" w:hAnsiTheme="majorBidi" w:cstheme="majorBidi"/>
          <w:sz w:val="20"/>
          <w:szCs w:val="20"/>
          <w:lang w:val="ru-RU"/>
        </w:rPr>
        <w:t>, в настоящее время запрещены.</w:t>
      </w:r>
      <w:r w:rsidR="00ED5B0E">
        <w:rPr>
          <w:rFonts w:asciiTheme="majorBidi" w:hAnsiTheme="majorBidi" w:cstheme="majorBidi"/>
          <w:sz w:val="20"/>
          <w:szCs w:val="20"/>
          <w:lang w:val="ru-RU"/>
        </w:rPr>
        <w:t xml:space="preserve"> </w:t>
      </w:r>
      <w:r w:rsidRPr="001410ED">
        <w:rPr>
          <w:rFonts w:asciiTheme="majorBidi" w:hAnsiTheme="majorBidi" w:cstheme="majorBidi"/>
          <w:sz w:val="20"/>
          <w:szCs w:val="20"/>
          <w:lang w:val="ru-RU"/>
        </w:rPr>
        <w:t>Соответствующая Сторона просит Комитет «поделиться информацией о том, как другие страны решают проблему организации общественных слушаний, а также уточнить, противоречит ли проведение публичных слушаний в форме видеоконференции положениям Конвенции во время чрезвычайного положения ».</w:t>
      </w:r>
    </w:p>
    <w:p w:rsidR="0030663D" w:rsidRPr="00473CFB" w:rsidRDefault="00832F35" w:rsidP="00C90488">
      <w:pPr>
        <w:pStyle w:val="HChG"/>
        <w:numPr>
          <w:ilvl w:val="0"/>
          <w:numId w:val="3"/>
        </w:numPr>
        <w:ind w:hanging="828"/>
        <w:jc w:val="both"/>
        <w:rPr>
          <w:rFonts w:asciiTheme="majorBidi" w:hAnsiTheme="majorBidi" w:cstheme="majorBidi"/>
        </w:rPr>
      </w:pPr>
      <w:r>
        <w:rPr>
          <w:rFonts w:asciiTheme="majorBidi" w:hAnsiTheme="majorBidi" w:cstheme="majorBidi"/>
          <w:lang w:val="ru-RU"/>
        </w:rPr>
        <w:t>Рассмотрение и оценка Комитетом</w:t>
      </w: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 xml:space="preserve">Комитет приветствует упреждающий подход, использованный соответствующей Стороной в отношении ее просьбы о предоставлении консультаций о том, как обеспечить соблюдение ею требований Конвенции об участии общественности в процессе принятия экологических решений во время пандемии </w:t>
      </w:r>
      <w:r w:rsidRPr="00832F35">
        <w:rPr>
          <w:rFonts w:asciiTheme="majorBidi" w:hAnsiTheme="majorBidi" w:cstheme="majorBidi"/>
          <w:sz w:val="20"/>
          <w:szCs w:val="20"/>
        </w:rPr>
        <w:t>COVID</w:t>
      </w:r>
      <w:r w:rsidRPr="00832F35">
        <w:rPr>
          <w:rFonts w:asciiTheme="majorBidi" w:hAnsiTheme="majorBidi" w:cstheme="majorBidi"/>
          <w:sz w:val="20"/>
          <w:szCs w:val="20"/>
          <w:lang w:val="ru-RU"/>
        </w:rPr>
        <w:t>-19.</w:t>
      </w:r>
    </w:p>
    <w:p w:rsidR="00832F35" w:rsidRPr="00832F35" w:rsidRDefault="00832F35" w:rsidP="00832F35">
      <w:pPr>
        <w:pStyle w:val="a5"/>
        <w:tabs>
          <w:tab w:val="left" w:pos="993"/>
        </w:tabs>
        <w:ind w:left="567" w:right="521"/>
        <w:jc w:val="both"/>
        <w:rPr>
          <w:rFonts w:asciiTheme="majorBidi" w:hAnsiTheme="majorBidi" w:cstheme="majorBidi"/>
          <w:sz w:val="20"/>
          <w:szCs w:val="20"/>
          <w:lang w:val="ru-RU"/>
        </w:rPr>
      </w:pPr>
      <w:r w:rsidRPr="00832F35">
        <w:rPr>
          <w:rFonts w:asciiTheme="majorBidi" w:hAnsiTheme="majorBidi" w:cstheme="majorBidi"/>
          <w:sz w:val="20"/>
          <w:szCs w:val="20"/>
          <w:lang w:val="ru-RU"/>
        </w:rPr>
        <w:t xml:space="preserve"> </w:t>
      </w: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rPr>
      </w:pPr>
      <w:r w:rsidRPr="00832F35">
        <w:rPr>
          <w:rFonts w:asciiTheme="majorBidi" w:hAnsiTheme="majorBidi" w:cstheme="majorBidi"/>
          <w:sz w:val="20"/>
          <w:szCs w:val="20"/>
          <w:lang w:val="ru-RU"/>
        </w:rPr>
        <w:t>Комитет предоставляет настоящую рекомендацию соответствующей Стороне в соответствии с пунктами 14, 36</w:t>
      </w:r>
      <w:r>
        <w:rPr>
          <w:rFonts w:asciiTheme="majorBidi" w:hAnsiTheme="majorBidi" w:cstheme="majorBidi"/>
          <w:sz w:val="20"/>
          <w:szCs w:val="20"/>
          <w:lang w:val="ru-RU"/>
        </w:rPr>
        <w:t xml:space="preserve"> (</w:t>
      </w:r>
      <w:r w:rsidRPr="00832F35">
        <w:rPr>
          <w:rFonts w:asciiTheme="majorBidi" w:hAnsiTheme="majorBidi" w:cstheme="majorBidi"/>
          <w:sz w:val="20"/>
          <w:szCs w:val="20"/>
          <w:lang w:val="ru-RU"/>
        </w:rPr>
        <w:t xml:space="preserve">а) и 37 </w:t>
      </w:r>
      <w:r>
        <w:rPr>
          <w:rFonts w:asciiTheme="majorBidi" w:hAnsiTheme="majorBidi" w:cstheme="majorBidi"/>
          <w:sz w:val="20"/>
          <w:szCs w:val="20"/>
          <w:lang w:val="ru-RU"/>
        </w:rPr>
        <w:t>(</w:t>
      </w:r>
      <w:r w:rsidRPr="00832F35">
        <w:rPr>
          <w:rFonts w:asciiTheme="majorBidi" w:hAnsiTheme="majorBidi" w:cstheme="majorBidi"/>
          <w:sz w:val="20"/>
          <w:szCs w:val="20"/>
          <w:lang w:val="ru-RU"/>
        </w:rPr>
        <w:t xml:space="preserve">а) приложения к решению </w:t>
      </w:r>
      <w:r w:rsidRPr="00832F35">
        <w:rPr>
          <w:rFonts w:asciiTheme="majorBidi" w:hAnsiTheme="majorBidi" w:cstheme="majorBidi"/>
          <w:sz w:val="20"/>
          <w:szCs w:val="20"/>
        </w:rPr>
        <w:t>I / 7.</w:t>
      </w:r>
    </w:p>
    <w:p w:rsidR="0084556F" w:rsidRPr="00473CFB" w:rsidRDefault="0084556F" w:rsidP="00370CD8">
      <w:pPr>
        <w:pStyle w:val="a5"/>
        <w:tabs>
          <w:tab w:val="left" w:pos="993"/>
        </w:tabs>
        <w:ind w:left="567" w:right="521"/>
        <w:jc w:val="both"/>
        <w:rPr>
          <w:rFonts w:asciiTheme="majorBidi" w:hAnsiTheme="majorBidi" w:cstheme="majorBidi"/>
          <w:sz w:val="20"/>
          <w:szCs w:val="20"/>
        </w:rPr>
      </w:pPr>
    </w:p>
    <w:p w:rsidR="00252580" w:rsidRPr="003570AC" w:rsidRDefault="003570AC"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3570AC">
        <w:rPr>
          <w:rFonts w:asciiTheme="majorBidi" w:hAnsiTheme="majorBidi" w:cstheme="majorBidi"/>
          <w:sz w:val="20"/>
          <w:szCs w:val="20"/>
          <w:lang w:val="ru-RU"/>
        </w:rPr>
        <w:t>Отправной точкой Комитета является цель Конвенции, изложенная в статье 1</w:t>
      </w:r>
      <w:r w:rsidR="005B1EEA" w:rsidRPr="003570AC">
        <w:rPr>
          <w:rFonts w:asciiTheme="majorBidi" w:hAnsiTheme="majorBidi" w:cstheme="majorBidi"/>
          <w:sz w:val="20"/>
          <w:szCs w:val="20"/>
          <w:lang w:val="ru-RU"/>
        </w:rPr>
        <w:t>:</w:t>
      </w:r>
    </w:p>
    <w:p w:rsidR="00252580" w:rsidRPr="003570AC" w:rsidRDefault="00252580" w:rsidP="00A218CF">
      <w:pPr>
        <w:pStyle w:val="a5"/>
        <w:tabs>
          <w:tab w:val="left" w:pos="993"/>
        </w:tabs>
        <w:ind w:left="567" w:right="521"/>
        <w:jc w:val="both"/>
        <w:rPr>
          <w:rFonts w:asciiTheme="majorBidi" w:hAnsiTheme="majorBidi" w:cstheme="majorBidi"/>
          <w:sz w:val="20"/>
          <w:szCs w:val="20"/>
          <w:lang w:val="ru-RU"/>
        </w:rPr>
      </w:pPr>
    </w:p>
    <w:p w:rsidR="00252580" w:rsidRPr="003570AC" w:rsidRDefault="00252580" w:rsidP="00252580">
      <w:pPr>
        <w:pStyle w:val="a5"/>
        <w:tabs>
          <w:tab w:val="left" w:pos="993"/>
        </w:tabs>
        <w:ind w:left="993" w:right="521"/>
        <w:jc w:val="both"/>
        <w:rPr>
          <w:rFonts w:asciiTheme="majorBidi" w:hAnsiTheme="majorBidi" w:cstheme="majorBidi"/>
          <w:sz w:val="20"/>
          <w:szCs w:val="20"/>
          <w:lang w:val="ru-RU"/>
        </w:rPr>
      </w:pPr>
      <w:r w:rsidRPr="003570AC">
        <w:rPr>
          <w:rFonts w:asciiTheme="majorBidi" w:hAnsiTheme="majorBidi" w:cstheme="majorBidi"/>
          <w:sz w:val="20"/>
          <w:szCs w:val="20"/>
          <w:lang w:val="ru-RU"/>
        </w:rPr>
        <w:t>“</w:t>
      </w:r>
      <w:r w:rsidR="003570AC" w:rsidRPr="003570AC">
        <w:rPr>
          <w:rFonts w:asciiTheme="majorBidi" w:hAnsiTheme="majorBidi" w:cstheme="majorBidi"/>
          <w:sz w:val="20"/>
          <w:szCs w:val="20"/>
          <w:lang w:val="ru-RU"/>
        </w:rPr>
        <w:t xml:space="preserve">Каждая Сторона </w:t>
      </w:r>
      <w:r w:rsidR="003570AC" w:rsidRPr="003570AC">
        <w:rPr>
          <w:rFonts w:asciiTheme="majorBidi" w:hAnsiTheme="majorBidi" w:cstheme="majorBidi"/>
          <w:b/>
          <w:sz w:val="20"/>
          <w:szCs w:val="20"/>
          <w:lang w:val="ru-RU"/>
        </w:rPr>
        <w:t>гарантирует</w:t>
      </w:r>
      <w:r w:rsidR="003570AC" w:rsidRPr="003570AC">
        <w:rPr>
          <w:rFonts w:asciiTheme="majorBidi" w:hAnsiTheme="majorBidi" w:cstheme="majorBidi"/>
          <w:sz w:val="20"/>
          <w:szCs w:val="20"/>
          <w:lang w:val="ru-RU"/>
        </w:rPr>
        <w:t xml:space="preserve"> права… общественного участия в принятии решений… по вопросам окружающей среды в соответствии с положениями настоящей Конвенции</w:t>
      </w:r>
      <w:r w:rsidRPr="003570AC">
        <w:rPr>
          <w:rFonts w:asciiTheme="majorBidi" w:hAnsiTheme="majorBidi" w:cstheme="majorBidi"/>
          <w:sz w:val="20"/>
          <w:szCs w:val="20"/>
          <w:lang w:val="ru-RU"/>
        </w:rPr>
        <w:t>.”</w:t>
      </w:r>
      <w:r w:rsidRPr="00473CFB">
        <w:rPr>
          <w:rStyle w:val="ad"/>
          <w:rFonts w:asciiTheme="majorBidi" w:hAnsiTheme="majorBidi" w:cstheme="majorBidi"/>
          <w:sz w:val="20"/>
          <w:szCs w:val="20"/>
        </w:rPr>
        <w:footnoteReference w:id="2"/>
      </w:r>
    </w:p>
    <w:p w:rsidR="00252580" w:rsidRPr="003570AC" w:rsidRDefault="00252580" w:rsidP="00A218CF">
      <w:pPr>
        <w:pStyle w:val="a5"/>
        <w:tabs>
          <w:tab w:val="left" w:pos="993"/>
        </w:tabs>
        <w:ind w:left="993" w:right="521"/>
        <w:jc w:val="both"/>
        <w:rPr>
          <w:rFonts w:asciiTheme="majorBidi" w:hAnsiTheme="majorBidi" w:cstheme="majorBidi"/>
          <w:sz w:val="20"/>
          <w:szCs w:val="20"/>
          <w:lang w:val="ru-RU"/>
        </w:rPr>
      </w:pP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 xml:space="preserve">Это означает, что даже в случае кризиса, такого как пандемия </w:t>
      </w:r>
      <w:r w:rsidRPr="00832F35">
        <w:rPr>
          <w:rFonts w:asciiTheme="majorBidi" w:hAnsiTheme="majorBidi" w:cstheme="majorBidi"/>
          <w:sz w:val="20"/>
          <w:szCs w:val="20"/>
        </w:rPr>
        <w:t>COVID</w:t>
      </w:r>
      <w:r w:rsidRPr="00832F35">
        <w:rPr>
          <w:rFonts w:asciiTheme="majorBidi" w:hAnsiTheme="majorBidi" w:cstheme="majorBidi"/>
          <w:sz w:val="20"/>
          <w:szCs w:val="20"/>
          <w:lang w:val="ru-RU"/>
        </w:rPr>
        <w:t>-19, обязательные права, изложенные в Конвенции, не могут быть уменьшены или ограничены. Скорее, если обычные условия для обеспечения эффективного участия общественности в процессе принятия решений не могут быть использованы, любые альтернативные средства должны соответствовать требованиям Конвенции.</w:t>
      </w:r>
    </w:p>
    <w:p w:rsidR="00832F35" w:rsidRPr="00832F35" w:rsidRDefault="00832F35" w:rsidP="00832F35">
      <w:pPr>
        <w:pStyle w:val="a5"/>
        <w:tabs>
          <w:tab w:val="left" w:pos="993"/>
        </w:tabs>
        <w:ind w:left="567" w:right="521"/>
        <w:jc w:val="both"/>
        <w:rPr>
          <w:rFonts w:asciiTheme="majorBidi" w:hAnsiTheme="majorBidi" w:cstheme="majorBidi"/>
          <w:sz w:val="20"/>
          <w:szCs w:val="20"/>
          <w:lang w:val="ru-RU"/>
        </w:rPr>
      </w:pP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Конвенция не исключает проведения публичных слушаний по принятию решений в соответствии с Конвенцией посредством видеоконференций или других виртуальных средств при условии, что на практике все требования Конвенции полностью выполняются.</w:t>
      </w:r>
    </w:p>
    <w:p w:rsidR="00832F35" w:rsidRPr="00832F35" w:rsidRDefault="00832F35" w:rsidP="00832F35">
      <w:pPr>
        <w:pStyle w:val="a5"/>
        <w:tabs>
          <w:tab w:val="left" w:pos="993"/>
        </w:tabs>
        <w:ind w:left="567" w:right="521"/>
        <w:jc w:val="both"/>
        <w:rPr>
          <w:rFonts w:asciiTheme="majorBidi" w:hAnsiTheme="majorBidi" w:cstheme="majorBidi"/>
          <w:sz w:val="20"/>
          <w:szCs w:val="20"/>
          <w:lang w:val="ru-RU"/>
        </w:rPr>
      </w:pP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 xml:space="preserve">С этой целью в настоящей рекомендации подчеркивается ряд требований в Конвенции, которым необходимо уделить особое внимание для обеспечения того, чтобы общественные слушания в рамках Конвенции, проводимые во время пандемии </w:t>
      </w:r>
      <w:r w:rsidRPr="00832F35">
        <w:rPr>
          <w:rFonts w:asciiTheme="majorBidi" w:hAnsiTheme="majorBidi" w:cstheme="majorBidi"/>
          <w:sz w:val="20"/>
          <w:szCs w:val="20"/>
        </w:rPr>
        <w:t>COVID</w:t>
      </w:r>
      <w:r w:rsidRPr="00832F35">
        <w:rPr>
          <w:rFonts w:asciiTheme="majorBidi" w:hAnsiTheme="majorBidi" w:cstheme="majorBidi"/>
          <w:sz w:val="20"/>
          <w:szCs w:val="20"/>
          <w:lang w:val="ru-RU"/>
        </w:rPr>
        <w:t xml:space="preserve">-19, действительно полностью соответствовали Конвенция. В рекомендации сначала рассматриваются несколько всеобъемлющих обязательств в отношении процедур участия общественности в рамках Конвенции во время пандемии </w:t>
      </w:r>
      <w:r w:rsidRPr="00832F35">
        <w:rPr>
          <w:rFonts w:asciiTheme="majorBidi" w:hAnsiTheme="majorBidi" w:cstheme="majorBidi"/>
          <w:sz w:val="20"/>
          <w:szCs w:val="20"/>
        </w:rPr>
        <w:t>COVID</w:t>
      </w:r>
      <w:r w:rsidRPr="00832F35">
        <w:rPr>
          <w:rFonts w:asciiTheme="majorBidi" w:hAnsiTheme="majorBidi" w:cstheme="majorBidi"/>
          <w:sz w:val="20"/>
          <w:szCs w:val="20"/>
          <w:lang w:val="ru-RU"/>
        </w:rPr>
        <w:t>-19, а затем подчеркивается ряд более конкретных обязательств.</w:t>
      </w:r>
    </w:p>
    <w:p w:rsidR="00832F35" w:rsidRPr="00832F35" w:rsidRDefault="00832F35" w:rsidP="00832F35">
      <w:pPr>
        <w:pStyle w:val="a5"/>
        <w:tabs>
          <w:tab w:val="left" w:pos="993"/>
        </w:tabs>
        <w:ind w:left="567" w:right="521"/>
        <w:jc w:val="both"/>
        <w:rPr>
          <w:rFonts w:asciiTheme="majorBidi" w:hAnsiTheme="majorBidi" w:cstheme="majorBidi"/>
          <w:sz w:val="20"/>
          <w:szCs w:val="20"/>
          <w:lang w:val="ru-RU"/>
        </w:rPr>
      </w:pP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Комитет отмечает, что, хотя соответствующая Сторона запросила рекомендации о проведении слушаний с помощью «видеоконференций», настоящая рекомендация в равной степени применяется независимо от того, проводятся ли публичные слушания с помощью видеоконференций, через Интернет или другими виртуальными средствами. Термины «виртуальный слух» и «виртуальные средства» соответственно используются в данном совете для охвата всех таких форматов.</w:t>
      </w:r>
    </w:p>
    <w:p w:rsidR="00832F35" w:rsidRPr="00832F35" w:rsidRDefault="00832F35" w:rsidP="00832F35">
      <w:pPr>
        <w:pStyle w:val="a5"/>
        <w:tabs>
          <w:tab w:val="left" w:pos="993"/>
        </w:tabs>
        <w:ind w:left="567" w:right="521"/>
        <w:jc w:val="both"/>
        <w:rPr>
          <w:rFonts w:asciiTheme="majorBidi" w:hAnsiTheme="majorBidi" w:cstheme="majorBidi"/>
          <w:sz w:val="20"/>
          <w:szCs w:val="20"/>
          <w:lang w:val="ru-RU"/>
        </w:rPr>
      </w:pPr>
    </w:p>
    <w:p w:rsidR="00832F35"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 xml:space="preserve">Комитет подчеркивает, что настоящая рекомендация дана в конкретном контексте нынешней пандемии </w:t>
      </w:r>
      <w:r w:rsidRPr="00832F35">
        <w:rPr>
          <w:rFonts w:asciiTheme="majorBidi" w:hAnsiTheme="majorBidi" w:cstheme="majorBidi"/>
          <w:sz w:val="20"/>
          <w:szCs w:val="20"/>
        </w:rPr>
        <w:t>COVID</w:t>
      </w:r>
      <w:r w:rsidRPr="00832F35">
        <w:rPr>
          <w:rFonts w:asciiTheme="majorBidi" w:hAnsiTheme="majorBidi" w:cstheme="majorBidi"/>
          <w:sz w:val="20"/>
          <w:szCs w:val="20"/>
          <w:lang w:val="ru-RU"/>
        </w:rPr>
        <w:t xml:space="preserve">-19 и не должна рассматриваться как применимая к ситуации, когда ограничения на свободное передвижение и массовые собрания в связи с пандемией </w:t>
      </w:r>
      <w:r w:rsidRPr="00832F35">
        <w:rPr>
          <w:rFonts w:asciiTheme="majorBidi" w:hAnsiTheme="majorBidi" w:cstheme="majorBidi"/>
          <w:sz w:val="20"/>
          <w:szCs w:val="20"/>
        </w:rPr>
        <w:t>COVID</w:t>
      </w:r>
      <w:r w:rsidRPr="00832F35">
        <w:rPr>
          <w:rFonts w:asciiTheme="majorBidi" w:hAnsiTheme="majorBidi" w:cstheme="majorBidi"/>
          <w:sz w:val="20"/>
          <w:szCs w:val="20"/>
          <w:lang w:val="ru-RU"/>
        </w:rPr>
        <w:t xml:space="preserve">-19 </w:t>
      </w:r>
      <w:r>
        <w:rPr>
          <w:rFonts w:asciiTheme="majorBidi" w:hAnsiTheme="majorBidi" w:cstheme="majorBidi"/>
          <w:sz w:val="20"/>
          <w:szCs w:val="20"/>
          <w:lang w:val="ru-RU"/>
        </w:rPr>
        <w:t>были сняты</w:t>
      </w:r>
      <w:r w:rsidRPr="00832F35">
        <w:rPr>
          <w:rFonts w:asciiTheme="majorBidi" w:hAnsiTheme="majorBidi" w:cstheme="majorBidi"/>
          <w:sz w:val="20"/>
          <w:szCs w:val="20"/>
          <w:lang w:val="ru-RU"/>
        </w:rPr>
        <w:t>.</w:t>
      </w:r>
      <w:r w:rsidR="00252580" w:rsidRPr="00832F35" w:rsidDel="00252580">
        <w:rPr>
          <w:rFonts w:asciiTheme="majorBidi" w:hAnsiTheme="majorBidi" w:cstheme="majorBidi"/>
          <w:sz w:val="20"/>
          <w:szCs w:val="20"/>
          <w:lang w:val="ru-RU"/>
        </w:rPr>
        <w:t xml:space="preserve"> </w:t>
      </w:r>
    </w:p>
    <w:p w:rsidR="00193209" w:rsidRPr="00832F35" w:rsidRDefault="00193209" w:rsidP="00193209">
      <w:pPr>
        <w:pStyle w:val="a5"/>
        <w:rPr>
          <w:rStyle w:val="ae"/>
          <w:rFonts w:asciiTheme="majorBidi" w:hAnsiTheme="majorBidi" w:cstheme="majorBidi"/>
          <w:sz w:val="20"/>
          <w:szCs w:val="20"/>
          <w:lang w:val="ru-RU"/>
        </w:rPr>
      </w:pPr>
    </w:p>
    <w:p w:rsidR="00193209" w:rsidRPr="00832F35" w:rsidRDefault="00832F3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832F35">
        <w:rPr>
          <w:rFonts w:asciiTheme="majorBidi" w:hAnsiTheme="majorBidi" w:cstheme="majorBidi"/>
          <w:sz w:val="20"/>
          <w:szCs w:val="20"/>
          <w:lang w:val="ru-RU"/>
        </w:rPr>
        <w:t xml:space="preserve">Комитет напоминает соответствующей Стороне, что любые недостатки в обеспечении эффективного участия общественности в процессе принятия решений в рамках Конвенции во время пандемии </w:t>
      </w:r>
      <w:r w:rsidRPr="00832F35">
        <w:rPr>
          <w:rFonts w:asciiTheme="majorBidi" w:hAnsiTheme="majorBidi" w:cstheme="majorBidi"/>
          <w:sz w:val="20"/>
          <w:szCs w:val="20"/>
          <w:lang w:val="en-US"/>
        </w:rPr>
        <w:t>COVID</w:t>
      </w:r>
      <w:r w:rsidRPr="00832F35">
        <w:rPr>
          <w:rFonts w:asciiTheme="majorBidi" w:hAnsiTheme="majorBidi" w:cstheme="majorBidi"/>
          <w:sz w:val="20"/>
          <w:szCs w:val="20"/>
          <w:lang w:val="ru-RU"/>
        </w:rPr>
        <w:t>-19 могут быть оспорены представителями общественности в соответствии с положениями статьи 9 Конвенции.</w:t>
      </w:r>
    </w:p>
    <w:p w:rsidR="00615EC1" w:rsidRPr="00832F35" w:rsidRDefault="00615EC1" w:rsidP="00A57028">
      <w:pPr>
        <w:pStyle w:val="a5"/>
        <w:tabs>
          <w:tab w:val="left" w:pos="993"/>
        </w:tabs>
        <w:ind w:left="567" w:right="521"/>
        <w:jc w:val="both"/>
        <w:rPr>
          <w:rFonts w:asciiTheme="majorBidi" w:hAnsiTheme="majorBidi" w:cstheme="majorBidi"/>
          <w:sz w:val="20"/>
          <w:szCs w:val="20"/>
          <w:lang w:val="ru-RU"/>
        </w:rPr>
      </w:pPr>
    </w:p>
    <w:p w:rsidR="00711599" w:rsidRPr="00832F35" w:rsidRDefault="00711599" w:rsidP="00711599">
      <w:pPr>
        <w:pStyle w:val="a5"/>
        <w:rPr>
          <w:rFonts w:asciiTheme="majorBidi" w:hAnsiTheme="majorBidi" w:cstheme="majorBidi"/>
          <w:sz w:val="20"/>
          <w:szCs w:val="20"/>
          <w:lang w:val="ru-RU"/>
        </w:rPr>
      </w:pPr>
    </w:p>
    <w:p w:rsidR="00593EF1" w:rsidRPr="00832F35" w:rsidRDefault="00593EF1" w:rsidP="00711599">
      <w:pPr>
        <w:pStyle w:val="a5"/>
        <w:rPr>
          <w:rFonts w:asciiTheme="majorBidi" w:hAnsiTheme="majorBidi" w:cstheme="majorBidi"/>
          <w:sz w:val="20"/>
          <w:szCs w:val="20"/>
          <w:lang w:val="ru-RU"/>
        </w:rPr>
      </w:pPr>
    </w:p>
    <w:p w:rsidR="00593EF1" w:rsidRPr="00832F35" w:rsidRDefault="00593EF1" w:rsidP="00711599">
      <w:pPr>
        <w:pStyle w:val="a5"/>
        <w:rPr>
          <w:rFonts w:asciiTheme="majorBidi" w:hAnsiTheme="majorBidi" w:cstheme="majorBidi"/>
          <w:sz w:val="20"/>
          <w:szCs w:val="20"/>
          <w:lang w:val="ru-RU"/>
        </w:rPr>
      </w:pPr>
    </w:p>
    <w:p w:rsidR="00593EF1" w:rsidRPr="00832F35" w:rsidRDefault="00593EF1" w:rsidP="00711599">
      <w:pPr>
        <w:pStyle w:val="a5"/>
        <w:rPr>
          <w:rFonts w:asciiTheme="majorBidi" w:hAnsiTheme="majorBidi" w:cstheme="majorBidi"/>
          <w:sz w:val="20"/>
          <w:szCs w:val="20"/>
          <w:lang w:val="ru-RU"/>
        </w:rPr>
      </w:pPr>
    </w:p>
    <w:p w:rsidR="00711599" w:rsidRPr="00473CFB" w:rsidRDefault="003570AC" w:rsidP="00711599">
      <w:pPr>
        <w:pStyle w:val="a5"/>
        <w:numPr>
          <w:ilvl w:val="0"/>
          <w:numId w:val="11"/>
        </w:numPr>
        <w:tabs>
          <w:tab w:val="left" w:pos="993"/>
        </w:tabs>
        <w:ind w:right="521"/>
        <w:jc w:val="both"/>
        <w:rPr>
          <w:rFonts w:asciiTheme="majorBidi" w:hAnsiTheme="majorBidi" w:cstheme="majorBidi"/>
          <w:b/>
          <w:bCs/>
          <w:sz w:val="24"/>
          <w:szCs w:val="24"/>
        </w:rPr>
      </w:pPr>
      <w:r>
        <w:rPr>
          <w:rFonts w:asciiTheme="majorBidi" w:hAnsiTheme="majorBidi" w:cstheme="majorBidi"/>
          <w:b/>
          <w:bCs/>
          <w:sz w:val="24"/>
          <w:szCs w:val="24"/>
          <w:lang w:val="kk-KZ"/>
        </w:rPr>
        <w:t>Общие обязательства</w:t>
      </w:r>
    </w:p>
    <w:p w:rsidR="00711599" w:rsidRPr="00473CFB" w:rsidRDefault="00711599" w:rsidP="00711599">
      <w:pPr>
        <w:pStyle w:val="a5"/>
        <w:tabs>
          <w:tab w:val="left" w:pos="993"/>
        </w:tabs>
        <w:ind w:left="567" w:right="521"/>
        <w:jc w:val="both"/>
        <w:rPr>
          <w:rFonts w:asciiTheme="majorBidi" w:hAnsiTheme="majorBidi" w:cstheme="majorBidi"/>
          <w:sz w:val="20"/>
          <w:szCs w:val="20"/>
        </w:rPr>
      </w:pPr>
    </w:p>
    <w:p w:rsidR="00711599" w:rsidRPr="00473CFB" w:rsidRDefault="003570AC" w:rsidP="00711599">
      <w:pPr>
        <w:pStyle w:val="a5"/>
        <w:tabs>
          <w:tab w:val="left" w:pos="993"/>
        </w:tabs>
        <w:ind w:left="567" w:right="521"/>
        <w:jc w:val="both"/>
        <w:rPr>
          <w:rFonts w:asciiTheme="majorBidi" w:hAnsiTheme="majorBidi"/>
          <w:b/>
          <w:sz w:val="20"/>
          <w:lang w:val="fr-CH"/>
        </w:rPr>
      </w:pPr>
      <w:r>
        <w:rPr>
          <w:rFonts w:asciiTheme="majorBidi" w:hAnsiTheme="majorBidi"/>
          <w:b/>
          <w:sz w:val="20"/>
          <w:lang w:val="kk-KZ"/>
        </w:rPr>
        <w:t>Эффективное участие общественности</w:t>
      </w:r>
      <w:r w:rsidR="00711599" w:rsidRPr="00473CFB">
        <w:rPr>
          <w:rFonts w:asciiTheme="majorBidi" w:hAnsiTheme="majorBidi"/>
          <w:b/>
          <w:sz w:val="20"/>
          <w:lang w:val="fr-CH"/>
        </w:rPr>
        <w:t xml:space="preserve"> – </w:t>
      </w:r>
      <w:r>
        <w:rPr>
          <w:rFonts w:asciiTheme="majorBidi" w:hAnsiTheme="majorBidi" w:cstheme="majorBidi"/>
          <w:b/>
          <w:bCs/>
          <w:sz w:val="20"/>
          <w:szCs w:val="20"/>
          <w:lang w:val="kk-KZ"/>
        </w:rPr>
        <w:t>статьи</w:t>
      </w:r>
      <w:r w:rsidR="00711599" w:rsidRPr="00473CFB">
        <w:rPr>
          <w:rFonts w:asciiTheme="majorBidi" w:hAnsiTheme="majorBidi"/>
          <w:b/>
          <w:sz w:val="20"/>
          <w:lang w:val="fr-CH"/>
        </w:rPr>
        <w:t xml:space="preserve"> 6</w:t>
      </w:r>
      <w:r>
        <w:rPr>
          <w:rFonts w:asciiTheme="majorBidi" w:hAnsiTheme="majorBidi" w:cstheme="majorBidi"/>
          <w:b/>
          <w:bCs/>
          <w:sz w:val="20"/>
          <w:szCs w:val="20"/>
          <w:lang w:val="fr-CH"/>
        </w:rPr>
        <w:t xml:space="preserve">, 7 </w:t>
      </w:r>
      <w:r>
        <w:rPr>
          <w:rFonts w:asciiTheme="majorBidi" w:hAnsiTheme="majorBidi" w:cstheme="majorBidi"/>
          <w:b/>
          <w:bCs/>
          <w:sz w:val="20"/>
          <w:szCs w:val="20"/>
          <w:lang w:val="kk-KZ"/>
        </w:rPr>
        <w:t>и</w:t>
      </w:r>
      <w:r w:rsidR="004962F1" w:rsidRPr="00473CFB">
        <w:rPr>
          <w:rFonts w:asciiTheme="majorBidi" w:hAnsiTheme="majorBidi" w:cstheme="majorBidi"/>
          <w:b/>
          <w:bCs/>
          <w:sz w:val="20"/>
          <w:szCs w:val="20"/>
          <w:lang w:val="fr-CH"/>
        </w:rPr>
        <w:t xml:space="preserve"> 8</w:t>
      </w:r>
    </w:p>
    <w:p w:rsidR="00711599" w:rsidRPr="00473CFB" w:rsidRDefault="00711599" w:rsidP="00370CD8">
      <w:pPr>
        <w:pStyle w:val="a5"/>
        <w:tabs>
          <w:tab w:val="left" w:pos="993"/>
        </w:tabs>
        <w:ind w:left="567" w:right="521"/>
        <w:jc w:val="both"/>
        <w:rPr>
          <w:rFonts w:asciiTheme="majorBidi" w:hAnsiTheme="majorBidi"/>
          <w:sz w:val="20"/>
          <w:lang w:val="fr-CH"/>
        </w:rPr>
      </w:pPr>
    </w:p>
    <w:p w:rsidR="006E3CDA" w:rsidRPr="003570AC" w:rsidRDefault="003570AC"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bookmarkStart w:id="0" w:name="_Ref43053793"/>
      <w:r w:rsidRPr="003570AC">
        <w:rPr>
          <w:rFonts w:asciiTheme="majorBidi" w:hAnsiTheme="majorBidi" w:cstheme="majorBidi"/>
          <w:sz w:val="20"/>
          <w:szCs w:val="20"/>
          <w:lang w:val="ru-RU"/>
        </w:rPr>
        <w:t>В качестве отправной точки Комитет подчеркивает общее обязательство, закрепленное в статьях 6-8 Конвенции, в отношении каждой Стороны обеспечивать эффективное участие общественности в процессе принятия решений. Статья 6 (4) прямо налагает на Стороны требование обеспечить эффективное участие общественности. Это же требование повторяется в статьях 6 (2) и 6 (3) и, таким образом, также включено в статью 7. Статья 8 также касается эффективного участия общественности. Таким образом, обязанность обеспечить возможности для эффективного участия общественности является основополагающим стандартом, по которому должны оцениваться все аспекты процедуры участия общественности в рамках Конвенции. Как указано в пунктах 2</w:t>
      </w:r>
      <w:r w:rsidR="00640A71">
        <w:rPr>
          <w:rFonts w:asciiTheme="majorBidi" w:hAnsiTheme="majorBidi" w:cstheme="majorBidi"/>
          <w:sz w:val="20"/>
          <w:szCs w:val="20"/>
          <w:lang w:val="ru-RU"/>
        </w:rPr>
        <w:t>3–69</w:t>
      </w:r>
      <w:r w:rsidRPr="003570AC">
        <w:rPr>
          <w:rFonts w:asciiTheme="majorBidi" w:hAnsiTheme="majorBidi" w:cstheme="majorBidi"/>
          <w:sz w:val="20"/>
          <w:szCs w:val="20"/>
          <w:lang w:val="ru-RU"/>
        </w:rPr>
        <w:t xml:space="preserve"> ниже, это в равной степени относится к процедурам участия общественности, проводимым во время пандемии </w:t>
      </w:r>
      <w:r w:rsidRPr="003570AC">
        <w:rPr>
          <w:rFonts w:asciiTheme="majorBidi" w:hAnsiTheme="majorBidi" w:cstheme="majorBidi"/>
          <w:sz w:val="20"/>
          <w:szCs w:val="20"/>
        </w:rPr>
        <w:t>COVID</w:t>
      </w:r>
      <w:r>
        <w:rPr>
          <w:rFonts w:asciiTheme="majorBidi" w:hAnsiTheme="majorBidi" w:cstheme="majorBidi"/>
          <w:sz w:val="20"/>
          <w:szCs w:val="20"/>
          <w:lang w:val="ru-RU"/>
        </w:rPr>
        <w:t>-19</w:t>
      </w:r>
      <w:r w:rsidR="00252580" w:rsidRPr="003570AC">
        <w:rPr>
          <w:rFonts w:asciiTheme="majorBidi" w:hAnsiTheme="majorBidi" w:cstheme="majorBidi"/>
          <w:sz w:val="20"/>
          <w:szCs w:val="20"/>
          <w:lang w:val="ru-RU"/>
        </w:rPr>
        <w:t>.</w:t>
      </w:r>
      <w:bookmarkEnd w:id="0"/>
      <w:r w:rsidR="006E3CDA" w:rsidRPr="003570AC">
        <w:rPr>
          <w:rFonts w:asciiTheme="majorBidi" w:hAnsiTheme="majorBidi" w:cstheme="majorBidi"/>
          <w:sz w:val="20"/>
          <w:szCs w:val="20"/>
          <w:lang w:val="ru-RU"/>
        </w:rPr>
        <w:t xml:space="preserve"> </w:t>
      </w:r>
    </w:p>
    <w:p w:rsidR="008D7098" w:rsidRPr="003570AC" w:rsidRDefault="008D7098" w:rsidP="00EE5EB8">
      <w:pPr>
        <w:pStyle w:val="a5"/>
        <w:tabs>
          <w:tab w:val="left" w:pos="993"/>
        </w:tabs>
        <w:ind w:left="567" w:right="521"/>
        <w:jc w:val="both"/>
        <w:rPr>
          <w:rFonts w:asciiTheme="majorBidi" w:hAnsiTheme="majorBidi" w:cstheme="majorBidi"/>
          <w:sz w:val="20"/>
          <w:szCs w:val="20"/>
          <w:lang w:val="ru-RU"/>
        </w:rPr>
      </w:pPr>
    </w:p>
    <w:p w:rsidR="00611736" w:rsidRPr="003570AC" w:rsidRDefault="003570AC" w:rsidP="00A57028">
      <w:pPr>
        <w:pStyle w:val="a5"/>
        <w:tabs>
          <w:tab w:val="left" w:pos="993"/>
        </w:tabs>
        <w:ind w:left="567" w:right="521"/>
        <w:jc w:val="both"/>
        <w:rPr>
          <w:rFonts w:asciiTheme="majorBidi" w:hAnsiTheme="majorBidi"/>
          <w:b/>
          <w:lang w:val="ru-RU"/>
        </w:rPr>
      </w:pPr>
      <w:r w:rsidRPr="003570AC">
        <w:rPr>
          <w:rFonts w:asciiTheme="majorBidi" w:hAnsiTheme="majorBidi" w:cstheme="majorBidi"/>
          <w:b/>
          <w:bCs/>
          <w:sz w:val="20"/>
          <w:szCs w:val="20"/>
          <w:lang w:val="ru-RU"/>
        </w:rPr>
        <w:t>Четкие, прозрачные и последовательные рамки - статья 3 (1)</w:t>
      </w:r>
    </w:p>
    <w:p w:rsidR="005A3156" w:rsidRPr="003570AC" w:rsidRDefault="005A3156" w:rsidP="00A218CF">
      <w:pPr>
        <w:pStyle w:val="a5"/>
        <w:rPr>
          <w:rFonts w:asciiTheme="majorBidi" w:hAnsiTheme="majorBidi"/>
          <w:lang w:val="ru-RU"/>
        </w:rPr>
      </w:pPr>
    </w:p>
    <w:p w:rsidR="003570AC" w:rsidRPr="003570AC" w:rsidRDefault="003570AC"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3570AC">
        <w:rPr>
          <w:rFonts w:asciiTheme="majorBidi" w:hAnsiTheme="majorBidi" w:cstheme="majorBidi"/>
          <w:sz w:val="20"/>
          <w:szCs w:val="20"/>
          <w:lang w:val="ru-RU"/>
        </w:rPr>
        <w:t xml:space="preserve">Возможности для общественности участвовать в процессе принятия решений по конкретному виду деятельности во время пандемии </w:t>
      </w:r>
      <w:r w:rsidRPr="003570AC">
        <w:rPr>
          <w:rFonts w:asciiTheme="majorBidi" w:hAnsiTheme="majorBidi" w:cstheme="majorBidi"/>
          <w:sz w:val="20"/>
          <w:szCs w:val="20"/>
        </w:rPr>
        <w:t>COVID</w:t>
      </w:r>
      <w:r w:rsidRPr="003570AC">
        <w:rPr>
          <w:rFonts w:asciiTheme="majorBidi" w:hAnsiTheme="majorBidi" w:cstheme="majorBidi"/>
          <w:sz w:val="20"/>
          <w:szCs w:val="20"/>
          <w:lang w:val="ru-RU"/>
        </w:rPr>
        <w:t>-19 должны быть «совместимы» с возможностями для участия общественности в обычное время. Это означает, что государственным органам может потребоваться приложить дополнительные усилия для обеспечения того, чтобы заинтересованная общественность на практике не находилась в неблагоприятном положении.</w:t>
      </w:r>
    </w:p>
    <w:p w:rsidR="003570AC" w:rsidRPr="003570AC" w:rsidRDefault="003570AC" w:rsidP="003570AC">
      <w:pPr>
        <w:pStyle w:val="a5"/>
        <w:tabs>
          <w:tab w:val="left" w:pos="993"/>
        </w:tabs>
        <w:ind w:left="567" w:right="521"/>
        <w:jc w:val="both"/>
        <w:rPr>
          <w:rFonts w:asciiTheme="majorBidi" w:hAnsiTheme="majorBidi" w:cstheme="majorBidi"/>
          <w:sz w:val="20"/>
          <w:szCs w:val="20"/>
          <w:lang w:val="ru-RU"/>
        </w:rPr>
      </w:pPr>
    </w:p>
    <w:p w:rsidR="00611736" w:rsidRPr="008A71B1" w:rsidRDefault="003570AC"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3570AC">
        <w:rPr>
          <w:rFonts w:asciiTheme="majorBidi" w:hAnsiTheme="majorBidi" w:cstheme="majorBidi"/>
          <w:sz w:val="20"/>
          <w:szCs w:val="20"/>
          <w:lang w:val="ru-RU"/>
        </w:rPr>
        <w:t xml:space="preserve">Кроме того, поскольку способы, с помощью которых заинтересованная общественность может участвовать во время пандемии </w:t>
      </w:r>
      <w:r w:rsidRPr="003570AC">
        <w:rPr>
          <w:rFonts w:asciiTheme="majorBidi" w:hAnsiTheme="majorBidi" w:cstheme="majorBidi"/>
          <w:sz w:val="20"/>
          <w:szCs w:val="20"/>
        </w:rPr>
        <w:t>COVID</w:t>
      </w:r>
      <w:r w:rsidRPr="003570AC">
        <w:rPr>
          <w:rFonts w:asciiTheme="majorBidi" w:hAnsiTheme="majorBidi" w:cstheme="majorBidi"/>
          <w:sz w:val="20"/>
          <w:szCs w:val="20"/>
          <w:lang w:val="ru-RU"/>
        </w:rPr>
        <w:t xml:space="preserve">-19, могут существенно отличаться от обычных процедур участия общественности, применяемых в соответствующей Стороне, общественности необходимо будет предоставлять адекватную и своевременную информацию на протяжении всей процедуры, чтобы рамки, в которых может участвовать заинтересованная общественность, были ясными и прозрачными, как того требует статья 3 (1). </w:t>
      </w:r>
      <w:r w:rsidR="00561B39" w:rsidRPr="00561B39">
        <w:rPr>
          <w:rFonts w:asciiTheme="majorBidi" w:hAnsiTheme="majorBidi" w:cstheme="majorBidi"/>
          <w:sz w:val="20"/>
          <w:szCs w:val="20"/>
          <w:lang w:val="ru-RU"/>
        </w:rPr>
        <w:t xml:space="preserve">Предоставление </w:t>
      </w:r>
      <w:r w:rsidR="00561B39">
        <w:rPr>
          <w:rFonts w:asciiTheme="majorBidi" w:hAnsiTheme="majorBidi" w:cstheme="majorBidi"/>
          <w:sz w:val="20"/>
          <w:szCs w:val="20"/>
          <w:lang w:val="kk-KZ"/>
        </w:rPr>
        <w:t>достаточной</w:t>
      </w:r>
      <w:r w:rsidR="00561B39" w:rsidRPr="00561B39">
        <w:rPr>
          <w:rFonts w:asciiTheme="majorBidi" w:hAnsiTheme="majorBidi" w:cstheme="majorBidi"/>
          <w:sz w:val="20"/>
          <w:szCs w:val="20"/>
          <w:lang w:val="ru-RU"/>
        </w:rPr>
        <w:t xml:space="preserve"> и своевременной информации о том, как общественность может участвовать, обсуждается далее в пунктах 29 и 33-37 ниже.</w:t>
      </w:r>
    </w:p>
    <w:p w:rsidR="00662A87" w:rsidRPr="008A71B1" w:rsidRDefault="00662A87" w:rsidP="00A218CF">
      <w:pPr>
        <w:pStyle w:val="a5"/>
        <w:rPr>
          <w:rFonts w:asciiTheme="majorBidi" w:hAnsiTheme="majorBidi"/>
          <w:lang w:val="ru-RU"/>
        </w:rPr>
      </w:pPr>
    </w:p>
    <w:p w:rsidR="001242A5" w:rsidRPr="004D36C4" w:rsidRDefault="004D36C4" w:rsidP="00A57028">
      <w:pPr>
        <w:pStyle w:val="a5"/>
        <w:tabs>
          <w:tab w:val="left" w:pos="993"/>
        </w:tabs>
        <w:ind w:left="567" w:right="521"/>
        <w:jc w:val="both"/>
        <w:rPr>
          <w:rFonts w:asciiTheme="majorBidi" w:hAnsiTheme="majorBidi" w:cstheme="majorBidi"/>
          <w:b/>
          <w:bCs/>
          <w:sz w:val="20"/>
          <w:szCs w:val="20"/>
          <w:lang w:val="kk-KZ"/>
        </w:rPr>
      </w:pPr>
      <w:r w:rsidRPr="004D36C4">
        <w:rPr>
          <w:rFonts w:asciiTheme="majorBidi" w:hAnsiTheme="majorBidi" w:cstheme="majorBidi"/>
          <w:b/>
          <w:bCs/>
          <w:sz w:val="20"/>
          <w:szCs w:val="20"/>
          <w:lang w:val="ru-RU"/>
        </w:rPr>
        <w:t>Облегчение участия общественности в процессе принятия решений - статья 3 (2)</w:t>
      </w:r>
    </w:p>
    <w:p w:rsidR="00662A87" w:rsidRPr="004D36C4" w:rsidRDefault="00662A87" w:rsidP="00A57028">
      <w:pPr>
        <w:pStyle w:val="a5"/>
        <w:tabs>
          <w:tab w:val="left" w:pos="993"/>
        </w:tabs>
        <w:ind w:left="567" w:right="521"/>
        <w:jc w:val="both"/>
        <w:rPr>
          <w:rFonts w:asciiTheme="majorBidi" w:hAnsiTheme="majorBidi"/>
          <w:sz w:val="20"/>
          <w:lang w:val="ru-RU"/>
        </w:rPr>
      </w:pPr>
    </w:p>
    <w:p w:rsidR="0000061C" w:rsidRPr="004D36C4" w:rsidRDefault="004D36C4"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4D36C4">
        <w:rPr>
          <w:rFonts w:asciiTheme="majorBidi" w:hAnsiTheme="majorBidi" w:cstheme="majorBidi"/>
          <w:sz w:val="20"/>
          <w:szCs w:val="20"/>
          <w:lang w:val="ru-RU"/>
        </w:rPr>
        <w:t xml:space="preserve">Статья 3 (2) требует, чтобы каждая Сторона стремилась обеспечить, чтобы должностные лица и органы власти оказывали помощь и давали руководящие указания общественности в целях содействия их участию в процессе принятия решений в соответствии с Конвенцией. В контексте проведения процедур участия общественности во </w:t>
      </w:r>
      <w:r w:rsidRPr="004D36C4">
        <w:rPr>
          <w:rFonts w:asciiTheme="majorBidi" w:hAnsiTheme="majorBidi" w:cstheme="majorBidi"/>
          <w:sz w:val="20"/>
          <w:szCs w:val="20"/>
          <w:lang w:val="ru-RU"/>
        </w:rPr>
        <w:lastRenderedPageBreak/>
        <w:t xml:space="preserve">время пандемии </w:t>
      </w:r>
      <w:r w:rsidRPr="004D36C4">
        <w:rPr>
          <w:rFonts w:asciiTheme="majorBidi" w:hAnsiTheme="majorBidi" w:cstheme="majorBidi"/>
          <w:sz w:val="20"/>
          <w:szCs w:val="20"/>
        </w:rPr>
        <w:t>COVID</w:t>
      </w:r>
      <w:r w:rsidRPr="004D36C4">
        <w:rPr>
          <w:rFonts w:asciiTheme="majorBidi" w:hAnsiTheme="majorBidi" w:cstheme="majorBidi"/>
          <w:sz w:val="20"/>
          <w:szCs w:val="20"/>
          <w:lang w:val="ru-RU"/>
        </w:rPr>
        <w:t>-19 Комитет выделяет следующие вопросы как заслуживающие особого внимания.</w:t>
      </w:r>
    </w:p>
    <w:p w:rsidR="00533D39" w:rsidRPr="004D36C4" w:rsidRDefault="00533D39" w:rsidP="00A57028">
      <w:pPr>
        <w:pStyle w:val="a5"/>
        <w:tabs>
          <w:tab w:val="left" w:pos="993"/>
        </w:tabs>
        <w:ind w:left="567" w:right="521"/>
        <w:jc w:val="both"/>
        <w:rPr>
          <w:rFonts w:asciiTheme="majorBidi" w:hAnsiTheme="majorBidi" w:cstheme="majorBidi"/>
          <w:sz w:val="20"/>
          <w:szCs w:val="20"/>
          <w:lang w:val="ru-RU"/>
        </w:rPr>
      </w:pPr>
    </w:p>
    <w:p w:rsidR="0066110E" w:rsidRPr="004D36C4" w:rsidRDefault="004D36C4"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4D36C4">
        <w:rPr>
          <w:rFonts w:asciiTheme="majorBidi" w:hAnsiTheme="majorBidi" w:cstheme="majorBidi"/>
          <w:sz w:val="20"/>
          <w:szCs w:val="20"/>
          <w:lang w:val="ru-RU"/>
        </w:rPr>
        <w:t xml:space="preserve">В качестве первого шага, поскольку, возможно, не удастся применить методы, обычно используемые в процедурах участия общественности в соответствующей Стороне, необходимо провести оценку потребностей во время подготовки соответствующей правовой базы или по конкретному делу. в каждом конкретном случае определить, какие методы на практике обеспечат эффективную возможность заинтересованной общественности участвовать в принятии решений в рамках Конвенции во время пандемии </w:t>
      </w:r>
      <w:r w:rsidRPr="004D36C4">
        <w:rPr>
          <w:rFonts w:asciiTheme="majorBidi" w:hAnsiTheme="majorBidi" w:cstheme="majorBidi"/>
          <w:sz w:val="20"/>
          <w:szCs w:val="20"/>
        </w:rPr>
        <w:t>COVID</w:t>
      </w:r>
      <w:r w:rsidRPr="004D36C4">
        <w:rPr>
          <w:rFonts w:asciiTheme="majorBidi" w:hAnsiTheme="majorBidi" w:cstheme="majorBidi"/>
          <w:sz w:val="20"/>
          <w:szCs w:val="20"/>
          <w:lang w:val="ru-RU"/>
        </w:rPr>
        <w:t>-19. Оценка потребностей должна выявить любые препятствия для участия заинтересованной общественности по причине технологий, языка, грамотности и инвалидности, а также любые конкретные препятствия для участия, испытываемые маргинальными группами</w:t>
      </w:r>
      <w:r w:rsidR="0068416E">
        <w:rPr>
          <w:rFonts w:asciiTheme="majorBidi" w:hAnsiTheme="majorBidi" w:cstheme="majorBidi"/>
          <w:sz w:val="20"/>
          <w:szCs w:val="20"/>
          <w:lang w:val="ru-RU"/>
        </w:rPr>
        <w:t xml:space="preserve"> </w:t>
      </w:r>
      <w:r w:rsidR="0068416E" w:rsidRPr="0068416E">
        <w:rPr>
          <w:rFonts w:asciiTheme="majorBidi" w:hAnsiTheme="majorBidi" w:cstheme="majorBidi"/>
          <w:sz w:val="20"/>
          <w:szCs w:val="20"/>
          <w:lang w:val="ru-RU"/>
        </w:rPr>
        <w:t>или представителями общественности, чьи возможности участвовать могут быть ограничены из-за их обязанностей во время пандемии. Это также должно включать оценку части населения, сталкивающейся с каждым таким барьером.</w:t>
      </w:r>
      <w:r w:rsidRPr="004D36C4">
        <w:rPr>
          <w:rFonts w:asciiTheme="majorBidi" w:hAnsiTheme="majorBidi" w:cstheme="majorBidi"/>
          <w:sz w:val="20"/>
          <w:szCs w:val="20"/>
          <w:lang w:val="ru-RU"/>
        </w:rPr>
        <w:t>. Как хорошая практика, оценка потребностей должна быть подготовлена в консультации с заинтересованной общественностью.</w:t>
      </w:r>
    </w:p>
    <w:p w:rsidR="00A84CF2" w:rsidRPr="004D36C4" w:rsidRDefault="00A84CF2" w:rsidP="00A57028">
      <w:pPr>
        <w:pStyle w:val="a5"/>
        <w:rPr>
          <w:rFonts w:asciiTheme="majorBidi" w:hAnsiTheme="majorBidi" w:cstheme="majorBidi"/>
          <w:sz w:val="20"/>
          <w:szCs w:val="20"/>
          <w:lang w:val="ru-RU"/>
        </w:rPr>
      </w:pPr>
    </w:p>
    <w:p w:rsidR="004D36C4" w:rsidRPr="004D36C4" w:rsidRDefault="002B65F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2B65FE">
        <w:rPr>
          <w:rFonts w:asciiTheme="majorBidi" w:hAnsiTheme="majorBidi" w:cstheme="majorBidi"/>
          <w:sz w:val="20"/>
          <w:szCs w:val="20"/>
          <w:lang w:val="ru-RU"/>
        </w:rPr>
        <w:t>В качестве надлежащей практики соответствующая Сторона должна также на постоянной основе оценивать эффективность методов, применяемых в процедурах участия общественности в рамках Конвенции во время пандемии COVID-19, в том числе путем получения отзывов общественности по этому вопросу. Принимая во внимание полученную обратную связь, возможно, необходимо будет адаптировать модальности в будущем, чтобы гарантировать, что возможности для участия общественности действительно эффективны на практике.</w:t>
      </w:r>
    </w:p>
    <w:p w:rsidR="004D36C4" w:rsidRPr="004D36C4" w:rsidRDefault="004D36C4" w:rsidP="004D36C4">
      <w:pPr>
        <w:pStyle w:val="a5"/>
        <w:tabs>
          <w:tab w:val="left" w:pos="993"/>
        </w:tabs>
        <w:ind w:left="567" w:right="521"/>
        <w:jc w:val="both"/>
        <w:rPr>
          <w:rFonts w:asciiTheme="majorBidi" w:hAnsiTheme="majorBidi" w:cstheme="majorBidi"/>
          <w:sz w:val="20"/>
          <w:szCs w:val="20"/>
          <w:lang w:val="ru-RU"/>
        </w:rPr>
      </w:pPr>
    </w:p>
    <w:p w:rsidR="004D36C4" w:rsidRPr="004D36C4" w:rsidRDefault="004D36C4"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4D36C4">
        <w:rPr>
          <w:rFonts w:asciiTheme="majorBidi" w:hAnsiTheme="majorBidi" w:cstheme="majorBidi"/>
          <w:sz w:val="20"/>
          <w:szCs w:val="20"/>
          <w:lang w:val="ru-RU"/>
        </w:rPr>
        <w:t xml:space="preserve">Любые альтернативные способы участия общественности, применяемые во время пандемии </w:t>
      </w:r>
      <w:r w:rsidRPr="004D36C4">
        <w:rPr>
          <w:rFonts w:asciiTheme="majorBidi" w:hAnsiTheme="majorBidi" w:cstheme="majorBidi"/>
          <w:sz w:val="20"/>
          <w:szCs w:val="20"/>
        </w:rPr>
        <w:t>COVID</w:t>
      </w:r>
      <w:r w:rsidRPr="004D36C4">
        <w:rPr>
          <w:rFonts w:asciiTheme="majorBidi" w:hAnsiTheme="majorBidi" w:cstheme="majorBidi"/>
          <w:sz w:val="20"/>
          <w:szCs w:val="20"/>
          <w:lang w:val="ru-RU"/>
        </w:rPr>
        <w:t>-19, не должны приводить к каким-либо дополнительным расходам для заинтересованной общественности, которая стремится участвовать. Например, бесплатные телефонные номера должны быть предоставлены во время виртуального публичного слушания, чтобы заинтересованная общественность без доступа к Интернету могла участвовать бесплатно.</w:t>
      </w:r>
    </w:p>
    <w:p w:rsidR="004D36C4" w:rsidRPr="004D36C4" w:rsidRDefault="004D36C4" w:rsidP="004D36C4">
      <w:pPr>
        <w:pStyle w:val="a5"/>
        <w:tabs>
          <w:tab w:val="left" w:pos="993"/>
        </w:tabs>
        <w:ind w:left="567" w:right="521"/>
        <w:jc w:val="both"/>
        <w:rPr>
          <w:rFonts w:asciiTheme="majorBidi" w:hAnsiTheme="majorBidi" w:cstheme="majorBidi"/>
          <w:sz w:val="20"/>
          <w:szCs w:val="20"/>
          <w:lang w:val="ru-RU"/>
        </w:rPr>
      </w:pPr>
    </w:p>
    <w:p w:rsidR="004D36C4" w:rsidRPr="004D36C4" w:rsidRDefault="00001C51"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001C51">
        <w:rPr>
          <w:rFonts w:asciiTheme="majorBidi" w:hAnsiTheme="majorBidi" w:cstheme="majorBidi"/>
          <w:sz w:val="20"/>
          <w:szCs w:val="20"/>
          <w:lang w:val="ru-RU"/>
        </w:rPr>
        <w:t>Поскольку формы участия общественности будут отличаться от тех, которые обычно используются в соответствующей Сторон</w:t>
      </w:r>
      <w:r>
        <w:rPr>
          <w:rFonts w:asciiTheme="majorBidi" w:hAnsiTheme="majorBidi" w:cstheme="majorBidi"/>
          <w:sz w:val="20"/>
          <w:szCs w:val="20"/>
          <w:lang w:val="ru-RU"/>
        </w:rPr>
        <w:t>ой</w:t>
      </w:r>
      <w:r w:rsidRPr="00001C51">
        <w:rPr>
          <w:rFonts w:asciiTheme="majorBidi" w:hAnsiTheme="majorBidi" w:cstheme="majorBidi"/>
          <w:sz w:val="20"/>
          <w:szCs w:val="20"/>
          <w:lang w:val="ru-RU"/>
        </w:rPr>
        <w:t>, должностным лицам и органам власти потребуется приложить дополнительные усилия и выделить больше времени для оказания помощи и предоставления указаний общественности, как они могут участвовать в процедурах принятия решений по экологические вопросы, которые были выполнены во время пандемии COVID-19. Это может включать подготовку удобного для пользователя руководства о том, как общественность может участвовать в таких процедурах во время пандемии COVID-19.</w:t>
      </w:r>
      <w:r w:rsidR="004D36C4" w:rsidRPr="004D36C4">
        <w:rPr>
          <w:rFonts w:asciiTheme="majorBidi" w:hAnsiTheme="majorBidi" w:cstheme="majorBidi"/>
          <w:sz w:val="20"/>
          <w:szCs w:val="20"/>
          <w:lang w:val="ru-RU"/>
        </w:rPr>
        <w:t>.</w:t>
      </w:r>
    </w:p>
    <w:p w:rsidR="004D36C4" w:rsidRPr="004D36C4" w:rsidRDefault="004D36C4" w:rsidP="004D36C4">
      <w:pPr>
        <w:pStyle w:val="a5"/>
        <w:tabs>
          <w:tab w:val="left" w:pos="993"/>
        </w:tabs>
        <w:ind w:left="567" w:right="521"/>
        <w:jc w:val="both"/>
        <w:rPr>
          <w:rFonts w:asciiTheme="majorBidi" w:hAnsiTheme="majorBidi" w:cstheme="majorBidi"/>
          <w:sz w:val="20"/>
          <w:szCs w:val="20"/>
          <w:lang w:val="ru-RU"/>
        </w:rPr>
      </w:pPr>
    </w:p>
    <w:p w:rsidR="004D36C4" w:rsidRPr="008A71B1" w:rsidRDefault="004D36C4"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4D36C4">
        <w:rPr>
          <w:rFonts w:asciiTheme="majorBidi" w:hAnsiTheme="majorBidi" w:cstheme="majorBidi"/>
          <w:sz w:val="20"/>
          <w:szCs w:val="20"/>
          <w:lang w:val="ru-RU"/>
        </w:rPr>
        <w:t xml:space="preserve">Каждой Стороне также необходимо будет предоставить учебные и дополнительные ресурсы своим властям и должностным лицам, чтобы обеспечить их надлежащее оснащение для облегчения участия общественности в процедурах принятия решений в рамках Конвенции, проводимых во время пандемии </w:t>
      </w:r>
      <w:r w:rsidRPr="004D36C4">
        <w:rPr>
          <w:rFonts w:asciiTheme="majorBidi" w:hAnsiTheme="majorBidi" w:cstheme="majorBidi"/>
          <w:sz w:val="20"/>
          <w:szCs w:val="20"/>
        </w:rPr>
        <w:t>COVID</w:t>
      </w:r>
      <w:r w:rsidRPr="004D36C4">
        <w:rPr>
          <w:rFonts w:asciiTheme="majorBidi" w:hAnsiTheme="majorBidi" w:cstheme="majorBidi"/>
          <w:sz w:val="20"/>
          <w:szCs w:val="20"/>
          <w:lang w:val="ru-RU"/>
        </w:rPr>
        <w:t xml:space="preserve">-19. </w:t>
      </w:r>
      <w:r w:rsidRPr="008A71B1">
        <w:rPr>
          <w:rFonts w:asciiTheme="majorBidi" w:hAnsiTheme="majorBidi" w:cstheme="majorBidi"/>
          <w:sz w:val="20"/>
          <w:szCs w:val="20"/>
          <w:lang w:val="ru-RU"/>
        </w:rPr>
        <w:t>Среди прочего, это может включать в себя простые в использовании учебные пособия для должностных лиц о том, как организовать процедуру участия общественности в рамках Конвенции во время пандемии.</w:t>
      </w:r>
    </w:p>
    <w:p w:rsidR="001E5A83" w:rsidRPr="00E710F4" w:rsidRDefault="00C80875" w:rsidP="001E5A83">
      <w:pPr>
        <w:tabs>
          <w:tab w:val="left" w:pos="567"/>
          <w:tab w:val="left" w:pos="993"/>
        </w:tabs>
        <w:ind w:left="567" w:right="521"/>
        <w:jc w:val="both"/>
        <w:rPr>
          <w:rFonts w:asciiTheme="majorBidi" w:hAnsiTheme="majorBidi" w:cstheme="majorBidi"/>
          <w:sz w:val="20"/>
          <w:szCs w:val="20"/>
          <w:lang w:val="ru-RU"/>
        </w:rPr>
      </w:pPr>
      <w:r w:rsidRPr="00C80875">
        <w:rPr>
          <w:rFonts w:asciiTheme="majorBidi" w:hAnsiTheme="majorBidi" w:cstheme="majorBidi"/>
          <w:b/>
          <w:bCs/>
          <w:sz w:val="20"/>
          <w:szCs w:val="20"/>
          <w:lang w:val="ru-RU"/>
        </w:rPr>
        <w:t xml:space="preserve">Никаких наказаний, </w:t>
      </w:r>
      <w:r>
        <w:rPr>
          <w:rFonts w:asciiTheme="majorBidi" w:hAnsiTheme="majorBidi" w:cstheme="majorBidi"/>
          <w:b/>
          <w:bCs/>
          <w:sz w:val="20"/>
          <w:szCs w:val="20"/>
          <w:lang w:val="ru-RU"/>
        </w:rPr>
        <w:t xml:space="preserve">гонений или </w:t>
      </w:r>
      <w:r w:rsidRPr="00C80875">
        <w:rPr>
          <w:rFonts w:asciiTheme="majorBidi" w:hAnsiTheme="majorBidi" w:cstheme="majorBidi"/>
          <w:b/>
          <w:bCs/>
          <w:sz w:val="20"/>
          <w:szCs w:val="20"/>
          <w:lang w:val="ru-RU"/>
        </w:rPr>
        <w:t>преследований - статья 3 (8)</w:t>
      </w:r>
      <w:r w:rsidR="001E5A83" w:rsidRPr="00C80875">
        <w:rPr>
          <w:rFonts w:asciiTheme="majorBidi" w:hAnsiTheme="majorBidi" w:cstheme="majorBidi"/>
          <w:b/>
          <w:bCs/>
          <w:sz w:val="20"/>
          <w:szCs w:val="20"/>
          <w:lang w:val="ru-RU"/>
        </w:rPr>
        <w:t xml:space="preserve"> </w:t>
      </w:r>
    </w:p>
    <w:p w:rsidR="001E5A83" w:rsidRPr="004D36C4" w:rsidRDefault="004D36C4" w:rsidP="008A71B1">
      <w:pPr>
        <w:pStyle w:val="a5"/>
        <w:numPr>
          <w:ilvl w:val="0"/>
          <w:numId w:val="25"/>
        </w:numPr>
        <w:tabs>
          <w:tab w:val="left" w:pos="567"/>
          <w:tab w:val="left" w:pos="993"/>
        </w:tabs>
        <w:ind w:left="567" w:right="521" w:firstLine="0"/>
        <w:jc w:val="both"/>
        <w:rPr>
          <w:rFonts w:asciiTheme="majorBidi" w:hAnsiTheme="majorBidi" w:cstheme="majorBidi"/>
          <w:sz w:val="20"/>
          <w:szCs w:val="20"/>
          <w:lang w:val="ru-RU"/>
        </w:rPr>
      </w:pPr>
      <w:r w:rsidRPr="004D36C4">
        <w:rPr>
          <w:rFonts w:asciiTheme="majorBidi" w:hAnsiTheme="majorBidi" w:cstheme="majorBidi"/>
          <w:sz w:val="20"/>
          <w:szCs w:val="20"/>
          <w:lang w:val="ru-RU"/>
        </w:rPr>
        <w:t xml:space="preserve">Комитет подчеркивает, что требование в статье 3 (8) о том, что каждая Сторона обеспечивает, чтобы лица, осуществляющие свои права в соответствии с Конвенцией, не были наказаны, преследовались или преследовались за их участие, применяется с равной силой во время пандемии </w:t>
      </w:r>
      <w:r w:rsidRPr="004D36C4">
        <w:rPr>
          <w:rFonts w:asciiTheme="majorBidi" w:hAnsiTheme="majorBidi" w:cstheme="majorBidi"/>
          <w:sz w:val="20"/>
          <w:szCs w:val="20"/>
        </w:rPr>
        <w:t>COVID</w:t>
      </w:r>
      <w:r w:rsidRPr="004D36C4">
        <w:rPr>
          <w:rFonts w:asciiTheme="majorBidi" w:hAnsiTheme="majorBidi" w:cstheme="majorBidi"/>
          <w:sz w:val="20"/>
          <w:szCs w:val="20"/>
          <w:lang w:val="ru-RU"/>
        </w:rPr>
        <w:t>-19 и в отношении лиц, осуществляющих свои права на участие с помощью виртуальных средств.</w:t>
      </w:r>
      <w:r w:rsidR="001E5A83" w:rsidRPr="004D36C4">
        <w:rPr>
          <w:rFonts w:asciiTheme="majorBidi" w:hAnsiTheme="majorBidi" w:cstheme="majorBidi"/>
          <w:sz w:val="20"/>
          <w:szCs w:val="20"/>
          <w:lang w:val="ru-RU"/>
        </w:rPr>
        <w:t xml:space="preserve">. </w:t>
      </w:r>
    </w:p>
    <w:p w:rsidR="001E5A83" w:rsidRPr="004D36C4" w:rsidRDefault="001E5A83" w:rsidP="00A57028">
      <w:pPr>
        <w:pStyle w:val="a5"/>
        <w:tabs>
          <w:tab w:val="left" w:pos="993"/>
        </w:tabs>
        <w:ind w:left="567" w:right="521"/>
        <w:jc w:val="both"/>
        <w:rPr>
          <w:rFonts w:asciiTheme="majorBidi" w:hAnsiTheme="majorBidi"/>
          <w:sz w:val="20"/>
          <w:lang w:val="ru-RU"/>
        </w:rPr>
      </w:pPr>
    </w:p>
    <w:p w:rsidR="00824063" w:rsidRPr="00C80875" w:rsidRDefault="00C80875" w:rsidP="00662A87">
      <w:pPr>
        <w:pStyle w:val="a5"/>
        <w:tabs>
          <w:tab w:val="left" w:pos="993"/>
        </w:tabs>
        <w:ind w:left="567" w:right="521"/>
        <w:jc w:val="both"/>
        <w:rPr>
          <w:rFonts w:asciiTheme="majorBidi" w:hAnsiTheme="majorBidi" w:cstheme="majorBidi"/>
          <w:b/>
          <w:bCs/>
          <w:sz w:val="20"/>
          <w:szCs w:val="20"/>
          <w:lang w:val="ru-RU"/>
        </w:rPr>
      </w:pPr>
      <w:r w:rsidRPr="00C80875">
        <w:rPr>
          <w:rFonts w:asciiTheme="majorBidi" w:hAnsiTheme="majorBidi" w:cstheme="majorBidi"/>
          <w:b/>
          <w:bCs/>
          <w:sz w:val="20"/>
          <w:szCs w:val="20"/>
          <w:lang w:val="ru-RU"/>
        </w:rPr>
        <w:t>Нет дискриминации в отношении гражданства, национальности или места жительства - статья 3 (9)</w:t>
      </w:r>
    </w:p>
    <w:p w:rsidR="00EA1D6F" w:rsidRPr="00C80875" w:rsidRDefault="00EA1D6F" w:rsidP="00662A87">
      <w:pPr>
        <w:pStyle w:val="a5"/>
        <w:tabs>
          <w:tab w:val="left" w:pos="993"/>
        </w:tabs>
        <w:ind w:left="567" w:right="521"/>
        <w:jc w:val="both"/>
        <w:rPr>
          <w:rFonts w:asciiTheme="majorBidi" w:hAnsiTheme="majorBidi" w:cstheme="majorBidi"/>
          <w:b/>
          <w:bCs/>
          <w:sz w:val="20"/>
          <w:szCs w:val="20"/>
          <w:lang w:val="ru-RU"/>
        </w:rPr>
      </w:pPr>
    </w:p>
    <w:p w:rsidR="00EA1D6F" w:rsidRPr="00C80875" w:rsidRDefault="00C80875" w:rsidP="008A71B1">
      <w:pPr>
        <w:pStyle w:val="a5"/>
        <w:numPr>
          <w:ilvl w:val="0"/>
          <w:numId w:val="25"/>
        </w:numPr>
        <w:tabs>
          <w:tab w:val="left" w:pos="567"/>
          <w:tab w:val="left" w:pos="993"/>
        </w:tabs>
        <w:ind w:left="567" w:right="521" w:firstLine="0"/>
        <w:jc w:val="both"/>
        <w:rPr>
          <w:rFonts w:asciiTheme="majorBidi" w:hAnsiTheme="majorBidi" w:cstheme="majorBidi"/>
          <w:sz w:val="20"/>
          <w:szCs w:val="20"/>
          <w:lang w:val="ru-RU"/>
        </w:rPr>
      </w:pPr>
      <w:r w:rsidRPr="00C80875">
        <w:rPr>
          <w:rFonts w:asciiTheme="majorBidi" w:hAnsiTheme="majorBidi" w:cstheme="majorBidi"/>
          <w:sz w:val="20"/>
          <w:szCs w:val="20"/>
          <w:lang w:val="ru-RU"/>
        </w:rPr>
        <w:t xml:space="preserve">В отношении принятия решений о предлагаемой деятельности, которая может иметь потенциальные трансграничные последствия, Комитет напоминает соответствующей Стороне, что, возможно, потребуется принять специальные меры во время пандемии </w:t>
      </w:r>
      <w:r w:rsidRPr="00C80875">
        <w:rPr>
          <w:rFonts w:asciiTheme="majorBidi" w:hAnsiTheme="majorBidi" w:cstheme="majorBidi"/>
          <w:sz w:val="20"/>
          <w:szCs w:val="20"/>
        </w:rPr>
        <w:t>COVID</w:t>
      </w:r>
      <w:r w:rsidRPr="00C80875">
        <w:rPr>
          <w:rFonts w:asciiTheme="majorBidi" w:hAnsiTheme="majorBidi" w:cstheme="majorBidi"/>
          <w:sz w:val="20"/>
          <w:szCs w:val="20"/>
          <w:lang w:val="ru-RU"/>
        </w:rPr>
        <w:t>-19, чтобы обеспечить, чтобы заинтересованная иностранная общественность имела возможность участвовать в принятии этих решений без какой-либо дискриминации по признаку гражданства, национальности или места жительства.</w:t>
      </w:r>
    </w:p>
    <w:p w:rsidR="00F658C0" w:rsidRPr="00C80875" w:rsidRDefault="00F658C0" w:rsidP="00662A87">
      <w:pPr>
        <w:pStyle w:val="a5"/>
        <w:tabs>
          <w:tab w:val="left" w:pos="993"/>
        </w:tabs>
        <w:ind w:left="567" w:right="521"/>
        <w:jc w:val="both"/>
        <w:rPr>
          <w:rFonts w:asciiTheme="majorBidi" w:hAnsiTheme="majorBidi" w:cstheme="majorBidi"/>
          <w:b/>
          <w:bCs/>
          <w:sz w:val="20"/>
          <w:szCs w:val="20"/>
          <w:lang w:val="ru-RU"/>
        </w:rPr>
      </w:pPr>
    </w:p>
    <w:p w:rsidR="00593EF1" w:rsidRPr="00C80875" w:rsidRDefault="00593EF1" w:rsidP="00662A87">
      <w:pPr>
        <w:pStyle w:val="a5"/>
        <w:tabs>
          <w:tab w:val="left" w:pos="993"/>
        </w:tabs>
        <w:ind w:left="567" w:right="521"/>
        <w:jc w:val="both"/>
        <w:rPr>
          <w:rFonts w:asciiTheme="majorBidi" w:hAnsiTheme="majorBidi" w:cstheme="majorBidi"/>
          <w:b/>
          <w:bCs/>
          <w:sz w:val="20"/>
          <w:szCs w:val="20"/>
          <w:lang w:val="ru-RU"/>
        </w:rPr>
      </w:pPr>
    </w:p>
    <w:p w:rsidR="00612ECC" w:rsidRPr="00473CFB" w:rsidRDefault="00257F9E" w:rsidP="00C9548C">
      <w:pPr>
        <w:pStyle w:val="a5"/>
        <w:numPr>
          <w:ilvl w:val="0"/>
          <w:numId w:val="11"/>
        </w:numPr>
        <w:tabs>
          <w:tab w:val="left" w:pos="993"/>
        </w:tabs>
        <w:ind w:right="521"/>
        <w:jc w:val="both"/>
        <w:rPr>
          <w:rFonts w:asciiTheme="majorBidi" w:hAnsiTheme="majorBidi" w:cstheme="majorBidi"/>
          <w:b/>
          <w:bCs/>
          <w:sz w:val="24"/>
          <w:szCs w:val="24"/>
        </w:rPr>
      </w:pPr>
      <w:proofErr w:type="spellStart"/>
      <w:r w:rsidRPr="00257F9E">
        <w:rPr>
          <w:rFonts w:asciiTheme="majorBidi" w:hAnsiTheme="majorBidi" w:cstheme="majorBidi"/>
          <w:b/>
          <w:bCs/>
          <w:sz w:val="24"/>
          <w:szCs w:val="24"/>
        </w:rPr>
        <w:t>Особые</w:t>
      </w:r>
      <w:proofErr w:type="spellEnd"/>
      <w:r w:rsidRPr="00257F9E">
        <w:rPr>
          <w:rFonts w:asciiTheme="majorBidi" w:hAnsiTheme="majorBidi" w:cstheme="majorBidi"/>
          <w:b/>
          <w:bCs/>
          <w:sz w:val="24"/>
          <w:szCs w:val="24"/>
        </w:rPr>
        <w:t xml:space="preserve"> </w:t>
      </w:r>
      <w:proofErr w:type="spellStart"/>
      <w:r w:rsidRPr="00257F9E">
        <w:rPr>
          <w:rFonts w:asciiTheme="majorBidi" w:hAnsiTheme="majorBidi" w:cstheme="majorBidi"/>
          <w:b/>
          <w:bCs/>
          <w:sz w:val="24"/>
          <w:szCs w:val="24"/>
        </w:rPr>
        <w:t>обязательства</w:t>
      </w:r>
      <w:proofErr w:type="spellEnd"/>
    </w:p>
    <w:p w:rsidR="00C9548C" w:rsidRPr="00473CFB" w:rsidRDefault="00C9548C" w:rsidP="00662A87">
      <w:pPr>
        <w:pStyle w:val="a5"/>
        <w:tabs>
          <w:tab w:val="left" w:pos="993"/>
        </w:tabs>
        <w:ind w:left="567" w:right="521"/>
        <w:jc w:val="both"/>
        <w:rPr>
          <w:rFonts w:asciiTheme="majorBidi" w:hAnsiTheme="majorBidi" w:cstheme="majorBidi"/>
          <w:b/>
          <w:bCs/>
          <w:sz w:val="20"/>
          <w:szCs w:val="20"/>
        </w:rPr>
      </w:pPr>
    </w:p>
    <w:p w:rsidR="00A76FD7" w:rsidRDefault="00945556" w:rsidP="00662A87">
      <w:pPr>
        <w:pStyle w:val="a5"/>
        <w:tabs>
          <w:tab w:val="left" w:pos="993"/>
        </w:tabs>
        <w:ind w:left="567" w:right="521"/>
        <w:jc w:val="both"/>
        <w:rPr>
          <w:rFonts w:asciiTheme="majorBidi" w:hAnsiTheme="majorBidi" w:cstheme="majorBidi"/>
          <w:b/>
          <w:bCs/>
          <w:sz w:val="20"/>
          <w:szCs w:val="20"/>
          <w:lang w:val="ru-RU"/>
        </w:rPr>
      </w:pPr>
      <w:r>
        <w:rPr>
          <w:rFonts w:asciiTheme="majorBidi" w:hAnsiTheme="majorBidi" w:cstheme="majorBidi"/>
          <w:b/>
          <w:bCs/>
          <w:sz w:val="20"/>
          <w:szCs w:val="20"/>
          <w:lang w:val="ru-RU"/>
        </w:rPr>
        <w:t>Надлежа</w:t>
      </w:r>
      <w:r w:rsidR="00E710F4">
        <w:rPr>
          <w:rFonts w:asciiTheme="majorBidi" w:hAnsiTheme="majorBidi" w:cstheme="majorBidi"/>
          <w:b/>
          <w:bCs/>
          <w:sz w:val="20"/>
          <w:szCs w:val="20"/>
          <w:lang w:val="ru-RU"/>
        </w:rPr>
        <w:t xml:space="preserve">щее, </w:t>
      </w:r>
      <w:r w:rsidR="009213F5" w:rsidRPr="009213F5">
        <w:rPr>
          <w:rFonts w:asciiTheme="majorBidi" w:hAnsiTheme="majorBidi" w:cstheme="majorBidi"/>
          <w:b/>
          <w:bCs/>
          <w:sz w:val="20"/>
          <w:szCs w:val="20"/>
          <w:lang w:val="ru-RU"/>
        </w:rPr>
        <w:t xml:space="preserve"> своевременное и эффективное уведомление - статья 6 (2)</w:t>
      </w:r>
    </w:p>
    <w:p w:rsidR="009213F5" w:rsidRPr="009213F5" w:rsidRDefault="009213F5" w:rsidP="00662A87">
      <w:pPr>
        <w:pStyle w:val="a5"/>
        <w:tabs>
          <w:tab w:val="left" w:pos="993"/>
        </w:tabs>
        <w:ind w:left="567" w:right="521"/>
        <w:jc w:val="both"/>
        <w:rPr>
          <w:rFonts w:asciiTheme="majorBidi" w:hAnsiTheme="majorBidi" w:cstheme="majorBidi"/>
          <w:b/>
          <w:bCs/>
          <w:sz w:val="20"/>
          <w:szCs w:val="20"/>
          <w:lang w:val="ru-RU"/>
        </w:rPr>
      </w:pPr>
    </w:p>
    <w:p w:rsidR="00662A87" w:rsidRPr="009213F5" w:rsidRDefault="009213F5" w:rsidP="00662A87">
      <w:pPr>
        <w:pStyle w:val="a5"/>
        <w:tabs>
          <w:tab w:val="left" w:pos="993"/>
        </w:tabs>
        <w:ind w:left="567" w:right="521"/>
        <w:jc w:val="both"/>
        <w:rPr>
          <w:rFonts w:asciiTheme="majorBidi" w:hAnsiTheme="majorBidi" w:cstheme="majorBidi"/>
          <w:i/>
          <w:iCs/>
          <w:sz w:val="20"/>
          <w:szCs w:val="20"/>
          <w:lang w:val="ru-RU"/>
        </w:rPr>
      </w:pPr>
      <w:r w:rsidRPr="009213F5">
        <w:rPr>
          <w:rFonts w:asciiTheme="majorBidi" w:hAnsiTheme="majorBidi" w:cstheme="majorBidi"/>
          <w:i/>
          <w:iCs/>
          <w:sz w:val="20"/>
          <w:szCs w:val="20"/>
          <w:lang w:val="ru-RU"/>
        </w:rPr>
        <w:t>Средства уведомления</w:t>
      </w:r>
    </w:p>
    <w:p w:rsidR="00A76FD7" w:rsidRPr="009213F5" w:rsidRDefault="00A76FD7" w:rsidP="00662A87">
      <w:pPr>
        <w:pStyle w:val="a5"/>
        <w:tabs>
          <w:tab w:val="left" w:pos="993"/>
        </w:tabs>
        <w:ind w:left="567" w:right="521"/>
        <w:jc w:val="both"/>
        <w:rPr>
          <w:rFonts w:asciiTheme="majorBidi" w:hAnsiTheme="majorBidi" w:cstheme="majorBidi"/>
          <w:i/>
          <w:iCs/>
          <w:sz w:val="20"/>
          <w:szCs w:val="20"/>
          <w:lang w:val="ru-RU"/>
        </w:rPr>
      </w:pPr>
    </w:p>
    <w:p w:rsidR="009213F5" w:rsidRPr="009213F5" w:rsidRDefault="009213F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213F5">
        <w:rPr>
          <w:rFonts w:asciiTheme="majorBidi" w:hAnsiTheme="majorBidi" w:cstheme="majorBidi"/>
          <w:sz w:val="20"/>
          <w:szCs w:val="20"/>
          <w:lang w:val="ru-RU"/>
        </w:rPr>
        <w:t xml:space="preserve">В соответствии со статьей 6 (2) Конвенции, во время пандемии </w:t>
      </w:r>
      <w:r w:rsidRPr="009213F5">
        <w:rPr>
          <w:rFonts w:asciiTheme="majorBidi" w:hAnsiTheme="majorBidi" w:cstheme="majorBidi"/>
          <w:sz w:val="20"/>
          <w:szCs w:val="20"/>
        </w:rPr>
        <w:t>COVID</w:t>
      </w:r>
      <w:r w:rsidRPr="009213F5">
        <w:rPr>
          <w:rFonts w:asciiTheme="majorBidi" w:hAnsiTheme="majorBidi" w:cstheme="majorBidi"/>
          <w:sz w:val="20"/>
          <w:szCs w:val="20"/>
          <w:lang w:val="ru-RU"/>
        </w:rPr>
        <w:t>-19 соответствующая общественность все еще должна быть информирована о предлагаемом процессе принятия решений адекватным, своевременным и эффективным образом. Поскольку от представителей общественности может потребоваться оставаться в своих домах или они могут решить сделать это по состоянию здоровья, может быть недостаточно или неэффективно уведомлять их только через физические уведомления, размещенные вблизи планируемой деятельности или на общественных досках объявлений. и, соответственно, следует использовать дополнительные средства уведомления.</w:t>
      </w:r>
    </w:p>
    <w:p w:rsidR="009213F5" w:rsidRPr="009213F5" w:rsidRDefault="009213F5" w:rsidP="009213F5">
      <w:pPr>
        <w:pStyle w:val="a5"/>
        <w:tabs>
          <w:tab w:val="left" w:pos="993"/>
        </w:tabs>
        <w:ind w:left="567" w:right="521"/>
        <w:jc w:val="both"/>
        <w:rPr>
          <w:rFonts w:asciiTheme="majorBidi" w:hAnsiTheme="majorBidi" w:cstheme="majorBidi"/>
          <w:sz w:val="20"/>
          <w:szCs w:val="20"/>
          <w:lang w:val="ru-RU"/>
        </w:rPr>
      </w:pPr>
    </w:p>
    <w:p w:rsidR="00662A87" w:rsidRPr="009213F5" w:rsidRDefault="009213F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213F5">
        <w:rPr>
          <w:rFonts w:asciiTheme="majorBidi" w:hAnsiTheme="majorBidi" w:cstheme="majorBidi"/>
          <w:sz w:val="20"/>
          <w:szCs w:val="20"/>
          <w:lang w:val="ru-RU"/>
        </w:rPr>
        <w:t xml:space="preserve">Таким образом, необходимо будет использовать дополнительные средства уведомления для обеспечения того, чтобы заинтересованная общественность действительно была уведомлена надлежащим, своевременным и эффективным образом. В зависимости от средств уведомления, обычно используемых в соответствующей Стороне, в дополнение к уведомлению через наиболее читаемые газеты в зоне, потенциально затрагиваемой деятельностью, </w:t>
      </w:r>
      <w:proofErr w:type="spellStart"/>
      <w:r w:rsidRPr="009213F5">
        <w:rPr>
          <w:rFonts w:asciiTheme="majorBidi" w:hAnsiTheme="majorBidi" w:cstheme="majorBidi"/>
          <w:sz w:val="20"/>
          <w:szCs w:val="20"/>
          <w:lang w:val="ru-RU"/>
        </w:rPr>
        <w:t>веб-сайты</w:t>
      </w:r>
      <w:proofErr w:type="spellEnd"/>
      <w:r w:rsidRPr="009213F5">
        <w:rPr>
          <w:rFonts w:asciiTheme="majorBidi" w:hAnsiTheme="majorBidi" w:cstheme="majorBidi"/>
          <w:sz w:val="20"/>
          <w:szCs w:val="20"/>
          <w:lang w:val="ru-RU"/>
        </w:rPr>
        <w:t xml:space="preserve"> соответствующих государственных органов, радио, телевидения и социальных сетей в некоторых В случаях эффективного уведомления может также потребоваться, чтобы местные жители и другие лица, заинтересованные в принятии решения, были уведомлены индивидуально, например, посредством почтового и / или мобильного текстового сообщения (</w:t>
      </w:r>
      <w:proofErr w:type="spellStart"/>
      <w:r w:rsidRPr="009213F5">
        <w:rPr>
          <w:rFonts w:asciiTheme="majorBidi" w:hAnsiTheme="majorBidi" w:cstheme="majorBidi"/>
          <w:sz w:val="20"/>
          <w:szCs w:val="20"/>
          <w:lang w:val="ru-RU"/>
        </w:rPr>
        <w:t>смс</w:t>
      </w:r>
      <w:proofErr w:type="spellEnd"/>
      <w:r w:rsidRPr="009213F5">
        <w:rPr>
          <w:rFonts w:asciiTheme="majorBidi" w:hAnsiTheme="majorBidi" w:cstheme="majorBidi"/>
          <w:sz w:val="20"/>
          <w:szCs w:val="20"/>
          <w:lang w:val="ru-RU"/>
        </w:rPr>
        <w:t>).</w:t>
      </w:r>
    </w:p>
    <w:p w:rsidR="00C90488" w:rsidRPr="009213F5" w:rsidRDefault="00C90488" w:rsidP="00662A87">
      <w:pPr>
        <w:pStyle w:val="a5"/>
        <w:tabs>
          <w:tab w:val="left" w:pos="993"/>
        </w:tabs>
        <w:ind w:left="567" w:right="521"/>
        <w:jc w:val="both"/>
        <w:rPr>
          <w:rFonts w:asciiTheme="majorBidi" w:hAnsiTheme="majorBidi" w:cstheme="majorBidi"/>
          <w:sz w:val="20"/>
          <w:szCs w:val="20"/>
          <w:lang w:val="ru-RU"/>
        </w:rPr>
      </w:pPr>
    </w:p>
    <w:p w:rsidR="00C90488" w:rsidRPr="009213F5" w:rsidRDefault="00C90488" w:rsidP="00662A87">
      <w:pPr>
        <w:pStyle w:val="a5"/>
        <w:tabs>
          <w:tab w:val="left" w:pos="993"/>
        </w:tabs>
        <w:ind w:left="567" w:right="521"/>
        <w:jc w:val="both"/>
        <w:rPr>
          <w:rFonts w:asciiTheme="majorBidi" w:hAnsiTheme="majorBidi" w:cstheme="majorBidi"/>
          <w:sz w:val="20"/>
          <w:szCs w:val="20"/>
          <w:lang w:val="ru-RU"/>
        </w:rPr>
      </w:pPr>
    </w:p>
    <w:p w:rsidR="00C90488" w:rsidRPr="009213F5" w:rsidRDefault="00C90488" w:rsidP="00662A87">
      <w:pPr>
        <w:pStyle w:val="a5"/>
        <w:tabs>
          <w:tab w:val="left" w:pos="993"/>
        </w:tabs>
        <w:ind w:left="567" w:right="521"/>
        <w:jc w:val="both"/>
        <w:rPr>
          <w:rFonts w:asciiTheme="majorBidi" w:hAnsiTheme="majorBidi" w:cstheme="majorBidi"/>
          <w:sz w:val="20"/>
          <w:szCs w:val="20"/>
          <w:lang w:val="ru-RU"/>
        </w:rPr>
      </w:pPr>
    </w:p>
    <w:p w:rsidR="00593EF1" w:rsidRPr="009213F5" w:rsidRDefault="00593EF1" w:rsidP="00662A87">
      <w:pPr>
        <w:pStyle w:val="a5"/>
        <w:tabs>
          <w:tab w:val="left" w:pos="993"/>
        </w:tabs>
        <w:ind w:left="567" w:right="521"/>
        <w:jc w:val="both"/>
        <w:rPr>
          <w:rFonts w:asciiTheme="majorBidi" w:hAnsiTheme="majorBidi" w:cstheme="majorBidi"/>
          <w:i/>
          <w:iCs/>
          <w:sz w:val="20"/>
          <w:szCs w:val="20"/>
          <w:lang w:val="ru-RU"/>
        </w:rPr>
      </w:pPr>
    </w:p>
    <w:p w:rsidR="00593EF1" w:rsidRPr="009213F5" w:rsidRDefault="00593EF1" w:rsidP="00662A87">
      <w:pPr>
        <w:pStyle w:val="a5"/>
        <w:tabs>
          <w:tab w:val="left" w:pos="993"/>
        </w:tabs>
        <w:ind w:left="567" w:right="521"/>
        <w:jc w:val="both"/>
        <w:rPr>
          <w:rFonts w:asciiTheme="majorBidi" w:hAnsiTheme="majorBidi" w:cstheme="majorBidi"/>
          <w:i/>
          <w:iCs/>
          <w:sz w:val="20"/>
          <w:szCs w:val="20"/>
          <w:lang w:val="ru-RU"/>
        </w:rPr>
      </w:pPr>
    </w:p>
    <w:p w:rsidR="00E05A94" w:rsidRPr="009213F5" w:rsidRDefault="009213F5" w:rsidP="00662A87">
      <w:pPr>
        <w:pStyle w:val="a5"/>
        <w:tabs>
          <w:tab w:val="left" w:pos="993"/>
        </w:tabs>
        <w:ind w:left="567" w:right="521"/>
        <w:jc w:val="both"/>
        <w:rPr>
          <w:rFonts w:asciiTheme="majorBidi" w:hAnsiTheme="majorBidi" w:cstheme="majorBidi"/>
          <w:i/>
          <w:iCs/>
          <w:sz w:val="20"/>
          <w:szCs w:val="20"/>
          <w:lang w:val="ru-RU"/>
        </w:rPr>
      </w:pPr>
      <w:r w:rsidRPr="009213F5">
        <w:rPr>
          <w:rFonts w:asciiTheme="majorBidi" w:hAnsiTheme="majorBidi" w:cstheme="majorBidi"/>
          <w:i/>
          <w:iCs/>
          <w:sz w:val="20"/>
          <w:szCs w:val="20"/>
          <w:lang w:val="ru-RU"/>
        </w:rPr>
        <w:t>Содержание уведомления, включая предусмотренную процедуру - статья 6 (2) (</w:t>
      </w:r>
      <w:r w:rsidRPr="009213F5">
        <w:rPr>
          <w:rFonts w:asciiTheme="majorBidi" w:hAnsiTheme="majorBidi" w:cstheme="majorBidi"/>
          <w:i/>
          <w:iCs/>
          <w:sz w:val="20"/>
          <w:szCs w:val="20"/>
        </w:rPr>
        <w:t>d</w:t>
      </w:r>
      <w:r w:rsidRPr="009213F5">
        <w:rPr>
          <w:rFonts w:asciiTheme="majorBidi" w:hAnsiTheme="majorBidi" w:cstheme="majorBidi"/>
          <w:i/>
          <w:iCs/>
          <w:sz w:val="20"/>
          <w:szCs w:val="20"/>
          <w:lang w:val="ru-RU"/>
        </w:rPr>
        <w:t>)</w:t>
      </w:r>
    </w:p>
    <w:p w:rsidR="00662A87" w:rsidRPr="009213F5" w:rsidRDefault="00662A87" w:rsidP="00662A87">
      <w:pPr>
        <w:pStyle w:val="a5"/>
        <w:tabs>
          <w:tab w:val="left" w:pos="993"/>
        </w:tabs>
        <w:ind w:left="567" w:right="521"/>
        <w:jc w:val="both"/>
        <w:rPr>
          <w:rFonts w:asciiTheme="majorBidi" w:hAnsiTheme="majorBidi" w:cstheme="majorBidi"/>
          <w:i/>
          <w:iCs/>
          <w:sz w:val="20"/>
          <w:szCs w:val="20"/>
          <w:lang w:val="ru-RU"/>
        </w:rPr>
      </w:pPr>
    </w:p>
    <w:p w:rsidR="00662A87" w:rsidRPr="009213F5" w:rsidRDefault="009213F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213F5">
        <w:rPr>
          <w:rFonts w:asciiTheme="majorBidi" w:hAnsiTheme="majorBidi" w:cstheme="majorBidi"/>
          <w:sz w:val="20"/>
          <w:szCs w:val="20"/>
          <w:lang w:val="ru-RU"/>
        </w:rPr>
        <w:t>Поскольку процедура может существенно отличаться от обычных процедур участия общественности, применяемых в соответствующей Стороне, в дополнение к другим требованиям к уведомлению, перечисленным в статье 6 (2), особенно важно, чтобы уведомление содержало четкую информацию на предусмотренную процедуру, в том числе</w:t>
      </w:r>
      <w:r w:rsidR="005A2B63" w:rsidRPr="009213F5">
        <w:rPr>
          <w:rFonts w:asciiTheme="majorBidi" w:hAnsiTheme="majorBidi" w:cstheme="majorBidi"/>
          <w:sz w:val="20"/>
          <w:szCs w:val="20"/>
          <w:lang w:val="ru-RU"/>
        </w:rPr>
        <w:t xml:space="preserve">: </w:t>
      </w:r>
    </w:p>
    <w:p w:rsidR="009213F5" w:rsidRPr="009213F5" w:rsidRDefault="005A2B63" w:rsidP="009213F5">
      <w:pPr>
        <w:pStyle w:val="a5"/>
        <w:tabs>
          <w:tab w:val="left" w:pos="993"/>
        </w:tabs>
        <w:ind w:left="993" w:right="521"/>
        <w:jc w:val="both"/>
        <w:rPr>
          <w:rFonts w:asciiTheme="majorBidi" w:hAnsiTheme="majorBidi" w:cstheme="majorBidi"/>
          <w:sz w:val="20"/>
          <w:szCs w:val="20"/>
          <w:lang w:val="ru-RU"/>
        </w:rPr>
      </w:pPr>
      <w:r w:rsidRPr="009213F5">
        <w:rPr>
          <w:rFonts w:asciiTheme="majorBidi" w:hAnsiTheme="majorBidi" w:cstheme="majorBidi"/>
          <w:sz w:val="20"/>
          <w:szCs w:val="20"/>
          <w:lang w:val="ru-RU"/>
        </w:rPr>
        <w:br/>
      </w:r>
      <w:r w:rsidR="00662A87" w:rsidRPr="009213F5">
        <w:rPr>
          <w:rFonts w:asciiTheme="majorBidi" w:hAnsiTheme="majorBidi" w:cstheme="majorBidi"/>
          <w:sz w:val="20"/>
          <w:szCs w:val="20"/>
          <w:lang w:val="ru-RU"/>
        </w:rPr>
        <w:t>(</w:t>
      </w:r>
      <w:r w:rsidR="00662A87" w:rsidRPr="00473CFB">
        <w:rPr>
          <w:rFonts w:asciiTheme="majorBidi" w:hAnsiTheme="majorBidi" w:cstheme="majorBidi"/>
          <w:sz w:val="20"/>
          <w:szCs w:val="20"/>
        </w:rPr>
        <w:t>a</w:t>
      </w:r>
      <w:r w:rsidR="00662A87" w:rsidRPr="009213F5">
        <w:rPr>
          <w:rFonts w:asciiTheme="majorBidi" w:hAnsiTheme="majorBidi" w:cstheme="majorBidi"/>
          <w:sz w:val="20"/>
          <w:szCs w:val="20"/>
          <w:lang w:val="ru-RU"/>
        </w:rPr>
        <w:t>)</w:t>
      </w:r>
      <w:r w:rsidR="00662A87" w:rsidRPr="009213F5">
        <w:rPr>
          <w:rFonts w:asciiTheme="majorBidi" w:hAnsiTheme="majorBidi" w:cstheme="majorBidi"/>
          <w:sz w:val="20"/>
          <w:szCs w:val="20"/>
          <w:lang w:val="ru-RU"/>
        </w:rPr>
        <w:tab/>
      </w:r>
      <w:r w:rsidR="009213F5" w:rsidRPr="009213F5">
        <w:rPr>
          <w:rFonts w:asciiTheme="majorBidi" w:hAnsiTheme="majorBidi" w:cstheme="majorBidi"/>
          <w:sz w:val="20"/>
          <w:szCs w:val="20"/>
          <w:lang w:val="ru-RU"/>
        </w:rPr>
        <w:t>возможности для участия общественности (статья 6 (2) (</w:t>
      </w:r>
      <w:r w:rsidR="009213F5" w:rsidRPr="009213F5">
        <w:rPr>
          <w:rFonts w:asciiTheme="majorBidi" w:hAnsiTheme="majorBidi" w:cstheme="majorBidi"/>
          <w:sz w:val="20"/>
          <w:szCs w:val="20"/>
        </w:rPr>
        <w:t>d</w:t>
      </w:r>
      <w:r w:rsidR="009213F5" w:rsidRPr="009213F5">
        <w:rPr>
          <w:rFonts w:asciiTheme="majorBidi" w:hAnsiTheme="majorBidi" w:cstheme="majorBidi"/>
          <w:sz w:val="20"/>
          <w:szCs w:val="20"/>
          <w:lang w:val="ru-RU"/>
        </w:rPr>
        <w:t>) (</w:t>
      </w:r>
      <w:r w:rsidR="009213F5" w:rsidRPr="009213F5">
        <w:rPr>
          <w:rFonts w:asciiTheme="majorBidi" w:hAnsiTheme="majorBidi" w:cstheme="majorBidi"/>
          <w:sz w:val="20"/>
          <w:szCs w:val="20"/>
        </w:rPr>
        <w:t>ii</w:t>
      </w:r>
      <w:r w:rsidR="009213F5" w:rsidRPr="009213F5">
        <w:rPr>
          <w:rFonts w:asciiTheme="majorBidi" w:hAnsiTheme="majorBidi" w:cstheme="majorBidi"/>
          <w:sz w:val="20"/>
          <w:szCs w:val="20"/>
          <w:lang w:val="ru-RU"/>
        </w:rPr>
        <w:t>));</w:t>
      </w:r>
    </w:p>
    <w:p w:rsidR="009213F5" w:rsidRPr="009213F5" w:rsidRDefault="009213F5" w:rsidP="009213F5">
      <w:pPr>
        <w:pStyle w:val="a5"/>
        <w:tabs>
          <w:tab w:val="left" w:pos="993"/>
        </w:tabs>
        <w:ind w:left="993" w:right="521"/>
        <w:jc w:val="both"/>
        <w:rPr>
          <w:rFonts w:asciiTheme="majorBidi" w:hAnsiTheme="majorBidi" w:cstheme="majorBidi"/>
          <w:sz w:val="20"/>
          <w:szCs w:val="20"/>
          <w:lang w:val="ru-RU"/>
        </w:rPr>
      </w:pPr>
    </w:p>
    <w:p w:rsidR="009213F5" w:rsidRPr="009213F5" w:rsidRDefault="009213F5" w:rsidP="009213F5">
      <w:pPr>
        <w:pStyle w:val="a5"/>
        <w:tabs>
          <w:tab w:val="left" w:pos="993"/>
        </w:tabs>
        <w:ind w:left="993" w:right="521"/>
        <w:jc w:val="both"/>
        <w:rPr>
          <w:rFonts w:asciiTheme="majorBidi" w:hAnsiTheme="majorBidi" w:cstheme="majorBidi"/>
          <w:sz w:val="20"/>
          <w:szCs w:val="20"/>
          <w:lang w:val="ru-RU"/>
        </w:rPr>
      </w:pPr>
      <w:r w:rsidRPr="009213F5">
        <w:rPr>
          <w:rFonts w:asciiTheme="majorBidi" w:hAnsiTheme="majorBidi" w:cstheme="majorBidi"/>
          <w:sz w:val="20"/>
          <w:szCs w:val="20"/>
          <w:lang w:val="ru-RU"/>
        </w:rPr>
        <w:t>(</w:t>
      </w:r>
      <w:r w:rsidRPr="009213F5">
        <w:rPr>
          <w:rFonts w:asciiTheme="majorBidi" w:hAnsiTheme="majorBidi" w:cstheme="majorBidi"/>
          <w:sz w:val="20"/>
          <w:szCs w:val="20"/>
        </w:rPr>
        <w:t>b</w:t>
      </w:r>
      <w:r>
        <w:rPr>
          <w:rFonts w:asciiTheme="majorBidi" w:hAnsiTheme="majorBidi" w:cstheme="majorBidi"/>
          <w:sz w:val="20"/>
          <w:szCs w:val="20"/>
          <w:lang w:val="ru-RU"/>
        </w:rPr>
        <w:t>) Когда и как общественность</w:t>
      </w:r>
      <w:r w:rsidRPr="009213F5">
        <w:rPr>
          <w:rFonts w:asciiTheme="majorBidi" w:hAnsiTheme="majorBidi" w:cstheme="majorBidi"/>
          <w:sz w:val="20"/>
          <w:szCs w:val="20"/>
          <w:lang w:val="ru-RU"/>
        </w:rPr>
        <w:t xml:space="preserve"> может участвовать в виртуальных публичных слушаниях (статья 6 (2) (</w:t>
      </w:r>
      <w:r w:rsidRPr="009213F5">
        <w:rPr>
          <w:rFonts w:asciiTheme="majorBidi" w:hAnsiTheme="majorBidi" w:cstheme="majorBidi"/>
          <w:sz w:val="20"/>
          <w:szCs w:val="20"/>
        </w:rPr>
        <w:t>d</w:t>
      </w:r>
      <w:r w:rsidRPr="009213F5">
        <w:rPr>
          <w:rFonts w:asciiTheme="majorBidi" w:hAnsiTheme="majorBidi" w:cstheme="majorBidi"/>
          <w:sz w:val="20"/>
          <w:szCs w:val="20"/>
          <w:lang w:val="ru-RU"/>
        </w:rPr>
        <w:t>) (</w:t>
      </w:r>
      <w:r w:rsidRPr="009213F5">
        <w:rPr>
          <w:rFonts w:asciiTheme="majorBidi" w:hAnsiTheme="majorBidi" w:cstheme="majorBidi"/>
          <w:sz w:val="20"/>
          <w:szCs w:val="20"/>
        </w:rPr>
        <w:t>iii</w:t>
      </w:r>
      <w:r w:rsidRPr="009213F5">
        <w:rPr>
          <w:rFonts w:asciiTheme="majorBidi" w:hAnsiTheme="majorBidi" w:cstheme="majorBidi"/>
          <w:sz w:val="20"/>
          <w:szCs w:val="20"/>
          <w:lang w:val="ru-RU"/>
        </w:rPr>
        <w:t>));</w:t>
      </w:r>
    </w:p>
    <w:p w:rsidR="009213F5" w:rsidRPr="009213F5" w:rsidRDefault="009213F5" w:rsidP="009213F5">
      <w:pPr>
        <w:pStyle w:val="a5"/>
        <w:tabs>
          <w:tab w:val="left" w:pos="993"/>
        </w:tabs>
        <w:ind w:left="993" w:right="521"/>
        <w:jc w:val="both"/>
        <w:rPr>
          <w:rFonts w:asciiTheme="majorBidi" w:hAnsiTheme="majorBidi" w:cstheme="majorBidi"/>
          <w:sz w:val="20"/>
          <w:szCs w:val="20"/>
          <w:lang w:val="ru-RU"/>
        </w:rPr>
      </w:pPr>
    </w:p>
    <w:p w:rsidR="009213F5" w:rsidRPr="008A71B1" w:rsidRDefault="009213F5" w:rsidP="009213F5">
      <w:pPr>
        <w:pStyle w:val="a5"/>
        <w:tabs>
          <w:tab w:val="left" w:pos="993"/>
        </w:tabs>
        <w:ind w:left="993" w:right="521"/>
        <w:jc w:val="both"/>
        <w:rPr>
          <w:rFonts w:asciiTheme="majorBidi" w:hAnsiTheme="majorBidi" w:cstheme="majorBidi"/>
          <w:sz w:val="20"/>
          <w:szCs w:val="20"/>
          <w:lang w:val="ru-RU"/>
        </w:rPr>
      </w:pPr>
      <w:r w:rsidRPr="009213F5">
        <w:rPr>
          <w:rFonts w:asciiTheme="majorBidi" w:hAnsiTheme="majorBidi" w:cstheme="majorBidi"/>
          <w:sz w:val="20"/>
          <w:szCs w:val="20"/>
          <w:lang w:val="ru-RU"/>
        </w:rPr>
        <w:t>(</w:t>
      </w:r>
      <w:r w:rsidRPr="009213F5">
        <w:rPr>
          <w:rFonts w:asciiTheme="majorBidi" w:hAnsiTheme="majorBidi" w:cstheme="majorBidi"/>
          <w:sz w:val="20"/>
          <w:szCs w:val="20"/>
        </w:rPr>
        <w:t>c</w:t>
      </w:r>
      <w:r w:rsidRPr="009213F5">
        <w:rPr>
          <w:rFonts w:asciiTheme="majorBidi" w:hAnsiTheme="majorBidi" w:cstheme="majorBidi"/>
          <w:sz w:val="20"/>
          <w:szCs w:val="20"/>
          <w:lang w:val="ru-RU"/>
        </w:rPr>
        <w:t xml:space="preserve">) как общественность может получить соответствующую информацию </w:t>
      </w:r>
      <w:r w:rsidRPr="008A71B1">
        <w:rPr>
          <w:rFonts w:asciiTheme="majorBidi" w:hAnsiTheme="majorBidi" w:cstheme="majorBidi"/>
          <w:sz w:val="20"/>
          <w:szCs w:val="20"/>
          <w:lang w:val="ru-RU"/>
        </w:rPr>
        <w:t>(статья 6 (2) (</w:t>
      </w:r>
      <w:r w:rsidRPr="009213F5">
        <w:rPr>
          <w:rFonts w:asciiTheme="majorBidi" w:hAnsiTheme="majorBidi" w:cstheme="majorBidi"/>
          <w:sz w:val="20"/>
          <w:szCs w:val="20"/>
        </w:rPr>
        <w:t>d</w:t>
      </w:r>
      <w:r w:rsidRPr="008A71B1">
        <w:rPr>
          <w:rFonts w:asciiTheme="majorBidi" w:hAnsiTheme="majorBidi" w:cstheme="majorBidi"/>
          <w:sz w:val="20"/>
          <w:szCs w:val="20"/>
          <w:lang w:val="ru-RU"/>
        </w:rPr>
        <w:t>) (</w:t>
      </w:r>
      <w:r w:rsidRPr="009213F5">
        <w:rPr>
          <w:rFonts w:asciiTheme="majorBidi" w:hAnsiTheme="majorBidi" w:cstheme="majorBidi"/>
          <w:sz w:val="20"/>
          <w:szCs w:val="20"/>
        </w:rPr>
        <w:t>iv</w:t>
      </w:r>
      <w:r w:rsidRPr="008A71B1">
        <w:rPr>
          <w:rFonts w:asciiTheme="majorBidi" w:hAnsiTheme="majorBidi" w:cstheme="majorBidi"/>
          <w:sz w:val="20"/>
          <w:szCs w:val="20"/>
          <w:lang w:val="ru-RU"/>
        </w:rPr>
        <w:t>));</w:t>
      </w:r>
    </w:p>
    <w:p w:rsidR="009213F5" w:rsidRPr="008A71B1" w:rsidRDefault="009213F5" w:rsidP="009213F5">
      <w:pPr>
        <w:pStyle w:val="a5"/>
        <w:tabs>
          <w:tab w:val="left" w:pos="993"/>
        </w:tabs>
        <w:ind w:left="993" w:right="521"/>
        <w:jc w:val="both"/>
        <w:rPr>
          <w:rFonts w:asciiTheme="majorBidi" w:hAnsiTheme="majorBidi" w:cstheme="majorBidi"/>
          <w:sz w:val="20"/>
          <w:szCs w:val="20"/>
          <w:lang w:val="ru-RU"/>
        </w:rPr>
      </w:pPr>
    </w:p>
    <w:p w:rsidR="00A76FD7" w:rsidRPr="009213F5" w:rsidRDefault="009213F5" w:rsidP="009213F5">
      <w:pPr>
        <w:pStyle w:val="a5"/>
        <w:tabs>
          <w:tab w:val="left" w:pos="993"/>
        </w:tabs>
        <w:ind w:left="993" w:right="521"/>
        <w:jc w:val="both"/>
        <w:rPr>
          <w:rFonts w:asciiTheme="majorBidi" w:hAnsiTheme="majorBidi" w:cstheme="majorBidi"/>
          <w:sz w:val="20"/>
          <w:szCs w:val="20"/>
          <w:lang w:val="ru-RU"/>
        </w:rPr>
      </w:pPr>
      <w:r w:rsidRPr="009213F5">
        <w:rPr>
          <w:rFonts w:asciiTheme="majorBidi" w:hAnsiTheme="majorBidi" w:cstheme="majorBidi"/>
          <w:sz w:val="20"/>
          <w:szCs w:val="20"/>
          <w:lang w:val="ru-RU"/>
        </w:rPr>
        <w:t>(</w:t>
      </w:r>
      <w:r w:rsidRPr="009213F5">
        <w:rPr>
          <w:rFonts w:asciiTheme="majorBidi" w:hAnsiTheme="majorBidi" w:cstheme="majorBidi"/>
          <w:sz w:val="20"/>
          <w:szCs w:val="20"/>
        </w:rPr>
        <w:t>d</w:t>
      </w:r>
      <w:r w:rsidRPr="009213F5">
        <w:rPr>
          <w:rFonts w:asciiTheme="majorBidi" w:hAnsiTheme="majorBidi" w:cstheme="majorBidi"/>
          <w:sz w:val="20"/>
          <w:szCs w:val="20"/>
          <w:lang w:val="ru-RU"/>
        </w:rPr>
        <w:t>) Соответствующий государственный орган, которому могут быть представлены комментарии или вопросы, вместе с графиком для этого (статья 6 (2) (</w:t>
      </w:r>
      <w:r w:rsidRPr="009213F5">
        <w:rPr>
          <w:rFonts w:asciiTheme="majorBidi" w:hAnsiTheme="majorBidi" w:cstheme="majorBidi"/>
          <w:sz w:val="20"/>
          <w:szCs w:val="20"/>
        </w:rPr>
        <w:t>d</w:t>
      </w:r>
      <w:r w:rsidRPr="009213F5">
        <w:rPr>
          <w:rFonts w:asciiTheme="majorBidi" w:hAnsiTheme="majorBidi" w:cstheme="majorBidi"/>
          <w:sz w:val="20"/>
          <w:szCs w:val="20"/>
          <w:lang w:val="ru-RU"/>
        </w:rPr>
        <w:t>) (</w:t>
      </w:r>
      <w:r w:rsidRPr="009213F5">
        <w:rPr>
          <w:rFonts w:asciiTheme="majorBidi" w:hAnsiTheme="majorBidi" w:cstheme="majorBidi"/>
          <w:sz w:val="20"/>
          <w:szCs w:val="20"/>
        </w:rPr>
        <w:t>v</w:t>
      </w:r>
      <w:r w:rsidRPr="009213F5">
        <w:rPr>
          <w:rFonts w:asciiTheme="majorBidi" w:hAnsiTheme="majorBidi" w:cstheme="majorBidi"/>
          <w:sz w:val="20"/>
          <w:szCs w:val="20"/>
          <w:lang w:val="ru-RU"/>
        </w:rPr>
        <w:t>)).</w:t>
      </w:r>
    </w:p>
    <w:p w:rsidR="00D22BAB" w:rsidRPr="009213F5" w:rsidRDefault="009213F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213F5">
        <w:rPr>
          <w:rFonts w:asciiTheme="majorBidi" w:hAnsiTheme="majorBidi" w:cstheme="majorBidi"/>
          <w:sz w:val="20"/>
          <w:szCs w:val="20"/>
          <w:lang w:val="ru-RU"/>
        </w:rPr>
        <w:t>Соответственно, процедура виртуального публичного слушания должна быть опубликована достаточно заблаговременно до слушания, чтобы позволить общественности эффективно подготовиться и принять участие. Это включает в себя формат, повестку дня и ориентировочные сроки. Общественность должна быть заранее проинформирована о любых изменениях в процедуре, и любые такие изменения не должны создавать каких-либо дополнительных барьеров для участия общественности</w:t>
      </w:r>
      <w:r w:rsidR="00D22BAB" w:rsidRPr="009213F5">
        <w:rPr>
          <w:rFonts w:asciiTheme="majorBidi" w:hAnsiTheme="majorBidi" w:cstheme="majorBidi"/>
          <w:sz w:val="20"/>
          <w:szCs w:val="20"/>
          <w:lang w:val="ru-RU"/>
        </w:rPr>
        <w:t>.</w:t>
      </w:r>
      <w:r w:rsidR="00AC1D0F" w:rsidRPr="00473CFB">
        <w:rPr>
          <w:rFonts w:asciiTheme="majorBidi" w:hAnsiTheme="majorBidi"/>
          <w:vertAlign w:val="superscript"/>
        </w:rPr>
        <w:footnoteReference w:id="3"/>
      </w:r>
      <w:r w:rsidR="00D22BAB" w:rsidRPr="009213F5">
        <w:rPr>
          <w:rFonts w:asciiTheme="majorBidi" w:hAnsiTheme="majorBidi"/>
          <w:sz w:val="20"/>
          <w:vertAlign w:val="superscript"/>
          <w:lang w:val="ru-RU"/>
        </w:rPr>
        <w:t xml:space="preserve"> </w:t>
      </w:r>
    </w:p>
    <w:p w:rsidR="00D22BAB" w:rsidRPr="009213F5" w:rsidRDefault="00D22BAB" w:rsidP="00D22BAB">
      <w:pPr>
        <w:pStyle w:val="a5"/>
        <w:tabs>
          <w:tab w:val="left" w:pos="993"/>
        </w:tabs>
        <w:ind w:left="567" w:right="521"/>
        <w:jc w:val="both"/>
        <w:rPr>
          <w:rFonts w:asciiTheme="majorBidi" w:hAnsiTheme="majorBidi" w:cstheme="majorBidi"/>
          <w:sz w:val="20"/>
          <w:szCs w:val="20"/>
          <w:lang w:val="ru-RU"/>
        </w:rPr>
      </w:pPr>
    </w:p>
    <w:p w:rsidR="00A51B8A" w:rsidRPr="009213F5" w:rsidRDefault="009213F5"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213F5">
        <w:rPr>
          <w:rFonts w:asciiTheme="majorBidi" w:hAnsiTheme="majorBidi" w:cstheme="majorBidi"/>
          <w:sz w:val="20"/>
          <w:szCs w:val="20"/>
          <w:lang w:val="ru-RU"/>
        </w:rPr>
        <w:t xml:space="preserve">Кроме того, в уведомлении, касающемся виртуального публичного слушания, должны быть указаны все гиперссылки и телефонные номера, необходимые для участия общественности в слушании, а также контактные данные, с которыми заинтересованная общественность может связаться, если они испытывают технические трудности </w:t>
      </w:r>
      <w:r>
        <w:rPr>
          <w:rFonts w:asciiTheme="majorBidi" w:hAnsiTheme="majorBidi" w:cstheme="majorBidi"/>
          <w:sz w:val="20"/>
          <w:szCs w:val="20"/>
          <w:lang w:val="ru-RU"/>
        </w:rPr>
        <w:t>при попытке присоединиться к слушанию</w:t>
      </w:r>
      <w:r w:rsidR="00AC1D0F" w:rsidRPr="009213F5">
        <w:rPr>
          <w:rFonts w:asciiTheme="majorBidi" w:hAnsiTheme="majorBidi" w:cstheme="majorBidi"/>
          <w:sz w:val="20"/>
          <w:szCs w:val="20"/>
          <w:lang w:val="ru-RU"/>
        </w:rPr>
        <w:t>.</w:t>
      </w:r>
    </w:p>
    <w:p w:rsidR="00BE1769" w:rsidRPr="009213F5" w:rsidRDefault="00BE1769">
      <w:pPr>
        <w:pStyle w:val="a5"/>
        <w:tabs>
          <w:tab w:val="left" w:pos="993"/>
        </w:tabs>
        <w:ind w:left="567" w:right="521"/>
        <w:jc w:val="both"/>
        <w:rPr>
          <w:rFonts w:asciiTheme="majorBidi" w:hAnsiTheme="majorBidi"/>
          <w:lang w:val="ru-RU"/>
        </w:rPr>
      </w:pPr>
    </w:p>
    <w:p w:rsidR="006D0E0B" w:rsidRPr="00473CFB" w:rsidRDefault="009213F5" w:rsidP="00662A87">
      <w:pPr>
        <w:pStyle w:val="a5"/>
        <w:tabs>
          <w:tab w:val="left" w:pos="993"/>
        </w:tabs>
        <w:ind w:left="567" w:right="521"/>
        <w:jc w:val="both"/>
        <w:rPr>
          <w:rFonts w:asciiTheme="majorBidi" w:hAnsiTheme="majorBidi" w:cstheme="majorBidi"/>
          <w:b/>
          <w:bCs/>
          <w:sz w:val="20"/>
          <w:szCs w:val="20"/>
        </w:rPr>
      </w:pPr>
      <w:r>
        <w:rPr>
          <w:rFonts w:asciiTheme="majorBidi" w:hAnsiTheme="majorBidi" w:cstheme="majorBidi"/>
          <w:b/>
          <w:bCs/>
          <w:sz w:val="20"/>
          <w:szCs w:val="20"/>
          <w:lang w:val="kk-KZ"/>
        </w:rPr>
        <w:t>Разумные сроки</w:t>
      </w:r>
      <w:r>
        <w:rPr>
          <w:rFonts w:asciiTheme="majorBidi" w:hAnsiTheme="majorBidi" w:cstheme="majorBidi"/>
          <w:b/>
          <w:bCs/>
          <w:sz w:val="20"/>
          <w:szCs w:val="20"/>
        </w:rPr>
        <w:t xml:space="preserve"> – </w:t>
      </w:r>
      <w:r>
        <w:rPr>
          <w:rFonts w:asciiTheme="majorBidi" w:hAnsiTheme="majorBidi" w:cstheme="majorBidi"/>
          <w:b/>
          <w:bCs/>
          <w:sz w:val="20"/>
          <w:szCs w:val="20"/>
          <w:lang w:val="kk-KZ"/>
        </w:rPr>
        <w:t>статья</w:t>
      </w:r>
      <w:r w:rsidR="006D0E0B" w:rsidRPr="00473CFB">
        <w:rPr>
          <w:rFonts w:asciiTheme="majorBidi" w:hAnsiTheme="majorBidi" w:cstheme="majorBidi"/>
          <w:b/>
          <w:bCs/>
          <w:sz w:val="20"/>
          <w:szCs w:val="20"/>
        </w:rPr>
        <w:t xml:space="preserve"> 6(3)</w:t>
      </w:r>
    </w:p>
    <w:p w:rsidR="006D0E0B" w:rsidRPr="00473CFB" w:rsidRDefault="006D0E0B" w:rsidP="00662A87">
      <w:pPr>
        <w:pStyle w:val="a5"/>
        <w:tabs>
          <w:tab w:val="left" w:pos="993"/>
        </w:tabs>
        <w:ind w:left="567" w:right="521"/>
        <w:jc w:val="both"/>
        <w:rPr>
          <w:rFonts w:asciiTheme="majorBidi" w:hAnsiTheme="majorBidi" w:cstheme="majorBidi"/>
          <w:b/>
          <w:bCs/>
          <w:sz w:val="20"/>
          <w:szCs w:val="20"/>
        </w:rPr>
      </w:pPr>
    </w:p>
    <w:p w:rsidR="006866B1" w:rsidRPr="009213F5" w:rsidRDefault="000D38C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0D38CF">
        <w:rPr>
          <w:rFonts w:asciiTheme="majorBidi" w:hAnsiTheme="majorBidi" w:cstheme="majorBidi"/>
          <w:sz w:val="20"/>
          <w:szCs w:val="20"/>
          <w:lang w:val="ru-RU"/>
        </w:rPr>
        <w:t>Поскольку общественность не сможет подготовиться и участвовать обычным способом, стандартные сроки для каждого этапа процедуры участия общественности, возможно, придется расширить, чтобы позволить общественности эффективно подготовиться и участвовать. Например, может потребоваться продление срока, в течение которого публика должна подготовить комментарии, так как для доступа общественности ко всей информации, имеющей отношение к принятию решения, может потребова</w:t>
      </w:r>
      <w:r>
        <w:rPr>
          <w:rFonts w:asciiTheme="majorBidi" w:hAnsiTheme="majorBidi" w:cstheme="majorBidi"/>
          <w:sz w:val="20"/>
          <w:szCs w:val="20"/>
          <w:lang w:val="ru-RU"/>
        </w:rPr>
        <w:t>ться больше времени, чем обычно</w:t>
      </w:r>
      <w:r w:rsidR="008C61D1" w:rsidRPr="009213F5">
        <w:rPr>
          <w:rFonts w:asciiTheme="majorBidi" w:hAnsiTheme="majorBidi" w:cstheme="majorBidi"/>
          <w:sz w:val="20"/>
          <w:szCs w:val="20"/>
          <w:lang w:val="ru-RU"/>
        </w:rPr>
        <w:t>.</w:t>
      </w:r>
    </w:p>
    <w:p w:rsidR="007F2102" w:rsidRPr="009213F5" w:rsidRDefault="007F2102" w:rsidP="007F2102">
      <w:pPr>
        <w:pStyle w:val="a5"/>
        <w:tabs>
          <w:tab w:val="left" w:pos="993"/>
        </w:tabs>
        <w:ind w:left="567" w:right="521"/>
        <w:jc w:val="both"/>
        <w:rPr>
          <w:rFonts w:asciiTheme="majorBidi" w:hAnsiTheme="majorBidi" w:cstheme="majorBidi"/>
          <w:b/>
          <w:bCs/>
          <w:sz w:val="20"/>
          <w:szCs w:val="20"/>
          <w:lang w:val="ru-RU"/>
        </w:rPr>
      </w:pPr>
    </w:p>
    <w:p w:rsidR="007F2102" w:rsidRPr="009213F5" w:rsidRDefault="009213F5" w:rsidP="007F2102">
      <w:pPr>
        <w:pStyle w:val="a5"/>
        <w:tabs>
          <w:tab w:val="left" w:pos="993"/>
        </w:tabs>
        <w:ind w:left="567" w:right="521"/>
        <w:jc w:val="both"/>
        <w:rPr>
          <w:rFonts w:asciiTheme="majorBidi" w:hAnsiTheme="majorBidi" w:cstheme="majorBidi"/>
          <w:b/>
          <w:bCs/>
          <w:sz w:val="20"/>
          <w:szCs w:val="20"/>
          <w:lang w:val="ru-RU"/>
        </w:rPr>
      </w:pPr>
      <w:r>
        <w:rPr>
          <w:rFonts w:asciiTheme="majorBidi" w:hAnsiTheme="majorBidi" w:cstheme="majorBidi"/>
          <w:b/>
          <w:bCs/>
          <w:sz w:val="20"/>
          <w:szCs w:val="20"/>
          <w:lang w:val="kk-KZ"/>
        </w:rPr>
        <w:t>Раннее и эффективное участие</w:t>
      </w:r>
      <w:r w:rsidR="007F2102" w:rsidRPr="009213F5">
        <w:rPr>
          <w:rFonts w:asciiTheme="majorBidi" w:hAnsiTheme="majorBidi" w:cstheme="majorBidi"/>
          <w:b/>
          <w:bCs/>
          <w:sz w:val="20"/>
          <w:szCs w:val="20"/>
          <w:lang w:val="ru-RU"/>
        </w:rPr>
        <w:t xml:space="preserve"> – </w:t>
      </w:r>
      <w:r>
        <w:rPr>
          <w:rFonts w:asciiTheme="majorBidi" w:hAnsiTheme="majorBidi" w:cstheme="majorBidi"/>
          <w:b/>
          <w:bCs/>
          <w:sz w:val="20"/>
          <w:szCs w:val="20"/>
          <w:lang w:val="kk-KZ"/>
        </w:rPr>
        <w:t>статья</w:t>
      </w:r>
      <w:r w:rsidR="007F2102" w:rsidRPr="009213F5">
        <w:rPr>
          <w:rFonts w:asciiTheme="majorBidi" w:hAnsiTheme="majorBidi" w:cstheme="majorBidi"/>
          <w:b/>
          <w:bCs/>
          <w:sz w:val="20"/>
          <w:szCs w:val="20"/>
          <w:lang w:val="ru-RU"/>
        </w:rPr>
        <w:t xml:space="preserve"> 6(4)</w:t>
      </w:r>
    </w:p>
    <w:p w:rsidR="007F2102" w:rsidRPr="009213F5" w:rsidRDefault="007F2102" w:rsidP="00435BFA">
      <w:pPr>
        <w:pStyle w:val="a5"/>
        <w:tabs>
          <w:tab w:val="left" w:pos="993"/>
        </w:tabs>
        <w:ind w:left="567" w:right="521"/>
        <w:jc w:val="both"/>
        <w:rPr>
          <w:rFonts w:asciiTheme="majorBidi" w:hAnsiTheme="majorBidi" w:cstheme="majorBidi"/>
          <w:sz w:val="20"/>
          <w:szCs w:val="20"/>
          <w:lang w:val="ru-RU"/>
        </w:rPr>
      </w:pPr>
    </w:p>
    <w:p w:rsidR="007F2102" w:rsidRPr="009213F5" w:rsidRDefault="009213F5" w:rsidP="008A71B1">
      <w:pPr>
        <w:pStyle w:val="a5"/>
        <w:numPr>
          <w:ilvl w:val="0"/>
          <w:numId w:val="25"/>
        </w:numPr>
        <w:tabs>
          <w:tab w:val="left" w:pos="993"/>
        </w:tabs>
        <w:ind w:left="567" w:right="521" w:firstLine="0"/>
        <w:jc w:val="both"/>
        <w:rPr>
          <w:rFonts w:ascii="Times New Roman" w:hAnsi="Times New Roman" w:cs="Times New Roman"/>
          <w:sz w:val="20"/>
          <w:szCs w:val="20"/>
          <w:lang w:val="ru-RU"/>
        </w:rPr>
      </w:pPr>
      <w:r w:rsidRPr="009213F5">
        <w:rPr>
          <w:rFonts w:asciiTheme="majorBidi" w:hAnsiTheme="majorBidi" w:cstheme="majorBidi"/>
          <w:sz w:val="20"/>
          <w:szCs w:val="20"/>
          <w:lang w:val="ru-RU"/>
        </w:rPr>
        <w:t xml:space="preserve">Любые альтернативные способы участия общественности, применяемые во время пандемии </w:t>
      </w:r>
      <w:r w:rsidRPr="009213F5">
        <w:rPr>
          <w:rFonts w:asciiTheme="majorBidi" w:hAnsiTheme="majorBidi" w:cstheme="majorBidi"/>
          <w:sz w:val="20"/>
          <w:szCs w:val="20"/>
        </w:rPr>
        <w:t>COVID</w:t>
      </w:r>
      <w:r w:rsidRPr="009213F5">
        <w:rPr>
          <w:rFonts w:asciiTheme="majorBidi" w:hAnsiTheme="majorBidi" w:cstheme="majorBidi"/>
          <w:sz w:val="20"/>
          <w:szCs w:val="20"/>
          <w:lang w:val="ru-RU"/>
        </w:rPr>
        <w:t>-19, не должны исключать раннего участия общественности, когда все варианты открыты и эффективное участие общественности может иметь место</w:t>
      </w:r>
      <w:r w:rsidR="007F2102" w:rsidRPr="009213F5">
        <w:rPr>
          <w:rFonts w:ascii="Times New Roman" w:hAnsi="Times New Roman" w:cs="Times New Roman"/>
          <w:sz w:val="20"/>
          <w:szCs w:val="20"/>
          <w:lang w:val="ru-RU"/>
        </w:rPr>
        <w:t>.</w:t>
      </w:r>
    </w:p>
    <w:p w:rsidR="007F2102" w:rsidRPr="009213F5" w:rsidRDefault="007F2102" w:rsidP="00662A87">
      <w:pPr>
        <w:pStyle w:val="a5"/>
        <w:tabs>
          <w:tab w:val="left" w:pos="993"/>
        </w:tabs>
        <w:ind w:left="567" w:right="521"/>
        <w:jc w:val="both"/>
        <w:rPr>
          <w:rFonts w:ascii="Times New Roman" w:hAnsi="Times New Roman"/>
          <w:b/>
          <w:sz w:val="20"/>
          <w:lang w:val="ru-RU"/>
        </w:rPr>
      </w:pPr>
    </w:p>
    <w:p w:rsidR="003F7A1D" w:rsidRPr="00114674" w:rsidRDefault="00114674" w:rsidP="00662A87">
      <w:pPr>
        <w:pStyle w:val="a5"/>
        <w:tabs>
          <w:tab w:val="left" w:pos="993"/>
        </w:tabs>
        <w:ind w:left="567" w:right="521"/>
        <w:jc w:val="both"/>
        <w:rPr>
          <w:rFonts w:asciiTheme="majorBidi" w:hAnsiTheme="majorBidi" w:cstheme="majorBidi"/>
          <w:b/>
          <w:bCs/>
          <w:sz w:val="20"/>
          <w:szCs w:val="20"/>
          <w:lang w:val="ru-RU"/>
        </w:rPr>
      </w:pPr>
      <w:r w:rsidRPr="00114674">
        <w:rPr>
          <w:rFonts w:asciiTheme="majorBidi" w:hAnsiTheme="majorBidi" w:cstheme="majorBidi"/>
          <w:b/>
          <w:bCs/>
          <w:sz w:val="20"/>
          <w:szCs w:val="20"/>
          <w:lang w:val="ru-RU"/>
        </w:rPr>
        <w:t xml:space="preserve">Доступ ко всей информации, имеющей отношение к принятию решений </w:t>
      </w:r>
      <w:r>
        <w:rPr>
          <w:rFonts w:asciiTheme="majorBidi" w:hAnsiTheme="majorBidi" w:cstheme="majorBidi"/>
          <w:b/>
          <w:bCs/>
          <w:sz w:val="20"/>
          <w:szCs w:val="20"/>
          <w:lang w:val="ru-RU"/>
        </w:rPr>
        <w:t>–</w:t>
      </w:r>
      <w:r w:rsidRPr="00114674">
        <w:rPr>
          <w:rFonts w:asciiTheme="majorBidi" w:hAnsiTheme="majorBidi" w:cstheme="majorBidi"/>
          <w:b/>
          <w:bCs/>
          <w:sz w:val="20"/>
          <w:szCs w:val="20"/>
          <w:lang w:val="ru-RU"/>
        </w:rPr>
        <w:t xml:space="preserve"> статья</w:t>
      </w:r>
      <w:r>
        <w:rPr>
          <w:rFonts w:asciiTheme="majorBidi" w:hAnsiTheme="majorBidi" w:cstheme="majorBidi"/>
          <w:b/>
          <w:bCs/>
          <w:sz w:val="20"/>
          <w:szCs w:val="20"/>
          <w:lang w:val="ru-RU"/>
        </w:rPr>
        <w:t xml:space="preserve"> </w:t>
      </w:r>
      <w:r w:rsidR="003F7A1D" w:rsidRPr="00114674">
        <w:rPr>
          <w:rFonts w:asciiTheme="majorBidi" w:hAnsiTheme="majorBidi" w:cstheme="majorBidi"/>
          <w:b/>
          <w:bCs/>
          <w:sz w:val="20"/>
          <w:szCs w:val="20"/>
          <w:lang w:val="ru-RU"/>
        </w:rPr>
        <w:t>6(6)</w:t>
      </w:r>
    </w:p>
    <w:p w:rsidR="00662A87" w:rsidRPr="00114674" w:rsidRDefault="00662A87" w:rsidP="00662A87">
      <w:pPr>
        <w:pStyle w:val="a5"/>
        <w:tabs>
          <w:tab w:val="left" w:pos="993"/>
        </w:tabs>
        <w:ind w:left="567" w:right="521"/>
        <w:jc w:val="both"/>
        <w:rPr>
          <w:rFonts w:asciiTheme="majorBidi" w:hAnsiTheme="majorBidi" w:cstheme="majorBidi"/>
          <w:b/>
          <w:bCs/>
          <w:sz w:val="20"/>
          <w:szCs w:val="20"/>
          <w:lang w:val="ru-RU"/>
        </w:rPr>
      </w:pPr>
    </w:p>
    <w:p w:rsidR="00B73A43" w:rsidRPr="00072488" w:rsidRDefault="00072488"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072488">
        <w:rPr>
          <w:rFonts w:asciiTheme="majorBidi" w:hAnsiTheme="majorBidi" w:cstheme="majorBidi"/>
          <w:sz w:val="20"/>
          <w:szCs w:val="20"/>
          <w:lang w:val="ru-RU"/>
        </w:rPr>
        <w:t xml:space="preserve">Если из-за ограничений, действующих во время пандемии </w:t>
      </w:r>
      <w:r w:rsidRPr="00072488">
        <w:rPr>
          <w:rFonts w:asciiTheme="majorBidi" w:hAnsiTheme="majorBidi" w:cstheme="majorBidi"/>
          <w:sz w:val="20"/>
          <w:szCs w:val="20"/>
        </w:rPr>
        <w:t>COVID</w:t>
      </w:r>
      <w:r w:rsidRPr="00072488">
        <w:rPr>
          <w:rFonts w:asciiTheme="majorBidi" w:hAnsiTheme="majorBidi" w:cstheme="majorBidi"/>
          <w:sz w:val="20"/>
          <w:szCs w:val="20"/>
          <w:lang w:val="ru-RU"/>
        </w:rPr>
        <w:t>-19, заинтересованная общественность не сможет посетить помещения государственных органов для личного ознакомления с информацией, касающейся принятия решений, необходимо будет создать альтернативные возможности для изучения соответствующей информации</w:t>
      </w:r>
      <w:r w:rsidR="003F7A1D" w:rsidRPr="00072488">
        <w:rPr>
          <w:rFonts w:asciiTheme="majorBidi" w:hAnsiTheme="majorBidi" w:cstheme="majorBidi"/>
          <w:sz w:val="20"/>
          <w:szCs w:val="20"/>
          <w:lang w:val="ru-RU"/>
        </w:rPr>
        <w:t xml:space="preserve">. </w:t>
      </w:r>
    </w:p>
    <w:p w:rsidR="00B73A43" w:rsidRPr="00072488" w:rsidRDefault="00B73A43" w:rsidP="00B73A43">
      <w:pPr>
        <w:pStyle w:val="a5"/>
        <w:tabs>
          <w:tab w:val="left" w:pos="993"/>
        </w:tabs>
        <w:ind w:left="567" w:right="521"/>
        <w:jc w:val="both"/>
        <w:rPr>
          <w:rFonts w:asciiTheme="majorBidi" w:hAnsiTheme="majorBidi" w:cstheme="majorBidi"/>
          <w:sz w:val="20"/>
          <w:szCs w:val="20"/>
          <w:lang w:val="ru-RU"/>
        </w:rPr>
      </w:pPr>
    </w:p>
    <w:p w:rsidR="00545BB4" w:rsidRPr="00072488" w:rsidRDefault="00072488"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072488">
        <w:rPr>
          <w:rFonts w:asciiTheme="majorBidi" w:hAnsiTheme="majorBidi" w:cstheme="majorBidi"/>
          <w:sz w:val="20"/>
          <w:szCs w:val="20"/>
          <w:lang w:val="ru-RU"/>
        </w:rPr>
        <w:t>В соответствии с пунктом 113 Рекомендаций Конвенции об электронных инф</w:t>
      </w:r>
      <w:r>
        <w:rPr>
          <w:rFonts w:asciiTheme="majorBidi" w:hAnsiTheme="majorBidi" w:cstheme="majorBidi"/>
          <w:sz w:val="20"/>
          <w:szCs w:val="20"/>
          <w:lang w:val="ru-RU"/>
        </w:rPr>
        <w:t>ормационных</w:t>
      </w:r>
      <w:r w:rsidRPr="00072488">
        <w:rPr>
          <w:rFonts w:asciiTheme="majorBidi" w:hAnsiTheme="majorBidi" w:cstheme="majorBidi"/>
          <w:sz w:val="20"/>
          <w:szCs w:val="20"/>
          <w:lang w:val="ru-RU"/>
        </w:rPr>
        <w:t xml:space="preserve"> </w:t>
      </w:r>
      <w:r>
        <w:rPr>
          <w:rFonts w:asciiTheme="majorBidi" w:hAnsiTheme="majorBidi" w:cstheme="majorBidi"/>
          <w:sz w:val="20"/>
          <w:szCs w:val="20"/>
          <w:lang w:val="ru-RU"/>
        </w:rPr>
        <w:t>средствах</w:t>
      </w:r>
      <w:r w:rsidRPr="00072488">
        <w:rPr>
          <w:rFonts w:asciiTheme="majorBidi" w:hAnsiTheme="majorBidi" w:cstheme="majorBidi"/>
          <w:sz w:val="20"/>
          <w:szCs w:val="20"/>
          <w:lang w:val="ru-RU"/>
        </w:rPr>
        <w:t xml:space="preserve"> 2005 </w:t>
      </w:r>
      <w:r>
        <w:rPr>
          <w:rFonts w:asciiTheme="majorBidi" w:hAnsiTheme="majorBidi" w:cstheme="majorBidi"/>
          <w:sz w:val="20"/>
          <w:szCs w:val="20"/>
          <w:lang w:val="ru-RU"/>
        </w:rPr>
        <w:t>года</w:t>
      </w:r>
      <w:r w:rsidR="001D03F3" w:rsidRPr="00072488">
        <w:rPr>
          <w:rFonts w:asciiTheme="majorBidi" w:hAnsiTheme="majorBidi" w:cstheme="majorBidi"/>
          <w:sz w:val="20"/>
          <w:szCs w:val="20"/>
          <w:lang w:val="ru-RU"/>
        </w:rPr>
        <w:t>,</w:t>
      </w:r>
      <w:r w:rsidR="001D03F3" w:rsidRPr="00473CFB">
        <w:rPr>
          <w:rStyle w:val="ad"/>
          <w:rFonts w:asciiTheme="majorBidi" w:hAnsiTheme="majorBidi" w:cstheme="majorBidi"/>
          <w:sz w:val="20"/>
          <w:szCs w:val="20"/>
        </w:rPr>
        <w:footnoteReference w:id="4"/>
      </w:r>
      <w:r w:rsidR="001D03F3" w:rsidRPr="00072488">
        <w:rPr>
          <w:rFonts w:asciiTheme="majorBidi" w:hAnsiTheme="majorBidi" w:cstheme="majorBidi"/>
          <w:sz w:val="20"/>
          <w:szCs w:val="20"/>
          <w:lang w:val="ru-RU"/>
        </w:rPr>
        <w:t xml:space="preserve"> </w:t>
      </w:r>
      <w:r w:rsidRPr="00072488">
        <w:rPr>
          <w:rFonts w:asciiTheme="majorBidi" w:hAnsiTheme="majorBidi" w:cstheme="majorBidi"/>
          <w:sz w:val="20"/>
          <w:szCs w:val="20"/>
          <w:lang w:val="ru-RU"/>
        </w:rPr>
        <w:t xml:space="preserve">эффективная практика заключается в создании удобного универсального </w:t>
      </w:r>
      <w:proofErr w:type="spellStart"/>
      <w:r w:rsidRPr="00072488">
        <w:rPr>
          <w:rFonts w:asciiTheme="majorBidi" w:hAnsiTheme="majorBidi" w:cstheme="majorBidi"/>
          <w:sz w:val="20"/>
          <w:szCs w:val="20"/>
          <w:lang w:val="ru-RU"/>
        </w:rPr>
        <w:t>онлайн-портала</w:t>
      </w:r>
      <w:proofErr w:type="spellEnd"/>
      <w:r w:rsidRPr="00072488">
        <w:rPr>
          <w:rFonts w:asciiTheme="majorBidi" w:hAnsiTheme="majorBidi" w:cstheme="majorBidi"/>
          <w:sz w:val="20"/>
          <w:szCs w:val="20"/>
          <w:lang w:val="ru-RU"/>
        </w:rPr>
        <w:t>, где заинтересованная общественность может легко получить доступ ко всей соответствующей информации.</w:t>
      </w:r>
    </w:p>
    <w:p w:rsidR="00A76FD7" w:rsidRPr="00072488" w:rsidRDefault="00A76FD7" w:rsidP="00A76FD7">
      <w:pPr>
        <w:pStyle w:val="a5"/>
        <w:tabs>
          <w:tab w:val="left" w:pos="993"/>
        </w:tabs>
        <w:ind w:left="567" w:right="521"/>
        <w:jc w:val="both"/>
        <w:rPr>
          <w:rFonts w:asciiTheme="majorBidi" w:hAnsiTheme="majorBidi" w:cstheme="majorBidi"/>
          <w:sz w:val="20"/>
          <w:szCs w:val="20"/>
          <w:lang w:val="ru-RU"/>
        </w:rPr>
      </w:pPr>
    </w:p>
    <w:p w:rsidR="00A504C6" w:rsidRPr="00072488" w:rsidRDefault="00072488"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072488">
        <w:rPr>
          <w:rFonts w:asciiTheme="majorBidi" w:hAnsiTheme="majorBidi" w:cstheme="majorBidi"/>
          <w:sz w:val="20"/>
          <w:szCs w:val="20"/>
          <w:lang w:val="ru-RU"/>
        </w:rPr>
        <w:t xml:space="preserve">Однако, если заинтересованная общественность не может посетить помещения государственного органа для изучения информации, имеющей отношение к принятию решений, те, кто не имеет доступа к Интернету, также должны иметь легкий доступ к этой информации. Это может повлечь за собой размещение информационных пакетов, содержащих всю соответствующую информацию для таких лиц. В соответствии со статьей 6 (6) эти информационные пакеты должны предоставляться бесплатно. Если впоследствии </w:t>
      </w:r>
      <w:r w:rsidRPr="00072488">
        <w:rPr>
          <w:rFonts w:asciiTheme="majorBidi" w:hAnsiTheme="majorBidi" w:cstheme="majorBidi"/>
          <w:sz w:val="20"/>
          <w:szCs w:val="20"/>
          <w:lang w:val="ru-RU"/>
        </w:rPr>
        <w:lastRenderedPageBreak/>
        <w:t>будет доступна дополнительная соответствующая информация, она должна быть опубликована и для представителей соответствующей общественности. Права представителей заинтересованной общественности, которые не имеют доступа к технологиям, не должны ущемляться; скорее, необходимо приложить дополнительные усилия, чтобы обеспечить их возможности для эффективного участия</w:t>
      </w:r>
      <w:r w:rsidR="00A504C6" w:rsidRPr="00072488">
        <w:rPr>
          <w:rFonts w:asciiTheme="majorBidi" w:hAnsiTheme="majorBidi" w:cstheme="majorBidi"/>
          <w:sz w:val="20"/>
          <w:szCs w:val="20"/>
          <w:lang w:val="ru-RU"/>
        </w:rPr>
        <w:t>.</w:t>
      </w:r>
    </w:p>
    <w:p w:rsidR="00662A87" w:rsidRPr="00072488" w:rsidRDefault="00662A87" w:rsidP="00662A87">
      <w:pPr>
        <w:pStyle w:val="a5"/>
        <w:tabs>
          <w:tab w:val="left" w:pos="993"/>
        </w:tabs>
        <w:ind w:left="567" w:right="521"/>
        <w:jc w:val="both"/>
        <w:rPr>
          <w:rFonts w:asciiTheme="majorBidi" w:hAnsiTheme="majorBidi" w:cstheme="majorBidi"/>
          <w:sz w:val="20"/>
          <w:szCs w:val="20"/>
          <w:lang w:val="ru-RU"/>
        </w:rPr>
      </w:pPr>
    </w:p>
    <w:p w:rsidR="00A504C6" w:rsidRPr="00FD0520" w:rsidRDefault="00FD0520" w:rsidP="00662A87">
      <w:pPr>
        <w:pStyle w:val="a5"/>
        <w:tabs>
          <w:tab w:val="left" w:pos="993"/>
        </w:tabs>
        <w:ind w:left="567" w:right="521"/>
        <w:jc w:val="both"/>
        <w:rPr>
          <w:rFonts w:asciiTheme="majorBidi" w:hAnsiTheme="majorBidi" w:cstheme="majorBidi"/>
          <w:b/>
          <w:bCs/>
          <w:sz w:val="20"/>
          <w:szCs w:val="20"/>
          <w:lang w:val="ru-RU"/>
        </w:rPr>
      </w:pPr>
      <w:r w:rsidRPr="00FD0520">
        <w:rPr>
          <w:rFonts w:asciiTheme="majorBidi" w:hAnsiTheme="majorBidi" w:cstheme="majorBidi"/>
          <w:b/>
          <w:bCs/>
          <w:sz w:val="20"/>
          <w:szCs w:val="20"/>
          <w:lang w:val="ru-RU"/>
        </w:rPr>
        <w:t>Процедура подачи комментариев – статья</w:t>
      </w:r>
      <w:r>
        <w:rPr>
          <w:rFonts w:asciiTheme="majorBidi" w:hAnsiTheme="majorBidi" w:cstheme="majorBidi"/>
          <w:b/>
          <w:bCs/>
          <w:sz w:val="20"/>
          <w:szCs w:val="20"/>
          <w:lang w:val="kk-KZ"/>
        </w:rPr>
        <w:t xml:space="preserve"> </w:t>
      </w:r>
      <w:r w:rsidR="00A504C6" w:rsidRPr="00FD0520">
        <w:rPr>
          <w:rFonts w:asciiTheme="majorBidi" w:hAnsiTheme="majorBidi" w:cstheme="majorBidi"/>
          <w:b/>
          <w:bCs/>
          <w:sz w:val="20"/>
          <w:szCs w:val="20"/>
          <w:lang w:val="ru-RU"/>
        </w:rPr>
        <w:t>6(7)</w:t>
      </w:r>
    </w:p>
    <w:p w:rsidR="00DC0DFA" w:rsidRPr="00FD0520" w:rsidRDefault="00DC0DFA" w:rsidP="00662A87">
      <w:pPr>
        <w:pStyle w:val="a5"/>
        <w:tabs>
          <w:tab w:val="left" w:pos="993"/>
        </w:tabs>
        <w:ind w:left="567" w:right="521"/>
        <w:jc w:val="both"/>
        <w:rPr>
          <w:rFonts w:asciiTheme="majorBidi" w:hAnsiTheme="majorBidi" w:cstheme="majorBidi"/>
          <w:sz w:val="20"/>
          <w:szCs w:val="20"/>
          <w:lang w:val="ru-RU"/>
        </w:rPr>
      </w:pPr>
    </w:p>
    <w:p w:rsidR="00412AFB" w:rsidRPr="00FD0520" w:rsidRDefault="00FD0520" w:rsidP="00412AFB">
      <w:pPr>
        <w:pStyle w:val="a5"/>
        <w:tabs>
          <w:tab w:val="left" w:pos="993"/>
        </w:tabs>
        <w:ind w:left="567" w:right="521"/>
        <w:jc w:val="both"/>
        <w:rPr>
          <w:rFonts w:asciiTheme="majorBidi" w:hAnsiTheme="majorBidi" w:cstheme="majorBidi"/>
          <w:i/>
          <w:iCs/>
          <w:sz w:val="20"/>
          <w:szCs w:val="20"/>
          <w:lang w:val="ru-RU"/>
        </w:rPr>
      </w:pPr>
      <w:r w:rsidRPr="00FD0520">
        <w:rPr>
          <w:rFonts w:asciiTheme="majorBidi" w:hAnsiTheme="majorBidi" w:cstheme="majorBidi"/>
          <w:i/>
          <w:iCs/>
          <w:sz w:val="20"/>
          <w:szCs w:val="20"/>
          <w:lang w:val="ru-RU"/>
        </w:rPr>
        <w:t>В любом случае, возможность для письменных комментариев</w:t>
      </w:r>
    </w:p>
    <w:p w:rsidR="00412AFB" w:rsidRPr="00FD0520" w:rsidRDefault="00412AFB" w:rsidP="00412AFB">
      <w:pPr>
        <w:pStyle w:val="a5"/>
        <w:tabs>
          <w:tab w:val="left" w:pos="993"/>
        </w:tabs>
        <w:ind w:left="567" w:right="521"/>
        <w:jc w:val="both"/>
        <w:rPr>
          <w:rFonts w:asciiTheme="majorBidi" w:hAnsiTheme="majorBidi" w:cstheme="majorBidi"/>
          <w:i/>
          <w:iCs/>
          <w:sz w:val="20"/>
          <w:szCs w:val="20"/>
          <w:lang w:val="ru-RU"/>
        </w:rPr>
      </w:pPr>
    </w:p>
    <w:p w:rsidR="00412AFB" w:rsidRPr="00FD0520" w:rsidRDefault="00FD0520"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D0520">
        <w:rPr>
          <w:rFonts w:asciiTheme="majorBidi" w:hAnsiTheme="majorBidi" w:cstheme="majorBidi"/>
          <w:sz w:val="20"/>
          <w:szCs w:val="20"/>
          <w:lang w:val="ru-RU"/>
        </w:rPr>
        <w:t>В каждом случае общественность должна иметь возможность представить комментарии в письменном виде. В случае виртуального слушания это должно включать возможность представить письменные комментарии после того, как виртуальное слушание состоялось.</w:t>
      </w:r>
      <w:r w:rsidR="00412AFB" w:rsidRPr="00FD0520">
        <w:rPr>
          <w:rFonts w:asciiTheme="majorBidi" w:hAnsiTheme="majorBidi" w:cstheme="majorBidi"/>
          <w:sz w:val="20"/>
          <w:szCs w:val="20"/>
          <w:lang w:val="ru-RU"/>
        </w:rPr>
        <w:t>.</w:t>
      </w:r>
    </w:p>
    <w:p w:rsidR="00412AFB" w:rsidRPr="00FD0520" w:rsidRDefault="00412AFB" w:rsidP="00412AFB">
      <w:pPr>
        <w:pStyle w:val="a5"/>
        <w:tabs>
          <w:tab w:val="left" w:pos="993"/>
        </w:tabs>
        <w:ind w:left="567" w:right="521"/>
        <w:jc w:val="both"/>
        <w:rPr>
          <w:rFonts w:asciiTheme="majorBidi" w:hAnsiTheme="majorBidi" w:cstheme="majorBidi"/>
          <w:sz w:val="20"/>
          <w:szCs w:val="20"/>
          <w:lang w:val="ru-RU"/>
        </w:rPr>
      </w:pPr>
    </w:p>
    <w:p w:rsidR="00412AFB" w:rsidRPr="00FD0520" w:rsidRDefault="00FD0520"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D0520">
        <w:rPr>
          <w:rFonts w:asciiTheme="majorBidi" w:hAnsiTheme="majorBidi" w:cstheme="majorBidi"/>
          <w:sz w:val="20"/>
          <w:szCs w:val="20"/>
          <w:lang w:val="ru-RU"/>
        </w:rPr>
        <w:t>При принятии решений необходимо в равной степени учитывать комментарии, представленные в письменном виде, и комментарии, сделанные в ходе виртуального слушания</w:t>
      </w:r>
      <w:r w:rsidR="00412AFB" w:rsidRPr="00FD0520">
        <w:rPr>
          <w:rFonts w:asciiTheme="majorBidi" w:hAnsiTheme="majorBidi" w:cstheme="majorBidi"/>
          <w:sz w:val="20"/>
          <w:szCs w:val="20"/>
          <w:lang w:val="ru-RU"/>
        </w:rPr>
        <w:t>.</w:t>
      </w:r>
      <w:r w:rsidR="00412AFB" w:rsidRPr="00473CFB">
        <w:rPr>
          <w:rStyle w:val="ad"/>
          <w:rFonts w:asciiTheme="majorBidi" w:hAnsiTheme="majorBidi" w:cstheme="majorBidi"/>
          <w:sz w:val="20"/>
          <w:szCs w:val="20"/>
        </w:rPr>
        <w:footnoteReference w:id="5"/>
      </w:r>
      <w:r w:rsidR="00412AFB" w:rsidRPr="00FD0520">
        <w:rPr>
          <w:rFonts w:asciiTheme="majorBidi" w:hAnsiTheme="majorBidi" w:cstheme="majorBidi"/>
          <w:sz w:val="20"/>
          <w:szCs w:val="20"/>
          <w:lang w:val="ru-RU"/>
        </w:rPr>
        <w:t xml:space="preserve"> </w:t>
      </w:r>
    </w:p>
    <w:p w:rsidR="00412AFB" w:rsidRPr="00FD0520" w:rsidRDefault="00412AFB" w:rsidP="00662A87">
      <w:pPr>
        <w:pStyle w:val="a5"/>
        <w:tabs>
          <w:tab w:val="left" w:pos="993"/>
        </w:tabs>
        <w:ind w:left="567" w:right="521"/>
        <w:jc w:val="both"/>
        <w:rPr>
          <w:rFonts w:asciiTheme="majorBidi" w:hAnsiTheme="majorBidi" w:cstheme="majorBidi"/>
          <w:i/>
          <w:iCs/>
          <w:sz w:val="20"/>
          <w:szCs w:val="20"/>
          <w:lang w:val="ru-RU"/>
        </w:rPr>
      </w:pPr>
    </w:p>
    <w:p w:rsidR="00424C9D" w:rsidRPr="007547EF" w:rsidRDefault="00FD0520" w:rsidP="00662A87">
      <w:pPr>
        <w:pStyle w:val="a5"/>
        <w:tabs>
          <w:tab w:val="left" w:pos="993"/>
        </w:tabs>
        <w:ind w:left="567" w:right="521"/>
        <w:jc w:val="both"/>
        <w:rPr>
          <w:rFonts w:asciiTheme="majorBidi" w:hAnsiTheme="majorBidi" w:cstheme="majorBidi"/>
          <w:i/>
          <w:iCs/>
          <w:sz w:val="20"/>
          <w:szCs w:val="20"/>
          <w:lang w:val="ru-RU"/>
        </w:rPr>
      </w:pPr>
      <w:r w:rsidRPr="007547EF">
        <w:rPr>
          <w:rFonts w:asciiTheme="majorBidi" w:hAnsiTheme="majorBidi" w:cstheme="majorBidi"/>
          <w:i/>
          <w:iCs/>
          <w:sz w:val="20"/>
          <w:szCs w:val="20"/>
          <w:lang w:val="ru-RU"/>
        </w:rPr>
        <w:t>Процедуры виртуального слушания</w:t>
      </w:r>
    </w:p>
    <w:p w:rsidR="009C7F0C" w:rsidRPr="007547EF" w:rsidRDefault="009C7F0C" w:rsidP="00662A87">
      <w:pPr>
        <w:pStyle w:val="a5"/>
        <w:tabs>
          <w:tab w:val="left" w:pos="993"/>
        </w:tabs>
        <w:ind w:left="567" w:right="521"/>
        <w:jc w:val="both"/>
        <w:rPr>
          <w:rFonts w:asciiTheme="majorBidi" w:hAnsiTheme="majorBidi" w:cstheme="majorBidi"/>
          <w:i/>
          <w:iCs/>
          <w:sz w:val="20"/>
          <w:szCs w:val="20"/>
          <w:lang w:val="ru-RU"/>
        </w:rPr>
      </w:pPr>
    </w:p>
    <w:p w:rsidR="009C7F0C" w:rsidRPr="007547EF" w:rsidRDefault="007547EF" w:rsidP="00662A87">
      <w:pPr>
        <w:pStyle w:val="a5"/>
        <w:tabs>
          <w:tab w:val="left" w:pos="993"/>
        </w:tabs>
        <w:ind w:left="567" w:right="521"/>
        <w:jc w:val="both"/>
        <w:rPr>
          <w:rFonts w:asciiTheme="majorBidi" w:hAnsiTheme="majorBidi" w:cstheme="majorBidi"/>
          <w:sz w:val="20"/>
          <w:szCs w:val="20"/>
          <w:u w:val="single"/>
          <w:lang w:val="ru-RU"/>
        </w:rPr>
      </w:pPr>
      <w:r>
        <w:rPr>
          <w:rFonts w:asciiTheme="majorBidi" w:hAnsiTheme="majorBidi" w:cstheme="majorBidi"/>
          <w:sz w:val="20"/>
          <w:szCs w:val="20"/>
          <w:u w:val="single"/>
          <w:lang w:val="kk-KZ"/>
        </w:rPr>
        <w:t>Открыто для любого члена общественности</w:t>
      </w:r>
      <w:r w:rsidR="00582BF1" w:rsidRPr="007547EF">
        <w:rPr>
          <w:rFonts w:asciiTheme="majorBidi" w:hAnsiTheme="majorBidi" w:cstheme="majorBidi"/>
          <w:sz w:val="20"/>
          <w:szCs w:val="20"/>
          <w:u w:val="single"/>
          <w:lang w:val="ru-RU"/>
        </w:rPr>
        <w:t xml:space="preserve"> </w:t>
      </w:r>
    </w:p>
    <w:p w:rsidR="006D0E0B" w:rsidRPr="007547EF" w:rsidRDefault="006D0E0B" w:rsidP="00662A87">
      <w:pPr>
        <w:pStyle w:val="a5"/>
        <w:tabs>
          <w:tab w:val="left" w:pos="993"/>
        </w:tabs>
        <w:ind w:left="567" w:right="521"/>
        <w:jc w:val="both"/>
        <w:rPr>
          <w:rFonts w:asciiTheme="majorBidi" w:hAnsiTheme="majorBidi" w:cstheme="majorBidi"/>
          <w:i/>
          <w:iCs/>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Как и в случае личных слушаний, слушания, проводимые с помощью видеоконференций или других виртуальных средств, должны быть открыты для всех, кто желает принять участие, и не только по приглашению.</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Также, как и в случае личных слушаний, если большое количество представителей общественности хотели бы принять участие в виртуальном слушании, чтобы дать возможность всем представителям общественности, желающим выступить, сделать это, более одного слушания возможно, потребуется провести или это может занять более одного дня.</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9C7F0C"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Следует позаботиться о том, чтобы процедура регистрации, если таковая имеется, для виртуального слушания не представляла препятствия для участия (в том числе, если регистрационная форма могла представлять собой барьер из-за языка или для лиц, не имеющих грамотности или технических навыков), и насколько это практически возможно, участники, которые еще не зарегистрировались для участия, должны иметь возможность выступить</w:t>
      </w:r>
      <w:r w:rsidR="009C7F0C" w:rsidRPr="007547EF">
        <w:rPr>
          <w:rFonts w:asciiTheme="majorBidi" w:hAnsiTheme="majorBidi" w:cstheme="majorBidi"/>
          <w:sz w:val="20"/>
          <w:szCs w:val="20"/>
          <w:lang w:val="ru-RU"/>
        </w:rPr>
        <w:t>.</w:t>
      </w:r>
      <w:r w:rsidR="009C7F0C" w:rsidRPr="00473CFB">
        <w:rPr>
          <w:rStyle w:val="ad"/>
          <w:rFonts w:asciiTheme="majorBidi" w:hAnsiTheme="majorBidi" w:cstheme="majorBidi"/>
          <w:sz w:val="20"/>
          <w:szCs w:val="20"/>
        </w:rPr>
        <w:footnoteReference w:id="6"/>
      </w:r>
      <w:r w:rsidR="009C7F0C" w:rsidRPr="007547EF">
        <w:rPr>
          <w:rFonts w:asciiTheme="majorBidi" w:hAnsiTheme="majorBidi" w:cstheme="majorBidi"/>
          <w:sz w:val="20"/>
          <w:szCs w:val="20"/>
          <w:lang w:val="ru-RU"/>
        </w:rPr>
        <w:t xml:space="preserve"> </w:t>
      </w:r>
    </w:p>
    <w:p w:rsidR="009C5501" w:rsidRPr="007547EF" w:rsidRDefault="009C5501" w:rsidP="00A218CF">
      <w:pPr>
        <w:pStyle w:val="a5"/>
        <w:tabs>
          <w:tab w:val="left" w:pos="993"/>
        </w:tabs>
        <w:ind w:left="567" w:right="521"/>
        <w:jc w:val="both"/>
        <w:rPr>
          <w:rFonts w:asciiTheme="majorBidi" w:hAnsiTheme="majorBidi"/>
          <w:sz w:val="20"/>
          <w:u w:val="single"/>
          <w:lang w:val="ru-RU"/>
        </w:rPr>
      </w:pPr>
    </w:p>
    <w:p w:rsidR="009C7F0C" w:rsidRPr="007547EF" w:rsidRDefault="007547EF" w:rsidP="00A57028">
      <w:pPr>
        <w:pStyle w:val="a5"/>
        <w:tabs>
          <w:tab w:val="left" w:pos="993"/>
        </w:tabs>
        <w:ind w:left="567" w:right="521"/>
        <w:jc w:val="both"/>
        <w:rPr>
          <w:rFonts w:asciiTheme="majorBidi" w:hAnsiTheme="majorBidi" w:cstheme="majorBidi"/>
          <w:sz w:val="20"/>
          <w:szCs w:val="20"/>
          <w:u w:val="single"/>
          <w:lang w:val="kk-KZ"/>
        </w:rPr>
      </w:pPr>
      <w:r>
        <w:rPr>
          <w:rFonts w:asciiTheme="majorBidi" w:hAnsiTheme="majorBidi" w:cstheme="majorBidi"/>
          <w:sz w:val="20"/>
          <w:szCs w:val="20"/>
          <w:u w:val="single"/>
          <w:lang w:val="kk-KZ"/>
        </w:rPr>
        <w:t>Технические барьеры для участия</w:t>
      </w:r>
    </w:p>
    <w:p w:rsidR="00AC1D0F" w:rsidRPr="007547EF" w:rsidRDefault="00AC1D0F" w:rsidP="00AC1D0F">
      <w:pPr>
        <w:pStyle w:val="a5"/>
        <w:rPr>
          <w:rFonts w:asciiTheme="majorBidi" w:hAnsiTheme="majorBidi" w:cstheme="majorBidi"/>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 xml:space="preserve">Технические препятствия для участия общественности в виртуальных слушаниях могут включать отсутствие доступа к высококачественному интернету или отсутствие технических навыков для участия в </w:t>
      </w:r>
      <w:proofErr w:type="spellStart"/>
      <w:r w:rsidRPr="007547EF">
        <w:rPr>
          <w:rFonts w:asciiTheme="majorBidi" w:hAnsiTheme="majorBidi" w:cstheme="majorBidi"/>
          <w:sz w:val="20"/>
          <w:szCs w:val="20"/>
          <w:lang w:val="ru-RU"/>
        </w:rPr>
        <w:t>онлайн-мероприятиях</w:t>
      </w:r>
      <w:proofErr w:type="spellEnd"/>
      <w:r w:rsidRPr="007547EF">
        <w:rPr>
          <w:rFonts w:asciiTheme="majorBidi" w:hAnsiTheme="majorBidi" w:cstheme="majorBidi"/>
          <w:sz w:val="20"/>
          <w:szCs w:val="20"/>
          <w:lang w:val="ru-RU"/>
        </w:rPr>
        <w:t>.</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В обоих случаях необходимо предоставить альтернативы, с тем чтобы представители соответствующей общественности, не имеющие доступа к технологиям или соответствующим техническим навыкам, могли по-прежнему эффективно участвовать.</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 xml:space="preserve">Во-первых, представители общественности, которые не имеют доступа к Интернету или испытывают технические трудности, все же должны иметь возможность участвовать в </w:t>
      </w:r>
      <w:r w:rsidRPr="007547EF">
        <w:rPr>
          <w:rFonts w:asciiTheme="majorBidi" w:hAnsiTheme="majorBidi" w:cstheme="majorBidi"/>
          <w:sz w:val="20"/>
          <w:szCs w:val="20"/>
          <w:lang w:val="ru-RU"/>
        </w:rPr>
        <w:lastRenderedPageBreak/>
        <w:t>слушании, позвонив по бесплатному номеру телефона, чтобы прослушать слушания, задать вопросы и сделать заявления. ,</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CD1D52"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Во</w:t>
      </w:r>
      <w:r w:rsidR="005A0D5E">
        <w:rPr>
          <w:rFonts w:asciiTheme="majorBidi" w:hAnsiTheme="majorBidi" w:cstheme="majorBidi"/>
          <w:sz w:val="20"/>
          <w:szCs w:val="20"/>
          <w:lang w:val="ru-RU"/>
        </w:rPr>
        <w:t>-вторых, как указано в пункте 43</w:t>
      </w:r>
      <w:r w:rsidRPr="007547EF">
        <w:rPr>
          <w:rFonts w:asciiTheme="majorBidi" w:hAnsiTheme="majorBidi" w:cstheme="majorBidi"/>
          <w:sz w:val="20"/>
          <w:szCs w:val="20"/>
          <w:lang w:val="ru-RU"/>
        </w:rPr>
        <w:t xml:space="preserve"> выше, все представители общественности должны иметь право представлять письменные комментарии.</w:t>
      </w:r>
      <w:r w:rsidR="00CD1D52" w:rsidRPr="007547EF">
        <w:rPr>
          <w:rFonts w:asciiTheme="majorBidi" w:hAnsiTheme="majorBidi" w:cstheme="majorBidi"/>
          <w:sz w:val="20"/>
          <w:szCs w:val="20"/>
          <w:lang w:val="ru-RU"/>
        </w:rPr>
        <w:t xml:space="preserve">  </w:t>
      </w:r>
    </w:p>
    <w:p w:rsidR="00CD1D52" w:rsidRPr="007547EF" w:rsidRDefault="00CD1D52" w:rsidP="00A57028">
      <w:pPr>
        <w:pStyle w:val="a5"/>
        <w:rPr>
          <w:rFonts w:asciiTheme="majorBidi" w:hAnsiTheme="majorBidi" w:cstheme="majorBidi"/>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 xml:space="preserve">Если значительная часть заинтересованной общественности не имеет доступа к Интернету, следует использовать альтернативные </w:t>
      </w:r>
      <w:proofErr w:type="spellStart"/>
      <w:r w:rsidRPr="007547EF">
        <w:rPr>
          <w:rFonts w:asciiTheme="majorBidi" w:hAnsiTheme="majorBidi" w:cstheme="majorBidi"/>
          <w:sz w:val="20"/>
          <w:szCs w:val="20"/>
          <w:lang w:val="ru-RU"/>
        </w:rPr>
        <w:t>низкотехнологичные</w:t>
      </w:r>
      <w:proofErr w:type="spellEnd"/>
      <w:r w:rsidRPr="007547EF">
        <w:rPr>
          <w:rFonts w:asciiTheme="majorBidi" w:hAnsiTheme="majorBidi" w:cstheme="majorBidi"/>
          <w:sz w:val="20"/>
          <w:szCs w:val="20"/>
          <w:lang w:val="ru-RU"/>
        </w:rPr>
        <w:t xml:space="preserve"> средства для трансляции слушаний и предоставления общественности возможности делать заявления и задавать вопросы. Например, слушание может транслироваться в прямом эфире по телевидению или радио. Однако, поскольку радио и телевидение сами по себе не позволяют представителям общественности говорить на расстоянии, в каждом случае представители общественности должны иметь возможность выступать с заявлениями и задавать вопросы по бесплатному номеру телефона или лицам, имеющим доступ к Интернету. , по Интернету.</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7547EF"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 xml:space="preserve">В зависимости от ограничений, введенных в соответствующей Стороне во время пандемии </w:t>
      </w:r>
      <w:r w:rsidRPr="007547EF">
        <w:rPr>
          <w:rFonts w:asciiTheme="majorBidi" w:hAnsiTheme="majorBidi" w:cstheme="majorBidi"/>
          <w:sz w:val="20"/>
          <w:szCs w:val="20"/>
        </w:rPr>
        <w:t>COVID</w:t>
      </w:r>
      <w:r w:rsidRPr="007547EF">
        <w:rPr>
          <w:rFonts w:asciiTheme="majorBidi" w:hAnsiTheme="majorBidi" w:cstheme="majorBidi"/>
          <w:sz w:val="20"/>
          <w:szCs w:val="20"/>
          <w:lang w:val="ru-RU"/>
        </w:rPr>
        <w:t xml:space="preserve">-19, несколько представителей общественности могут собраться вместе для участия в слушании по </w:t>
      </w:r>
      <w:proofErr w:type="spellStart"/>
      <w:r w:rsidRPr="007547EF">
        <w:rPr>
          <w:rFonts w:asciiTheme="majorBidi" w:hAnsiTheme="majorBidi" w:cstheme="majorBidi"/>
          <w:sz w:val="20"/>
          <w:szCs w:val="20"/>
          <w:lang w:val="ru-RU"/>
        </w:rPr>
        <w:t>интернет-соединению</w:t>
      </w:r>
      <w:proofErr w:type="spellEnd"/>
      <w:r w:rsidRPr="007547EF">
        <w:rPr>
          <w:rFonts w:asciiTheme="majorBidi" w:hAnsiTheme="majorBidi" w:cstheme="majorBidi"/>
          <w:sz w:val="20"/>
          <w:szCs w:val="20"/>
          <w:lang w:val="ru-RU"/>
        </w:rPr>
        <w:t xml:space="preserve"> одного человека. Однако, поскольку для многих представителей общественности такой вариант может не существовать, соответствующая Сторона должна обеспечить, чтобы она предоставляла </w:t>
      </w:r>
      <w:proofErr w:type="spellStart"/>
      <w:r w:rsidRPr="007547EF">
        <w:rPr>
          <w:rFonts w:asciiTheme="majorBidi" w:hAnsiTheme="majorBidi" w:cstheme="majorBidi"/>
          <w:sz w:val="20"/>
          <w:szCs w:val="20"/>
          <w:lang w:val="ru-RU"/>
        </w:rPr>
        <w:t>низкотехнологичные</w:t>
      </w:r>
      <w:proofErr w:type="spellEnd"/>
      <w:r w:rsidRPr="007547EF">
        <w:rPr>
          <w:rFonts w:asciiTheme="majorBidi" w:hAnsiTheme="majorBidi" w:cstheme="majorBidi"/>
          <w:sz w:val="20"/>
          <w:szCs w:val="20"/>
          <w:lang w:val="ru-RU"/>
        </w:rPr>
        <w:t xml:space="preserve"> средства, такие как бесплатный телефонный номер, чтобы люди, не имеющие доступа к Интернету, могли подключаться к виртуальному слушанию.</w:t>
      </w:r>
    </w:p>
    <w:p w:rsidR="007547EF" w:rsidRPr="007547EF" w:rsidRDefault="007547EF" w:rsidP="007547EF">
      <w:pPr>
        <w:pStyle w:val="a5"/>
        <w:tabs>
          <w:tab w:val="left" w:pos="993"/>
        </w:tabs>
        <w:ind w:left="567" w:right="521"/>
        <w:jc w:val="both"/>
        <w:rPr>
          <w:rFonts w:asciiTheme="majorBidi" w:hAnsiTheme="majorBidi" w:cstheme="majorBidi"/>
          <w:sz w:val="20"/>
          <w:szCs w:val="20"/>
          <w:lang w:val="ru-RU"/>
        </w:rPr>
      </w:pPr>
    </w:p>
    <w:p w:rsidR="008A71C1" w:rsidRPr="007547EF" w:rsidRDefault="007547EF"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7547EF">
        <w:rPr>
          <w:rFonts w:asciiTheme="majorBidi" w:hAnsiTheme="majorBidi" w:cstheme="majorBidi"/>
          <w:sz w:val="20"/>
          <w:szCs w:val="20"/>
          <w:lang w:val="ru-RU"/>
        </w:rPr>
        <w:t xml:space="preserve">Важным элементом публичных слушаний является возможность для общественности задавать вопросы и проводить перекрестный опрос разработчика или </w:t>
      </w:r>
      <w:proofErr w:type="spellStart"/>
      <w:r w:rsidRPr="007547EF">
        <w:rPr>
          <w:rFonts w:asciiTheme="majorBidi" w:hAnsiTheme="majorBidi" w:cstheme="majorBidi"/>
          <w:sz w:val="20"/>
          <w:szCs w:val="20"/>
          <w:lang w:val="ru-RU"/>
        </w:rPr>
        <w:t>промоутера</w:t>
      </w:r>
      <w:proofErr w:type="spellEnd"/>
      <w:r w:rsidRPr="007547EF">
        <w:rPr>
          <w:rFonts w:asciiTheme="majorBidi" w:hAnsiTheme="majorBidi" w:cstheme="majorBidi"/>
          <w:sz w:val="20"/>
          <w:szCs w:val="20"/>
          <w:lang w:val="ru-RU"/>
        </w:rPr>
        <w:t xml:space="preserve"> предлагаемой деятельности и их экспертов. В дополнение к возможности присоединиться к виртуальному слушанию и задавать вопросы по Интернету или телефону, в качестве хорошей практики представителям общественности должна быть предоставлена ​​возможность задавать письменные вопросы до начала слушания, а организаторы слушания могут их задать. вопросы к соответствующим людям во время самого слушания. Затем следует вести учет ответов, предоставленных на любые такие вопросы</w:t>
      </w:r>
      <w:r w:rsidR="008A71C1" w:rsidRPr="007547EF">
        <w:rPr>
          <w:rFonts w:asciiTheme="majorBidi" w:hAnsiTheme="majorBidi" w:cstheme="majorBidi"/>
          <w:sz w:val="20"/>
          <w:szCs w:val="20"/>
          <w:lang w:val="ru-RU"/>
        </w:rPr>
        <w:t xml:space="preserve">. </w:t>
      </w:r>
    </w:p>
    <w:p w:rsidR="00FF2549" w:rsidRPr="007547EF" w:rsidRDefault="00FF2549" w:rsidP="00A57028">
      <w:pPr>
        <w:pStyle w:val="a5"/>
        <w:tabs>
          <w:tab w:val="left" w:pos="993"/>
        </w:tabs>
        <w:ind w:left="567" w:right="521"/>
        <w:jc w:val="both"/>
        <w:rPr>
          <w:rFonts w:asciiTheme="majorBidi" w:hAnsiTheme="majorBidi"/>
          <w:lang w:val="ru-RU"/>
        </w:rPr>
      </w:pPr>
    </w:p>
    <w:p w:rsidR="00424C9D" w:rsidRPr="005A6DC7" w:rsidRDefault="005A6DC7" w:rsidP="00A57028">
      <w:pPr>
        <w:pStyle w:val="a5"/>
        <w:tabs>
          <w:tab w:val="left" w:pos="993"/>
        </w:tabs>
        <w:ind w:left="567" w:right="521"/>
        <w:jc w:val="both"/>
        <w:rPr>
          <w:rFonts w:asciiTheme="majorBidi" w:hAnsiTheme="majorBidi" w:cstheme="majorBidi"/>
          <w:sz w:val="20"/>
          <w:szCs w:val="20"/>
          <w:u w:val="single"/>
          <w:lang w:val="kk-KZ"/>
        </w:rPr>
      </w:pPr>
      <w:r>
        <w:rPr>
          <w:rFonts w:asciiTheme="majorBidi" w:hAnsiTheme="majorBidi" w:cstheme="majorBidi"/>
          <w:sz w:val="20"/>
          <w:szCs w:val="20"/>
          <w:u w:val="single"/>
          <w:lang w:val="kk-KZ"/>
        </w:rPr>
        <w:t>Языковые барьеры для участия</w:t>
      </w:r>
    </w:p>
    <w:p w:rsidR="00612ECC" w:rsidRPr="00473CFB" w:rsidRDefault="00612ECC" w:rsidP="00612ECC">
      <w:pPr>
        <w:pStyle w:val="a5"/>
        <w:tabs>
          <w:tab w:val="left" w:pos="993"/>
        </w:tabs>
        <w:ind w:left="567" w:right="521"/>
        <w:jc w:val="both"/>
        <w:rPr>
          <w:rFonts w:asciiTheme="majorBidi" w:hAnsiTheme="majorBidi" w:cstheme="majorBidi"/>
          <w:sz w:val="20"/>
          <w:szCs w:val="20"/>
        </w:rPr>
      </w:pPr>
    </w:p>
    <w:p w:rsidR="005A6DC7" w:rsidRPr="005A6DC7" w:rsidRDefault="005A6DC7"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5A6DC7">
        <w:rPr>
          <w:rFonts w:asciiTheme="majorBidi" w:hAnsiTheme="majorBidi" w:cstheme="majorBidi"/>
          <w:sz w:val="20"/>
          <w:szCs w:val="20"/>
          <w:lang w:val="ru-RU"/>
        </w:rPr>
        <w:t>Что касается личных слушаний, то по запросу должен быть предоставлен соответствующий перевод для обеспечения эффективного участия общественности. С этой целью в уведомлении о виртуальном слушании, которое будет опубликовано в соответствии со статьей 6 (2) Конвенции, должны быть в соответствующих случаях указаны язык (языки), на котором будет проводиться виртуальное слушание, и информирована общественность о возможности запроса интерпретация, если это потребуется.</w:t>
      </w:r>
    </w:p>
    <w:p w:rsidR="005A6DC7" w:rsidRPr="005A6DC7" w:rsidRDefault="005A6DC7" w:rsidP="005A6DC7">
      <w:pPr>
        <w:pStyle w:val="a5"/>
        <w:tabs>
          <w:tab w:val="left" w:pos="993"/>
        </w:tabs>
        <w:ind w:left="567" w:right="521"/>
        <w:jc w:val="both"/>
        <w:rPr>
          <w:rFonts w:asciiTheme="majorBidi" w:hAnsiTheme="majorBidi" w:cstheme="majorBidi"/>
          <w:sz w:val="20"/>
          <w:szCs w:val="20"/>
          <w:lang w:val="ru-RU"/>
        </w:rPr>
      </w:pPr>
    </w:p>
    <w:p w:rsidR="005A6DC7" w:rsidRPr="005A6DC7" w:rsidRDefault="005A6DC7"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5A6DC7">
        <w:rPr>
          <w:rFonts w:asciiTheme="majorBidi" w:hAnsiTheme="majorBidi" w:cstheme="majorBidi"/>
          <w:sz w:val="20"/>
          <w:szCs w:val="20"/>
          <w:lang w:val="ru-RU"/>
        </w:rPr>
        <w:t>Для представителей соответствующей общественности, которые не говорят или не понимают язык, на котором будет проводиться виртуальное слушание, для виртуального слушания может быть предоставлен бесплатный телефонный номер с переводом на их язык. Таким образом, они могут слушать и участвовать в слушаниях на своем родном языке.</w:t>
      </w:r>
    </w:p>
    <w:p w:rsidR="005A6DC7" w:rsidRPr="005A6DC7" w:rsidRDefault="005A6DC7" w:rsidP="005A6DC7">
      <w:pPr>
        <w:pStyle w:val="a5"/>
        <w:tabs>
          <w:tab w:val="left" w:pos="993"/>
        </w:tabs>
        <w:ind w:left="567" w:right="521"/>
        <w:jc w:val="both"/>
        <w:rPr>
          <w:rFonts w:asciiTheme="majorBidi" w:hAnsiTheme="majorBidi" w:cstheme="majorBidi"/>
          <w:sz w:val="20"/>
          <w:szCs w:val="20"/>
          <w:lang w:val="ru-RU"/>
        </w:rPr>
      </w:pPr>
    </w:p>
    <w:p w:rsidR="00455690" w:rsidRPr="005A6DC7" w:rsidRDefault="005A6DC7"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5A6DC7">
        <w:rPr>
          <w:rFonts w:asciiTheme="majorBidi" w:hAnsiTheme="majorBidi" w:cstheme="majorBidi"/>
          <w:sz w:val="20"/>
          <w:szCs w:val="20"/>
          <w:lang w:val="ru-RU"/>
        </w:rPr>
        <w:t>В качестве надлежащей практики записи или стенограммы слушания должны быть доступны на соответствующих языках сразу после слушания, чтобы представители общественности могли просмотреть их, прежде чем представить свои письменные комментарии</w:t>
      </w:r>
      <w:r w:rsidR="00455690" w:rsidRPr="005A6DC7">
        <w:rPr>
          <w:rFonts w:asciiTheme="majorBidi" w:hAnsiTheme="majorBidi" w:cstheme="majorBidi"/>
          <w:sz w:val="20"/>
          <w:szCs w:val="20"/>
          <w:lang w:val="ru-RU"/>
        </w:rPr>
        <w:t>.</w:t>
      </w:r>
    </w:p>
    <w:p w:rsidR="00CF4A8F" w:rsidRPr="005A6DC7" w:rsidRDefault="00CF4A8F" w:rsidP="00370CD8">
      <w:pPr>
        <w:pStyle w:val="a5"/>
        <w:tabs>
          <w:tab w:val="left" w:pos="993"/>
        </w:tabs>
        <w:ind w:left="567" w:right="521"/>
        <w:jc w:val="both"/>
        <w:rPr>
          <w:rFonts w:asciiTheme="majorBidi" w:hAnsiTheme="majorBidi"/>
          <w:sz w:val="20"/>
          <w:u w:val="single"/>
          <w:lang w:val="ru-RU"/>
        </w:rPr>
      </w:pPr>
    </w:p>
    <w:p w:rsidR="001658BC" w:rsidRPr="00F73E3E" w:rsidRDefault="00F73E3E" w:rsidP="00370CD8">
      <w:pPr>
        <w:pStyle w:val="a5"/>
        <w:tabs>
          <w:tab w:val="left" w:pos="993"/>
        </w:tabs>
        <w:ind w:left="567" w:right="521"/>
        <w:jc w:val="both"/>
        <w:rPr>
          <w:rFonts w:asciiTheme="majorBidi" w:hAnsiTheme="majorBidi" w:cstheme="majorBidi"/>
          <w:sz w:val="20"/>
          <w:szCs w:val="20"/>
          <w:u w:val="single"/>
          <w:lang w:val="kk-KZ"/>
        </w:rPr>
      </w:pPr>
      <w:r>
        <w:rPr>
          <w:rFonts w:asciiTheme="majorBidi" w:hAnsiTheme="majorBidi" w:cstheme="majorBidi"/>
          <w:sz w:val="20"/>
          <w:szCs w:val="20"/>
          <w:u w:val="single"/>
          <w:lang w:val="kk-KZ"/>
        </w:rPr>
        <w:t>Участие в трансграничном контексте</w:t>
      </w:r>
    </w:p>
    <w:p w:rsidR="001658BC" w:rsidRPr="00473CFB" w:rsidRDefault="001658BC" w:rsidP="00370CD8">
      <w:pPr>
        <w:pStyle w:val="a5"/>
        <w:tabs>
          <w:tab w:val="left" w:pos="993"/>
        </w:tabs>
        <w:ind w:left="567" w:right="521"/>
        <w:jc w:val="both"/>
        <w:rPr>
          <w:rFonts w:asciiTheme="majorBidi" w:hAnsiTheme="majorBidi" w:cstheme="majorBidi"/>
          <w:sz w:val="20"/>
          <w:szCs w:val="20"/>
        </w:rPr>
      </w:pPr>
    </w:p>
    <w:p w:rsidR="00832E77"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 xml:space="preserve">В отношении предлагаемой деятельности, которая может иметь потенциальные трансграничные последствия, следует учитывать нынешний статус пандемии </w:t>
      </w:r>
      <w:r w:rsidRPr="00F73E3E">
        <w:rPr>
          <w:rFonts w:asciiTheme="majorBidi" w:hAnsiTheme="majorBidi" w:cstheme="majorBidi"/>
          <w:sz w:val="20"/>
          <w:szCs w:val="20"/>
        </w:rPr>
        <w:t>COVID</w:t>
      </w:r>
      <w:r w:rsidRPr="00F73E3E">
        <w:rPr>
          <w:rFonts w:asciiTheme="majorBidi" w:hAnsiTheme="majorBidi" w:cstheme="majorBidi"/>
          <w:sz w:val="20"/>
          <w:szCs w:val="20"/>
          <w:lang w:val="ru-RU"/>
        </w:rPr>
        <w:t xml:space="preserve">-19 и меры, принимаемые государственными органами в тех районах, где находится </w:t>
      </w:r>
      <w:r w:rsidRPr="00F73E3E">
        <w:rPr>
          <w:rFonts w:asciiTheme="majorBidi" w:hAnsiTheme="majorBidi" w:cstheme="majorBidi"/>
          <w:sz w:val="20"/>
          <w:szCs w:val="20"/>
          <w:lang w:val="ru-RU"/>
        </w:rPr>
        <w:lastRenderedPageBreak/>
        <w:t>заинтересованная иностранная общественность. В перспективе может оказаться, что заинтересованная общественность в соответствующей Стороне вновь сможет участвовать лично, но заинтересованная иностранная общественность все еще находится в условиях ограничений на свободу передвижения и может участвовать только в процедуре принятия решений на расстоянии. В такой ситуации соответствующая Сторона должна принять соответствующие меры, позволяющие заинтересованной иностранной общественности, тем не менее, эффективно участвовать. Это соответствует требованию статьи 3 (9) Конвенции обеспечить, чтобы иностранная общественность не подвергалась дискриминации из-за того, что она подвергается менее благоприятному обращению, чем общественность в соответствующей Стороне</w:t>
      </w:r>
      <w:r w:rsidR="00832E77" w:rsidRPr="00F73E3E">
        <w:rPr>
          <w:rFonts w:asciiTheme="majorBidi" w:hAnsiTheme="majorBidi" w:cstheme="majorBidi"/>
          <w:sz w:val="20"/>
          <w:szCs w:val="20"/>
          <w:lang w:val="ru-RU"/>
        </w:rPr>
        <w:t xml:space="preserve">. </w:t>
      </w:r>
    </w:p>
    <w:p w:rsidR="00FE62E9" w:rsidRPr="00F73E3E" w:rsidRDefault="00FE62E9" w:rsidP="00A218CF">
      <w:pPr>
        <w:pStyle w:val="a5"/>
        <w:tabs>
          <w:tab w:val="left" w:pos="993"/>
        </w:tabs>
        <w:ind w:left="567" w:right="521"/>
        <w:jc w:val="both"/>
        <w:rPr>
          <w:rFonts w:asciiTheme="majorBidi" w:hAnsiTheme="majorBidi" w:cstheme="majorBidi"/>
          <w:sz w:val="20"/>
          <w:szCs w:val="20"/>
          <w:lang w:val="ru-RU"/>
        </w:rPr>
      </w:pPr>
    </w:p>
    <w:p w:rsidR="008D4FE8" w:rsidRPr="00F73E3E" w:rsidRDefault="00F73E3E" w:rsidP="00A57028">
      <w:pPr>
        <w:pStyle w:val="a5"/>
        <w:tabs>
          <w:tab w:val="left" w:pos="993"/>
        </w:tabs>
        <w:ind w:left="567" w:right="521"/>
        <w:jc w:val="both"/>
        <w:rPr>
          <w:rFonts w:asciiTheme="majorBidi" w:hAnsiTheme="majorBidi" w:cstheme="majorBidi"/>
          <w:sz w:val="20"/>
          <w:szCs w:val="20"/>
          <w:u w:val="single"/>
          <w:lang w:val="kk-KZ"/>
        </w:rPr>
      </w:pPr>
      <w:r>
        <w:rPr>
          <w:rFonts w:asciiTheme="majorBidi" w:hAnsiTheme="majorBidi" w:cstheme="majorBidi"/>
          <w:sz w:val="20"/>
          <w:szCs w:val="20"/>
          <w:u w:val="single"/>
          <w:lang w:val="kk-KZ"/>
        </w:rPr>
        <w:t>Технические проблемы во время слушания</w:t>
      </w:r>
    </w:p>
    <w:p w:rsidR="008D4FE8" w:rsidRPr="00F73E3E" w:rsidRDefault="008D4FE8" w:rsidP="00A57028">
      <w:pPr>
        <w:pStyle w:val="a5"/>
        <w:tabs>
          <w:tab w:val="left" w:pos="993"/>
        </w:tabs>
        <w:ind w:left="567" w:right="521"/>
        <w:jc w:val="both"/>
        <w:rPr>
          <w:rFonts w:asciiTheme="majorBidi" w:hAnsiTheme="majorBidi" w:cstheme="majorBidi"/>
          <w:sz w:val="20"/>
          <w:szCs w:val="20"/>
          <w:lang w:val="ru-RU"/>
        </w:rPr>
      </w:pPr>
    </w:p>
    <w:p w:rsidR="00F73E3E"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Организаторы публичных слушаний должны предоставить соответствующую техническую поддержку для обеспечения бесперебойной работы виртуальных слушаний.</w:t>
      </w:r>
    </w:p>
    <w:p w:rsidR="00F73E3E" w:rsidRPr="00F73E3E" w:rsidRDefault="00F73E3E" w:rsidP="00F73E3E">
      <w:pPr>
        <w:pStyle w:val="a5"/>
        <w:tabs>
          <w:tab w:val="left" w:pos="993"/>
        </w:tabs>
        <w:ind w:left="567" w:right="521"/>
        <w:jc w:val="both"/>
        <w:rPr>
          <w:rFonts w:asciiTheme="majorBidi" w:hAnsiTheme="majorBidi" w:cstheme="majorBidi"/>
          <w:sz w:val="20"/>
          <w:szCs w:val="20"/>
          <w:lang w:val="ru-RU"/>
        </w:rPr>
      </w:pPr>
    </w:p>
    <w:p w:rsidR="00F73E3E"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 xml:space="preserve">Контактная информация персонала технической поддержки должна быть указана в уведомлении о виртуальном слушании вместе с инструкциями о различных способах (например, </w:t>
      </w:r>
      <w:proofErr w:type="spellStart"/>
      <w:r w:rsidRPr="00F73E3E">
        <w:rPr>
          <w:rFonts w:asciiTheme="majorBidi" w:hAnsiTheme="majorBidi" w:cstheme="majorBidi"/>
          <w:sz w:val="20"/>
          <w:szCs w:val="20"/>
          <w:lang w:val="ru-RU"/>
        </w:rPr>
        <w:t>веб-ссылка</w:t>
      </w:r>
      <w:proofErr w:type="spellEnd"/>
      <w:r w:rsidRPr="00F73E3E">
        <w:rPr>
          <w:rFonts w:asciiTheme="majorBidi" w:hAnsiTheme="majorBidi" w:cstheme="majorBidi"/>
          <w:sz w:val="20"/>
          <w:szCs w:val="20"/>
          <w:lang w:val="ru-RU"/>
        </w:rPr>
        <w:t>, бесплатные телефонные номера и т. Д.), С помощью которых публика может присоединиться к слушанию.</w:t>
      </w:r>
    </w:p>
    <w:p w:rsidR="00F73E3E" w:rsidRPr="00F73E3E" w:rsidRDefault="00F73E3E" w:rsidP="00F73E3E">
      <w:pPr>
        <w:pStyle w:val="a5"/>
        <w:tabs>
          <w:tab w:val="left" w:pos="993"/>
        </w:tabs>
        <w:ind w:left="567" w:right="521"/>
        <w:jc w:val="both"/>
        <w:rPr>
          <w:rFonts w:asciiTheme="majorBidi" w:hAnsiTheme="majorBidi" w:cstheme="majorBidi"/>
          <w:sz w:val="20"/>
          <w:szCs w:val="20"/>
          <w:lang w:val="ru-RU"/>
        </w:rPr>
      </w:pPr>
    </w:p>
    <w:p w:rsidR="00F73E3E"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Если представители общественности испытывают технические проблемы при присоединении к виртуальному слушанию, они все равно должны иметь возможность участвовать по бесплатному номеру телефона и представлять письменные комментарии.</w:t>
      </w:r>
    </w:p>
    <w:p w:rsidR="00F73E3E" w:rsidRPr="00F73E3E" w:rsidRDefault="00F73E3E" w:rsidP="00F73E3E">
      <w:pPr>
        <w:pStyle w:val="a5"/>
        <w:tabs>
          <w:tab w:val="left" w:pos="993"/>
        </w:tabs>
        <w:ind w:left="567" w:right="521"/>
        <w:jc w:val="both"/>
        <w:rPr>
          <w:rFonts w:asciiTheme="majorBidi" w:hAnsiTheme="majorBidi" w:cstheme="majorBidi"/>
          <w:sz w:val="20"/>
          <w:szCs w:val="20"/>
          <w:lang w:val="ru-RU"/>
        </w:rPr>
      </w:pPr>
    </w:p>
    <w:p w:rsid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Если виртуальное слушание имеет широко распространенные технические проблемы, оно должно быть отложено и перенесено, по крайней мере, на те части слушания, которые не могли быть продолжены.</w:t>
      </w:r>
    </w:p>
    <w:p w:rsidR="00F73E3E" w:rsidRDefault="00F73E3E" w:rsidP="00F73E3E">
      <w:pPr>
        <w:pStyle w:val="a5"/>
        <w:tabs>
          <w:tab w:val="left" w:pos="993"/>
        </w:tabs>
        <w:ind w:left="567" w:right="521"/>
        <w:jc w:val="both"/>
        <w:rPr>
          <w:rFonts w:asciiTheme="majorBidi" w:hAnsiTheme="majorBidi" w:cstheme="majorBidi"/>
          <w:sz w:val="20"/>
          <w:szCs w:val="20"/>
          <w:lang w:val="ru-RU"/>
        </w:rPr>
      </w:pPr>
    </w:p>
    <w:p w:rsidR="00CD1D52"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Организаторы виртуального слушания должны вести учет любых технических проблем, возникших во время слушания</w:t>
      </w:r>
    </w:p>
    <w:p w:rsidR="00353787" w:rsidRPr="00F73E3E" w:rsidRDefault="00353787" w:rsidP="00A57028">
      <w:pPr>
        <w:pStyle w:val="a5"/>
        <w:tabs>
          <w:tab w:val="left" w:pos="993"/>
        </w:tabs>
        <w:ind w:left="567" w:right="521"/>
        <w:jc w:val="both"/>
        <w:rPr>
          <w:rFonts w:asciiTheme="majorBidi" w:hAnsiTheme="majorBidi" w:cstheme="majorBidi"/>
          <w:sz w:val="20"/>
          <w:szCs w:val="20"/>
          <w:lang w:val="ru-RU"/>
        </w:rPr>
      </w:pPr>
    </w:p>
    <w:p w:rsidR="00F73E3E" w:rsidRPr="00F73E3E" w:rsidRDefault="00F73E3E" w:rsidP="00F73E3E">
      <w:pPr>
        <w:pStyle w:val="a5"/>
        <w:tabs>
          <w:tab w:val="left" w:pos="993"/>
        </w:tabs>
        <w:ind w:left="567" w:right="521"/>
        <w:jc w:val="both"/>
        <w:rPr>
          <w:rFonts w:asciiTheme="majorBidi" w:hAnsiTheme="majorBidi" w:cstheme="majorBidi"/>
          <w:sz w:val="20"/>
          <w:szCs w:val="20"/>
          <w:u w:val="single"/>
          <w:lang w:val="ru-RU"/>
        </w:rPr>
      </w:pPr>
    </w:p>
    <w:p w:rsidR="00B73A43" w:rsidRPr="00F73E3E" w:rsidRDefault="00F73E3E" w:rsidP="00F73E3E">
      <w:pPr>
        <w:pStyle w:val="a5"/>
        <w:tabs>
          <w:tab w:val="left" w:pos="993"/>
        </w:tabs>
        <w:ind w:left="567" w:right="521"/>
        <w:jc w:val="both"/>
        <w:rPr>
          <w:rFonts w:asciiTheme="majorBidi" w:hAnsiTheme="majorBidi" w:cstheme="majorBidi"/>
          <w:sz w:val="20"/>
          <w:szCs w:val="20"/>
          <w:u w:val="single"/>
          <w:lang w:val="ru-RU"/>
        </w:rPr>
      </w:pPr>
      <w:r w:rsidRPr="00F73E3E">
        <w:rPr>
          <w:rFonts w:asciiTheme="majorBidi" w:hAnsiTheme="majorBidi" w:cstheme="majorBidi"/>
          <w:sz w:val="20"/>
          <w:szCs w:val="20"/>
          <w:u w:val="single"/>
          <w:lang w:val="ru-RU"/>
        </w:rPr>
        <w:t>Предоставление достаточного времени для виртуального слушания</w:t>
      </w:r>
    </w:p>
    <w:p w:rsidR="003C30FD" w:rsidRPr="00F73E3E" w:rsidRDefault="003C30FD" w:rsidP="00A57028">
      <w:pPr>
        <w:pStyle w:val="a5"/>
        <w:tabs>
          <w:tab w:val="left" w:pos="993"/>
        </w:tabs>
        <w:ind w:left="567" w:right="521"/>
        <w:jc w:val="both"/>
        <w:rPr>
          <w:rFonts w:asciiTheme="majorBidi" w:hAnsiTheme="majorBidi"/>
          <w:sz w:val="20"/>
          <w:lang w:val="ru-RU"/>
        </w:rPr>
      </w:pPr>
    </w:p>
    <w:p w:rsidR="00B73A43"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Из-за риска технических проблем следует предусмотреть дополнительное время для виртуального слушания, чтобы обеспечить достаточное время для эффективного участия общественности, как того требует пункт 3 статьи 6 Конвенции</w:t>
      </w:r>
      <w:r w:rsidR="00364C18" w:rsidRPr="00F73E3E">
        <w:rPr>
          <w:rFonts w:asciiTheme="majorBidi" w:hAnsiTheme="majorBidi" w:cstheme="majorBidi"/>
          <w:sz w:val="20"/>
          <w:szCs w:val="20"/>
          <w:lang w:val="ru-RU"/>
        </w:rPr>
        <w:t>.</w:t>
      </w:r>
    </w:p>
    <w:p w:rsidR="00B73A43" w:rsidRPr="00F73E3E" w:rsidRDefault="00B73A43" w:rsidP="00A57028">
      <w:pPr>
        <w:pStyle w:val="a5"/>
        <w:tabs>
          <w:tab w:val="left" w:pos="993"/>
        </w:tabs>
        <w:ind w:left="567" w:right="521"/>
        <w:jc w:val="both"/>
        <w:rPr>
          <w:rFonts w:asciiTheme="majorBidi" w:hAnsiTheme="majorBidi"/>
          <w:sz w:val="20"/>
          <w:lang w:val="ru-RU"/>
        </w:rPr>
      </w:pPr>
    </w:p>
    <w:p w:rsidR="00424C9D" w:rsidRPr="00F73E3E" w:rsidRDefault="00F73E3E" w:rsidP="00A57028">
      <w:pPr>
        <w:pStyle w:val="a5"/>
        <w:tabs>
          <w:tab w:val="left" w:pos="993"/>
        </w:tabs>
        <w:ind w:left="567" w:right="521"/>
        <w:jc w:val="both"/>
        <w:rPr>
          <w:rFonts w:asciiTheme="majorBidi" w:hAnsiTheme="majorBidi" w:cstheme="majorBidi"/>
          <w:sz w:val="20"/>
          <w:szCs w:val="20"/>
          <w:u w:val="single"/>
          <w:lang w:val="kk-KZ"/>
        </w:rPr>
      </w:pPr>
      <w:r>
        <w:rPr>
          <w:rFonts w:asciiTheme="majorBidi" w:hAnsiTheme="majorBidi" w:cstheme="majorBidi"/>
          <w:sz w:val="20"/>
          <w:szCs w:val="20"/>
          <w:u w:val="single"/>
          <w:lang w:val="kk-KZ"/>
        </w:rPr>
        <w:t>Прозрачность</w:t>
      </w:r>
    </w:p>
    <w:p w:rsidR="00424C9D" w:rsidRPr="00473CFB" w:rsidRDefault="00424C9D" w:rsidP="00A57028">
      <w:pPr>
        <w:pStyle w:val="a5"/>
        <w:tabs>
          <w:tab w:val="left" w:pos="993"/>
        </w:tabs>
        <w:ind w:left="567" w:right="521"/>
        <w:jc w:val="both"/>
        <w:rPr>
          <w:rFonts w:asciiTheme="majorBidi" w:hAnsiTheme="majorBidi" w:cstheme="majorBidi"/>
          <w:sz w:val="20"/>
          <w:szCs w:val="20"/>
        </w:rPr>
      </w:pPr>
    </w:p>
    <w:p w:rsidR="00424C9D"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 xml:space="preserve">В соответствии с требованием в статье 3 (1) о прозрачной структуре для осуществления Конвенции общественность должна иметь возможность знать личность всех тех, кто участвует в виртуальном слушании, и того, кого они представляют. Это включает в себя личность организаторов, должностных лиц и представителей разработчика или </w:t>
      </w:r>
      <w:proofErr w:type="spellStart"/>
      <w:r w:rsidRPr="00F73E3E">
        <w:rPr>
          <w:rFonts w:asciiTheme="majorBidi" w:hAnsiTheme="majorBidi" w:cstheme="majorBidi"/>
          <w:sz w:val="20"/>
          <w:szCs w:val="20"/>
          <w:lang w:val="ru-RU"/>
        </w:rPr>
        <w:t>промоутера</w:t>
      </w:r>
      <w:proofErr w:type="spellEnd"/>
      <w:r w:rsidRPr="00F73E3E">
        <w:rPr>
          <w:rFonts w:asciiTheme="majorBidi" w:hAnsiTheme="majorBidi" w:cstheme="majorBidi"/>
          <w:sz w:val="20"/>
          <w:szCs w:val="20"/>
          <w:lang w:val="ru-RU"/>
        </w:rPr>
        <w:t xml:space="preserve"> предлагаемой деятельности, присутствующих на слушании, а также других представителей общественности, участвующих, и их филиалы (если таковые имеются)</w:t>
      </w:r>
      <w:r>
        <w:rPr>
          <w:rFonts w:asciiTheme="majorBidi" w:hAnsiTheme="majorBidi" w:cstheme="majorBidi"/>
          <w:sz w:val="20"/>
          <w:szCs w:val="20"/>
          <w:lang w:val="ru-RU"/>
        </w:rPr>
        <w:t>.</w:t>
      </w:r>
    </w:p>
    <w:p w:rsidR="008C61D1" w:rsidRPr="00F73E3E" w:rsidRDefault="008C61D1" w:rsidP="00A57028">
      <w:pPr>
        <w:pStyle w:val="a5"/>
        <w:tabs>
          <w:tab w:val="left" w:pos="993"/>
        </w:tabs>
        <w:ind w:left="567" w:right="521"/>
        <w:jc w:val="both"/>
        <w:rPr>
          <w:rFonts w:asciiTheme="majorBidi" w:hAnsiTheme="majorBidi" w:cstheme="majorBidi"/>
          <w:sz w:val="20"/>
          <w:szCs w:val="20"/>
          <w:lang w:val="ru-RU"/>
        </w:rPr>
      </w:pPr>
    </w:p>
    <w:p w:rsidR="009504EA" w:rsidRDefault="009504EA" w:rsidP="009504EA">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504EA">
        <w:rPr>
          <w:rFonts w:asciiTheme="majorBidi" w:hAnsiTheme="majorBidi" w:cstheme="majorBidi"/>
          <w:sz w:val="20"/>
          <w:szCs w:val="20"/>
          <w:lang w:val="ru-RU"/>
        </w:rPr>
        <w:t>Кроме того, и даже в большей степени, чем при проведении личных слушаний, следует предусмотреть надлежащие меры контроля, с тем чтобы любой субъект или лица, заинтересованные в продвижении предлагаемой деятельности, не платили, не поощряли или не оказывали давления на представителей общественности, чтобы выразить поддержку предполагаемая деятельность во время слушания.</w:t>
      </w:r>
      <w:r w:rsidRPr="009504EA">
        <w:rPr>
          <w:rFonts w:asciiTheme="majorBidi" w:hAnsiTheme="majorBidi" w:cstheme="majorBidi"/>
          <w:sz w:val="20"/>
          <w:szCs w:val="20"/>
          <w:vertAlign w:val="superscript"/>
          <w:lang w:val="ru-RU"/>
        </w:rPr>
        <w:t>7</w:t>
      </w:r>
    </w:p>
    <w:p w:rsidR="009504EA" w:rsidRDefault="009504EA" w:rsidP="009504EA">
      <w:pPr>
        <w:pStyle w:val="a5"/>
        <w:tabs>
          <w:tab w:val="left" w:pos="993"/>
        </w:tabs>
        <w:ind w:left="567" w:right="521"/>
        <w:jc w:val="both"/>
        <w:rPr>
          <w:rFonts w:asciiTheme="majorBidi" w:hAnsiTheme="majorBidi" w:cstheme="majorBidi"/>
          <w:sz w:val="20"/>
          <w:szCs w:val="20"/>
          <w:lang w:val="ru-RU"/>
        </w:rPr>
      </w:pPr>
    </w:p>
    <w:p w:rsidR="00D22BAB" w:rsidRPr="009504EA" w:rsidRDefault="009504EA" w:rsidP="009504EA">
      <w:pPr>
        <w:pStyle w:val="a5"/>
        <w:numPr>
          <w:ilvl w:val="0"/>
          <w:numId w:val="25"/>
        </w:numPr>
        <w:tabs>
          <w:tab w:val="left" w:pos="993"/>
        </w:tabs>
        <w:ind w:left="567" w:right="521" w:firstLine="0"/>
        <w:jc w:val="both"/>
        <w:rPr>
          <w:rFonts w:asciiTheme="majorBidi" w:hAnsiTheme="majorBidi" w:cstheme="majorBidi"/>
          <w:sz w:val="20"/>
          <w:szCs w:val="20"/>
          <w:lang w:val="ru-RU"/>
        </w:rPr>
      </w:pPr>
      <w:r w:rsidRPr="009504EA">
        <w:rPr>
          <w:rFonts w:asciiTheme="majorBidi" w:hAnsiTheme="majorBidi" w:cstheme="majorBidi"/>
          <w:sz w:val="20"/>
          <w:szCs w:val="20"/>
          <w:lang w:val="ru-RU"/>
        </w:rPr>
        <w:t xml:space="preserve">Протоколы или стенограммы виртуального слушания должны быть общедоступными, чтобы все, кто сделал устные заявления, могли убедиться, что их комментарии были точно </w:t>
      </w:r>
      <w:r w:rsidRPr="009504EA">
        <w:rPr>
          <w:rFonts w:asciiTheme="majorBidi" w:hAnsiTheme="majorBidi" w:cstheme="majorBidi"/>
          <w:sz w:val="20"/>
          <w:szCs w:val="20"/>
          <w:lang w:val="ru-RU"/>
        </w:rPr>
        <w:lastRenderedPageBreak/>
        <w:t xml:space="preserve">расшифрованы. Хорошей практикой является незамедлительное предоставление доступа к протоколам или протоколам </w:t>
      </w:r>
      <w:proofErr w:type="spellStart"/>
      <w:r w:rsidRPr="009504EA">
        <w:rPr>
          <w:rFonts w:asciiTheme="majorBidi" w:hAnsiTheme="majorBidi" w:cstheme="majorBidi"/>
          <w:sz w:val="20"/>
          <w:szCs w:val="20"/>
          <w:lang w:val="ru-RU"/>
        </w:rPr>
        <w:t>онлайн</w:t>
      </w:r>
      <w:proofErr w:type="spellEnd"/>
      <w:r w:rsidRPr="009504EA">
        <w:rPr>
          <w:rFonts w:asciiTheme="majorBidi" w:hAnsiTheme="majorBidi" w:cstheme="majorBidi"/>
          <w:sz w:val="20"/>
          <w:szCs w:val="20"/>
          <w:lang w:val="ru-RU"/>
        </w:rPr>
        <w:t xml:space="preserve"> после виртуального слушания через тот же универсальный портал, где можно найти другую информацию, связанную с принятием решений</w:t>
      </w:r>
      <w:r w:rsidR="00D22BAB" w:rsidRPr="009504EA">
        <w:rPr>
          <w:rFonts w:asciiTheme="majorBidi" w:hAnsiTheme="majorBidi" w:cstheme="majorBidi"/>
          <w:sz w:val="20"/>
          <w:szCs w:val="20"/>
          <w:lang w:val="ru-RU"/>
        </w:rPr>
        <w:t>.</w:t>
      </w:r>
      <w:r w:rsidRPr="009504EA">
        <w:rPr>
          <w:rFonts w:asciiTheme="majorBidi" w:hAnsiTheme="majorBidi" w:cstheme="majorBidi"/>
          <w:sz w:val="20"/>
          <w:szCs w:val="20"/>
          <w:vertAlign w:val="superscript"/>
          <w:lang w:val="ru-RU"/>
        </w:rPr>
        <w:t>8</w:t>
      </w:r>
    </w:p>
    <w:p w:rsidR="00C05007" w:rsidRPr="00F73E3E" w:rsidRDefault="00C05007" w:rsidP="00C05007">
      <w:pPr>
        <w:pStyle w:val="a5"/>
        <w:rPr>
          <w:rFonts w:asciiTheme="majorBidi" w:hAnsiTheme="majorBidi" w:cstheme="majorBidi"/>
          <w:sz w:val="20"/>
          <w:szCs w:val="20"/>
          <w:lang w:val="ru-RU"/>
        </w:rPr>
      </w:pPr>
    </w:p>
    <w:p w:rsidR="00A504C6" w:rsidRPr="00F73E3E" w:rsidRDefault="00F73E3E" w:rsidP="00322C3D">
      <w:pPr>
        <w:pStyle w:val="a5"/>
        <w:tabs>
          <w:tab w:val="left" w:pos="993"/>
        </w:tabs>
        <w:ind w:left="567" w:right="521"/>
        <w:jc w:val="both"/>
        <w:rPr>
          <w:rFonts w:asciiTheme="majorBidi" w:hAnsiTheme="majorBidi" w:cstheme="majorBidi"/>
          <w:b/>
          <w:bCs/>
          <w:sz w:val="20"/>
          <w:szCs w:val="20"/>
          <w:lang w:val="ru-RU"/>
        </w:rPr>
      </w:pPr>
      <w:r w:rsidRPr="00F73E3E">
        <w:rPr>
          <w:rFonts w:asciiTheme="majorBidi" w:hAnsiTheme="majorBidi" w:cstheme="majorBidi"/>
          <w:b/>
          <w:bCs/>
          <w:sz w:val="20"/>
          <w:szCs w:val="20"/>
          <w:lang w:val="ru-RU"/>
        </w:rPr>
        <w:t>Принимая во внимание результаты участия общественности - статья</w:t>
      </w:r>
      <w:r w:rsidR="00A504C6" w:rsidRPr="00F73E3E">
        <w:rPr>
          <w:rFonts w:asciiTheme="majorBidi" w:hAnsiTheme="majorBidi" w:cstheme="majorBidi"/>
          <w:b/>
          <w:bCs/>
          <w:sz w:val="20"/>
          <w:szCs w:val="20"/>
          <w:lang w:val="ru-RU"/>
        </w:rPr>
        <w:t xml:space="preserve"> 6(8)</w:t>
      </w:r>
    </w:p>
    <w:p w:rsidR="00322C3D" w:rsidRPr="00F73E3E" w:rsidRDefault="00322C3D" w:rsidP="00322C3D">
      <w:pPr>
        <w:pStyle w:val="a5"/>
        <w:tabs>
          <w:tab w:val="left" w:pos="993"/>
        </w:tabs>
        <w:ind w:left="567" w:right="521"/>
        <w:jc w:val="both"/>
        <w:rPr>
          <w:rFonts w:asciiTheme="majorBidi" w:hAnsiTheme="majorBidi" w:cstheme="majorBidi"/>
          <w:b/>
          <w:bCs/>
          <w:sz w:val="20"/>
          <w:szCs w:val="20"/>
          <w:lang w:val="ru-RU"/>
        </w:rPr>
      </w:pPr>
    </w:p>
    <w:p w:rsidR="00DC0DFA" w:rsidRPr="00F73E3E" w:rsidRDefault="00F73E3E" w:rsidP="008A71B1">
      <w:pPr>
        <w:pStyle w:val="a5"/>
        <w:numPr>
          <w:ilvl w:val="0"/>
          <w:numId w:val="25"/>
        </w:numPr>
        <w:tabs>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В любой процедуре участия общественности в соответствии со статьями 6 и 7 Конвенции общественность должна иметь возможность видеть, как их комментарии были приняты во внимание при принятии решений прозрачным и прослеживаемым образом. Это обязательство в равной степени распространяется и на участие общественности, осуществляемое с помощью виртуальных средств</w:t>
      </w:r>
      <w:r w:rsidR="001E7BFA" w:rsidRPr="00F73E3E">
        <w:rPr>
          <w:rFonts w:asciiTheme="majorBidi" w:hAnsiTheme="majorBidi" w:cstheme="majorBidi"/>
          <w:sz w:val="20"/>
          <w:szCs w:val="20"/>
          <w:lang w:val="ru-RU"/>
        </w:rPr>
        <w:t>.</w:t>
      </w:r>
    </w:p>
    <w:p w:rsidR="00353787" w:rsidRPr="00F73E3E" w:rsidRDefault="00353787" w:rsidP="00A218CF">
      <w:pPr>
        <w:pStyle w:val="a5"/>
        <w:spacing w:before="480"/>
        <w:rPr>
          <w:rFonts w:asciiTheme="majorBidi" w:hAnsiTheme="majorBidi" w:cstheme="majorBidi"/>
          <w:sz w:val="20"/>
          <w:szCs w:val="20"/>
          <w:lang w:val="ru-RU"/>
        </w:rPr>
      </w:pPr>
    </w:p>
    <w:p w:rsidR="00A504C6" w:rsidRPr="00F73E3E" w:rsidRDefault="00F73E3E" w:rsidP="00A218CF">
      <w:pPr>
        <w:pStyle w:val="a5"/>
        <w:tabs>
          <w:tab w:val="left" w:pos="993"/>
        </w:tabs>
        <w:spacing w:before="480" w:after="100" w:afterAutospacing="1"/>
        <w:ind w:left="567" w:right="521"/>
        <w:jc w:val="both"/>
        <w:rPr>
          <w:rFonts w:asciiTheme="majorBidi" w:hAnsiTheme="majorBidi" w:cstheme="majorBidi"/>
          <w:b/>
          <w:bCs/>
          <w:sz w:val="20"/>
          <w:szCs w:val="20"/>
          <w:lang w:val="ru-RU"/>
        </w:rPr>
      </w:pPr>
      <w:r>
        <w:rPr>
          <w:rFonts w:asciiTheme="majorBidi" w:hAnsiTheme="majorBidi" w:cstheme="majorBidi"/>
          <w:b/>
          <w:bCs/>
          <w:sz w:val="20"/>
          <w:szCs w:val="20"/>
          <w:lang w:val="ru-RU"/>
        </w:rPr>
        <w:t>Уведомление о принятом решении</w:t>
      </w:r>
      <w:r w:rsidR="00A504C6" w:rsidRPr="00F73E3E">
        <w:rPr>
          <w:rFonts w:asciiTheme="majorBidi" w:hAnsiTheme="majorBidi" w:cstheme="majorBidi"/>
          <w:b/>
          <w:bCs/>
          <w:sz w:val="20"/>
          <w:szCs w:val="20"/>
          <w:lang w:val="ru-RU"/>
        </w:rPr>
        <w:t xml:space="preserve"> –</w:t>
      </w:r>
      <w:r>
        <w:rPr>
          <w:rFonts w:asciiTheme="majorBidi" w:hAnsiTheme="majorBidi" w:cstheme="majorBidi"/>
          <w:b/>
          <w:bCs/>
          <w:sz w:val="20"/>
          <w:szCs w:val="20"/>
          <w:lang w:val="ru-RU"/>
        </w:rPr>
        <w:t>статья</w:t>
      </w:r>
      <w:r w:rsidR="00A504C6" w:rsidRPr="00F73E3E">
        <w:rPr>
          <w:rFonts w:asciiTheme="majorBidi" w:hAnsiTheme="majorBidi" w:cstheme="majorBidi"/>
          <w:b/>
          <w:bCs/>
          <w:sz w:val="20"/>
          <w:szCs w:val="20"/>
          <w:lang w:val="ru-RU"/>
        </w:rPr>
        <w:t xml:space="preserve"> 6(9)</w:t>
      </w:r>
    </w:p>
    <w:p w:rsidR="00322C3D" w:rsidRPr="00F73E3E" w:rsidRDefault="00322C3D" w:rsidP="00322C3D">
      <w:pPr>
        <w:pStyle w:val="a5"/>
        <w:tabs>
          <w:tab w:val="left" w:pos="993"/>
        </w:tabs>
        <w:ind w:left="567" w:right="521"/>
        <w:jc w:val="both"/>
        <w:rPr>
          <w:rFonts w:asciiTheme="majorBidi" w:hAnsiTheme="majorBidi" w:cstheme="majorBidi"/>
          <w:b/>
          <w:bCs/>
          <w:sz w:val="20"/>
          <w:szCs w:val="20"/>
          <w:lang w:val="ru-RU"/>
        </w:rPr>
      </w:pPr>
    </w:p>
    <w:p w:rsidR="001100EE" w:rsidRPr="00F73E3E" w:rsidRDefault="00F73E3E" w:rsidP="008A71B1">
      <w:pPr>
        <w:pStyle w:val="a5"/>
        <w:numPr>
          <w:ilvl w:val="0"/>
          <w:numId w:val="25"/>
        </w:numPr>
        <w:tabs>
          <w:tab w:val="left" w:pos="567"/>
          <w:tab w:val="left" w:pos="993"/>
        </w:tabs>
        <w:ind w:left="567" w:right="521" w:firstLine="0"/>
        <w:jc w:val="both"/>
        <w:rPr>
          <w:rFonts w:asciiTheme="majorBidi" w:hAnsiTheme="majorBidi" w:cstheme="majorBidi"/>
          <w:sz w:val="20"/>
          <w:szCs w:val="20"/>
          <w:lang w:val="ru-RU"/>
        </w:rPr>
      </w:pPr>
      <w:bookmarkStart w:id="1" w:name="_Ref42851924"/>
      <w:r w:rsidRPr="00F73E3E">
        <w:rPr>
          <w:rFonts w:asciiTheme="majorBidi" w:hAnsiTheme="majorBidi" w:cstheme="majorBidi"/>
          <w:sz w:val="20"/>
          <w:szCs w:val="20"/>
          <w:lang w:val="ru-RU"/>
        </w:rPr>
        <w:t>Как хорошая практика, методы, используемые для уведомления заинтересованной общественности в соответствии со статьей 6 (2), должны использоваться как минимум для информирования общественности в соответствии со статьей 6 (9) о принятом решении, напоминая, что последнее требует от общественности как правило, для информирования, а не только заинтересованной общественности</w:t>
      </w:r>
      <w:r w:rsidR="00612ECC" w:rsidRPr="00F73E3E">
        <w:rPr>
          <w:rFonts w:asciiTheme="majorBidi" w:hAnsiTheme="majorBidi" w:cstheme="majorBidi"/>
          <w:sz w:val="20"/>
          <w:szCs w:val="20"/>
          <w:lang w:val="ru-RU"/>
        </w:rPr>
        <w:t>.</w:t>
      </w:r>
      <w:r w:rsidR="00612ECC" w:rsidRPr="00473CFB">
        <w:rPr>
          <w:rStyle w:val="ad"/>
          <w:rFonts w:asciiTheme="majorBidi" w:hAnsiTheme="majorBidi" w:cstheme="majorBidi"/>
          <w:sz w:val="20"/>
          <w:szCs w:val="20"/>
        </w:rPr>
        <w:footnoteReference w:id="7"/>
      </w:r>
      <w:bookmarkEnd w:id="1"/>
    </w:p>
    <w:p w:rsidR="0084556F" w:rsidRPr="00F73E3E" w:rsidRDefault="0084556F" w:rsidP="00A218CF">
      <w:pPr>
        <w:tabs>
          <w:tab w:val="left" w:pos="993"/>
        </w:tabs>
        <w:ind w:right="521"/>
        <w:jc w:val="both"/>
        <w:rPr>
          <w:rFonts w:asciiTheme="majorBidi" w:hAnsiTheme="majorBidi" w:cstheme="majorBidi"/>
          <w:sz w:val="20"/>
          <w:szCs w:val="20"/>
          <w:lang w:val="ru-RU"/>
        </w:rPr>
      </w:pPr>
    </w:p>
    <w:p w:rsidR="00F33E0D" w:rsidRPr="00F73E3E" w:rsidRDefault="00F33E0D" w:rsidP="00A57028">
      <w:pPr>
        <w:tabs>
          <w:tab w:val="left" w:pos="993"/>
        </w:tabs>
        <w:ind w:right="521"/>
        <w:jc w:val="both"/>
        <w:rPr>
          <w:rFonts w:asciiTheme="majorBidi" w:hAnsiTheme="majorBidi" w:cstheme="majorBidi"/>
          <w:sz w:val="20"/>
          <w:szCs w:val="20"/>
          <w:lang w:val="ru-RU"/>
        </w:rPr>
      </w:pPr>
    </w:p>
    <w:p w:rsidR="0084556F" w:rsidRPr="00473CFB" w:rsidRDefault="00F73E3E" w:rsidP="00C90488">
      <w:pPr>
        <w:pStyle w:val="HChG"/>
        <w:numPr>
          <w:ilvl w:val="0"/>
          <w:numId w:val="3"/>
        </w:numPr>
        <w:ind w:hanging="828"/>
        <w:jc w:val="both"/>
        <w:rPr>
          <w:rFonts w:asciiTheme="majorBidi" w:hAnsiTheme="majorBidi" w:cstheme="majorBidi"/>
        </w:rPr>
      </w:pPr>
      <w:r>
        <w:rPr>
          <w:rFonts w:asciiTheme="majorBidi" w:hAnsiTheme="majorBidi" w:cstheme="majorBidi"/>
          <w:lang w:val="ru-RU"/>
        </w:rPr>
        <w:t>Заключение</w:t>
      </w:r>
    </w:p>
    <w:p w:rsidR="0084556F" w:rsidRPr="00F73E3E" w:rsidRDefault="00F73E3E" w:rsidP="008A71B1">
      <w:pPr>
        <w:pStyle w:val="a5"/>
        <w:numPr>
          <w:ilvl w:val="0"/>
          <w:numId w:val="25"/>
        </w:numPr>
        <w:tabs>
          <w:tab w:val="left" w:pos="567"/>
          <w:tab w:val="left" w:pos="993"/>
        </w:tabs>
        <w:ind w:left="567" w:right="521" w:firstLine="0"/>
        <w:jc w:val="both"/>
        <w:rPr>
          <w:rFonts w:asciiTheme="majorBidi" w:hAnsiTheme="majorBidi" w:cstheme="majorBidi"/>
          <w:sz w:val="20"/>
          <w:szCs w:val="20"/>
          <w:lang w:val="ru-RU"/>
        </w:rPr>
      </w:pPr>
      <w:r w:rsidRPr="00F73E3E">
        <w:rPr>
          <w:rFonts w:asciiTheme="majorBidi" w:hAnsiTheme="majorBidi" w:cstheme="majorBidi"/>
          <w:sz w:val="20"/>
          <w:szCs w:val="20"/>
          <w:lang w:val="ru-RU"/>
        </w:rPr>
        <w:t xml:space="preserve">Что касается просьбы соответствующей Стороны о предоставлении консультативной помощи, Комитет приходит к выводу, что Конвенция не препятствует проведению публичных слушаний по вопросам принятия решений в рамках Конвенции во время пандемии </w:t>
      </w:r>
      <w:r w:rsidRPr="00F73E3E">
        <w:rPr>
          <w:rFonts w:asciiTheme="majorBidi" w:hAnsiTheme="majorBidi" w:cstheme="majorBidi"/>
          <w:sz w:val="20"/>
          <w:szCs w:val="20"/>
        </w:rPr>
        <w:t>COVID</w:t>
      </w:r>
      <w:r w:rsidRPr="00F73E3E">
        <w:rPr>
          <w:rFonts w:asciiTheme="majorBidi" w:hAnsiTheme="majorBidi" w:cstheme="majorBidi"/>
          <w:sz w:val="20"/>
          <w:szCs w:val="20"/>
          <w:lang w:val="ru-RU"/>
        </w:rPr>
        <w:t>-19 с помощью видеоконференций или других виртуальных средств, при условии, что на практике все требования Конвенции полностью выполняются, включая те, которые указаны в пунктах 2</w:t>
      </w:r>
      <w:r w:rsidR="009504EA">
        <w:rPr>
          <w:rFonts w:asciiTheme="majorBidi" w:hAnsiTheme="majorBidi" w:cstheme="majorBidi"/>
          <w:sz w:val="20"/>
          <w:szCs w:val="20"/>
          <w:lang w:val="ru-RU"/>
        </w:rPr>
        <w:t>2–69</w:t>
      </w:r>
      <w:r w:rsidRPr="00F73E3E">
        <w:rPr>
          <w:rFonts w:asciiTheme="majorBidi" w:hAnsiTheme="majorBidi" w:cstheme="majorBidi"/>
          <w:sz w:val="20"/>
          <w:szCs w:val="20"/>
          <w:lang w:val="ru-RU"/>
        </w:rPr>
        <w:t xml:space="preserve"> выше</w:t>
      </w:r>
      <w:r w:rsidR="0084556F" w:rsidRPr="00F73E3E">
        <w:rPr>
          <w:rFonts w:asciiTheme="majorBidi" w:hAnsiTheme="majorBidi" w:cstheme="majorBidi"/>
          <w:sz w:val="20"/>
          <w:szCs w:val="20"/>
          <w:lang w:val="ru-RU"/>
        </w:rPr>
        <w:t>.</w:t>
      </w:r>
      <w:r w:rsidR="001E5A83" w:rsidRPr="00F73E3E">
        <w:rPr>
          <w:rFonts w:asciiTheme="majorBidi" w:hAnsiTheme="majorBidi" w:cstheme="majorBidi"/>
          <w:sz w:val="20"/>
          <w:szCs w:val="20"/>
          <w:lang w:val="ru-RU"/>
        </w:rPr>
        <w:t xml:space="preserve"> </w:t>
      </w:r>
    </w:p>
    <w:p w:rsidR="0030663D" w:rsidRPr="00F73E3E" w:rsidRDefault="0030663D" w:rsidP="0030663D">
      <w:pPr>
        <w:ind w:right="521"/>
        <w:jc w:val="both"/>
        <w:rPr>
          <w:rFonts w:asciiTheme="majorBidi" w:hAnsiTheme="majorBidi"/>
          <w:sz w:val="20"/>
          <w:lang w:val="ru-RU"/>
        </w:rPr>
      </w:pPr>
    </w:p>
    <w:p w:rsidR="00C90488" w:rsidRPr="00A57028" w:rsidRDefault="00C90488" w:rsidP="00C90488">
      <w:pPr>
        <w:ind w:right="521" w:firstLine="567"/>
        <w:jc w:val="center"/>
        <w:rPr>
          <w:rFonts w:asciiTheme="majorBidi" w:hAnsiTheme="majorBidi"/>
          <w:sz w:val="20"/>
        </w:rPr>
      </w:pPr>
      <w:bookmarkStart w:id="2" w:name="_GoBack"/>
      <w:bookmarkEnd w:id="2"/>
      <w:r>
        <w:rPr>
          <w:rFonts w:asciiTheme="majorBidi" w:hAnsiTheme="majorBidi"/>
          <w:sz w:val="20"/>
        </w:rPr>
        <w:t>_______________</w:t>
      </w:r>
    </w:p>
    <w:sectPr w:rsidR="00C90488" w:rsidRPr="00A57028" w:rsidSect="00741A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A57" w:rsidRDefault="00A52A57" w:rsidP="0030663D">
      <w:pPr>
        <w:spacing w:after="0" w:line="240" w:lineRule="auto"/>
      </w:pPr>
      <w:r>
        <w:separator/>
      </w:r>
    </w:p>
  </w:endnote>
  <w:endnote w:type="continuationSeparator" w:id="0">
    <w:p w:rsidR="00A52A57" w:rsidRDefault="00A52A57" w:rsidP="0030663D">
      <w:pPr>
        <w:spacing w:after="0" w:line="240" w:lineRule="auto"/>
      </w:pPr>
      <w:r>
        <w:continuationSeparator/>
      </w:r>
    </w:p>
  </w:endnote>
  <w:endnote w:type="continuationNotice" w:id="1">
    <w:p w:rsidR="00A52A57" w:rsidRDefault="00A52A5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A57" w:rsidRDefault="00A52A57" w:rsidP="0030663D">
      <w:pPr>
        <w:spacing w:after="0" w:line="240" w:lineRule="auto"/>
      </w:pPr>
      <w:r>
        <w:separator/>
      </w:r>
    </w:p>
  </w:footnote>
  <w:footnote w:type="continuationSeparator" w:id="0">
    <w:p w:rsidR="00A52A57" w:rsidRDefault="00A52A57" w:rsidP="0030663D">
      <w:pPr>
        <w:spacing w:after="0" w:line="240" w:lineRule="auto"/>
      </w:pPr>
      <w:r>
        <w:continuationSeparator/>
      </w:r>
    </w:p>
  </w:footnote>
  <w:footnote w:type="continuationNotice" w:id="1">
    <w:p w:rsidR="00A52A57" w:rsidRDefault="00A52A57">
      <w:pPr>
        <w:spacing w:after="0" w:line="240" w:lineRule="auto"/>
      </w:pPr>
    </w:p>
  </w:footnote>
  <w:footnote w:id="2">
    <w:p w:rsidR="00B56590" w:rsidRPr="003570AC" w:rsidRDefault="00B56590" w:rsidP="00252580">
      <w:pPr>
        <w:pStyle w:val="ab"/>
        <w:rPr>
          <w:rFonts w:asciiTheme="majorBidi" w:hAnsiTheme="majorBidi" w:cstheme="majorBidi"/>
          <w:sz w:val="18"/>
          <w:szCs w:val="18"/>
          <w:lang w:val="kk-KZ"/>
        </w:rPr>
      </w:pPr>
      <w:r w:rsidRPr="00E749CF">
        <w:rPr>
          <w:rStyle w:val="ad"/>
          <w:rFonts w:asciiTheme="majorBidi" w:hAnsiTheme="majorBidi" w:cstheme="majorBidi"/>
          <w:sz w:val="18"/>
          <w:szCs w:val="18"/>
        </w:rPr>
        <w:footnoteRef/>
      </w:r>
      <w:r w:rsidRPr="00E749CF">
        <w:rPr>
          <w:rFonts w:asciiTheme="majorBidi" w:hAnsiTheme="majorBidi" w:cstheme="majorBidi"/>
          <w:sz w:val="18"/>
          <w:szCs w:val="18"/>
          <w:lang w:val="en-GB"/>
        </w:rPr>
        <w:t xml:space="preserve"> </w:t>
      </w:r>
      <w:r w:rsidR="003570AC">
        <w:rPr>
          <w:rFonts w:asciiTheme="majorBidi" w:hAnsiTheme="majorBidi" w:cstheme="majorBidi"/>
          <w:sz w:val="18"/>
          <w:szCs w:val="18"/>
          <w:lang w:val="kk-KZ"/>
        </w:rPr>
        <w:t>Выделено нами</w:t>
      </w:r>
    </w:p>
  </w:footnote>
  <w:footnote w:id="3">
    <w:p w:rsidR="00B56590" w:rsidRPr="00E749CF" w:rsidRDefault="00B56590">
      <w:pPr>
        <w:pStyle w:val="ab"/>
        <w:rPr>
          <w:rFonts w:asciiTheme="majorBidi" w:hAnsiTheme="majorBidi" w:cstheme="majorBidi"/>
          <w:sz w:val="18"/>
          <w:szCs w:val="18"/>
          <w:lang w:val="en-GB"/>
        </w:rPr>
      </w:pPr>
      <w:r w:rsidRPr="00E749CF">
        <w:rPr>
          <w:rStyle w:val="ad"/>
          <w:rFonts w:asciiTheme="majorBidi" w:hAnsiTheme="majorBidi" w:cstheme="majorBidi"/>
          <w:sz w:val="18"/>
          <w:szCs w:val="18"/>
        </w:rPr>
        <w:footnoteRef/>
      </w:r>
      <w:r w:rsidRPr="00E749CF">
        <w:rPr>
          <w:rFonts w:asciiTheme="majorBidi" w:hAnsiTheme="majorBidi" w:cstheme="majorBidi"/>
          <w:sz w:val="18"/>
          <w:szCs w:val="18"/>
          <w:lang w:val="en-GB"/>
        </w:rPr>
        <w:t xml:space="preserve"> See </w:t>
      </w:r>
      <w:r w:rsidR="000E21C7">
        <w:rPr>
          <w:rFonts w:asciiTheme="majorBidi" w:hAnsiTheme="majorBidi" w:cstheme="majorBidi"/>
          <w:sz w:val="18"/>
          <w:szCs w:val="18"/>
          <w:lang w:val="en-GB"/>
        </w:rPr>
        <w:t xml:space="preserve">the </w:t>
      </w:r>
      <w:r w:rsidRPr="00E749CF">
        <w:rPr>
          <w:rFonts w:asciiTheme="majorBidi" w:hAnsiTheme="majorBidi" w:cstheme="majorBidi"/>
          <w:sz w:val="18"/>
          <w:szCs w:val="18"/>
          <w:lang w:val="en-GB"/>
        </w:rPr>
        <w:t xml:space="preserve">2015 Maastricht Recommendations on Promoting Effective Public Participation in Environmental Matters (Maastricht Recommendations), </w:t>
      </w:r>
      <w:proofErr w:type="spellStart"/>
      <w:r w:rsidRPr="00E749CF">
        <w:rPr>
          <w:rFonts w:asciiTheme="majorBidi" w:hAnsiTheme="majorBidi" w:cstheme="majorBidi"/>
          <w:sz w:val="18"/>
          <w:szCs w:val="18"/>
          <w:lang w:val="en-GB"/>
        </w:rPr>
        <w:t>para</w:t>
      </w:r>
      <w:proofErr w:type="spellEnd"/>
      <w:r w:rsidRPr="00E749CF">
        <w:rPr>
          <w:rFonts w:asciiTheme="majorBidi" w:hAnsiTheme="majorBidi" w:cstheme="majorBidi"/>
          <w:sz w:val="18"/>
          <w:szCs w:val="18"/>
          <w:lang w:val="en-GB"/>
        </w:rPr>
        <w:t xml:space="preserve">. 118(a). Available at </w:t>
      </w:r>
      <w:hyperlink r:id="rId1" w:history="1">
        <w:r w:rsidR="000E21C7" w:rsidRPr="00473CFB">
          <w:rPr>
            <w:rStyle w:val="aa"/>
            <w:lang w:val="en-US"/>
          </w:rPr>
          <w:t>http://www.unece.org/index.php?id=49142</w:t>
        </w:r>
      </w:hyperlink>
      <w:r w:rsidR="00C90488" w:rsidRPr="00C90488">
        <w:rPr>
          <w:lang w:val="en-GB"/>
        </w:rPr>
        <w:t>.</w:t>
      </w:r>
    </w:p>
  </w:footnote>
  <w:footnote w:id="4">
    <w:p w:rsidR="00B56590" w:rsidRPr="00593EF1" w:rsidRDefault="00B56590">
      <w:pPr>
        <w:pStyle w:val="ab"/>
        <w:rPr>
          <w:sz w:val="18"/>
          <w:lang w:val="en-GB"/>
        </w:rPr>
      </w:pPr>
      <w:r w:rsidRPr="00593EF1">
        <w:rPr>
          <w:rStyle w:val="ad"/>
          <w:sz w:val="18"/>
        </w:rPr>
        <w:footnoteRef/>
      </w:r>
      <w:r w:rsidRPr="00593EF1">
        <w:rPr>
          <w:sz w:val="18"/>
          <w:lang w:val="en-GB"/>
        </w:rPr>
        <w:t xml:space="preserve"> Available at: </w:t>
      </w:r>
      <w:hyperlink r:id="rId2" w:history="1">
        <w:r w:rsidRPr="00593EF1">
          <w:rPr>
            <w:rStyle w:val="aa"/>
            <w:sz w:val="18"/>
            <w:lang w:val="en-GB"/>
          </w:rPr>
          <w:t>https://www.unece.org/index.php?id=21468</w:t>
        </w:r>
      </w:hyperlink>
      <w:r w:rsidR="00C90488">
        <w:rPr>
          <w:rStyle w:val="aa"/>
          <w:sz w:val="18"/>
          <w:lang w:val="en-GB"/>
        </w:rPr>
        <w:t>.</w:t>
      </w:r>
    </w:p>
  </w:footnote>
  <w:footnote w:id="5">
    <w:p w:rsidR="00B56590" w:rsidRPr="00E749CF" w:rsidRDefault="00B56590" w:rsidP="00412AFB">
      <w:pPr>
        <w:pStyle w:val="ab"/>
        <w:rPr>
          <w:rFonts w:asciiTheme="majorBidi" w:hAnsiTheme="majorBidi" w:cstheme="majorBidi"/>
          <w:sz w:val="18"/>
          <w:szCs w:val="18"/>
          <w:lang w:val="en-GB"/>
        </w:rPr>
      </w:pPr>
      <w:r w:rsidRPr="00E749CF">
        <w:rPr>
          <w:rStyle w:val="ad"/>
          <w:rFonts w:asciiTheme="majorBidi" w:hAnsiTheme="majorBidi" w:cstheme="majorBidi"/>
          <w:sz w:val="18"/>
          <w:szCs w:val="18"/>
        </w:rPr>
        <w:footnoteRef/>
      </w:r>
      <w:r w:rsidRPr="00E749CF">
        <w:rPr>
          <w:rFonts w:asciiTheme="majorBidi" w:hAnsiTheme="majorBidi" w:cstheme="majorBidi"/>
          <w:sz w:val="18"/>
          <w:szCs w:val="18"/>
          <w:lang w:val="en-GB"/>
        </w:rPr>
        <w:t xml:space="preserve"> See the Convention’s 2005 Recommendations on Electronic Information Tools, </w:t>
      </w:r>
      <w:proofErr w:type="spellStart"/>
      <w:r w:rsidRPr="00E749CF">
        <w:rPr>
          <w:rFonts w:asciiTheme="majorBidi" w:hAnsiTheme="majorBidi" w:cstheme="majorBidi"/>
          <w:sz w:val="18"/>
          <w:szCs w:val="18"/>
          <w:lang w:val="en-GB"/>
        </w:rPr>
        <w:t>para</w:t>
      </w:r>
      <w:proofErr w:type="spellEnd"/>
      <w:r w:rsidRPr="00E749CF">
        <w:rPr>
          <w:rFonts w:asciiTheme="majorBidi" w:hAnsiTheme="majorBidi" w:cstheme="majorBidi"/>
          <w:sz w:val="18"/>
          <w:szCs w:val="18"/>
          <w:lang w:val="en-GB"/>
        </w:rPr>
        <w:t>. 3.</w:t>
      </w:r>
    </w:p>
  </w:footnote>
  <w:footnote w:id="6">
    <w:p w:rsidR="00B56590" w:rsidRPr="00E749CF" w:rsidRDefault="00B56590" w:rsidP="009C7F0C">
      <w:pPr>
        <w:pStyle w:val="ab"/>
        <w:rPr>
          <w:rFonts w:asciiTheme="majorBidi" w:hAnsiTheme="majorBidi" w:cstheme="majorBidi"/>
          <w:sz w:val="18"/>
          <w:szCs w:val="18"/>
          <w:lang w:val="en-GB"/>
        </w:rPr>
      </w:pPr>
      <w:r w:rsidRPr="00E749CF">
        <w:rPr>
          <w:rStyle w:val="ad"/>
          <w:rFonts w:asciiTheme="majorBidi" w:hAnsiTheme="majorBidi" w:cstheme="majorBidi"/>
          <w:sz w:val="18"/>
          <w:szCs w:val="18"/>
        </w:rPr>
        <w:footnoteRef/>
      </w:r>
      <w:r w:rsidRPr="00E749CF">
        <w:rPr>
          <w:rFonts w:asciiTheme="majorBidi" w:hAnsiTheme="majorBidi" w:cstheme="majorBidi"/>
          <w:sz w:val="18"/>
          <w:szCs w:val="18"/>
          <w:lang w:val="en-GB"/>
        </w:rPr>
        <w:t xml:space="preserve"> See also </w:t>
      </w:r>
      <w:r w:rsidR="000E21C7">
        <w:rPr>
          <w:rFonts w:asciiTheme="majorBidi" w:hAnsiTheme="majorBidi" w:cstheme="majorBidi"/>
          <w:sz w:val="18"/>
          <w:szCs w:val="18"/>
          <w:lang w:val="en-GB"/>
        </w:rPr>
        <w:t xml:space="preserve">the </w:t>
      </w:r>
      <w:r w:rsidRPr="00E749CF">
        <w:rPr>
          <w:rFonts w:asciiTheme="majorBidi" w:hAnsiTheme="majorBidi" w:cstheme="majorBidi"/>
          <w:sz w:val="18"/>
          <w:szCs w:val="18"/>
          <w:lang w:val="en-GB"/>
        </w:rPr>
        <w:t xml:space="preserve">Maastricht Recommendations, </w:t>
      </w:r>
      <w:proofErr w:type="spellStart"/>
      <w:r w:rsidRPr="00E749CF">
        <w:rPr>
          <w:rFonts w:asciiTheme="majorBidi" w:hAnsiTheme="majorBidi" w:cstheme="majorBidi"/>
          <w:sz w:val="18"/>
          <w:szCs w:val="18"/>
          <w:lang w:val="en-GB"/>
        </w:rPr>
        <w:t>para</w:t>
      </w:r>
      <w:proofErr w:type="spellEnd"/>
      <w:r w:rsidRPr="00E749CF">
        <w:rPr>
          <w:rFonts w:asciiTheme="majorBidi" w:hAnsiTheme="majorBidi" w:cstheme="majorBidi"/>
          <w:sz w:val="18"/>
          <w:szCs w:val="18"/>
          <w:lang w:val="en-GB"/>
        </w:rPr>
        <w:t>. 121.</w:t>
      </w:r>
    </w:p>
  </w:footnote>
  <w:footnote w:id="7">
    <w:p w:rsidR="00B56590" w:rsidRPr="00E749CF" w:rsidRDefault="00B56590">
      <w:pPr>
        <w:pStyle w:val="ab"/>
        <w:rPr>
          <w:rFonts w:asciiTheme="majorBidi" w:hAnsiTheme="majorBidi" w:cstheme="majorBidi"/>
          <w:sz w:val="18"/>
          <w:szCs w:val="18"/>
          <w:lang w:val="en-GB"/>
        </w:rPr>
      </w:pPr>
      <w:r w:rsidRPr="00E749CF">
        <w:rPr>
          <w:rStyle w:val="ad"/>
          <w:rFonts w:asciiTheme="majorBidi" w:hAnsiTheme="majorBidi" w:cstheme="majorBidi"/>
          <w:sz w:val="18"/>
          <w:szCs w:val="18"/>
        </w:rPr>
        <w:footnoteRef/>
      </w:r>
      <w:r w:rsidRPr="00435BFA">
        <w:rPr>
          <w:rFonts w:asciiTheme="majorBidi" w:hAnsiTheme="majorBidi"/>
          <w:sz w:val="18"/>
          <w:szCs w:val="18"/>
          <w:lang w:val="en-US"/>
        </w:rPr>
        <w:t xml:space="preserve"> </w:t>
      </w:r>
      <w:r w:rsidR="00C835CE">
        <w:rPr>
          <w:rFonts w:asciiTheme="majorBidi" w:hAnsiTheme="majorBidi"/>
          <w:sz w:val="18"/>
          <w:szCs w:val="18"/>
          <w:lang w:val="en-US"/>
        </w:rPr>
        <w:t xml:space="preserve">See </w:t>
      </w:r>
      <w:r w:rsidR="00C835CE" w:rsidRPr="00435BFA">
        <w:rPr>
          <w:rFonts w:asciiTheme="majorBidi" w:hAnsiTheme="majorBidi" w:cstheme="majorBidi"/>
          <w:sz w:val="18"/>
          <w:szCs w:val="18"/>
          <w:lang w:val="en-US"/>
        </w:rPr>
        <w:t>ACCC/C/2013/99 (Spain)</w:t>
      </w:r>
      <w:r w:rsidR="00C835CE">
        <w:rPr>
          <w:rFonts w:asciiTheme="majorBidi" w:hAnsiTheme="majorBidi"/>
          <w:sz w:val="18"/>
          <w:szCs w:val="18"/>
          <w:lang w:val="en-US"/>
        </w:rPr>
        <w:t>,</w:t>
      </w:r>
      <w:r w:rsidR="00C835CE" w:rsidRPr="00593EF1">
        <w:rPr>
          <w:rFonts w:asciiTheme="majorBidi" w:hAnsiTheme="majorBidi"/>
          <w:sz w:val="18"/>
          <w:lang w:val="en-US"/>
        </w:rPr>
        <w:t xml:space="preserve"> </w:t>
      </w:r>
      <w:r w:rsidRPr="00593EF1">
        <w:rPr>
          <w:rFonts w:asciiTheme="majorBidi" w:hAnsiTheme="majorBidi"/>
          <w:sz w:val="18"/>
          <w:lang w:val="en-US"/>
        </w:rPr>
        <w:t xml:space="preserve">ECE/MP.PP/C.1/2017/17, para. </w:t>
      </w:r>
      <w:r w:rsidRPr="00E749CF">
        <w:rPr>
          <w:rFonts w:asciiTheme="majorBidi" w:hAnsiTheme="majorBidi" w:cstheme="majorBidi"/>
          <w:sz w:val="18"/>
          <w:szCs w:val="18"/>
          <w:lang w:val="en-GB"/>
        </w:rPr>
        <w:t xml:space="preserve">103. See also </w:t>
      </w:r>
      <w:r w:rsidR="000E21C7">
        <w:rPr>
          <w:rFonts w:asciiTheme="majorBidi" w:hAnsiTheme="majorBidi" w:cstheme="majorBidi"/>
          <w:sz w:val="18"/>
          <w:szCs w:val="18"/>
          <w:lang w:val="en-GB"/>
        </w:rPr>
        <w:t xml:space="preserve">the </w:t>
      </w:r>
      <w:r w:rsidRPr="00E749CF">
        <w:rPr>
          <w:rFonts w:asciiTheme="majorBidi" w:hAnsiTheme="majorBidi" w:cstheme="majorBidi"/>
          <w:sz w:val="18"/>
          <w:szCs w:val="18"/>
          <w:lang w:val="en-GB"/>
        </w:rPr>
        <w:t>Maastricht Recommendations, para. 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197"/>
    <w:multiLevelType w:val="multilevel"/>
    <w:tmpl w:val="57E69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B6F16"/>
    <w:multiLevelType w:val="hybridMultilevel"/>
    <w:tmpl w:val="C1265272"/>
    <w:lvl w:ilvl="0" w:tplc="43DA6E6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
    <w:nsid w:val="12300184"/>
    <w:multiLevelType w:val="multilevel"/>
    <w:tmpl w:val="91501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291037F"/>
    <w:multiLevelType w:val="hybridMultilevel"/>
    <w:tmpl w:val="B770EA16"/>
    <w:lvl w:ilvl="0" w:tplc="5B7E7298">
      <w:start w:val="54"/>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nsid w:val="13E27B54"/>
    <w:multiLevelType w:val="multilevel"/>
    <w:tmpl w:val="39246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05F2260"/>
    <w:multiLevelType w:val="multilevel"/>
    <w:tmpl w:val="DC30D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6666F"/>
    <w:multiLevelType w:val="multilevel"/>
    <w:tmpl w:val="EDC2CD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E3AD9"/>
    <w:multiLevelType w:val="hybridMultilevel"/>
    <w:tmpl w:val="C1265272"/>
    <w:lvl w:ilvl="0" w:tplc="43DA6E6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8">
    <w:nsid w:val="32592AAB"/>
    <w:multiLevelType w:val="hybridMultilevel"/>
    <w:tmpl w:val="907A37F6"/>
    <w:lvl w:ilvl="0" w:tplc="62F6CD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36575459"/>
    <w:multiLevelType w:val="hybridMultilevel"/>
    <w:tmpl w:val="0A7471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96E5DF2"/>
    <w:multiLevelType w:val="hybridMultilevel"/>
    <w:tmpl w:val="A89E243A"/>
    <w:lvl w:ilvl="0" w:tplc="6338C01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3B40569B"/>
    <w:multiLevelType w:val="hybridMultilevel"/>
    <w:tmpl w:val="A4CA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334CF4"/>
    <w:multiLevelType w:val="multilevel"/>
    <w:tmpl w:val="050E4F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43C93316"/>
    <w:multiLevelType w:val="hybridMultilevel"/>
    <w:tmpl w:val="C2D4D5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9C22EE"/>
    <w:multiLevelType w:val="hybridMultilevel"/>
    <w:tmpl w:val="565EB4C6"/>
    <w:lvl w:ilvl="0" w:tplc="AEFED66C">
      <w:start w:val="12"/>
      <w:numFmt w:val="decimal"/>
      <w:lvlText w:val="%1."/>
      <w:lvlJc w:val="left"/>
      <w:pPr>
        <w:ind w:left="1035" w:hanging="360"/>
      </w:pPr>
      <w:rPr>
        <w:rFonts w:asciiTheme="majorBidi" w:hAnsiTheme="majorBidi" w:cstheme="majorBid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52C93"/>
    <w:multiLevelType w:val="multilevel"/>
    <w:tmpl w:val="6554B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4A2D7A"/>
    <w:multiLevelType w:val="multilevel"/>
    <w:tmpl w:val="993E8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C3487"/>
    <w:multiLevelType w:val="hybridMultilevel"/>
    <w:tmpl w:val="0BA4EDE6"/>
    <w:lvl w:ilvl="0" w:tplc="4E98A2F6">
      <w:start w:val="1"/>
      <w:numFmt w:val="decimal"/>
      <w:lvlText w:val="%1."/>
      <w:lvlJc w:val="left"/>
      <w:pPr>
        <w:ind w:left="1070" w:hanging="360"/>
      </w:pPr>
      <w:rPr>
        <w:rFonts w:asciiTheme="majorBidi" w:hAnsiTheme="majorBidi" w:cstheme="majorBid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B574A5"/>
    <w:multiLevelType w:val="multilevel"/>
    <w:tmpl w:val="7D3E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B77439"/>
    <w:multiLevelType w:val="multilevel"/>
    <w:tmpl w:val="1938E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732D6A"/>
    <w:multiLevelType w:val="hybridMultilevel"/>
    <w:tmpl w:val="599658FE"/>
    <w:lvl w:ilvl="0" w:tplc="79ECD754">
      <w:start w:val="1"/>
      <w:numFmt w:val="decimal"/>
      <w:lvlText w:val="%1."/>
      <w:lvlJc w:val="left"/>
      <w:pPr>
        <w:tabs>
          <w:tab w:val="num" w:pos="1710"/>
        </w:tabs>
        <w:ind w:left="1710" w:hanging="576"/>
      </w:pPr>
      <w:rPr>
        <w:rFonts w:hint="default"/>
        <w:b w:val="0"/>
        <w:i w:val="0"/>
        <w:color w:val="auto"/>
      </w:rPr>
    </w:lvl>
    <w:lvl w:ilvl="1" w:tplc="0409001B">
      <w:start w:val="1"/>
      <w:numFmt w:val="lowerRoman"/>
      <w:lvlText w:val="%2."/>
      <w:lvlJc w:val="right"/>
      <w:pPr>
        <w:tabs>
          <w:tab w:val="num" w:pos="2617"/>
        </w:tabs>
        <w:ind w:left="2617" w:hanging="720"/>
      </w:pPr>
      <w:rPr>
        <w:rFonts w:hint="default"/>
        <w:sz w:val="20"/>
        <w:szCs w:val="20"/>
      </w:rPr>
    </w:lvl>
    <w:lvl w:ilvl="2" w:tplc="0409001B">
      <w:start w:val="1"/>
      <w:numFmt w:val="lowerRoman"/>
      <w:lvlText w:val="%3."/>
      <w:lvlJc w:val="right"/>
      <w:pPr>
        <w:tabs>
          <w:tab w:val="num" w:pos="2977"/>
        </w:tabs>
        <w:ind w:left="2977" w:hanging="180"/>
      </w:pPr>
    </w:lvl>
    <w:lvl w:ilvl="3" w:tplc="0409000F" w:tentative="1">
      <w:start w:val="1"/>
      <w:numFmt w:val="decimal"/>
      <w:lvlText w:val="%4."/>
      <w:lvlJc w:val="left"/>
      <w:pPr>
        <w:tabs>
          <w:tab w:val="num" w:pos="3697"/>
        </w:tabs>
        <w:ind w:left="3697" w:hanging="360"/>
      </w:pPr>
    </w:lvl>
    <w:lvl w:ilvl="4" w:tplc="04090019" w:tentative="1">
      <w:start w:val="1"/>
      <w:numFmt w:val="lowerLetter"/>
      <w:lvlText w:val="%5."/>
      <w:lvlJc w:val="left"/>
      <w:pPr>
        <w:tabs>
          <w:tab w:val="num" w:pos="4417"/>
        </w:tabs>
        <w:ind w:left="4417" w:hanging="360"/>
      </w:pPr>
    </w:lvl>
    <w:lvl w:ilvl="5" w:tplc="0409001B" w:tentative="1">
      <w:start w:val="1"/>
      <w:numFmt w:val="lowerRoman"/>
      <w:lvlText w:val="%6."/>
      <w:lvlJc w:val="right"/>
      <w:pPr>
        <w:tabs>
          <w:tab w:val="num" w:pos="5137"/>
        </w:tabs>
        <w:ind w:left="5137" w:hanging="180"/>
      </w:pPr>
    </w:lvl>
    <w:lvl w:ilvl="6" w:tplc="0409000F" w:tentative="1">
      <w:start w:val="1"/>
      <w:numFmt w:val="decimal"/>
      <w:lvlText w:val="%7."/>
      <w:lvlJc w:val="left"/>
      <w:pPr>
        <w:tabs>
          <w:tab w:val="num" w:pos="5857"/>
        </w:tabs>
        <w:ind w:left="5857" w:hanging="360"/>
      </w:pPr>
    </w:lvl>
    <w:lvl w:ilvl="7" w:tplc="04090019" w:tentative="1">
      <w:start w:val="1"/>
      <w:numFmt w:val="lowerLetter"/>
      <w:lvlText w:val="%8."/>
      <w:lvlJc w:val="left"/>
      <w:pPr>
        <w:tabs>
          <w:tab w:val="num" w:pos="6577"/>
        </w:tabs>
        <w:ind w:left="6577" w:hanging="360"/>
      </w:pPr>
    </w:lvl>
    <w:lvl w:ilvl="8" w:tplc="0409001B" w:tentative="1">
      <w:start w:val="1"/>
      <w:numFmt w:val="lowerRoman"/>
      <w:lvlText w:val="%9."/>
      <w:lvlJc w:val="right"/>
      <w:pPr>
        <w:tabs>
          <w:tab w:val="num" w:pos="7297"/>
        </w:tabs>
        <w:ind w:left="7297" w:hanging="180"/>
      </w:pPr>
    </w:lvl>
  </w:abstractNum>
  <w:abstractNum w:abstractNumId="21">
    <w:nsid w:val="62EE0F20"/>
    <w:multiLevelType w:val="hybridMultilevel"/>
    <w:tmpl w:val="805A8070"/>
    <w:lvl w:ilvl="0" w:tplc="43DA6E6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2">
    <w:nsid w:val="633D7442"/>
    <w:multiLevelType w:val="hybridMultilevel"/>
    <w:tmpl w:val="5AB41652"/>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AE47FE4"/>
    <w:multiLevelType w:val="hybridMultilevel"/>
    <w:tmpl w:val="4E2092B0"/>
    <w:lvl w:ilvl="0" w:tplc="8FDC80C8">
      <w:start w:val="11"/>
      <w:numFmt w:val="decimal"/>
      <w:lvlText w:val="%1."/>
      <w:lvlJc w:val="left"/>
      <w:pPr>
        <w:ind w:left="1035" w:hanging="360"/>
      </w:pPr>
      <w:rPr>
        <w:rFonts w:asciiTheme="majorBidi" w:hAnsiTheme="majorBidi" w:cstheme="majorBid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152302"/>
    <w:multiLevelType w:val="hybridMultilevel"/>
    <w:tmpl w:val="C1265272"/>
    <w:lvl w:ilvl="0" w:tplc="43DA6E6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20"/>
  </w:num>
  <w:num w:numId="2">
    <w:abstractNumId w:val="17"/>
  </w:num>
  <w:num w:numId="3">
    <w:abstractNumId w:val="21"/>
  </w:num>
  <w:num w:numId="4">
    <w:abstractNumId w:val="7"/>
  </w:num>
  <w:num w:numId="5">
    <w:abstractNumId w:val="9"/>
  </w:num>
  <w:num w:numId="6">
    <w:abstractNumId w:val="13"/>
  </w:num>
  <w:num w:numId="7">
    <w:abstractNumId w:val="1"/>
  </w:num>
  <w:num w:numId="8">
    <w:abstractNumId w:val="11"/>
  </w:num>
  <w:num w:numId="9">
    <w:abstractNumId w:va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24"/>
  </w:num>
  <w:num w:numId="13">
    <w:abstractNumId w:val="4"/>
  </w:num>
  <w:num w:numId="14">
    <w:abstractNumId w:val="3"/>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8"/>
  </w:num>
  <w:num w:numId="18">
    <w:abstractNumId w:val="0"/>
  </w:num>
  <w:num w:numId="19">
    <w:abstractNumId w:val="15"/>
  </w:num>
  <w:num w:numId="20">
    <w:abstractNumId w:val="16"/>
  </w:num>
  <w:num w:numId="21">
    <w:abstractNumId w:val="19"/>
  </w:num>
  <w:num w:numId="22">
    <w:abstractNumId w:val="5"/>
  </w:num>
  <w:num w:numId="23">
    <w:abstractNumId w:val="6"/>
  </w:num>
  <w:num w:numId="24">
    <w:abstractNumId w:val="2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useFELayout/>
  </w:compat>
  <w:rsids>
    <w:rsidRoot w:val="005631BA"/>
    <w:rsid w:val="0000061C"/>
    <w:rsid w:val="00000A80"/>
    <w:rsid w:val="00001C51"/>
    <w:rsid w:val="000102F7"/>
    <w:rsid w:val="00032E5A"/>
    <w:rsid w:val="00062AB9"/>
    <w:rsid w:val="00072488"/>
    <w:rsid w:val="0007779B"/>
    <w:rsid w:val="000B35ED"/>
    <w:rsid w:val="000D365D"/>
    <w:rsid w:val="000D38CF"/>
    <w:rsid w:val="000D3F7F"/>
    <w:rsid w:val="000E21C7"/>
    <w:rsid w:val="000E6A89"/>
    <w:rsid w:val="00101D1E"/>
    <w:rsid w:val="001100EE"/>
    <w:rsid w:val="00114674"/>
    <w:rsid w:val="001242A5"/>
    <w:rsid w:val="00133BBA"/>
    <w:rsid w:val="001410ED"/>
    <w:rsid w:val="00143E04"/>
    <w:rsid w:val="00144E2D"/>
    <w:rsid w:val="00153E37"/>
    <w:rsid w:val="00154D1B"/>
    <w:rsid w:val="00155FFF"/>
    <w:rsid w:val="0015666D"/>
    <w:rsid w:val="001626A1"/>
    <w:rsid w:val="00164694"/>
    <w:rsid w:val="001658BC"/>
    <w:rsid w:val="001731ED"/>
    <w:rsid w:val="00186ABD"/>
    <w:rsid w:val="00190F5F"/>
    <w:rsid w:val="00193209"/>
    <w:rsid w:val="00194A07"/>
    <w:rsid w:val="001A1BBB"/>
    <w:rsid w:val="001A7E52"/>
    <w:rsid w:val="001B2315"/>
    <w:rsid w:val="001C7A9F"/>
    <w:rsid w:val="001D03F3"/>
    <w:rsid w:val="001E5A83"/>
    <w:rsid w:val="001E6910"/>
    <w:rsid w:val="001E7BFA"/>
    <w:rsid w:val="00201818"/>
    <w:rsid w:val="00203C8F"/>
    <w:rsid w:val="002243F7"/>
    <w:rsid w:val="00235C89"/>
    <w:rsid w:val="00252580"/>
    <w:rsid w:val="00257F9E"/>
    <w:rsid w:val="0027361C"/>
    <w:rsid w:val="0027480A"/>
    <w:rsid w:val="00275D49"/>
    <w:rsid w:val="002A594D"/>
    <w:rsid w:val="002B65FE"/>
    <w:rsid w:val="002B77C7"/>
    <w:rsid w:val="002C35A6"/>
    <w:rsid w:val="002C5A23"/>
    <w:rsid w:val="002D2034"/>
    <w:rsid w:val="002D74B6"/>
    <w:rsid w:val="0030663D"/>
    <w:rsid w:val="003151AC"/>
    <w:rsid w:val="00322C3D"/>
    <w:rsid w:val="0034005C"/>
    <w:rsid w:val="00346F55"/>
    <w:rsid w:val="00350BA2"/>
    <w:rsid w:val="00350DC7"/>
    <w:rsid w:val="00353787"/>
    <w:rsid w:val="003570AC"/>
    <w:rsid w:val="003636F9"/>
    <w:rsid w:val="00364C18"/>
    <w:rsid w:val="0036682F"/>
    <w:rsid w:val="00370CD8"/>
    <w:rsid w:val="00373991"/>
    <w:rsid w:val="0038160F"/>
    <w:rsid w:val="00393BA0"/>
    <w:rsid w:val="00395801"/>
    <w:rsid w:val="003A247F"/>
    <w:rsid w:val="003C30FD"/>
    <w:rsid w:val="003C3DF7"/>
    <w:rsid w:val="003D5BD5"/>
    <w:rsid w:val="003E675A"/>
    <w:rsid w:val="003E77FD"/>
    <w:rsid w:val="003F39CC"/>
    <w:rsid w:val="003F7A1D"/>
    <w:rsid w:val="00403F7E"/>
    <w:rsid w:val="00406B2E"/>
    <w:rsid w:val="00412AFB"/>
    <w:rsid w:val="00424C9D"/>
    <w:rsid w:val="00425596"/>
    <w:rsid w:val="00435BFA"/>
    <w:rsid w:val="00455690"/>
    <w:rsid w:val="00473CFB"/>
    <w:rsid w:val="00481237"/>
    <w:rsid w:val="004962F1"/>
    <w:rsid w:val="004C2F11"/>
    <w:rsid w:val="004C4523"/>
    <w:rsid w:val="004D36C4"/>
    <w:rsid w:val="004D60F9"/>
    <w:rsid w:val="004F1528"/>
    <w:rsid w:val="004F5D57"/>
    <w:rsid w:val="0050056B"/>
    <w:rsid w:val="00502350"/>
    <w:rsid w:val="00533D39"/>
    <w:rsid w:val="005354A9"/>
    <w:rsid w:val="0054285F"/>
    <w:rsid w:val="00543EF7"/>
    <w:rsid w:val="00545BB4"/>
    <w:rsid w:val="00556A4C"/>
    <w:rsid w:val="00561B39"/>
    <w:rsid w:val="005631BA"/>
    <w:rsid w:val="00572635"/>
    <w:rsid w:val="00582BF1"/>
    <w:rsid w:val="0059232F"/>
    <w:rsid w:val="00593A03"/>
    <w:rsid w:val="00593EF1"/>
    <w:rsid w:val="005A0D5E"/>
    <w:rsid w:val="005A2B63"/>
    <w:rsid w:val="005A3156"/>
    <w:rsid w:val="005A41AF"/>
    <w:rsid w:val="005A6DC7"/>
    <w:rsid w:val="005B17CC"/>
    <w:rsid w:val="005B1EEA"/>
    <w:rsid w:val="005C20DC"/>
    <w:rsid w:val="005C3F64"/>
    <w:rsid w:val="005C4325"/>
    <w:rsid w:val="005D7704"/>
    <w:rsid w:val="0060673E"/>
    <w:rsid w:val="00611736"/>
    <w:rsid w:val="00612ECC"/>
    <w:rsid w:val="00614B66"/>
    <w:rsid w:val="00615EC1"/>
    <w:rsid w:val="00623F59"/>
    <w:rsid w:val="00624D25"/>
    <w:rsid w:val="00640A71"/>
    <w:rsid w:val="0066110E"/>
    <w:rsid w:val="00662A87"/>
    <w:rsid w:val="00663B69"/>
    <w:rsid w:val="00683664"/>
    <w:rsid w:val="0068416E"/>
    <w:rsid w:val="006866B1"/>
    <w:rsid w:val="006917F5"/>
    <w:rsid w:val="006927DF"/>
    <w:rsid w:val="00694CDF"/>
    <w:rsid w:val="006A1217"/>
    <w:rsid w:val="006C42B8"/>
    <w:rsid w:val="006D0E0B"/>
    <w:rsid w:val="006D4E35"/>
    <w:rsid w:val="006D7287"/>
    <w:rsid w:val="006E3CDA"/>
    <w:rsid w:val="006E59B2"/>
    <w:rsid w:val="006F45D1"/>
    <w:rsid w:val="00703A4E"/>
    <w:rsid w:val="00705965"/>
    <w:rsid w:val="00711599"/>
    <w:rsid w:val="007210FE"/>
    <w:rsid w:val="00721B35"/>
    <w:rsid w:val="00741A24"/>
    <w:rsid w:val="007547EF"/>
    <w:rsid w:val="00754CC9"/>
    <w:rsid w:val="00772558"/>
    <w:rsid w:val="007772AB"/>
    <w:rsid w:val="0078440F"/>
    <w:rsid w:val="0079024D"/>
    <w:rsid w:val="007928EF"/>
    <w:rsid w:val="00794703"/>
    <w:rsid w:val="007A19ED"/>
    <w:rsid w:val="007A37DC"/>
    <w:rsid w:val="007A6CE0"/>
    <w:rsid w:val="007B4C9E"/>
    <w:rsid w:val="007C620E"/>
    <w:rsid w:val="007D734D"/>
    <w:rsid w:val="007E0C67"/>
    <w:rsid w:val="007E311E"/>
    <w:rsid w:val="007F2102"/>
    <w:rsid w:val="007F487B"/>
    <w:rsid w:val="007F756E"/>
    <w:rsid w:val="00800398"/>
    <w:rsid w:val="008006E4"/>
    <w:rsid w:val="00801C82"/>
    <w:rsid w:val="00824063"/>
    <w:rsid w:val="00832E77"/>
    <w:rsid w:val="00832F35"/>
    <w:rsid w:val="00833A9B"/>
    <w:rsid w:val="00833D7D"/>
    <w:rsid w:val="008366FE"/>
    <w:rsid w:val="00836F2A"/>
    <w:rsid w:val="008404FF"/>
    <w:rsid w:val="0084556F"/>
    <w:rsid w:val="008505E0"/>
    <w:rsid w:val="00850E7F"/>
    <w:rsid w:val="0085109C"/>
    <w:rsid w:val="0085195A"/>
    <w:rsid w:val="00861F89"/>
    <w:rsid w:val="00863812"/>
    <w:rsid w:val="008967BD"/>
    <w:rsid w:val="008A5841"/>
    <w:rsid w:val="008A71B1"/>
    <w:rsid w:val="008A71C1"/>
    <w:rsid w:val="008B246B"/>
    <w:rsid w:val="008B5471"/>
    <w:rsid w:val="008C61D1"/>
    <w:rsid w:val="008D4FE8"/>
    <w:rsid w:val="008D7098"/>
    <w:rsid w:val="008F6928"/>
    <w:rsid w:val="00904608"/>
    <w:rsid w:val="0090639D"/>
    <w:rsid w:val="00910743"/>
    <w:rsid w:val="00911691"/>
    <w:rsid w:val="009213F5"/>
    <w:rsid w:val="00926B69"/>
    <w:rsid w:val="00926F74"/>
    <w:rsid w:val="00935AB7"/>
    <w:rsid w:val="0094196E"/>
    <w:rsid w:val="00945556"/>
    <w:rsid w:val="009456B5"/>
    <w:rsid w:val="00946E5C"/>
    <w:rsid w:val="009504EA"/>
    <w:rsid w:val="00952B28"/>
    <w:rsid w:val="00982338"/>
    <w:rsid w:val="009A50A8"/>
    <w:rsid w:val="009C5501"/>
    <w:rsid w:val="009C7F0C"/>
    <w:rsid w:val="009D00AB"/>
    <w:rsid w:val="009D60EF"/>
    <w:rsid w:val="009F0F54"/>
    <w:rsid w:val="009F6A29"/>
    <w:rsid w:val="00A03E2C"/>
    <w:rsid w:val="00A10FF4"/>
    <w:rsid w:val="00A20AFB"/>
    <w:rsid w:val="00A218CF"/>
    <w:rsid w:val="00A441A3"/>
    <w:rsid w:val="00A4546B"/>
    <w:rsid w:val="00A46ACE"/>
    <w:rsid w:val="00A504C6"/>
    <w:rsid w:val="00A51B8A"/>
    <w:rsid w:val="00A52A57"/>
    <w:rsid w:val="00A57028"/>
    <w:rsid w:val="00A6546C"/>
    <w:rsid w:val="00A67E7E"/>
    <w:rsid w:val="00A76ECC"/>
    <w:rsid w:val="00A76FD7"/>
    <w:rsid w:val="00A8338D"/>
    <w:rsid w:val="00A84CF2"/>
    <w:rsid w:val="00AA0320"/>
    <w:rsid w:val="00AB3C12"/>
    <w:rsid w:val="00AC0451"/>
    <w:rsid w:val="00AC1D0F"/>
    <w:rsid w:val="00AC558F"/>
    <w:rsid w:val="00AD3C4E"/>
    <w:rsid w:val="00AE23CE"/>
    <w:rsid w:val="00AE4198"/>
    <w:rsid w:val="00B02B55"/>
    <w:rsid w:val="00B02C97"/>
    <w:rsid w:val="00B1632B"/>
    <w:rsid w:val="00B21D9E"/>
    <w:rsid w:val="00B21F42"/>
    <w:rsid w:val="00B30752"/>
    <w:rsid w:val="00B40563"/>
    <w:rsid w:val="00B56590"/>
    <w:rsid w:val="00B6429C"/>
    <w:rsid w:val="00B73A43"/>
    <w:rsid w:val="00B73F6D"/>
    <w:rsid w:val="00B8088D"/>
    <w:rsid w:val="00B978B5"/>
    <w:rsid w:val="00BA0786"/>
    <w:rsid w:val="00BA3FCF"/>
    <w:rsid w:val="00BD0047"/>
    <w:rsid w:val="00BE1769"/>
    <w:rsid w:val="00BE37EE"/>
    <w:rsid w:val="00C011A0"/>
    <w:rsid w:val="00C05007"/>
    <w:rsid w:val="00C1219C"/>
    <w:rsid w:val="00C134CB"/>
    <w:rsid w:val="00C31488"/>
    <w:rsid w:val="00C326F4"/>
    <w:rsid w:val="00C44E32"/>
    <w:rsid w:val="00C633F9"/>
    <w:rsid w:val="00C728A6"/>
    <w:rsid w:val="00C72C2D"/>
    <w:rsid w:val="00C80875"/>
    <w:rsid w:val="00C835CE"/>
    <w:rsid w:val="00C86F23"/>
    <w:rsid w:val="00C90488"/>
    <w:rsid w:val="00C9548C"/>
    <w:rsid w:val="00C96AF2"/>
    <w:rsid w:val="00CA33DB"/>
    <w:rsid w:val="00CB7ACD"/>
    <w:rsid w:val="00CC2935"/>
    <w:rsid w:val="00CC6345"/>
    <w:rsid w:val="00CD1D52"/>
    <w:rsid w:val="00CD50F0"/>
    <w:rsid w:val="00CE2562"/>
    <w:rsid w:val="00CE4B5F"/>
    <w:rsid w:val="00CE4F87"/>
    <w:rsid w:val="00CE7523"/>
    <w:rsid w:val="00CF4A8F"/>
    <w:rsid w:val="00D00599"/>
    <w:rsid w:val="00D07AAF"/>
    <w:rsid w:val="00D22BAB"/>
    <w:rsid w:val="00D26558"/>
    <w:rsid w:val="00D66F17"/>
    <w:rsid w:val="00D80F8B"/>
    <w:rsid w:val="00D8416C"/>
    <w:rsid w:val="00D87F00"/>
    <w:rsid w:val="00D903E4"/>
    <w:rsid w:val="00D9111A"/>
    <w:rsid w:val="00D9268C"/>
    <w:rsid w:val="00DB3535"/>
    <w:rsid w:val="00DB7FF0"/>
    <w:rsid w:val="00DC0DFA"/>
    <w:rsid w:val="00DC3F9D"/>
    <w:rsid w:val="00DD252E"/>
    <w:rsid w:val="00DE0205"/>
    <w:rsid w:val="00DE3A0C"/>
    <w:rsid w:val="00DF4515"/>
    <w:rsid w:val="00E05256"/>
    <w:rsid w:val="00E058A4"/>
    <w:rsid w:val="00E05A94"/>
    <w:rsid w:val="00E11CEC"/>
    <w:rsid w:val="00E33034"/>
    <w:rsid w:val="00E36CA4"/>
    <w:rsid w:val="00E42361"/>
    <w:rsid w:val="00E50639"/>
    <w:rsid w:val="00E5258B"/>
    <w:rsid w:val="00E56C18"/>
    <w:rsid w:val="00E60B3F"/>
    <w:rsid w:val="00E710F4"/>
    <w:rsid w:val="00E749CF"/>
    <w:rsid w:val="00E74C62"/>
    <w:rsid w:val="00E901C6"/>
    <w:rsid w:val="00E92715"/>
    <w:rsid w:val="00EA1D6F"/>
    <w:rsid w:val="00EB3778"/>
    <w:rsid w:val="00EC34B2"/>
    <w:rsid w:val="00ED351D"/>
    <w:rsid w:val="00ED5B0E"/>
    <w:rsid w:val="00EE5EB8"/>
    <w:rsid w:val="00F014D3"/>
    <w:rsid w:val="00F07E44"/>
    <w:rsid w:val="00F11A64"/>
    <w:rsid w:val="00F33E0D"/>
    <w:rsid w:val="00F44936"/>
    <w:rsid w:val="00F4751F"/>
    <w:rsid w:val="00F658C0"/>
    <w:rsid w:val="00F701CB"/>
    <w:rsid w:val="00F71F53"/>
    <w:rsid w:val="00F73E3E"/>
    <w:rsid w:val="00F7492D"/>
    <w:rsid w:val="00FA0DA8"/>
    <w:rsid w:val="00FB7233"/>
    <w:rsid w:val="00FD0520"/>
    <w:rsid w:val="00FD1E40"/>
    <w:rsid w:val="00FD73BA"/>
    <w:rsid w:val="00FE61D1"/>
    <w:rsid w:val="00FE62E9"/>
    <w:rsid w:val="00FF2549"/>
    <w:rsid w:val="00FF4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F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17"/>
    <w:rPr>
      <w:rFonts w:ascii="Segoe UI" w:hAnsi="Segoe UI" w:cs="Segoe UI"/>
      <w:sz w:val="18"/>
      <w:szCs w:val="18"/>
    </w:rPr>
  </w:style>
  <w:style w:type="paragraph" w:customStyle="1" w:styleId="SingleTxtG">
    <w:name w:val="_ Single Txt_G"/>
    <w:basedOn w:val="a"/>
    <w:link w:val="SingleTxtGChar"/>
    <w:uiPriority w:val="99"/>
    <w:rsid w:val="00D66F17"/>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uiPriority w:val="99"/>
    <w:locked/>
    <w:rsid w:val="00D66F17"/>
    <w:rPr>
      <w:rFonts w:ascii="Times New Roman" w:eastAsia="Times New Roman" w:hAnsi="Times New Roman" w:cs="Times New Roman"/>
      <w:sz w:val="20"/>
      <w:szCs w:val="20"/>
      <w:lang w:eastAsia="en-US"/>
    </w:rPr>
  </w:style>
  <w:style w:type="paragraph" w:styleId="a5">
    <w:name w:val="List Paragraph"/>
    <w:basedOn w:val="a"/>
    <w:uiPriority w:val="34"/>
    <w:qFormat/>
    <w:rsid w:val="00D66F17"/>
    <w:pPr>
      <w:ind w:left="720"/>
      <w:contextualSpacing/>
    </w:pPr>
  </w:style>
  <w:style w:type="paragraph" w:customStyle="1" w:styleId="HChG">
    <w:name w:val="_ H _Ch_G"/>
    <w:basedOn w:val="a"/>
    <w:next w:val="a"/>
    <w:rsid w:val="0030663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paragraph" w:styleId="a6">
    <w:name w:val="header"/>
    <w:basedOn w:val="a"/>
    <w:link w:val="a7"/>
    <w:uiPriority w:val="99"/>
    <w:unhideWhenUsed/>
    <w:rsid w:val="0030663D"/>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30663D"/>
  </w:style>
  <w:style w:type="paragraph" w:styleId="a8">
    <w:name w:val="footer"/>
    <w:basedOn w:val="a"/>
    <w:link w:val="a9"/>
    <w:uiPriority w:val="99"/>
    <w:unhideWhenUsed/>
    <w:rsid w:val="0030663D"/>
    <w:pPr>
      <w:tabs>
        <w:tab w:val="center" w:pos="4513"/>
        <w:tab w:val="right" w:pos="9026"/>
      </w:tabs>
      <w:spacing w:after="0" w:line="240" w:lineRule="auto"/>
    </w:pPr>
  </w:style>
  <w:style w:type="character" w:customStyle="1" w:styleId="a9">
    <w:name w:val="Нижний колонтитул Знак"/>
    <w:basedOn w:val="a0"/>
    <w:link w:val="a8"/>
    <w:uiPriority w:val="99"/>
    <w:rsid w:val="0030663D"/>
  </w:style>
  <w:style w:type="character" w:styleId="aa">
    <w:name w:val="Hyperlink"/>
    <w:rsid w:val="002D2034"/>
    <w:rPr>
      <w:color w:val="0563C1"/>
      <w:u w:val="single"/>
    </w:rPr>
  </w:style>
  <w:style w:type="paragraph" w:styleId="ab">
    <w:name w:val="footnote text"/>
    <w:basedOn w:val="a"/>
    <w:link w:val="ac"/>
    <w:rsid w:val="002D2034"/>
    <w:pPr>
      <w:spacing w:after="0" w:line="240" w:lineRule="auto"/>
    </w:pPr>
    <w:rPr>
      <w:rFonts w:ascii="Times New Roman" w:eastAsia="Times New Roman" w:hAnsi="Times New Roman" w:cs="Times New Roman"/>
      <w:sz w:val="20"/>
      <w:szCs w:val="20"/>
      <w:lang w:val="fr-FR" w:eastAsia="fr-FR"/>
    </w:rPr>
  </w:style>
  <w:style w:type="character" w:customStyle="1" w:styleId="ac">
    <w:name w:val="Текст сноски Знак"/>
    <w:basedOn w:val="a0"/>
    <w:link w:val="ab"/>
    <w:rsid w:val="002D2034"/>
    <w:rPr>
      <w:rFonts w:ascii="Times New Roman" w:eastAsia="Times New Roman" w:hAnsi="Times New Roman" w:cs="Times New Roman"/>
      <w:sz w:val="20"/>
      <w:szCs w:val="20"/>
      <w:lang w:val="fr-FR" w:eastAsia="fr-FR"/>
    </w:rPr>
  </w:style>
  <w:style w:type="character" w:styleId="ad">
    <w:name w:val="footnote reference"/>
    <w:rsid w:val="002D2034"/>
    <w:rPr>
      <w:vertAlign w:val="superscript"/>
    </w:rPr>
  </w:style>
  <w:style w:type="character" w:styleId="ae">
    <w:name w:val="annotation reference"/>
    <w:basedOn w:val="a0"/>
    <w:uiPriority w:val="99"/>
    <w:semiHidden/>
    <w:unhideWhenUsed/>
    <w:rsid w:val="00B02B55"/>
    <w:rPr>
      <w:sz w:val="16"/>
      <w:szCs w:val="16"/>
    </w:rPr>
  </w:style>
  <w:style w:type="paragraph" w:styleId="af">
    <w:name w:val="annotation text"/>
    <w:basedOn w:val="a"/>
    <w:link w:val="af0"/>
    <w:uiPriority w:val="99"/>
    <w:semiHidden/>
    <w:unhideWhenUsed/>
    <w:rsid w:val="00B02B55"/>
    <w:pPr>
      <w:spacing w:line="240" w:lineRule="auto"/>
    </w:pPr>
    <w:rPr>
      <w:sz w:val="20"/>
      <w:szCs w:val="20"/>
    </w:rPr>
  </w:style>
  <w:style w:type="character" w:customStyle="1" w:styleId="af0">
    <w:name w:val="Текст примечания Знак"/>
    <w:basedOn w:val="a0"/>
    <w:link w:val="af"/>
    <w:uiPriority w:val="99"/>
    <w:semiHidden/>
    <w:rsid w:val="00B02B55"/>
    <w:rPr>
      <w:sz w:val="20"/>
      <w:szCs w:val="20"/>
    </w:rPr>
  </w:style>
  <w:style w:type="paragraph" w:styleId="af1">
    <w:name w:val="annotation subject"/>
    <w:basedOn w:val="af"/>
    <w:next w:val="af"/>
    <w:link w:val="af2"/>
    <w:uiPriority w:val="99"/>
    <w:semiHidden/>
    <w:unhideWhenUsed/>
    <w:rsid w:val="00B02B55"/>
    <w:rPr>
      <w:b/>
      <w:bCs/>
    </w:rPr>
  </w:style>
  <w:style w:type="character" w:customStyle="1" w:styleId="af2">
    <w:name w:val="Тема примечания Знак"/>
    <w:basedOn w:val="af0"/>
    <w:link w:val="af1"/>
    <w:uiPriority w:val="99"/>
    <w:semiHidden/>
    <w:rsid w:val="00B02B55"/>
    <w:rPr>
      <w:b/>
      <w:bCs/>
      <w:sz w:val="20"/>
      <w:szCs w:val="20"/>
    </w:rPr>
  </w:style>
  <w:style w:type="character" w:customStyle="1" w:styleId="UnresolvedMention1">
    <w:name w:val="Unresolved Mention1"/>
    <w:basedOn w:val="a0"/>
    <w:uiPriority w:val="99"/>
    <w:semiHidden/>
    <w:unhideWhenUsed/>
    <w:rsid w:val="006D0E0B"/>
    <w:rPr>
      <w:color w:val="605E5C"/>
      <w:shd w:val="clear" w:color="auto" w:fill="E1DFDD"/>
    </w:rPr>
  </w:style>
  <w:style w:type="character" w:customStyle="1" w:styleId="UnresolvedMention2">
    <w:name w:val="Unresolved Mention2"/>
    <w:basedOn w:val="a0"/>
    <w:uiPriority w:val="99"/>
    <w:semiHidden/>
    <w:unhideWhenUsed/>
    <w:rsid w:val="00FE62E9"/>
    <w:rPr>
      <w:color w:val="605E5C"/>
      <w:shd w:val="clear" w:color="auto" w:fill="E1DFDD"/>
    </w:rPr>
  </w:style>
  <w:style w:type="paragraph" w:styleId="af3">
    <w:name w:val="Revision"/>
    <w:hidden/>
    <w:uiPriority w:val="99"/>
    <w:semiHidden/>
    <w:rsid w:val="00946E5C"/>
    <w:pPr>
      <w:spacing w:after="0" w:line="240" w:lineRule="auto"/>
    </w:pPr>
  </w:style>
  <w:style w:type="paragraph" w:styleId="af4">
    <w:name w:val="Normal (Web)"/>
    <w:basedOn w:val="a"/>
    <w:uiPriority w:val="99"/>
    <w:semiHidden/>
    <w:unhideWhenUsed/>
    <w:rsid w:val="00D26558"/>
    <w:pPr>
      <w:spacing w:before="100" w:beforeAutospacing="1" w:after="100" w:afterAutospacing="1"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9275124">
      <w:bodyDiv w:val="1"/>
      <w:marLeft w:val="0"/>
      <w:marRight w:val="0"/>
      <w:marTop w:val="0"/>
      <w:marBottom w:val="0"/>
      <w:divBdr>
        <w:top w:val="none" w:sz="0" w:space="0" w:color="auto"/>
        <w:left w:val="none" w:sz="0" w:space="0" w:color="auto"/>
        <w:bottom w:val="none" w:sz="0" w:space="0" w:color="auto"/>
        <w:right w:val="none" w:sz="0" w:space="0" w:color="auto"/>
      </w:divBdr>
    </w:div>
    <w:div w:id="675884288">
      <w:bodyDiv w:val="1"/>
      <w:marLeft w:val="0"/>
      <w:marRight w:val="0"/>
      <w:marTop w:val="0"/>
      <w:marBottom w:val="0"/>
      <w:divBdr>
        <w:top w:val="none" w:sz="0" w:space="0" w:color="auto"/>
        <w:left w:val="none" w:sz="0" w:space="0" w:color="auto"/>
        <w:bottom w:val="none" w:sz="0" w:space="0" w:color="auto"/>
        <w:right w:val="none" w:sz="0" w:space="0" w:color="auto"/>
      </w:divBdr>
    </w:div>
    <w:div w:id="983781307">
      <w:bodyDiv w:val="1"/>
      <w:marLeft w:val="0"/>
      <w:marRight w:val="0"/>
      <w:marTop w:val="0"/>
      <w:marBottom w:val="0"/>
      <w:divBdr>
        <w:top w:val="none" w:sz="0" w:space="0" w:color="auto"/>
        <w:left w:val="none" w:sz="0" w:space="0" w:color="auto"/>
        <w:bottom w:val="none" w:sz="0" w:space="0" w:color="auto"/>
        <w:right w:val="none" w:sz="0" w:space="0" w:color="auto"/>
      </w:divBdr>
    </w:div>
    <w:div w:id="1583028043">
      <w:bodyDiv w:val="1"/>
      <w:marLeft w:val="0"/>
      <w:marRight w:val="0"/>
      <w:marTop w:val="0"/>
      <w:marBottom w:val="0"/>
      <w:divBdr>
        <w:top w:val="none" w:sz="0" w:space="0" w:color="auto"/>
        <w:left w:val="none" w:sz="0" w:space="0" w:color="auto"/>
        <w:bottom w:val="none" w:sz="0" w:space="0" w:color="auto"/>
        <w:right w:val="none" w:sz="0" w:space="0" w:color="auto"/>
      </w:divBdr>
    </w:div>
    <w:div w:id="20670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ece.org/index.php?id=21468" TargetMode="External"/><Relationship Id="rId1" Type="http://schemas.openxmlformats.org/officeDocument/2006/relationships/hyperlink" Target="http://www.unece.org/index.php?id=49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BB52-7135-4E35-9046-C4A17B59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4285</Words>
  <Characters>24428</Characters>
  <Application>Microsoft Office Word</Application>
  <DocSecurity>0</DocSecurity>
  <Lines>203</Lines>
  <Paragraphs>57</Paragraphs>
  <ScaleCrop>false</ScaleCrop>
  <HeadingPairs>
    <vt:vector size="8" baseType="variant">
      <vt:variant>
        <vt:lpstr>Название</vt:lpstr>
      </vt:variant>
      <vt:variant>
        <vt:i4>1</vt:i4>
      </vt:variant>
      <vt:variant>
        <vt:lpstr>Title</vt:lpstr>
      </vt:variant>
      <vt:variant>
        <vt:i4>1</vt:i4>
      </vt:variant>
      <vt:variant>
        <vt:lpstr>Rubrik</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Marshall</dc:creator>
  <cp:keywords/>
  <dc:description/>
  <cp:lastModifiedBy>Admin</cp:lastModifiedBy>
  <cp:revision>33</cp:revision>
  <dcterms:created xsi:type="dcterms:W3CDTF">2020-06-19T12:53:00Z</dcterms:created>
  <dcterms:modified xsi:type="dcterms:W3CDTF">2020-07-02T06:51:00Z</dcterms:modified>
</cp:coreProperties>
</file>