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8E" w:rsidRDefault="00F83585" w:rsidP="00EC1B5A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  <w:r w:rsidR="00EC1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C1B5A" w:rsidRPr="003B0AC4">
        <w:rPr>
          <w:rFonts w:ascii="Times New Roman" w:eastAsia="Times New Roman" w:hAnsi="Times New Roman" w:cs="Times New Roman"/>
          <w:b/>
          <w:bCs/>
          <w:sz w:val="24"/>
          <w:szCs w:val="24"/>
        </w:rPr>
        <w:t>жылдың</w:t>
      </w:r>
      <w:proofErr w:type="spellEnd"/>
      <w:r w:rsidR="00EC1B5A" w:rsidRPr="003B0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21A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ақпан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C1B5A" w:rsidRPr="003B0AC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айындағы шешімдерді қабылдау үдерістері туралы жұртшылықтың ақпаратқа қол жетімділігі бойынша жергілікті атқарушы органдар интернет - ресурстарының жұмыстарына талдау.</w:t>
      </w:r>
    </w:p>
    <w:p w:rsidR="00EC1B5A" w:rsidRPr="003B0AC4" w:rsidRDefault="00EC1B5A" w:rsidP="00EC1B5A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3B0AC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C402CF" w:rsidRPr="00C402CF" w:rsidRDefault="00614618" w:rsidP="00C402CF">
      <w:pPr>
        <w:widowControl w:val="0"/>
        <w:ind w:firstLine="709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14618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Қазақстан</w:t>
      </w:r>
      <w:r w:rsidR="00C402C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Республикасының Э</w:t>
      </w:r>
      <w:r w:rsidRPr="0061461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кология, геология және табиғи ресурстар министрлігі Мемлекеттік органдардың интернет-ресурстарында шешімдер қабылдау процестері туралы ақпаратқа халықтың қолжетімділігіне мониторинг жүргізіп, жұрт</w:t>
      </w:r>
      <w:r w:rsidR="00C402CF">
        <w:rPr>
          <w:rFonts w:ascii="Times New Roman" w:eastAsia="Calibri" w:hAnsi="Times New Roman" w:cs="Times New Roman"/>
          <w:b/>
          <w:sz w:val="24"/>
          <w:szCs w:val="24"/>
          <w:lang w:val="kk-KZ"/>
        </w:rPr>
        <w:t>шылықтың пікірін ескеруі жөнінде келесіні атап өтед.</w:t>
      </w:r>
    </w:p>
    <w:p w:rsidR="00EC1B5A" w:rsidRPr="003B0AC4" w:rsidRDefault="00EC1B5A" w:rsidP="00EC1B5A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0AC4">
        <w:rPr>
          <w:rFonts w:ascii="Times New Roman" w:eastAsia="Times New Roman" w:hAnsi="Times New Roman" w:cs="Times New Roman"/>
          <w:sz w:val="24"/>
          <w:szCs w:val="24"/>
          <w:lang w:val="kk-KZ"/>
        </w:rPr>
        <w:t>Облыстардың және республикалық маңызы бар қалалардың жергілікті атқарушы органдарының аумақтық</w:t>
      </w:r>
      <w:r w:rsidR="0061461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Табиғи ресурстар және табиғат</w:t>
      </w:r>
      <w:r w:rsidRPr="003B0AC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пайдалануды реттеу басқармаларының ресми интернет ресурстарында жүргізілген монито</w:t>
      </w:r>
      <w:r w:rsidR="00614618">
        <w:rPr>
          <w:rFonts w:ascii="Times New Roman" w:eastAsia="Times New Roman" w:hAnsi="Times New Roman" w:cs="Times New Roman"/>
          <w:sz w:val="24"/>
          <w:szCs w:val="24"/>
          <w:lang w:val="kk-KZ"/>
        </w:rPr>
        <w:t>ринг қорытындысы бойынша, ҚР Қоршаған ортаны қорғау</w:t>
      </w:r>
      <w:r w:rsidRPr="003B0AC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Министрінің 2007 жылғы 7 мамырдағы бұйрығымен бекітілген «Қоғамдық тыңдауларды өткізу қағидаларына» (</w:t>
      </w:r>
      <w:r w:rsidRPr="003B0AC4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бұдан әрі - Қағидалар</w:t>
      </w:r>
      <w:r w:rsidRPr="003B0AC4">
        <w:rPr>
          <w:rFonts w:ascii="Times New Roman" w:eastAsia="Times New Roman" w:hAnsi="Times New Roman" w:cs="Times New Roman"/>
          <w:sz w:val="24"/>
          <w:szCs w:val="24"/>
          <w:lang w:val="kk-KZ"/>
        </w:rPr>
        <w:t>) сәйкес:</w:t>
      </w:r>
    </w:p>
    <w:p w:rsidR="00614618" w:rsidRDefault="00F83585" w:rsidP="00614618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14618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1</w:t>
      </w:r>
      <w:r w:rsidR="00D721AC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63</w:t>
      </w:r>
      <w:r w:rsidR="00614618" w:rsidRPr="00614618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="00EC1B5A" w:rsidRPr="00614618">
        <w:rPr>
          <w:rFonts w:ascii="Times New Roman" w:eastAsia="Times New Roman" w:hAnsi="Times New Roman" w:cs="Times New Roman"/>
          <w:sz w:val="24"/>
          <w:szCs w:val="24"/>
          <w:lang w:val="kk-KZ"/>
        </w:rPr>
        <w:t>– хабарландыру;</w:t>
      </w:r>
    </w:p>
    <w:p w:rsidR="00EC1B5A" w:rsidRPr="00614618" w:rsidRDefault="00D721AC" w:rsidP="00614618">
      <w:pPr>
        <w:pStyle w:val="a3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133</w:t>
      </w:r>
      <w:r w:rsidR="00EC1B5A" w:rsidRPr="0061461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EC1B5A" w:rsidRPr="00614618">
        <w:rPr>
          <w:rFonts w:ascii="Times New Roman" w:eastAsia="Times New Roman" w:hAnsi="Times New Roman" w:cs="Times New Roman"/>
          <w:sz w:val="24"/>
          <w:szCs w:val="24"/>
          <w:lang w:val="kk-KZ"/>
        </w:rPr>
        <w:t>– хаттама;</w:t>
      </w:r>
    </w:p>
    <w:p w:rsidR="00614618" w:rsidRDefault="00614618" w:rsidP="00614618">
      <w:pPr>
        <w:widowControl w:val="0"/>
        <w:ind w:firstLine="99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</w:t>
      </w:r>
      <w:r w:rsidR="00EC1B5A" w:rsidRPr="003B0AC4">
        <w:rPr>
          <w:rFonts w:ascii="Times New Roman" w:eastAsia="Times New Roman" w:hAnsi="Times New Roman" w:cs="Times New Roman"/>
          <w:sz w:val="24"/>
          <w:szCs w:val="24"/>
          <w:lang w:val="kk-KZ"/>
        </w:rPr>
        <w:t>ның ішінде: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EC1B5A" w:rsidRPr="003B0AC4">
        <w:rPr>
          <w:rFonts w:ascii="Times New Roman" w:eastAsia="Times New Roman" w:hAnsi="Times New Roman" w:cs="Times New Roman"/>
          <w:sz w:val="24"/>
          <w:szCs w:val="24"/>
          <w:lang w:val="kk-KZ"/>
        </w:rPr>
        <w:t>бұзушылықтар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</w:t>
      </w:r>
      <w:r w:rsidR="00D721A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22</w:t>
      </w:r>
      <w:r w:rsidR="00EC1B5A" w:rsidRPr="003B0AC4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614618" w:rsidRDefault="00D721AC" w:rsidP="00614618">
      <w:pPr>
        <w:pStyle w:val="a3"/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721A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</w:t>
      </w:r>
      <w:r w:rsidR="00EC1B5A" w:rsidRPr="0061461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- </w:t>
      </w:r>
      <w:r w:rsidR="00EC1B5A" w:rsidRPr="00614618">
        <w:rPr>
          <w:rFonts w:ascii="Times New Roman" w:eastAsia="Times New Roman" w:hAnsi="Times New Roman" w:cs="Times New Roman"/>
          <w:sz w:val="24"/>
          <w:szCs w:val="24"/>
          <w:lang w:val="kk-KZ"/>
        </w:rPr>
        <w:t>хабарландыру бойынша;</w:t>
      </w:r>
    </w:p>
    <w:p w:rsidR="00EC1B5A" w:rsidRPr="00614618" w:rsidRDefault="00D721AC" w:rsidP="00614618">
      <w:pPr>
        <w:pStyle w:val="a3"/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15</w:t>
      </w:r>
      <w:r w:rsidR="00EC1B5A" w:rsidRPr="0061461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 хаттама бойынша.</w:t>
      </w:r>
    </w:p>
    <w:p w:rsidR="00614618" w:rsidRPr="003B0AC4" w:rsidRDefault="00614618" w:rsidP="00EC1B5A">
      <w:pPr>
        <w:widowControl w:val="0"/>
        <w:ind w:left="927" w:firstLine="66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11161" w:type="dxa"/>
        <w:tblInd w:w="-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550"/>
        <w:gridCol w:w="568"/>
        <w:gridCol w:w="856"/>
        <w:gridCol w:w="849"/>
        <w:gridCol w:w="850"/>
        <w:gridCol w:w="600"/>
        <w:gridCol w:w="581"/>
        <w:gridCol w:w="670"/>
        <w:gridCol w:w="14"/>
        <w:gridCol w:w="707"/>
        <w:gridCol w:w="567"/>
        <w:gridCol w:w="850"/>
        <w:gridCol w:w="708"/>
        <w:gridCol w:w="835"/>
        <w:gridCol w:w="14"/>
        <w:gridCol w:w="553"/>
        <w:gridCol w:w="14"/>
      </w:tblGrid>
      <w:tr w:rsidR="00EC1B5A" w:rsidRPr="003B0AC4" w:rsidTr="00DF5872">
        <w:trPr>
          <w:gridAfter w:val="1"/>
          <w:wAfter w:w="14" w:type="dxa"/>
          <w:trHeight w:val="1056"/>
        </w:trPr>
        <w:tc>
          <w:tcPr>
            <w:tcW w:w="375" w:type="dxa"/>
            <w:vMerge w:val="restart"/>
            <w:shd w:val="clear" w:color="auto" w:fill="auto"/>
            <w:vAlign w:val="center"/>
            <w:hideMark/>
          </w:tcPr>
          <w:p w:rsidR="00EC1B5A" w:rsidRPr="003B0AC4" w:rsidRDefault="00EC1B5A" w:rsidP="00DF5872">
            <w:pPr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  <w:p w:rsidR="00EC1B5A" w:rsidRPr="003B0AC4" w:rsidRDefault="00EC1B5A" w:rsidP="00DF58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№п/п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  <w:hideMark/>
          </w:tcPr>
          <w:p w:rsidR="00EC1B5A" w:rsidRPr="003B0AC4" w:rsidRDefault="00EC1B5A" w:rsidP="00DF5872">
            <w:pPr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ЖАО</w:t>
            </w:r>
          </w:p>
        </w:tc>
        <w:tc>
          <w:tcPr>
            <w:tcW w:w="2273" w:type="dxa"/>
            <w:gridSpan w:val="3"/>
            <w:shd w:val="clear" w:color="auto" w:fill="auto"/>
            <w:vAlign w:val="center"/>
            <w:hideMark/>
          </w:tcPr>
          <w:p w:rsidR="00EC1B5A" w:rsidRPr="003B0AC4" w:rsidRDefault="00EC1B5A" w:rsidP="00DF587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 </w:t>
            </w: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Орналастырылуы</w:t>
            </w:r>
          </w:p>
        </w:tc>
        <w:tc>
          <w:tcPr>
            <w:tcW w:w="6382" w:type="dxa"/>
            <w:gridSpan w:val="10"/>
            <w:shd w:val="clear" w:color="auto" w:fill="BFBFBF"/>
          </w:tcPr>
          <w:p w:rsidR="00EC1B5A" w:rsidRPr="003B0AC4" w:rsidRDefault="00EC1B5A" w:rsidP="00DF5872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proofErr w:type="spellStart"/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Бұзушылықта</w:t>
            </w:r>
            <w:proofErr w:type="spellEnd"/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р</w:t>
            </w:r>
          </w:p>
        </w:tc>
        <w:tc>
          <w:tcPr>
            <w:tcW w:w="567" w:type="dxa"/>
            <w:gridSpan w:val="2"/>
            <w:shd w:val="clear" w:color="auto" w:fill="C2D69B"/>
          </w:tcPr>
          <w:p w:rsidR="00EC1B5A" w:rsidRPr="003B0AC4" w:rsidRDefault="00EC1B5A" w:rsidP="00DF587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EC1B5A" w:rsidRPr="003B0AC4" w:rsidRDefault="00EC1B5A" w:rsidP="00DF587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EC1B5A" w:rsidRPr="003B0AC4" w:rsidRDefault="00EC1B5A" w:rsidP="00DF587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EC1B5A" w:rsidRPr="003B0AC4" w:rsidRDefault="00EC1B5A" w:rsidP="00DF587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EC1B5A" w:rsidRPr="003B0AC4" w:rsidRDefault="00EC1B5A" w:rsidP="00DF587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EC1B5A" w:rsidRPr="003B0AC4" w:rsidTr="00DF5872">
        <w:trPr>
          <w:gridAfter w:val="1"/>
          <w:wAfter w:w="14" w:type="dxa"/>
          <w:trHeight w:val="163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EC1B5A" w:rsidRPr="003B0AC4" w:rsidRDefault="00EC1B5A" w:rsidP="00DF5872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  <w:hideMark/>
          </w:tcPr>
          <w:p w:rsidR="00EC1B5A" w:rsidRPr="003B0AC4" w:rsidRDefault="00EC1B5A" w:rsidP="00DF5872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C1B5A" w:rsidRPr="003B0AC4" w:rsidRDefault="00EC1B5A" w:rsidP="00DF58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Хабарландырулар</w:t>
            </w:r>
          </w:p>
        </w:tc>
        <w:tc>
          <w:tcPr>
            <w:tcW w:w="85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5A" w:rsidRPr="003B0AC4" w:rsidRDefault="00EC1B5A" w:rsidP="00DF587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Хаттамалар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B5A" w:rsidRPr="003B0AC4" w:rsidRDefault="00EC1B5A" w:rsidP="00DF58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«Қоғамдық тыңдаулар» айдары сәйкес емес</w:t>
            </w:r>
          </w:p>
        </w:tc>
        <w:tc>
          <w:tcPr>
            <w:tcW w:w="2701" w:type="dxa"/>
            <w:gridSpan w:val="4"/>
            <w:shd w:val="clear" w:color="auto" w:fill="C2D69B"/>
          </w:tcPr>
          <w:p w:rsidR="00EC1B5A" w:rsidRPr="003B0AC4" w:rsidRDefault="00EC1B5A" w:rsidP="00DF58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proofErr w:type="spellStart"/>
            <w:r w:rsidRPr="003B0AC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Хабарландырулар</w:t>
            </w:r>
            <w:proofErr w:type="spellEnd"/>
          </w:p>
        </w:tc>
        <w:tc>
          <w:tcPr>
            <w:tcW w:w="3681" w:type="dxa"/>
            <w:gridSpan w:val="6"/>
            <w:shd w:val="clear" w:color="auto" w:fill="C2D69B"/>
          </w:tcPr>
          <w:p w:rsidR="00EC1B5A" w:rsidRPr="003B0AC4" w:rsidRDefault="00EC1B5A" w:rsidP="00DF58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proofErr w:type="spellStart"/>
            <w:r w:rsidRPr="003B0AC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Хаттамалар</w:t>
            </w:r>
            <w:proofErr w:type="spellEnd"/>
          </w:p>
        </w:tc>
        <w:tc>
          <w:tcPr>
            <w:tcW w:w="567" w:type="dxa"/>
            <w:gridSpan w:val="2"/>
            <w:shd w:val="clear" w:color="auto" w:fill="C2D69B"/>
          </w:tcPr>
          <w:p w:rsidR="00EC1B5A" w:rsidRPr="003B0AC4" w:rsidRDefault="00EC1B5A" w:rsidP="00DF58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EC1B5A" w:rsidRPr="003B0AC4" w:rsidTr="00DF5872">
        <w:trPr>
          <w:trHeight w:val="726"/>
        </w:trPr>
        <w:tc>
          <w:tcPr>
            <w:tcW w:w="375" w:type="dxa"/>
            <w:vMerge/>
            <w:shd w:val="clear" w:color="auto" w:fill="auto"/>
            <w:vAlign w:val="center"/>
          </w:tcPr>
          <w:p w:rsidR="00EC1B5A" w:rsidRPr="003B0AC4" w:rsidRDefault="00EC1B5A" w:rsidP="00DF5872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EC1B5A" w:rsidRPr="003B0AC4" w:rsidRDefault="00EC1B5A" w:rsidP="00DF5872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EC1B5A" w:rsidRPr="003B0AC4" w:rsidRDefault="00EC1B5A" w:rsidP="00DF58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1B5A" w:rsidRPr="003B0AC4" w:rsidRDefault="00EC1B5A" w:rsidP="00DF58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B5A" w:rsidRPr="003B0AC4" w:rsidRDefault="00EC1B5A" w:rsidP="00DF58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EC1B5A" w:rsidRPr="003B0AC4" w:rsidRDefault="00EC1B5A" w:rsidP="00DF587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Деректер жоқ, тапсырыс берушінің күні, орны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C2D69B"/>
          </w:tcPr>
          <w:p w:rsidR="00EC1B5A" w:rsidRPr="003B0AC4" w:rsidRDefault="00EC1B5A" w:rsidP="00DF587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Өткен күнмен орналастырылған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C2D69B"/>
          </w:tcPr>
          <w:p w:rsidR="00EC1B5A" w:rsidRPr="003B0AC4" w:rsidRDefault="00EC1B5A" w:rsidP="00DF5872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</w:tc>
        <w:tc>
          <w:tcPr>
            <w:tcW w:w="684" w:type="dxa"/>
            <w:gridSpan w:val="2"/>
            <w:shd w:val="clear" w:color="auto" w:fill="C2D69B"/>
          </w:tcPr>
          <w:p w:rsidR="00EC1B5A" w:rsidRPr="003B0AC4" w:rsidRDefault="00EC1B5A" w:rsidP="00DF58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</w:t>
            </w:r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(20 </w:t>
            </w:r>
            <w:proofErr w:type="spellStart"/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күннен</w:t>
            </w:r>
            <w:proofErr w:type="spellEnd"/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кем)</w:t>
            </w:r>
          </w:p>
        </w:tc>
        <w:tc>
          <w:tcPr>
            <w:tcW w:w="707" w:type="dxa"/>
            <w:tcBorders>
              <w:left w:val="double" w:sz="4" w:space="0" w:color="auto"/>
            </w:tcBorders>
            <w:shd w:val="clear" w:color="auto" w:fill="C2D69B"/>
            <w:noWrap/>
            <w:vAlign w:val="center"/>
          </w:tcPr>
          <w:p w:rsidR="00EC1B5A" w:rsidRPr="0034682B" w:rsidRDefault="00EC1B5A" w:rsidP="00DF58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68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Ө</w:t>
            </w:r>
            <w:r w:rsidRPr="003468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ткен күнмен орналастырылған</w:t>
            </w:r>
          </w:p>
          <w:p w:rsidR="00EC1B5A" w:rsidRPr="0034682B" w:rsidRDefault="00EC1B5A" w:rsidP="00DF587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C2D69B"/>
            <w:vAlign w:val="center"/>
          </w:tcPr>
          <w:p w:rsidR="00EC1B5A" w:rsidRPr="0034682B" w:rsidRDefault="00EC1B5A" w:rsidP="00DF58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682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  <w:p w:rsidR="00EC1B5A" w:rsidRPr="0034682B" w:rsidRDefault="00EC1B5A" w:rsidP="00DF58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C2D69B"/>
          </w:tcPr>
          <w:p w:rsidR="00EC1B5A" w:rsidRPr="0034682B" w:rsidRDefault="00EC1B5A" w:rsidP="00DF58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68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ҚТ өткізу күні дұрыс көрсетілмеген</w:t>
            </w:r>
          </w:p>
        </w:tc>
        <w:tc>
          <w:tcPr>
            <w:tcW w:w="708" w:type="dxa"/>
            <w:shd w:val="clear" w:color="auto" w:fill="C2D69B"/>
            <w:vAlign w:val="center"/>
          </w:tcPr>
          <w:p w:rsidR="00EC1B5A" w:rsidRPr="0034682B" w:rsidRDefault="00EC1B5A" w:rsidP="00DF58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682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Болмауы</w:t>
            </w:r>
          </w:p>
        </w:tc>
        <w:tc>
          <w:tcPr>
            <w:tcW w:w="849" w:type="dxa"/>
            <w:gridSpan w:val="2"/>
            <w:shd w:val="clear" w:color="auto" w:fill="C2D69B"/>
            <w:vAlign w:val="center"/>
          </w:tcPr>
          <w:p w:rsidR="00EC1B5A" w:rsidRPr="0034682B" w:rsidRDefault="00EC1B5A" w:rsidP="00DF58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68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 (жеті жұмыс күнінен артық</w:t>
            </w:r>
          </w:p>
        </w:tc>
        <w:tc>
          <w:tcPr>
            <w:tcW w:w="567" w:type="dxa"/>
            <w:gridSpan w:val="2"/>
            <w:shd w:val="clear" w:color="auto" w:fill="C2D69B"/>
          </w:tcPr>
          <w:p w:rsidR="00EC1B5A" w:rsidRPr="003B0AC4" w:rsidRDefault="00EC1B5A" w:rsidP="00DF587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3B0A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Барлығы</w:t>
            </w:r>
            <w:proofErr w:type="spellEnd"/>
            <w:r w:rsidRPr="003B0A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:</w:t>
            </w:r>
          </w:p>
          <w:p w:rsidR="00EC1B5A" w:rsidRPr="003B0AC4" w:rsidRDefault="00EC1B5A" w:rsidP="00DF58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D721AC" w:rsidRPr="003B0AC4" w:rsidTr="00130023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D721AC" w:rsidRPr="003B0AC4" w:rsidRDefault="00D721AC" w:rsidP="00D721AC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D721AC" w:rsidRPr="003B0AC4" w:rsidRDefault="00D721AC" w:rsidP="00D721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Нұр-Сұлтан</w:t>
            </w:r>
            <w:proofErr w:type="spellEnd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721AC" w:rsidRPr="003B0AC4" w:rsidTr="00DF5872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D721AC" w:rsidRPr="003B0AC4" w:rsidRDefault="00D721AC" w:rsidP="00D721AC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D721AC" w:rsidRPr="003B0AC4" w:rsidRDefault="00D721AC" w:rsidP="00D721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Алматы</w:t>
            </w: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D721AC" w:rsidRPr="003B0AC4" w:rsidTr="00130023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D721AC" w:rsidRPr="003B0AC4" w:rsidRDefault="00D721AC" w:rsidP="00D721AC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D721AC" w:rsidRPr="003B0AC4" w:rsidRDefault="00D721AC" w:rsidP="00D721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Ақмола</w:t>
            </w:r>
            <w:proofErr w:type="spellEnd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D721AC" w:rsidRPr="003B0AC4" w:rsidTr="00130023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D721AC" w:rsidRPr="003B0AC4" w:rsidRDefault="00D721AC" w:rsidP="00D721AC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:rsidR="00D721AC" w:rsidRPr="00614618" w:rsidRDefault="00D721AC" w:rsidP="00D721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proofErr w:type="spellStart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Ақтөбе</w:t>
            </w:r>
            <w:proofErr w:type="spellEnd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721AC" w:rsidRPr="003B0AC4" w:rsidTr="00130023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D721AC" w:rsidRPr="003B0AC4" w:rsidRDefault="00D721AC" w:rsidP="00D721AC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D721AC" w:rsidRPr="00614618" w:rsidRDefault="00D721AC" w:rsidP="00D721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Алматы </w:t>
            </w:r>
            <w:proofErr w:type="spellStart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D721AC" w:rsidRPr="003B0AC4" w:rsidTr="00130023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D721AC" w:rsidRPr="003B0AC4" w:rsidRDefault="00D721AC" w:rsidP="00D721AC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D721AC" w:rsidRPr="003B0AC4" w:rsidRDefault="00D721AC" w:rsidP="00D721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Атырау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568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721AC" w:rsidRPr="003B0AC4" w:rsidTr="00130023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D721AC" w:rsidRPr="003B0AC4" w:rsidRDefault="00D721AC" w:rsidP="00D721AC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:rsidR="00D721AC" w:rsidRPr="003B0AC4" w:rsidRDefault="00D721AC" w:rsidP="00D721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ШҚО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721AC" w:rsidRPr="003B0AC4" w:rsidTr="00130023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D721AC" w:rsidRPr="003B0AC4" w:rsidRDefault="00D721AC" w:rsidP="00D721AC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shd w:val="clear" w:color="auto" w:fill="auto"/>
          </w:tcPr>
          <w:p w:rsidR="00D721AC" w:rsidRPr="003B0AC4" w:rsidRDefault="00D721AC" w:rsidP="00D721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БҚО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D721AC" w:rsidRPr="003B0AC4" w:rsidTr="00130023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D721AC" w:rsidRPr="003B0AC4" w:rsidRDefault="00D721AC" w:rsidP="00D721AC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shd w:val="clear" w:color="auto" w:fill="auto"/>
          </w:tcPr>
          <w:p w:rsidR="00D721AC" w:rsidRPr="003B0AC4" w:rsidRDefault="00D721AC" w:rsidP="00D721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Жамбыл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568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D721AC" w:rsidRPr="003B0AC4" w:rsidTr="00130023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D721AC" w:rsidRPr="003B0AC4" w:rsidRDefault="00D721AC" w:rsidP="00D721AC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auto"/>
          </w:tcPr>
          <w:p w:rsidR="00D721AC" w:rsidRPr="003B0AC4" w:rsidRDefault="00D721AC" w:rsidP="00D721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Қарағанды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568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721AC" w:rsidRPr="003B0AC4" w:rsidTr="00130023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D721AC" w:rsidRPr="003B0AC4" w:rsidRDefault="00D721AC" w:rsidP="00D721AC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D721AC" w:rsidRPr="003B0AC4" w:rsidRDefault="00D721AC" w:rsidP="00D721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568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721AC" w:rsidRPr="003B0AC4" w:rsidTr="00130023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D721AC" w:rsidRPr="003B0AC4" w:rsidRDefault="00D721AC" w:rsidP="00D721AC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auto"/>
          </w:tcPr>
          <w:p w:rsidR="00D721AC" w:rsidRPr="003B0AC4" w:rsidRDefault="00D721AC" w:rsidP="00D721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568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21AC" w:rsidRPr="003B0AC4" w:rsidTr="00130023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D721AC" w:rsidRPr="003B0AC4" w:rsidRDefault="00D721AC" w:rsidP="00D721AC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auto"/>
            <w:noWrap/>
          </w:tcPr>
          <w:p w:rsidR="00D721AC" w:rsidRPr="003B0AC4" w:rsidRDefault="00D721AC" w:rsidP="00D721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Маңғыстау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21AC" w:rsidRPr="003B0AC4" w:rsidTr="00130023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D721AC" w:rsidRPr="003B0AC4" w:rsidRDefault="00D721AC" w:rsidP="00D721AC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auto"/>
            <w:noWrap/>
          </w:tcPr>
          <w:p w:rsidR="00D721AC" w:rsidRPr="003B0AC4" w:rsidRDefault="00D721AC" w:rsidP="00D721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Павлодар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21AC" w:rsidRPr="003B0AC4" w:rsidTr="00130023">
        <w:trPr>
          <w:trHeight w:val="279"/>
        </w:trPr>
        <w:tc>
          <w:tcPr>
            <w:tcW w:w="375" w:type="dxa"/>
            <w:shd w:val="clear" w:color="auto" w:fill="auto"/>
            <w:vAlign w:val="center"/>
            <w:hideMark/>
          </w:tcPr>
          <w:p w:rsidR="00D721AC" w:rsidRPr="003B0AC4" w:rsidRDefault="00D721AC" w:rsidP="00D721AC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auto"/>
            <w:noWrap/>
          </w:tcPr>
          <w:p w:rsidR="00D721AC" w:rsidRPr="003B0AC4" w:rsidRDefault="00D721AC" w:rsidP="00D721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СҚО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721AC" w:rsidRPr="003B0AC4" w:rsidTr="00130023">
        <w:trPr>
          <w:trHeight w:val="118"/>
        </w:trPr>
        <w:tc>
          <w:tcPr>
            <w:tcW w:w="375" w:type="dxa"/>
            <w:shd w:val="clear" w:color="auto" w:fill="auto"/>
            <w:vAlign w:val="center"/>
            <w:hideMark/>
          </w:tcPr>
          <w:p w:rsidR="00D721AC" w:rsidRPr="003B0AC4" w:rsidRDefault="00D721AC" w:rsidP="00D721AC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50" w:type="dxa"/>
            <w:shd w:val="clear" w:color="auto" w:fill="auto"/>
            <w:noWrap/>
          </w:tcPr>
          <w:p w:rsidR="00D721AC" w:rsidRPr="003B0AC4" w:rsidRDefault="00D721AC" w:rsidP="00D721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Түркістан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721AC" w:rsidRPr="003B0AC4" w:rsidTr="00130023">
        <w:trPr>
          <w:trHeight w:val="118"/>
        </w:trPr>
        <w:tc>
          <w:tcPr>
            <w:tcW w:w="375" w:type="dxa"/>
            <w:shd w:val="clear" w:color="auto" w:fill="auto"/>
            <w:vAlign w:val="center"/>
          </w:tcPr>
          <w:p w:rsidR="00D721AC" w:rsidRPr="003B0AC4" w:rsidRDefault="00D721AC" w:rsidP="00D721AC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auto"/>
            <w:noWrap/>
          </w:tcPr>
          <w:p w:rsidR="00D721AC" w:rsidRPr="003B0AC4" w:rsidRDefault="00D721AC" w:rsidP="00D721A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Шымкент қ.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721AC" w:rsidRPr="003706CA" w:rsidRDefault="00D721AC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0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21AC" w:rsidRPr="003B0AC4" w:rsidTr="00DF5872">
        <w:trPr>
          <w:gridAfter w:val="1"/>
          <w:wAfter w:w="14" w:type="dxa"/>
          <w:trHeight w:val="142"/>
        </w:trPr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721AC" w:rsidRPr="00EC1B5A" w:rsidRDefault="00D721AC" w:rsidP="00D721AC">
            <w:pPr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C1B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Желтоқсан айының жиынтығы</w:t>
            </w:r>
            <w:r w:rsidRPr="00EC1B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721AC" w:rsidRPr="00C11F94" w:rsidRDefault="00577779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  <w:t>168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1AC" w:rsidRPr="003706CA" w:rsidRDefault="00577779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  <w:t>133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AC" w:rsidRPr="003706CA" w:rsidRDefault="00577779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1</w:t>
            </w:r>
          </w:p>
        </w:tc>
        <w:tc>
          <w:tcPr>
            <w:tcW w:w="270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21AC" w:rsidRPr="003706CA" w:rsidRDefault="00577779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681" w:type="dxa"/>
            <w:gridSpan w:val="6"/>
            <w:tcBorders>
              <w:bottom w:val="single" w:sz="4" w:space="0" w:color="auto"/>
            </w:tcBorders>
          </w:tcPr>
          <w:p w:rsidR="00D721AC" w:rsidRPr="003706CA" w:rsidRDefault="00577779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AC" w:rsidRPr="003706CA" w:rsidRDefault="00577779" w:rsidP="00D721A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22</w:t>
            </w:r>
            <w:bookmarkStart w:id="0" w:name="_GoBack"/>
            <w:bookmarkEnd w:id="0"/>
          </w:p>
        </w:tc>
      </w:tr>
    </w:tbl>
    <w:p w:rsidR="00EC1B5A" w:rsidRPr="003B0AC4" w:rsidRDefault="00EC1B5A" w:rsidP="00EC1B5A">
      <w:pPr>
        <w:jc w:val="center"/>
        <w:rPr>
          <w:lang w:val="kk-KZ"/>
        </w:rPr>
      </w:pPr>
    </w:p>
    <w:p w:rsidR="00EC1B5A" w:rsidRPr="003B0AC4" w:rsidRDefault="00EC1B5A" w:rsidP="00EC1B5A">
      <w:pPr>
        <w:widowControl w:val="0"/>
        <w:ind w:left="927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721AC" w:rsidRPr="00D721AC" w:rsidRDefault="00D721AC" w:rsidP="00D721AC">
      <w:pPr>
        <w:ind w:firstLine="708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721AC">
        <w:rPr>
          <w:rFonts w:ascii="Times New Roman" w:hAnsi="Times New Roman" w:cs="Times New Roman"/>
          <w:sz w:val="24"/>
          <w:szCs w:val="24"/>
          <w:lang w:val="kk-KZ"/>
        </w:rPr>
        <w:t>Қағидалардың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10</w:t>
      </w:r>
      <w:r w:rsidRPr="00D721AC">
        <w:rPr>
          <w:rFonts w:ascii="Times New Roman" w:hAnsi="Times New Roman" w:cs="Times New Roman"/>
          <w:sz w:val="24"/>
          <w:szCs w:val="24"/>
          <w:lang w:val="kk-KZ"/>
        </w:rPr>
        <w:t>-тармағын</w:t>
      </w:r>
      <w:r>
        <w:rPr>
          <w:rFonts w:ascii="Times New Roman" w:hAnsi="Times New Roman" w:cs="Times New Roman"/>
          <w:sz w:val="24"/>
          <w:szCs w:val="24"/>
          <w:lang w:val="kk-KZ"/>
        </w:rPr>
        <w:t>ың</w:t>
      </w:r>
      <w:r w:rsidRPr="00D721AC">
        <w:rPr>
          <w:rFonts w:ascii="Times New Roman" w:hAnsi="Times New Roman" w:cs="Times New Roman"/>
          <w:sz w:val="24"/>
          <w:szCs w:val="24"/>
          <w:lang w:val="kk-KZ"/>
        </w:rPr>
        <w:t xml:space="preserve"> бұзушылықтар анықталды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– </w:t>
      </w:r>
      <w:r w:rsidRPr="00D721AC">
        <w:rPr>
          <w:rFonts w:ascii="Times New Roman" w:hAnsi="Times New Roman" w:cs="Times New Roman"/>
          <w:sz w:val="24"/>
          <w:szCs w:val="24"/>
          <w:lang w:val="kk-KZ"/>
        </w:rPr>
        <w:t>хабарландырулар</w:t>
      </w:r>
      <w:r>
        <w:rPr>
          <w:rFonts w:ascii="Times New Roman" w:hAnsi="Times New Roman" w:cs="Times New Roman"/>
          <w:sz w:val="24"/>
          <w:szCs w:val="24"/>
          <w:lang w:val="kk-KZ"/>
        </w:rPr>
        <w:t>ды өтіп кеткен күнмен</w:t>
      </w:r>
      <w:r w:rsidRPr="00D721AC">
        <w:rPr>
          <w:rFonts w:ascii="Times New Roman" w:hAnsi="Times New Roman" w:cs="Times New Roman"/>
          <w:sz w:val="24"/>
          <w:szCs w:val="24"/>
          <w:lang w:val="kk-KZ"/>
        </w:rPr>
        <w:t xml:space="preserve"> орналастыру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келесі өңірлерде</w:t>
      </w:r>
      <w:r w:rsidRPr="00D721A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D721AC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Ақмола облысы (1), Қостанай облысы (5), Түркістан облысы (1). </w:t>
      </w:r>
    </w:p>
    <w:p w:rsidR="00D721AC" w:rsidRPr="00D721AC" w:rsidRDefault="00D721AC" w:rsidP="00D721AC">
      <w:pPr>
        <w:ind w:firstLine="708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721AC">
        <w:rPr>
          <w:rFonts w:ascii="Times New Roman" w:hAnsi="Times New Roman" w:cs="Times New Roman"/>
          <w:sz w:val="24"/>
          <w:szCs w:val="24"/>
          <w:lang w:val="kk-KZ"/>
        </w:rPr>
        <w:t>Ең жиі кездесетін бұзушылықтардың бірі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721AC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721AC">
        <w:rPr>
          <w:rFonts w:ascii="Times New Roman" w:hAnsi="Times New Roman" w:cs="Times New Roman"/>
          <w:sz w:val="24"/>
          <w:szCs w:val="24"/>
          <w:lang w:val="kk-KZ"/>
        </w:rPr>
        <w:t xml:space="preserve">Табиғи ресурстар және табиғатты пайдалануды реттеу басқармаларының сайттарында қоғамдық тыңдау хаттамаларының болмауы, бұл </w:t>
      </w:r>
      <w:r>
        <w:rPr>
          <w:rFonts w:ascii="Times New Roman" w:hAnsi="Times New Roman" w:cs="Times New Roman"/>
          <w:sz w:val="24"/>
          <w:szCs w:val="24"/>
          <w:lang w:val="kk-KZ"/>
        </w:rPr>
        <w:t>Қағиданың</w:t>
      </w:r>
      <w:r w:rsidRPr="00D721AC">
        <w:rPr>
          <w:rFonts w:ascii="Times New Roman" w:hAnsi="Times New Roman" w:cs="Times New Roman"/>
          <w:sz w:val="24"/>
          <w:szCs w:val="24"/>
          <w:lang w:val="kk-KZ"/>
        </w:rPr>
        <w:t xml:space="preserve"> 19, 28-тармақтарын бұзу болып табылады. Ақпан айында хаттамалардың болмауы келесі өңірлерде анықталды: </w:t>
      </w:r>
      <w:r w:rsidRPr="00D721AC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Батыс Қазақстан облысы (1), Жамбыл облысы (1), Қарағанды облысы (1).  </w:t>
      </w:r>
    </w:p>
    <w:p w:rsidR="00D721AC" w:rsidRPr="00D721AC" w:rsidRDefault="00D721AC" w:rsidP="00D721AC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D721AC">
        <w:rPr>
          <w:rFonts w:ascii="Times New Roman" w:hAnsi="Times New Roman" w:cs="Times New Roman"/>
          <w:sz w:val="24"/>
          <w:szCs w:val="24"/>
          <w:lang w:val="kk-KZ"/>
        </w:rPr>
        <w:t>Сонымен қатар, орналастыру күні көрсетілмеген хаттамалар анықталды (</w:t>
      </w:r>
      <w:r>
        <w:rPr>
          <w:rFonts w:ascii="Times New Roman" w:hAnsi="Times New Roman" w:cs="Times New Roman"/>
          <w:sz w:val="24"/>
          <w:szCs w:val="24"/>
          <w:lang w:val="kk-KZ"/>
        </w:rPr>
        <w:t>Қағиданың</w:t>
      </w:r>
      <w:r w:rsidRPr="00D721AC">
        <w:rPr>
          <w:rFonts w:ascii="Times New Roman" w:hAnsi="Times New Roman" w:cs="Times New Roman"/>
          <w:sz w:val="24"/>
          <w:szCs w:val="24"/>
          <w:lang w:val="kk-KZ"/>
        </w:rPr>
        <w:t xml:space="preserve"> 19, 27-тармақтарын бұзу): </w:t>
      </w:r>
      <w:r w:rsidRPr="00D721AC">
        <w:rPr>
          <w:rFonts w:ascii="Times New Roman" w:hAnsi="Times New Roman" w:cs="Times New Roman"/>
          <w:i/>
          <w:sz w:val="24"/>
          <w:szCs w:val="24"/>
          <w:lang w:val="kk-KZ"/>
        </w:rPr>
        <w:t>Алматы қ. (5).</w:t>
      </w:r>
    </w:p>
    <w:p w:rsidR="00D721AC" w:rsidRPr="00D721AC" w:rsidRDefault="00D721AC" w:rsidP="00D721AC">
      <w:pPr>
        <w:ind w:firstLine="708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Өтіп кеткен күнмен</w:t>
      </w:r>
      <w:r w:rsidRPr="00D721AC">
        <w:rPr>
          <w:rFonts w:ascii="Times New Roman" w:hAnsi="Times New Roman" w:cs="Times New Roman"/>
          <w:sz w:val="24"/>
          <w:szCs w:val="24"/>
          <w:lang w:val="kk-KZ"/>
        </w:rPr>
        <w:t xml:space="preserve"> жарияланған хаттамаларға ерекше назар аударылды: </w:t>
      </w:r>
      <w:r w:rsidRPr="00D721AC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Батыс Қазақстан облысы (1), Қостанай облысы (2), Солтүстік Қазақстан облысы (1). </w:t>
      </w:r>
    </w:p>
    <w:p w:rsidR="00D721AC" w:rsidRPr="00D721AC" w:rsidRDefault="00D721AC" w:rsidP="00D721AC">
      <w:pPr>
        <w:ind w:firstLine="708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Қағиданың </w:t>
      </w:r>
      <w:r w:rsidRPr="00D721AC">
        <w:rPr>
          <w:rFonts w:ascii="Times New Roman" w:hAnsi="Times New Roman" w:cs="Times New Roman"/>
          <w:sz w:val="24"/>
          <w:szCs w:val="24"/>
          <w:lang w:val="kk-KZ"/>
        </w:rPr>
        <w:t xml:space="preserve">19 және 28 тармақтарын бұзушылықтар анықталды,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хаттамалар </w:t>
      </w:r>
      <w:r w:rsidRPr="00D721AC">
        <w:rPr>
          <w:rFonts w:ascii="Times New Roman" w:hAnsi="Times New Roman" w:cs="Times New Roman"/>
          <w:sz w:val="24"/>
          <w:szCs w:val="24"/>
          <w:lang w:val="kk-KZ"/>
        </w:rPr>
        <w:t xml:space="preserve">7 жұмыс күнінен </w:t>
      </w:r>
      <w:r>
        <w:rPr>
          <w:rFonts w:ascii="Times New Roman" w:hAnsi="Times New Roman" w:cs="Times New Roman"/>
          <w:sz w:val="24"/>
          <w:szCs w:val="24"/>
          <w:lang w:val="kk-KZ"/>
        </w:rPr>
        <w:t>кейін</w:t>
      </w:r>
      <w:r w:rsidRPr="00D721AC">
        <w:rPr>
          <w:rFonts w:ascii="Times New Roman" w:hAnsi="Times New Roman" w:cs="Times New Roman"/>
          <w:sz w:val="24"/>
          <w:szCs w:val="24"/>
          <w:lang w:val="kk-KZ"/>
        </w:rPr>
        <w:t xml:space="preserve"> орналастырылды: </w:t>
      </w:r>
      <w:r w:rsidRPr="00D721AC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Алматы облысы (1), Батыс Қазақстан облысы (1), Қостанай облысы (1). </w:t>
      </w:r>
    </w:p>
    <w:p w:rsidR="00D721AC" w:rsidRPr="00D721AC" w:rsidRDefault="00D721AC" w:rsidP="00D721AC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D721AC">
        <w:rPr>
          <w:rFonts w:ascii="Times New Roman" w:hAnsi="Times New Roman" w:cs="Times New Roman"/>
          <w:sz w:val="24"/>
          <w:szCs w:val="24"/>
          <w:lang w:val="kk-KZ"/>
        </w:rPr>
        <w:t xml:space="preserve">Батыс қазақстан облысы Табиғи ресурстар және табиғат пайдалануды реттеу басқармаларының сайтында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721AC">
        <w:rPr>
          <w:rFonts w:ascii="Times New Roman" w:hAnsi="Times New Roman" w:cs="Times New Roman"/>
          <w:sz w:val="24"/>
          <w:szCs w:val="24"/>
          <w:lang w:val="kk-KZ"/>
        </w:rPr>
        <w:t>Қоғамдық</w:t>
      </w:r>
      <w:r w:rsidR="002E200E">
        <w:rPr>
          <w:rFonts w:ascii="Times New Roman" w:hAnsi="Times New Roman" w:cs="Times New Roman"/>
          <w:sz w:val="24"/>
          <w:szCs w:val="24"/>
          <w:lang w:val="kk-KZ"/>
        </w:rPr>
        <w:t xml:space="preserve"> тыңдаулар»</w:t>
      </w:r>
      <w:r w:rsidRPr="00D721AC">
        <w:rPr>
          <w:rFonts w:ascii="Times New Roman" w:hAnsi="Times New Roman" w:cs="Times New Roman"/>
          <w:sz w:val="24"/>
          <w:szCs w:val="24"/>
          <w:lang w:val="kk-KZ"/>
        </w:rPr>
        <w:t xml:space="preserve"> айдары Қағидалардың 1-қосымшасының бекітілген нысанына сәйкес келмейтінін, бұл хабарландырулар мен хаттамаларды іздеуді қиындататынын атап өтеміз. </w:t>
      </w:r>
    </w:p>
    <w:p w:rsidR="00D721AC" w:rsidRPr="00D721AC" w:rsidRDefault="00D721AC" w:rsidP="00D721AC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D721AC">
        <w:rPr>
          <w:rFonts w:ascii="Times New Roman" w:hAnsi="Times New Roman" w:cs="Times New Roman"/>
          <w:sz w:val="24"/>
          <w:szCs w:val="24"/>
          <w:lang w:val="kk-KZ"/>
        </w:rPr>
        <w:t>Осыған байланысты, қоғамдық тыңдауларды өткізудің</w:t>
      </w:r>
      <w:r w:rsidR="002E200E">
        <w:rPr>
          <w:rFonts w:ascii="Times New Roman" w:hAnsi="Times New Roman" w:cs="Times New Roman"/>
          <w:sz w:val="24"/>
          <w:szCs w:val="24"/>
          <w:lang w:val="kk-KZ"/>
        </w:rPr>
        <w:t xml:space="preserve"> ашықтығын қамтамасыз ету үшін «</w:t>
      </w:r>
      <w:r w:rsidR="002E200E" w:rsidRPr="00D721AC">
        <w:rPr>
          <w:rFonts w:ascii="Times New Roman" w:hAnsi="Times New Roman" w:cs="Times New Roman"/>
          <w:sz w:val="24"/>
          <w:szCs w:val="24"/>
          <w:lang w:val="kk-KZ"/>
        </w:rPr>
        <w:t xml:space="preserve">Қоршаған </w:t>
      </w:r>
      <w:r w:rsidRPr="00D721AC">
        <w:rPr>
          <w:rFonts w:ascii="Times New Roman" w:hAnsi="Times New Roman" w:cs="Times New Roman"/>
          <w:sz w:val="24"/>
          <w:szCs w:val="24"/>
          <w:lang w:val="kk-KZ"/>
        </w:rPr>
        <w:t>ортаны қорғаудың ақпараттық-талдау орталығы</w:t>
      </w:r>
      <w:r w:rsidR="002E200E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D721AC">
        <w:rPr>
          <w:rFonts w:ascii="Times New Roman" w:hAnsi="Times New Roman" w:cs="Times New Roman"/>
          <w:sz w:val="24"/>
          <w:szCs w:val="24"/>
          <w:lang w:val="kk-KZ"/>
        </w:rPr>
        <w:t xml:space="preserve"> ШЖҚ РМК Украинаның хабарландырулар мен хаттамаларды орталықтандыру тәжірибесін қолдануды орынды деп санайды. </w:t>
      </w:r>
    </w:p>
    <w:p w:rsidR="00D721AC" w:rsidRPr="00D721AC" w:rsidRDefault="00D721AC" w:rsidP="00D721AC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D721AC">
        <w:rPr>
          <w:rFonts w:ascii="Times New Roman" w:hAnsi="Times New Roman" w:cs="Times New Roman"/>
          <w:sz w:val="24"/>
          <w:szCs w:val="24"/>
          <w:lang w:val="kk-KZ"/>
        </w:rPr>
        <w:t xml:space="preserve">Рәсімдік сипаттағы жүйелі бұзушылықтарға жол бермеу мақсатында </w:t>
      </w:r>
      <w:r w:rsidR="002E200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2E200E" w:rsidRPr="00D721AC">
        <w:rPr>
          <w:rFonts w:ascii="Times New Roman" w:hAnsi="Times New Roman" w:cs="Times New Roman"/>
          <w:sz w:val="24"/>
          <w:szCs w:val="24"/>
          <w:lang w:val="kk-KZ"/>
        </w:rPr>
        <w:t xml:space="preserve">Қоршаған </w:t>
      </w:r>
      <w:r w:rsidRPr="00D721AC">
        <w:rPr>
          <w:rFonts w:ascii="Times New Roman" w:hAnsi="Times New Roman" w:cs="Times New Roman"/>
          <w:sz w:val="24"/>
          <w:szCs w:val="24"/>
          <w:lang w:val="kk-KZ"/>
        </w:rPr>
        <w:t>ортаны қорға</w:t>
      </w:r>
      <w:r w:rsidR="002E200E">
        <w:rPr>
          <w:rFonts w:ascii="Times New Roman" w:hAnsi="Times New Roman" w:cs="Times New Roman"/>
          <w:sz w:val="24"/>
          <w:szCs w:val="24"/>
          <w:lang w:val="kk-KZ"/>
        </w:rPr>
        <w:t>удың ақпараттық-талдау орталығы»</w:t>
      </w:r>
      <w:r w:rsidRPr="00D721AC">
        <w:rPr>
          <w:rFonts w:ascii="Times New Roman" w:hAnsi="Times New Roman" w:cs="Times New Roman"/>
          <w:sz w:val="24"/>
          <w:szCs w:val="24"/>
          <w:lang w:val="kk-KZ"/>
        </w:rPr>
        <w:t xml:space="preserve"> ШЖҚ РМК Нұр-Сұлтандағы ЕҚЫҰ бағдарламалар офисімен бірлесіп қоғамдық тыңдаулардың бірыңғай экологиялық порталын әзірледі.</w:t>
      </w:r>
    </w:p>
    <w:p w:rsidR="00463940" w:rsidRPr="00C90878" w:rsidRDefault="00D721AC" w:rsidP="00D721AC">
      <w:pPr>
        <w:ind w:firstLine="708"/>
        <w:rPr>
          <w:sz w:val="24"/>
          <w:szCs w:val="24"/>
          <w:lang w:val="kk-KZ"/>
        </w:rPr>
      </w:pPr>
      <w:r w:rsidRPr="00D721AC">
        <w:rPr>
          <w:rFonts w:ascii="Times New Roman" w:hAnsi="Times New Roman" w:cs="Times New Roman"/>
          <w:sz w:val="24"/>
          <w:szCs w:val="24"/>
          <w:lang w:val="kk-KZ"/>
        </w:rPr>
        <w:t>Қазіргі уақытта қоғамдық тыңдауларды өткізу ережелеріне өзгерістер енгізу бойынша жұмыстар жүргізілуде.</w:t>
      </w:r>
    </w:p>
    <w:sectPr w:rsidR="00463940" w:rsidRPr="00C9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0CB9"/>
    <w:multiLevelType w:val="hybridMultilevel"/>
    <w:tmpl w:val="939076AA"/>
    <w:lvl w:ilvl="0" w:tplc="9E78F22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695B1C71"/>
    <w:multiLevelType w:val="hybridMultilevel"/>
    <w:tmpl w:val="A2D2C7BE"/>
    <w:lvl w:ilvl="0" w:tplc="9E78F22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5A"/>
    <w:rsid w:val="002C7D1A"/>
    <w:rsid w:val="002E200E"/>
    <w:rsid w:val="00361E66"/>
    <w:rsid w:val="00455741"/>
    <w:rsid w:val="004A5CDD"/>
    <w:rsid w:val="004D6217"/>
    <w:rsid w:val="00577779"/>
    <w:rsid w:val="00614618"/>
    <w:rsid w:val="00643A27"/>
    <w:rsid w:val="00673F8E"/>
    <w:rsid w:val="006A60A2"/>
    <w:rsid w:val="00816CCA"/>
    <w:rsid w:val="00910E23"/>
    <w:rsid w:val="009E35A2"/>
    <w:rsid w:val="00C402CF"/>
    <w:rsid w:val="00C90878"/>
    <w:rsid w:val="00CA2A2C"/>
    <w:rsid w:val="00D721AC"/>
    <w:rsid w:val="00EC1B5A"/>
    <w:rsid w:val="00F137BB"/>
    <w:rsid w:val="00F67CF8"/>
    <w:rsid w:val="00F83585"/>
    <w:rsid w:val="00F8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4662B-43B0-40BC-B036-ABC8B57D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5A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Данагуль Абике</dc:creator>
  <cp:keywords/>
  <dc:description/>
  <cp:lastModifiedBy>Гаухар Тажигалиева</cp:lastModifiedBy>
  <cp:revision>6</cp:revision>
  <dcterms:created xsi:type="dcterms:W3CDTF">2021-01-13T04:09:00Z</dcterms:created>
  <dcterms:modified xsi:type="dcterms:W3CDTF">2021-03-03T06:02:00Z</dcterms:modified>
</cp:coreProperties>
</file>