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49" w:rsidRDefault="00397F3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Pr="009311F2" w:rsidRDefault="00397F33">
      <w:pPr>
        <w:spacing w:after="0"/>
        <w:rPr>
          <w:lang w:val="ru-RU"/>
        </w:rPr>
      </w:pPr>
      <w:r w:rsidRPr="009311F2">
        <w:rPr>
          <w:b/>
          <w:color w:val="000000"/>
          <w:sz w:val="28"/>
          <w:lang w:val="ru-RU"/>
        </w:rPr>
        <w:t>Об утверждении критериев оценки степени рисков и проверочного листа в области использования и охраны водного фонда Республики Казахстан, безопасности плотин</w:t>
      </w:r>
    </w:p>
    <w:p w:rsidR="00BD7249" w:rsidRPr="009311F2" w:rsidRDefault="00397F33">
      <w:pPr>
        <w:spacing w:after="0"/>
        <w:rPr>
          <w:lang w:val="ru-RU"/>
        </w:rPr>
      </w:pPr>
      <w:r w:rsidRPr="009311F2">
        <w:rPr>
          <w:b/>
          <w:i/>
          <w:color w:val="888888"/>
          <w:lang w:val="ru-RU"/>
        </w:rPr>
        <w:t>Утративший силу</w:t>
      </w:r>
    </w:p>
    <w:p w:rsidR="00BD7249" w:rsidRPr="009311F2" w:rsidRDefault="00397F33">
      <w:pPr>
        <w:spacing w:after="0"/>
        <w:jc w:val="both"/>
        <w:rPr>
          <w:lang w:val="ru-RU"/>
        </w:rPr>
      </w:pPr>
      <w:r w:rsidRPr="009311F2">
        <w:rPr>
          <w:color w:val="000000"/>
          <w:sz w:val="28"/>
          <w:lang w:val="ru-RU"/>
        </w:rPr>
        <w:t>Совместный приказ Министра сельского хозяйства Республики Казахстан от 25 декабря 2015 года № 19-2/1131 и Министра национальной экономики Республики Казахстан от 28 декабря 2015 года № 809. Зарегистрирован в Министерстве юстиции Республики Казахстан 30 декабря 2015 года № 12661. Утратил силу совместным приказом Министра сельского хозяйства Республики Казахстан от 5 апреля 2019 года № 135 и Министра национальной экономики Республики Казахстан от 24 апреля 2019 года № 30 (вводится в действие по истечении десяти календарных дней после дня его первого официального опубликования)</w:t>
      </w:r>
    </w:p>
    <w:p w:rsidR="00BD7249" w:rsidRDefault="00397F33">
      <w:pPr>
        <w:spacing w:after="0"/>
        <w:jc w:val="both"/>
      </w:pPr>
      <w:r w:rsidRPr="009311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311F2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Утратил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совместным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сельского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хозяйства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05.04.2019 № 135 и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национальной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экономики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24.042019 № 30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1" w:name="z1"/>
      <w:r>
        <w:rPr>
          <w:color w:val="000000"/>
          <w:sz w:val="28"/>
        </w:rPr>
        <w:t xml:space="preserve">       </w:t>
      </w:r>
      <w:r w:rsidRPr="009311F2">
        <w:rPr>
          <w:color w:val="000000"/>
          <w:sz w:val="28"/>
          <w:lang w:val="ru-RU"/>
        </w:rPr>
        <w:t xml:space="preserve">В соответствии с пунктом 3 статьи 141, пунктом 1 статьи 143 Предпринимательского кодекса Республики Казахстан от 29 октября 2015 года </w:t>
      </w:r>
      <w:r w:rsidRPr="009311F2">
        <w:rPr>
          <w:b/>
          <w:color w:val="000000"/>
          <w:sz w:val="28"/>
          <w:lang w:val="ru-RU"/>
        </w:rPr>
        <w:t>ПРИКАЗЫВАЕМ: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2" w:name="z2"/>
      <w:bookmarkEnd w:id="1"/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1. Утвердить:</w:t>
      </w:r>
    </w:p>
    <w:bookmarkEnd w:id="2"/>
    <w:p w:rsidR="00BD7249" w:rsidRDefault="00397F33">
      <w:pPr>
        <w:spacing w:after="0"/>
        <w:jc w:val="both"/>
      </w:pPr>
      <w:r w:rsidRPr="009311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1) критерии оценки степени риска в области использования и охраны водного фонда Республики Казахстан, безопасности плотин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совместному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BD7249" w:rsidRDefault="00397F3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 w:rsidRPr="009311F2">
        <w:rPr>
          <w:color w:val="000000"/>
          <w:sz w:val="28"/>
          <w:lang w:val="ru-RU"/>
        </w:rPr>
        <w:t xml:space="preserve">2) проверочный лист в области использования и охраны водного фонда Республики Казахстан, безопасности плотин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совместному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3" w:name="z3"/>
      <w:r>
        <w:rPr>
          <w:color w:val="000000"/>
          <w:sz w:val="28"/>
        </w:rPr>
        <w:t xml:space="preserve">      </w:t>
      </w:r>
      <w:r w:rsidRPr="009311F2">
        <w:rPr>
          <w:color w:val="000000"/>
          <w:sz w:val="28"/>
          <w:lang w:val="ru-RU"/>
        </w:rPr>
        <w:t>2. Признать утратившими силу:</w:t>
      </w:r>
    </w:p>
    <w:bookmarkEnd w:id="3"/>
    <w:p w:rsidR="00BD7249" w:rsidRPr="009311F2" w:rsidRDefault="00397F33">
      <w:pPr>
        <w:spacing w:after="0"/>
        <w:jc w:val="both"/>
        <w:rPr>
          <w:lang w:val="ru-RU"/>
        </w:rPr>
      </w:pPr>
      <w:r w:rsidRPr="009311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1) приказ Министра сельского хозяйства Республики Казахстан от 3 мая 2011 года № 24-03/230 "Об утверждении формы проверочного листа в области использования и охраны водного фонда Республики Казахстан (за исключением сферы частного предпринимательства)" (зарегистрированный в Реестре государственной регистрации нормативных правовых актов за № 6957, опубликованный 21 июня 2011 года № 194 (26615) в газете "Казахстанская правда");</w:t>
      </w:r>
    </w:p>
    <w:p w:rsidR="00BD7249" w:rsidRPr="009311F2" w:rsidRDefault="00397F33">
      <w:pPr>
        <w:spacing w:after="0"/>
        <w:jc w:val="both"/>
        <w:rPr>
          <w:lang w:val="ru-RU"/>
        </w:rPr>
      </w:pPr>
      <w:r w:rsidRPr="009311F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2) совместный приказ исполняющего обязанности Министра сельского хозяйства Республики Казахстан от 13 июля 2015 года № 19-2/645 и исполняющего обязанности Министра национальной экономики Республики Казахстан от 31 июля 2015 года № 579 "Об утверждении критериев оценки степени риска и формы проверочного листа в области использования и охраны водного фонда Республики Казахстан" (зарегистрированный в Реестре государственной регистрации нормативных правовых актов за № 11983, опубликованный 22 сентября 2015 года в информационно-правовой системе "</w:t>
      </w:r>
      <w:proofErr w:type="spellStart"/>
      <w:r w:rsidRPr="009311F2">
        <w:rPr>
          <w:color w:val="000000"/>
          <w:sz w:val="28"/>
          <w:lang w:val="ru-RU"/>
        </w:rPr>
        <w:t>Әділет</w:t>
      </w:r>
      <w:proofErr w:type="spellEnd"/>
      <w:r w:rsidRPr="009311F2">
        <w:rPr>
          <w:color w:val="000000"/>
          <w:sz w:val="28"/>
          <w:lang w:val="ru-RU"/>
        </w:rPr>
        <w:t>").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4" w:name="z4"/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3. Комитету по водным ресурсам Министерства сельского хозяйства Республики Казахстан, в установленном законодательством порядке обеспечить:</w:t>
      </w:r>
    </w:p>
    <w:bookmarkEnd w:id="4"/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1) государственную регистрацию настоящего совместного приказа в Министерстве юстиции Республики Казахстан;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</w:t>
      </w:r>
      <w:proofErr w:type="spellStart"/>
      <w:r w:rsidRPr="009311F2">
        <w:rPr>
          <w:color w:val="000000"/>
          <w:sz w:val="28"/>
          <w:lang w:val="ru-RU"/>
        </w:rPr>
        <w:t>Әділет</w:t>
      </w:r>
      <w:proofErr w:type="spellEnd"/>
      <w:r w:rsidRPr="009311F2">
        <w:rPr>
          <w:color w:val="000000"/>
          <w:sz w:val="28"/>
          <w:lang w:val="ru-RU"/>
        </w:rPr>
        <w:t>";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Казахстан";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4) размещение настоящего совместного приказа на </w:t>
      </w:r>
      <w:proofErr w:type="spellStart"/>
      <w:r w:rsidRPr="009311F2">
        <w:rPr>
          <w:color w:val="000000"/>
          <w:sz w:val="28"/>
          <w:lang w:val="ru-RU"/>
        </w:rPr>
        <w:t>интернет-ресурсе</w:t>
      </w:r>
      <w:proofErr w:type="spellEnd"/>
      <w:r w:rsidRPr="009311F2">
        <w:rPr>
          <w:color w:val="000000"/>
          <w:sz w:val="28"/>
          <w:lang w:val="ru-RU"/>
        </w:rPr>
        <w:t xml:space="preserve"> Министерства сельского хозяйства Республики Казахстан и на </w:t>
      </w:r>
      <w:proofErr w:type="spellStart"/>
      <w:r w:rsidRPr="009311F2">
        <w:rPr>
          <w:color w:val="000000"/>
          <w:sz w:val="28"/>
          <w:lang w:val="ru-RU"/>
        </w:rPr>
        <w:t>интранет</w:t>
      </w:r>
      <w:proofErr w:type="spellEnd"/>
      <w:r w:rsidRPr="009311F2">
        <w:rPr>
          <w:color w:val="000000"/>
          <w:sz w:val="28"/>
          <w:lang w:val="ru-RU"/>
        </w:rPr>
        <w:t>-портале государственных органов.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5" w:name="z5"/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6" w:name="z6"/>
      <w:bookmarkEnd w:id="5"/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 w:rsidR="00BD7249" w:rsidRPr="009311F2" w:rsidRDefault="00397F33">
      <w:pPr>
        <w:spacing w:after="0"/>
        <w:rPr>
          <w:lang w:val="ru-RU"/>
        </w:rPr>
      </w:pPr>
      <w:r w:rsidRPr="009311F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74"/>
        <w:gridCol w:w="4873"/>
      </w:tblGrid>
      <w:tr w:rsidR="00BD7249" w:rsidRPr="009311F2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lastRenderedPageBreak/>
              <w:t>Министр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сельского хозяйства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 xml:space="preserve">______________ А. </w:t>
            </w:r>
            <w:proofErr w:type="spellStart"/>
            <w:r w:rsidRPr="009311F2">
              <w:rPr>
                <w:color w:val="000000"/>
                <w:sz w:val="20"/>
                <w:lang w:val="ru-RU"/>
              </w:rPr>
              <w:t>Мамытбеков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Министр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национальной экономики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 xml:space="preserve">______________ Е. </w:t>
            </w:r>
            <w:proofErr w:type="spellStart"/>
            <w:r w:rsidRPr="009311F2">
              <w:rPr>
                <w:color w:val="000000"/>
                <w:sz w:val="20"/>
                <w:lang w:val="ru-RU"/>
              </w:rPr>
              <w:t>Досаев</w:t>
            </w:r>
            <w:proofErr w:type="spellEnd"/>
          </w:p>
        </w:tc>
      </w:tr>
    </w:tbl>
    <w:p w:rsidR="00BD7249" w:rsidRPr="009311F2" w:rsidRDefault="00397F33">
      <w:pPr>
        <w:spacing w:after="0"/>
        <w:rPr>
          <w:lang w:val="ru-RU"/>
        </w:rPr>
      </w:pPr>
      <w:r w:rsidRPr="009311F2">
        <w:rPr>
          <w:lang w:val="ru-RU"/>
        </w:rPr>
        <w:lastRenderedPageBreak/>
        <w:br/>
      </w:r>
    </w:p>
    <w:p w:rsidR="00BD7249" w:rsidRPr="009311F2" w:rsidRDefault="00397F33">
      <w:pPr>
        <w:spacing w:after="0"/>
        <w:jc w:val="both"/>
        <w:rPr>
          <w:lang w:val="ru-RU"/>
        </w:rPr>
      </w:pPr>
      <w:r w:rsidRPr="009311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"СОГЛАСОВАН"   </w:t>
      </w:r>
    </w:p>
    <w:p w:rsidR="00BD7249" w:rsidRPr="009311F2" w:rsidRDefault="00397F33">
      <w:pPr>
        <w:spacing w:after="0"/>
        <w:jc w:val="both"/>
        <w:rPr>
          <w:lang w:val="ru-RU"/>
        </w:rPr>
      </w:pPr>
      <w:r w:rsidRPr="009311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Председатель Комитета по правовой   </w:t>
      </w:r>
    </w:p>
    <w:p w:rsidR="00BD7249" w:rsidRPr="009311F2" w:rsidRDefault="00397F33">
      <w:pPr>
        <w:spacing w:after="0"/>
        <w:jc w:val="both"/>
        <w:rPr>
          <w:lang w:val="ru-RU"/>
        </w:rPr>
      </w:pPr>
      <w:r w:rsidRPr="009311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статистике и специальным учетам   </w:t>
      </w:r>
    </w:p>
    <w:p w:rsidR="00BD7249" w:rsidRPr="009311F2" w:rsidRDefault="00397F33">
      <w:pPr>
        <w:spacing w:after="0"/>
        <w:jc w:val="both"/>
        <w:rPr>
          <w:lang w:val="ru-RU"/>
        </w:rPr>
      </w:pPr>
      <w:r w:rsidRPr="009311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Генеральной прокуратуры   </w:t>
      </w:r>
    </w:p>
    <w:p w:rsidR="00BD7249" w:rsidRPr="009311F2" w:rsidRDefault="00397F33">
      <w:pPr>
        <w:spacing w:after="0"/>
        <w:jc w:val="both"/>
        <w:rPr>
          <w:lang w:val="ru-RU"/>
        </w:rPr>
      </w:pPr>
      <w:r w:rsidRPr="009311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Республики Казахстан   </w:t>
      </w:r>
    </w:p>
    <w:p w:rsidR="00BD7249" w:rsidRPr="009311F2" w:rsidRDefault="00397F33">
      <w:pPr>
        <w:spacing w:after="0"/>
        <w:jc w:val="both"/>
        <w:rPr>
          <w:lang w:val="ru-RU"/>
        </w:rPr>
      </w:pPr>
      <w:r w:rsidRPr="009311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____________________ С. </w:t>
      </w:r>
      <w:proofErr w:type="spellStart"/>
      <w:r w:rsidRPr="009311F2">
        <w:rPr>
          <w:color w:val="000000"/>
          <w:sz w:val="28"/>
          <w:lang w:val="ru-RU"/>
        </w:rPr>
        <w:t>Айтпаева</w:t>
      </w:r>
      <w:proofErr w:type="spellEnd"/>
      <w:r w:rsidRPr="009311F2">
        <w:rPr>
          <w:color w:val="000000"/>
          <w:sz w:val="28"/>
          <w:lang w:val="ru-RU"/>
        </w:rPr>
        <w:t xml:space="preserve">   </w:t>
      </w:r>
    </w:p>
    <w:p w:rsidR="00BD7249" w:rsidRDefault="00397F33">
      <w:pPr>
        <w:spacing w:after="0"/>
        <w:jc w:val="both"/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29 </w:t>
      </w:r>
      <w:proofErr w:type="spellStart"/>
      <w:r>
        <w:rPr>
          <w:color w:val="000000"/>
          <w:sz w:val="28"/>
        </w:rPr>
        <w:t>декабря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год</w:t>
      </w:r>
      <w:proofErr w:type="spellEnd"/>
    </w:p>
    <w:p w:rsidR="00BD7249" w:rsidRDefault="00397F33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7"/>
        <w:gridCol w:w="3800"/>
      </w:tblGrid>
      <w:tr w:rsidR="00BD7249" w:rsidRPr="009311F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center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Приложение 1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от 25 декабря 2015 года № 19-2/1131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и Министра национальной экономики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Республики Казахстан от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28 декабря 2015 года № 809</w:t>
            </w:r>
          </w:p>
        </w:tc>
      </w:tr>
    </w:tbl>
    <w:p w:rsidR="00BD7249" w:rsidRPr="009311F2" w:rsidRDefault="00397F33">
      <w:pPr>
        <w:spacing w:after="0"/>
        <w:rPr>
          <w:lang w:val="ru-RU"/>
        </w:rPr>
      </w:pPr>
      <w:bookmarkStart w:id="7" w:name="z8"/>
      <w:r w:rsidRPr="009311F2">
        <w:rPr>
          <w:b/>
          <w:color w:val="000000"/>
          <w:lang w:val="ru-RU"/>
        </w:rPr>
        <w:lastRenderedPageBreak/>
        <w:t xml:space="preserve"> Критерии</w:t>
      </w:r>
      <w:r w:rsidRPr="009311F2">
        <w:rPr>
          <w:lang w:val="ru-RU"/>
        </w:rPr>
        <w:br/>
      </w:r>
      <w:r w:rsidRPr="009311F2">
        <w:rPr>
          <w:b/>
          <w:color w:val="000000"/>
          <w:lang w:val="ru-RU"/>
        </w:rPr>
        <w:t>оценки степени рисков в области использования и охраны</w:t>
      </w:r>
      <w:r w:rsidRPr="009311F2">
        <w:rPr>
          <w:lang w:val="ru-RU"/>
        </w:rPr>
        <w:br/>
      </w:r>
      <w:r w:rsidRPr="009311F2">
        <w:rPr>
          <w:b/>
          <w:color w:val="000000"/>
          <w:lang w:val="ru-RU"/>
        </w:rPr>
        <w:t>водного фонда Республики Казахстан, безопасности плотин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8" w:name="z9"/>
      <w:bookmarkEnd w:id="7"/>
      <w:r w:rsidRPr="009311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1. Настоящие Критерии оценки степени рисков в области использования и охраны водного фонда Республики Казахстан, безопасности плотин (далее - Критерии) разработаны в соответствии </w:t>
      </w:r>
      <w:r>
        <w:rPr>
          <w:color w:val="000000"/>
          <w:sz w:val="28"/>
        </w:rPr>
        <w:t>c</w:t>
      </w:r>
      <w:r w:rsidRPr="009311F2">
        <w:rPr>
          <w:color w:val="000000"/>
          <w:sz w:val="28"/>
          <w:lang w:val="ru-RU"/>
        </w:rPr>
        <w:t xml:space="preserve"> Предпринимательским кодексом Республики Казахстан от 29 октября 2015 года для отнесения бассейновыми водными инспекциями первичных водопользователей, осуществляющих забор воды из водных объектов по степеням рисков.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9" w:name="z10"/>
      <w:bookmarkEnd w:id="8"/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2. В настоящих Критериях используются следующие понятия: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10" w:name="z23"/>
      <w:bookmarkEnd w:id="9"/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1) субъект контроля – физические и юридические лица, государственные учреждения, государственные предприятия и некоммерческие организации, осуществляющие забор воды непосредственно из водных объектов для удовлетворения собственных нужд или поставки ее для вторичных водопользователей, а также организации осуществляющие эксплуатацию гидротехнических сооружений, регулирование поверхностного стока для обеспечения различных отраслей хозяйства, пользующиеся услугами водохозяйственных организаций и получающее воду из систем водоснабжения на производственные и технические нужды (первичные водопользователи) и выполняющие производство работ на водных объектах и их </w:t>
      </w:r>
      <w:proofErr w:type="spellStart"/>
      <w:r w:rsidRPr="009311F2">
        <w:rPr>
          <w:color w:val="000000"/>
          <w:sz w:val="28"/>
          <w:lang w:val="ru-RU"/>
        </w:rPr>
        <w:t>водоохранных</w:t>
      </w:r>
      <w:proofErr w:type="spellEnd"/>
      <w:r w:rsidRPr="009311F2">
        <w:rPr>
          <w:color w:val="000000"/>
          <w:sz w:val="28"/>
          <w:lang w:val="ru-RU"/>
        </w:rPr>
        <w:t xml:space="preserve"> зонах и полосах;</w:t>
      </w:r>
    </w:p>
    <w:bookmarkEnd w:id="10"/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2) незначительные нарушения – нарушения требований законодательства Республики Казахстан в области использования и охраны водного фонда Республики Казахстан, безопасности плотин в части – воспрепятствования регулирования водных ресурсов, не соблюдения установленных водных сервитутов, отсутствия, а также срыв пломбы на водомерных устройствах, отсутствия паспорта водохозяйственного сооружения, наличия жалоб и обращений по факту нарушения установленных водных сервитутов, информация от государственных органов, по нарушению установленных водных сервитутов, с учетом степени тяжести его последствий, влекущих административную ответственность;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3) значительные нарушения – нарушения, требований законодательства Республики Казахстан в области использования и охраны водного фонда Республики Казахстан, безопасности плотин в части – нарушения прав водопользователей, содержания в неисправном состоянии водохозяйственных сооружений и технических устройств, влияющих на состояние вод, не осуществления эксплуатации или использования водохозяйственных сооружений и устройств, не осуществления первичного </w:t>
      </w:r>
      <w:r w:rsidRPr="009311F2">
        <w:rPr>
          <w:color w:val="000000"/>
          <w:sz w:val="28"/>
          <w:lang w:val="ru-RU"/>
        </w:rPr>
        <w:lastRenderedPageBreak/>
        <w:t>учета использования водных ресурсов, не своевременного представления достоверной информации об использовании водного объекта, отсутствия согласований на буровые, разведочные и другие работы, а также невыполнения условий согласований выданных на виды работ и невыполнение работ согласно проектной документации, не проведения организационных, технологических, лесомелиоративных, агротехнических, гидротехнических, санитарно-эпидемиологических и других мероприятий, обеспечивающих охрану водных объектов от загрязнения, засорения и истощения вод, неполной и недостоверной информации при выдаче экспертных заключений, разработки деклараций безопасности плотин, наличия жалоб и обращений по факту содержания в не исправном и ненадлежащем состоянии водохозяйственных сооружений и технических устройств, информации от государственных органов о содержании в неисправном и ненадлежащем состоянии водохозяйственных сооружений и технических устройств, предоставления отчетности, в том числе недостоверной и неполной информации об использовании водного объекта по утвержденной форме, с учетом степени тяжести его последствий влекущих административную ответственность;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4) риск в области использования и охраны водного фонда Республики Казахстан, безопасности плотин – вероятность снижения </w:t>
      </w:r>
      <w:proofErr w:type="spellStart"/>
      <w:r w:rsidRPr="009311F2">
        <w:rPr>
          <w:color w:val="000000"/>
          <w:sz w:val="28"/>
          <w:lang w:val="ru-RU"/>
        </w:rPr>
        <w:t>водообеспеченности</w:t>
      </w:r>
      <w:proofErr w:type="spellEnd"/>
      <w:r w:rsidRPr="009311F2">
        <w:rPr>
          <w:color w:val="000000"/>
          <w:sz w:val="28"/>
          <w:lang w:val="ru-RU"/>
        </w:rPr>
        <w:t xml:space="preserve"> населения, возникновения загрязнения, засорения и истощения водных объектов, нарушения прав водопользователей на получение водных ресурсов в соответствии с выделенными лимитами, а также вредного воздействия вод на населенные пункты в результате деятельности водопользователей, отсутствия согласований на производство работ на водных объектах и их </w:t>
      </w:r>
      <w:proofErr w:type="spellStart"/>
      <w:r w:rsidRPr="009311F2">
        <w:rPr>
          <w:color w:val="000000"/>
          <w:sz w:val="28"/>
          <w:lang w:val="ru-RU"/>
        </w:rPr>
        <w:t>водоохранных</w:t>
      </w:r>
      <w:proofErr w:type="spellEnd"/>
      <w:r w:rsidRPr="009311F2">
        <w:rPr>
          <w:color w:val="000000"/>
          <w:sz w:val="28"/>
          <w:lang w:val="ru-RU"/>
        </w:rPr>
        <w:t xml:space="preserve"> зонах и полосах, возникновения и предупреждения чрезвычайных ситуаций на гидротехнических сооружениях которые могут повлечь за собой человеческие жертвы, ущерб здоровью людей и окружающей среде, с учетом степени тяжести его последствий;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5) объективные критерии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проверяемого субъекта (объекта);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6) грубые нарушения – нарушения, требований законодательства Республики Казахстан в области использования и охраны водного фонда Республики Казахстан, безопасности плотин в части – не проведения </w:t>
      </w:r>
      <w:proofErr w:type="spellStart"/>
      <w:r w:rsidRPr="009311F2">
        <w:rPr>
          <w:color w:val="000000"/>
          <w:sz w:val="28"/>
          <w:lang w:val="ru-RU"/>
        </w:rPr>
        <w:lastRenderedPageBreak/>
        <w:t>водоохранных</w:t>
      </w:r>
      <w:proofErr w:type="spellEnd"/>
      <w:r w:rsidRPr="009311F2">
        <w:rPr>
          <w:color w:val="000000"/>
          <w:sz w:val="28"/>
          <w:lang w:val="ru-RU"/>
        </w:rPr>
        <w:t xml:space="preserve"> мероприятий, нерационального, нецелевого использования водных ресурсов и не принятия мер к сокращению потерь воды, невыполнения или ненадлежащего выполнения Предписаний об устранений нарушений, не обеспечения безопасности водохозяйственных систем и сооружений, наличия жалоб и обращений по факту незаконного водопользования, незаконного проведения работ без разрешительных документов и согласований, неосуществления </w:t>
      </w:r>
      <w:proofErr w:type="spellStart"/>
      <w:r w:rsidRPr="009311F2">
        <w:rPr>
          <w:color w:val="000000"/>
          <w:sz w:val="28"/>
          <w:lang w:val="ru-RU"/>
        </w:rPr>
        <w:t>водоохранных</w:t>
      </w:r>
      <w:proofErr w:type="spellEnd"/>
      <w:r w:rsidRPr="009311F2">
        <w:rPr>
          <w:color w:val="000000"/>
          <w:sz w:val="28"/>
          <w:lang w:val="ru-RU"/>
        </w:rPr>
        <w:t xml:space="preserve"> мероприятий по предотвращению загрязнения, засорения, истощения, нанесения вреда водным объектам, нерационального, нецелевого использования водных ресурсов, непринятия мер к сокращению потерь воды, информации от государственных органов, по незаконному водопользованию, незаконному проведению работ без разрешительных документов и согласований, неосуществления </w:t>
      </w:r>
      <w:proofErr w:type="spellStart"/>
      <w:r w:rsidRPr="009311F2">
        <w:rPr>
          <w:color w:val="000000"/>
          <w:sz w:val="28"/>
          <w:lang w:val="ru-RU"/>
        </w:rPr>
        <w:t>водоохранных</w:t>
      </w:r>
      <w:proofErr w:type="spellEnd"/>
      <w:r w:rsidRPr="009311F2">
        <w:rPr>
          <w:color w:val="000000"/>
          <w:sz w:val="28"/>
          <w:lang w:val="ru-RU"/>
        </w:rPr>
        <w:t xml:space="preserve"> мероприятий по предотвращению загрязнения, засорения, истощения, нанесения вреда водным объектам, нерациональному, нецелевому использованию водных ресурсов, непринятия мер к сокращению потерь воды, по отчетности, в том числе недостоверная и неполная информация об использовании водного объекта по утвержденной форме, с учетом степени тяжести его последствий влекущие административную ответственность;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7) субъективные критерии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8) проверочный лист – перечень требований, включающий в себя требования к деятельности проверяемых субъектов,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11" w:name="z11"/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3. Отнесение субъектов контроля риска осуществляется на основании объективных и субъективных критериев.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12" w:name="z12"/>
      <w:bookmarkEnd w:id="11"/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4. По объективным критериям, все субъекты контроля в зависимости от стратегической значимости водных объектов и объемов водозабора распределяются по двум степеням риска:</w:t>
      </w:r>
    </w:p>
    <w:bookmarkEnd w:id="12"/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1) высокая степень риска – субъекты контроля, которые эксплуатируют объекты, отнесенные к перечню водохозяйственных сооружений, имеющих особое стратегическое значение и осуществляющие забор воды свыше 5 тысяч кубических метров в сутки, эксплуатацию водохранилищ объемом 10 миллионов кубических метров и выше;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311F2">
        <w:rPr>
          <w:color w:val="000000"/>
          <w:sz w:val="28"/>
          <w:lang w:val="ru-RU"/>
        </w:rPr>
        <w:t xml:space="preserve"> 2) не относящиеся к высокой степени риска – субъекты контроля, осуществляющие забор воды менее 5 тысяч кубических метров в сутки, эксплуатацию водохранилищ объемом менее 10 миллионов кубических метров.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13" w:name="z13"/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5. В отношении проверяемых субъектов, отнесенных к высокой степени риска, проводятся выборочные проверки, внеплановые проверки и иная форма контроля.</w:t>
      </w:r>
    </w:p>
    <w:bookmarkEnd w:id="13"/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В отношении проверяемых субъектов, не отнесенных к высокой степени риска, проводятся внеплановые проверки и иная форма контроля.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14" w:name="z14"/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6. Определение субъективных критериев осуществляется с применением следующих этапов:</w:t>
      </w:r>
    </w:p>
    <w:bookmarkEnd w:id="14"/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1) формирование базы данных и сбор информации;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2) анализ информации и оценка рисков.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Формирование базы данных и сбор информации необходимы для выявления проверяемых субъектов (объектов), нарушающих законодательство Республики Казахстан.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15" w:name="z15"/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7. Для определения степени рисков используются следующие источники информации:</w:t>
      </w:r>
    </w:p>
    <w:bookmarkEnd w:id="15"/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1) результаты предыдущих проверок и иных форм контроля. При этом, степень тяжести нарушений (грубые, значительные, незначительные) устанавливается в случае несоблюдения требований законодательства, отраженных в проверочных листах;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2) результаты мониторинга отчетности и сведении – по форме 2–ТП </w:t>
      </w:r>
      <w:proofErr w:type="spellStart"/>
      <w:r w:rsidRPr="009311F2">
        <w:rPr>
          <w:color w:val="000000"/>
          <w:sz w:val="28"/>
          <w:lang w:val="ru-RU"/>
        </w:rPr>
        <w:t>водхоз</w:t>
      </w:r>
      <w:proofErr w:type="spellEnd"/>
      <w:r w:rsidRPr="009311F2">
        <w:rPr>
          <w:color w:val="000000"/>
          <w:sz w:val="28"/>
          <w:lang w:val="ru-RU"/>
        </w:rPr>
        <w:t>;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3) результаты анализа сведений, представляемых государственными органами;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4) жалобы – наличие и количество подтвержденных жалоб и обращений на субъекты контроля, поступивших от физических или юридических лиц, государственных органов.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16" w:name="z16"/>
      <w:r w:rsidRPr="009311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8. На основании источников информации определены субъективные критерии, согласно приложению к настоящим Критериям.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17" w:name="z17"/>
      <w:bookmarkEnd w:id="16"/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9. В соответствии с критериями оценки степени риска, регулирующего государственного органа, рассчитывается показатель степени риска субъективных критериев по шкале от 0 до 100.</w:t>
      </w:r>
    </w:p>
    <w:bookmarkEnd w:id="17"/>
    <w:p w:rsidR="00BD7249" w:rsidRDefault="00397F33">
      <w:pPr>
        <w:spacing w:after="0"/>
        <w:jc w:val="both"/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Одно нарушение грубой степени приравнивается к показателю </w:t>
      </w:r>
      <w:r>
        <w:rPr>
          <w:color w:val="000000"/>
          <w:sz w:val="28"/>
        </w:rPr>
        <w:t>100.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 xml:space="preserve">      </w:t>
      </w:r>
      <w:r w:rsidRPr="009311F2">
        <w:rPr>
          <w:color w:val="000000"/>
          <w:sz w:val="28"/>
          <w:lang w:val="ru-RU"/>
        </w:rPr>
        <w:t>В случае если нарушений грубой степени не выявлено, то для определения показателя степени риска рассчитываются показатели нарушений значительной и незначительной степени, затем суммируются.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При определении показателя нарушений значительной степени применяется весовой коэффициент 0,7 и данный показатель рассчитывается по следующей формуле:</w:t>
      </w:r>
    </w:p>
    <w:p w:rsidR="00BD7249" w:rsidRPr="009311F2" w:rsidRDefault="00397F33">
      <w:pPr>
        <w:spacing w:after="0"/>
        <w:rPr>
          <w:lang w:val="ru-RU"/>
        </w:rPr>
      </w:pPr>
      <w:r w:rsidRPr="009311F2">
        <w:rPr>
          <w:lang w:val="ru-RU"/>
        </w:rPr>
        <w:br/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Default="00397F33">
      <w:pPr>
        <w:spacing w:after="0"/>
      </w:pPr>
      <w:proofErr w:type="spellStart"/>
      <w:r>
        <w:rPr>
          <w:color w:val="000000"/>
          <w:sz w:val="28"/>
        </w:rPr>
        <w:t>Рз</w:t>
      </w:r>
      <w:proofErr w:type="spellEnd"/>
      <w:r>
        <w:rPr>
          <w:color w:val="000000"/>
          <w:sz w:val="28"/>
        </w:rPr>
        <w:t xml:space="preserve"> = (</w:t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Default="00397F33">
      <w:pPr>
        <w:spacing w:after="0"/>
      </w:pPr>
      <w:r>
        <w:rPr>
          <w:color w:val="000000"/>
          <w:sz w:val="28"/>
        </w:rPr>
        <w:t>Р2 х 100/</w:t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Default="00397F33">
      <w:pPr>
        <w:spacing w:after="0"/>
      </w:pPr>
      <w:r>
        <w:rPr>
          <w:color w:val="000000"/>
          <w:sz w:val="28"/>
        </w:rPr>
        <w:t>Р1) х 0,7</w:t>
      </w:r>
      <w:r>
        <w:br/>
      </w:r>
    </w:p>
    <w:p w:rsidR="00BD7249" w:rsidRDefault="00397F3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где</w:t>
      </w:r>
      <w:proofErr w:type="spellEnd"/>
      <w:r>
        <w:rPr>
          <w:color w:val="000000"/>
          <w:sz w:val="28"/>
        </w:rPr>
        <w:t>:</w:t>
      </w:r>
    </w:p>
    <w:p w:rsidR="00BD7249" w:rsidRDefault="00397F33">
      <w:pPr>
        <w:spacing w:after="0"/>
      </w:pPr>
      <w:r>
        <w:br/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Default="00397F33">
      <w:pPr>
        <w:spacing w:after="0"/>
      </w:pPr>
      <w:proofErr w:type="spellStart"/>
      <w:r>
        <w:rPr>
          <w:color w:val="000000"/>
          <w:sz w:val="28"/>
        </w:rPr>
        <w:t>Рз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показатель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значительных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нарушений</w:t>
      </w:r>
      <w:proofErr w:type="spellEnd"/>
      <w:r>
        <w:rPr>
          <w:color w:val="000000"/>
          <w:sz w:val="28"/>
        </w:rPr>
        <w:t>;</w:t>
      </w:r>
      <w:r>
        <w:br/>
      </w:r>
      <w:r>
        <w:br/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Pr="009311F2" w:rsidRDefault="00397F33">
      <w:pPr>
        <w:spacing w:after="0"/>
        <w:rPr>
          <w:lang w:val="ru-RU"/>
        </w:rPr>
      </w:pPr>
      <w:r w:rsidRPr="009311F2">
        <w:rPr>
          <w:color w:val="000000"/>
          <w:sz w:val="28"/>
          <w:lang w:val="ru-RU"/>
        </w:rPr>
        <w:t>Р1 – общее количество значительных нарушений;</w:t>
      </w:r>
      <w:r w:rsidRPr="009311F2">
        <w:rPr>
          <w:lang w:val="ru-RU"/>
        </w:rPr>
        <w:br/>
      </w:r>
      <w:r w:rsidRPr="009311F2">
        <w:rPr>
          <w:lang w:val="ru-RU"/>
        </w:rPr>
        <w:br/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Pr="009311F2" w:rsidRDefault="00397F33">
      <w:pPr>
        <w:spacing w:after="0"/>
        <w:rPr>
          <w:lang w:val="ru-RU"/>
        </w:rPr>
      </w:pPr>
      <w:r w:rsidRPr="009311F2">
        <w:rPr>
          <w:color w:val="000000"/>
          <w:sz w:val="28"/>
          <w:lang w:val="ru-RU"/>
        </w:rPr>
        <w:t>Р2 - количество выявленных значительных нарушений.</w:t>
      </w:r>
      <w:r w:rsidRPr="009311F2">
        <w:rPr>
          <w:lang w:val="ru-RU"/>
        </w:rPr>
        <w:br/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p w:rsidR="00BD7249" w:rsidRPr="009311F2" w:rsidRDefault="00397F33">
      <w:pPr>
        <w:spacing w:after="0"/>
        <w:rPr>
          <w:lang w:val="ru-RU"/>
        </w:rPr>
      </w:pPr>
      <w:r w:rsidRPr="009311F2">
        <w:rPr>
          <w:lang w:val="ru-RU"/>
        </w:rPr>
        <w:br/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Default="00397F33">
      <w:pPr>
        <w:spacing w:after="0"/>
      </w:pPr>
      <w:proofErr w:type="spellStart"/>
      <w:r>
        <w:rPr>
          <w:color w:val="000000"/>
          <w:sz w:val="28"/>
        </w:rPr>
        <w:t>Рн</w:t>
      </w:r>
      <w:proofErr w:type="spellEnd"/>
      <w:r>
        <w:rPr>
          <w:color w:val="000000"/>
          <w:sz w:val="28"/>
        </w:rPr>
        <w:t xml:space="preserve"> = (</w:t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Default="00397F33">
      <w:pPr>
        <w:spacing w:after="0"/>
      </w:pPr>
      <w:r>
        <w:rPr>
          <w:color w:val="000000"/>
          <w:sz w:val="28"/>
        </w:rPr>
        <w:t>Р2 х 100/</w:t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Default="00397F33">
      <w:pPr>
        <w:spacing w:after="0"/>
      </w:pPr>
      <w:r>
        <w:rPr>
          <w:color w:val="000000"/>
          <w:sz w:val="28"/>
        </w:rPr>
        <w:t>Р1) х 0,3</w:t>
      </w:r>
      <w:r>
        <w:br/>
      </w:r>
    </w:p>
    <w:p w:rsidR="00BD7249" w:rsidRDefault="00397F3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где</w:t>
      </w:r>
      <w:proofErr w:type="spellEnd"/>
      <w:r>
        <w:rPr>
          <w:color w:val="000000"/>
          <w:sz w:val="28"/>
        </w:rPr>
        <w:t>:</w:t>
      </w:r>
    </w:p>
    <w:p w:rsidR="00BD7249" w:rsidRDefault="00397F33">
      <w:pPr>
        <w:spacing w:after="0"/>
      </w:pPr>
      <w:r>
        <w:lastRenderedPageBreak/>
        <w:br/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Default="00397F33">
      <w:pPr>
        <w:spacing w:after="0"/>
      </w:pPr>
      <w:proofErr w:type="spellStart"/>
      <w:r>
        <w:rPr>
          <w:color w:val="000000"/>
          <w:sz w:val="28"/>
        </w:rPr>
        <w:t>Рн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показатель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незначительных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нарушений</w:t>
      </w:r>
      <w:proofErr w:type="spellEnd"/>
      <w:r>
        <w:rPr>
          <w:color w:val="000000"/>
          <w:sz w:val="28"/>
        </w:rPr>
        <w:t>;</w:t>
      </w:r>
      <w:r>
        <w:br/>
      </w:r>
      <w:r>
        <w:br/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Pr="009311F2" w:rsidRDefault="00397F33">
      <w:pPr>
        <w:spacing w:after="0"/>
        <w:rPr>
          <w:lang w:val="ru-RU"/>
        </w:rPr>
      </w:pPr>
      <w:r w:rsidRPr="009311F2">
        <w:rPr>
          <w:color w:val="000000"/>
          <w:sz w:val="28"/>
          <w:lang w:val="ru-RU"/>
        </w:rPr>
        <w:t>Р1 – общее количество незначительных нарушений;</w:t>
      </w:r>
      <w:r w:rsidRPr="009311F2">
        <w:rPr>
          <w:lang w:val="ru-RU"/>
        </w:rPr>
        <w:br/>
      </w:r>
      <w:r w:rsidRPr="009311F2">
        <w:rPr>
          <w:lang w:val="ru-RU"/>
        </w:rPr>
        <w:br/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Pr="009311F2" w:rsidRDefault="00397F33">
      <w:pPr>
        <w:spacing w:after="0"/>
        <w:rPr>
          <w:lang w:val="ru-RU"/>
        </w:rPr>
      </w:pPr>
      <w:r w:rsidRPr="009311F2">
        <w:rPr>
          <w:color w:val="000000"/>
          <w:sz w:val="28"/>
          <w:lang w:val="ru-RU"/>
        </w:rPr>
        <w:t>Р2 - количество выявленных незначительных нарушений.</w:t>
      </w:r>
      <w:r w:rsidRPr="009311F2">
        <w:rPr>
          <w:lang w:val="ru-RU"/>
        </w:rPr>
        <w:br/>
      </w:r>
    </w:p>
    <w:p w:rsidR="00BD7249" w:rsidRDefault="00397F33">
      <w:pPr>
        <w:spacing w:after="0"/>
        <w:jc w:val="both"/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Общий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показатель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степени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риска</w:t>
      </w:r>
      <w:proofErr w:type="spellEnd"/>
      <w:r>
        <w:rPr>
          <w:color w:val="000000"/>
          <w:sz w:val="28"/>
        </w:rPr>
        <w:t xml:space="preserve"> (</w:t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Pr="009311F2" w:rsidRDefault="00397F33">
      <w:pPr>
        <w:spacing w:after="0"/>
        <w:rPr>
          <w:lang w:val="ru-RU"/>
        </w:rPr>
      </w:pPr>
      <w:r w:rsidRPr="009311F2">
        <w:rPr>
          <w:color w:val="000000"/>
          <w:sz w:val="28"/>
          <w:lang w:val="ru-RU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  <w:r w:rsidRPr="009311F2">
        <w:rPr>
          <w:lang w:val="ru-RU"/>
        </w:rPr>
        <w:br/>
      </w:r>
      <w:r w:rsidRPr="009311F2">
        <w:rPr>
          <w:lang w:val="ru-RU"/>
        </w:rPr>
        <w:br/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Default="00397F33">
      <w:pPr>
        <w:spacing w:after="0"/>
      </w:pPr>
      <w:r>
        <w:rPr>
          <w:color w:val="000000"/>
          <w:sz w:val="28"/>
        </w:rPr>
        <w:t xml:space="preserve">Р = </w:t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Default="00397F33">
      <w:pPr>
        <w:spacing w:after="0"/>
      </w:pPr>
      <w:proofErr w:type="spellStart"/>
      <w:r>
        <w:rPr>
          <w:color w:val="000000"/>
          <w:sz w:val="28"/>
        </w:rPr>
        <w:t>Рз</w:t>
      </w:r>
      <w:proofErr w:type="spellEnd"/>
      <w:r>
        <w:rPr>
          <w:color w:val="000000"/>
          <w:sz w:val="28"/>
        </w:rPr>
        <w:t xml:space="preserve"> + </w:t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Default="00397F33">
      <w:pPr>
        <w:spacing w:after="0"/>
      </w:pPr>
      <w:proofErr w:type="spellStart"/>
      <w:r>
        <w:rPr>
          <w:color w:val="000000"/>
          <w:sz w:val="28"/>
        </w:rPr>
        <w:t>Рн</w:t>
      </w:r>
      <w:proofErr w:type="spellEnd"/>
      <w:r>
        <w:br/>
      </w:r>
    </w:p>
    <w:p w:rsidR="00BD7249" w:rsidRDefault="00397F3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где</w:t>
      </w:r>
      <w:proofErr w:type="spellEnd"/>
      <w:r>
        <w:rPr>
          <w:color w:val="000000"/>
          <w:sz w:val="28"/>
        </w:rPr>
        <w:t>:</w:t>
      </w:r>
    </w:p>
    <w:p w:rsidR="00BD7249" w:rsidRDefault="00397F33">
      <w:pPr>
        <w:spacing w:after="0"/>
      </w:pPr>
      <w:r>
        <w:br/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Pr="009311F2" w:rsidRDefault="00397F33">
      <w:pPr>
        <w:spacing w:after="0"/>
        <w:rPr>
          <w:lang w:val="ru-RU"/>
        </w:rPr>
      </w:pPr>
      <w:r w:rsidRPr="009311F2">
        <w:rPr>
          <w:color w:val="000000"/>
          <w:sz w:val="28"/>
          <w:lang w:val="ru-RU"/>
        </w:rPr>
        <w:t>Р - общий показатель степени риска;</w:t>
      </w:r>
      <w:r w:rsidRPr="009311F2">
        <w:rPr>
          <w:lang w:val="ru-RU"/>
        </w:rPr>
        <w:br/>
      </w:r>
      <w:r w:rsidRPr="009311F2">
        <w:rPr>
          <w:lang w:val="ru-RU"/>
        </w:rPr>
        <w:br/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Default="00397F33">
      <w:pPr>
        <w:spacing w:after="0"/>
      </w:pPr>
      <w:proofErr w:type="spellStart"/>
      <w:r>
        <w:rPr>
          <w:color w:val="000000"/>
          <w:sz w:val="28"/>
        </w:rPr>
        <w:t>Рз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показатель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значительных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нарушений</w:t>
      </w:r>
      <w:proofErr w:type="spellEnd"/>
      <w:r>
        <w:rPr>
          <w:color w:val="000000"/>
          <w:sz w:val="28"/>
        </w:rPr>
        <w:t>;</w:t>
      </w:r>
      <w:r>
        <w:br/>
      </w:r>
      <w:r>
        <w:br/>
      </w:r>
    </w:p>
    <w:p w:rsidR="00BD7249" w:rsidRDefault="00397F33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651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49" w:rsidRPr="009311F2" w:rsidRDefault="00397F33">
      <w:pPr>
        <w:spacing w:after="0"/>
        <w:rPr>
          <w:lang w:val="ru-RU"/>
        </w:rPr>
      </w:pPr>
      <w:proofErr w:type="spellStart"/>
      <w:r w:rsidRPr="009311F2">
        <w:rPr>
          <w:color w:val="000000"/>
          <w:sz w:val="28"/>
          <w:lang w:val="ru-RU"/>
        </w:rPr>
        <w:t>Рн</w:t>
      </w:r>
      <w:proofErr w:type="spellEnd"/>
      <w:r w:rsidRPr="009311F2">
        <w:rPr>
          <w:color w:val="000000"/>
          <w:sz w:val="28"/>
          <w:lang w:val="ru-RU"/>
        </w:rPr>
        <w:t xml:space="preserve"> - показатель незначительных нарушений.</w:t>
      </w:r>
      <w:r w:rsidRPr="009311F2">
        <w:rPr>
          <w:lang w:val="ru-RU"/>
        </w:rPr>
        <w:br/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По показателям степени риска проверяемый субъект (объект) относится: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311F2">
        <w:rPr>
          <w:color w:val="000000"/>
          <w:sz w:val="28"/>
          <w:lang w:val="ru-RU"/>
        </w:rPr>
        <w:t xml:space="preserve"> 1) к высокой степени риска – при показателе степени риска от 60 до 100 включительно и в отношении него проводится выборочная проверка;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2) к не отнесенной к высокой степени риска – при показателе степени риска от 0 до 60 и в отношении него не проводится выборочная проверка.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18" w:name="z18"/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10. Кратность проведения выборочной проверки не может быть чаще одного раза в год.</w:t>
      </w:r>
    </w:p>
    <w:bookmarkEnd w:id="18"/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При анализе и оценке степени риска не применяются данные субъективных критериев, ранее учтенных и использованных в отношении конкретного проверяемого субъекта (объекта).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19" w:name="z19"/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11. Списки выборочных проверок составляются с учетом приоритетности субъектов контроля с наибольшими показателями степени риска по субъективным критериям.</w:t>
      </w:r>
    </w:p>
    <w:p w:rsidR="00BD7249" w:rsidRPr="009311F2" w:rsidRDefault="00397F33">
      <w:pPr>
        <w:spacing w:after="0"/>
        <w:jc w:val="both"/>
        <w:rPr>
          <w:lang w:val="ru-RU"/>
        </w:rPr>
      </w:pPr>
      <w:bookmarkStart w:id="20" w:name="z20"/>
      <w:bookmarkEnd w:id="19"/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12. Выборочные проверки проводятся на основании списков выборочных проверок, формируемых на полугодие по результатам анализа информации и оценки годовых данных последнего отчетного периода в сравнении с годовыми данными аналогичного периода предыдущего года, утвержденных первым руководителем регулирующего государственного органа. Списки выборочных проверок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5"/>
        <w:gridCol w:w="4957"/>
        <w:gridCol w:w="2752"/>
        <w:gridCol w:w="1508"/>
        <w:gridCol w:w="45"/>
      </w:tblGrid>
      <w:tr w:rsidR="00BD7249" w:rsidRPr="009311F2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BD7249" w:rsidRPr="009311F2" w:rsidRDefault="00397F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center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Приложение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к Критериям оценки степени риска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в области использования и охраны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водного фонда Республики Казахстан,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безопасности плотин</w:t>
            </w:r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критериев</w:t>
            </w:r>
            <w:proofErr w:type="spellEnd"/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Степень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нарушения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BD7249" w:rsidRPr="009311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b/>
                <w:color w:val="000000"/>
                <w:sz w:val="20"/>
                <w:lang w:val="ru-RU"/>
              </w:rPr>
              <w:t>1. По источнику информации "Результаты предыдущих и иных проверок" (степень тяжести устанавливается при несоблюдении нижеперечисленных требований)</w:t>
            </w:r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Наличие разрешительных документов на специальное водопользование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 xml:space="preserve">Наличие </w:t>
            </w:r>
            <w:proofErr w:type="spellStart"/>
            <w:r w:rsidRPr="009311F2">
              <w:rPr>
                <w:color w:val="000000"/>
                <w:sz w:val="20"/>
                <w:lang w:val="ru-RU"/>
              </w:rPr>
              <w:t>водоохранных</w:t>
            </w:r>
            <w:proofErr w:type="spellEnd"/>
            <w:r w:rsidRPr="009311F2">
              <w:rPr>
                <w:color w:val="000000"/>
                <w:sz w:val="20"/>
                <w:lang w:val="ru-RU"/>
              </w:rPr>
              <w:t xml:space="preserve"> мероприятий по обеспечению охраны водных объектов от загрязнения, засорения и истощения водных объектов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Соблюдение установленных лимитов, разрешенных объемов и режима водопользования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Рациональное использование водных ресурсов и принятие мер к сокращению потерь воды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Выполнение Предписаний об устранений нарушений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Обеспечение безопасности водохозяйственных систем и сооружений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Не распоряжение правом пользования водным объектом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Содержание в исправном состоянии водохозяйственных сооружении и технических устройств, влияющих на состояние вод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Осуществление эксплуатации водохозяйственных сооружений, расположенных непосредственно на водных объектах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Осуществление учета использования водных ресурсов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Своевременное представление достоверной и полной информации об использовании водного объекта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 xml:space="preserve">Наличие согласований на буровые и иные работы на водных объектах или </w:t>
            </w:r>
            <w:proofErr w:type="spellStart"/>
            <w:r w:rsidRPr="009311F2">
              <w:rPr>
                <w:color w:val="000000"/>
                <w:sz w:val="20"/>
                <w:lang w:val="ru-RU"/>
              </w:rPr>
              <w:t>водоохранных</w:t>
            </w:r>
            <w:proofErr w:type="spellEnd"/>
            <w:r w:rsidRPr="009311F2">
              <w:rPr>
                <w:color w:val="000000"/>
                <w:sz w:val="20"/>
                <w:lang w:val="ru-RU"/>
              </w:rPr>
              <w:t xml:space="preserve"> зонах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Выполнение условий и требований, установленных разрешением на специальное водопользование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Проведение мероприятий по предупреждению и ликвидации вредного воздействия вод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Предоставление полной и достоверной информации в декларации безопасности плотины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Не воспрепятствование регулированию водными ресурсами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Незначительное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Соблюдение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сервитутов</w:t>
            </w:r>
            <w:proofErr w:type="spellEnd"/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Незначительное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Наличие пломб на водомерных устройствах, а также их целостность и сохранность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Незначительное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Наличие паспорта водохозяйственного сооружения, гидромелиоративных систем или устройств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Незначительное</w:t>
            </w:r>
            <w:proofErr w:type="spellEnd"/>
          </w:p>
        </w:tc>
      </w:tr>
      <w:tr w:rsidR="00BD7249" w:rsidRPr="009311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b/>
                <w:color w:val="000000"/>
                <w:sz w:val="20"/>
                <w:lang w:val="ru-RU"/>
              </w:rPr>
              <w:t>2. По источнику информации "Наличие жалоб и обращений"</w:t>
            </w:r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Наличие одной и более жалоб по факту незаконного водопользования, незаконного проведения работ без разрешительных документов и согласований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 xml:space="preserve">Наличие одной и более жалоб по факту неосуществления </w:t>
            </w:r>
            <w:proofErr w:type="spellStart"/>
            <w:r w:rsidRPr="009311F2">
              <w:rPr>
                <w:color w:val="000000"/>
                <w:sz w:val="20"/>
                <w:lang w:val="ru-RU"/>
              </w:rPr>
              <w:t>водоохранных</w:t>
            </w:r>
            <w:proofErr w:type="spellEnd"/>
            <w:r w:rsidRPr="009311F2">
              <w:rPr>
                <w:color w:val="000000"/>
                <w:sz w:val="20"/>
                <w:lang w:val="ru-RU"/>
              </w:rPr>
              <w:t xml:space="preserve"> мероприятий по предотвращению загрязнения, засорения, истощения, нанесения вреда водным объектам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Наличие одной и более жалоб по факту нерационального, нецелевого использования водных ресурсов, непринятие мер к сокращению потерь воды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Наличие одной и более жалоб по факту неосуществления содержания в исправном и надлежащем состоянии водохозяйственных сооружений и технических устройств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Наличие одной и более жалоб по факту нарушения установленных водных сервитутов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Незначительное</w:t>
            </w:r>
            <w:proofErr w:type="spellEnd"/>
          </w:p>
        </w:tc>
      </w:tr>
      <w:tr w:rsidR="00BD7249" w:rsidRPr="009311F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b/>
                <w:color w:val="000000"/>
                <w:sz w:val="20"/>
                <w:lang w:val="ru-RU"/>
              </w:rPr>
              <w:t>3. По источнику информации "Информация от государственных органов"</w:t>
            </w:r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Поступление информации по незаконному водопользованию, незаконному проведению работ без разрешительных документов и согласований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 xml:space="preserve">Поступление информации по неосуществлению </w:t>
            </w:r>
            <w:proofErr w:type="spellStart"/>
            <w:r w:rsidRPr="009311F2">
              <w:rPr>
                <w:color w:val="000000"/>
                <w:sz w:val="20"/>
                <w:lang w:val="ru-RU"/>
              </w:rPr>
              <w:t>водоохранных</w:t>
            </w:r>
            <w:proofErr w:type="spellEnd"/>
            <w:r w:rsidRPr="009311F2">
              <w:rPr>
                <w:color w:val="000000"/>
                <w:sz w:val="20"/>
                <w:lang w:val="ru-RU"/>
              </w:rPr>
              <w:t xml:space="preserve"> мероприятий по предотвращению загрязнения, засорения, истощения, нанесения вреда водным объектам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Поступление информации по нерациональному, нецелевому использованию водных ресурсов, непринятие мер к сокращению потерь воды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Поступление информации содержания в неисправном и ненадлежащем состоянии водохозяйственных сооружений и технических устройств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Поступление информации по нарушению установленных водных сервитутов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Незначительное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4. </w:t>
            </w:r>
            <w:proofErr w:type="spellStart"/>
            <w:r>
              <w:rPr>
                <w:b/>
                <w:color w:val="000000"/>
                <w:sz w:val="20"/>
              </w:rPr>
              <w:t>По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источнику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информации</w:t>
            </w:r>
            <w:proofErr w:type="spellEnd"/>
            <w:r>
              <w:rPr>
                <w:b/>
                <w:color w:val="000000"/>
                <w:sz w:val="20"/>
              </w:rPr>
              <w:t xml:space="preserve"> "</w:t>
            </w:r>
            <w:proofErr w:type="spellStart"/>
            <w:r>
              <w:rPr>
                <w:b/>
                <w:color w:val="000000"/>
                <w:sz w:val="20"/>
              </w:rPr>
              <w:t>Отчетность</w:t>
            </w:r>
            <w:proofErr w:type="spellEnd"/>
            <w:r>
              <w:rPr>
                <w:b/>
                <w:color w:val="000000"/>
                <w:sz w:val="20"/>
              </w:rPr>
              <w:t>"</w:t>
            </w:r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 w:rsidRPr="009311F2">
              <w:rPr>
                <w:color w:val="000000"/>
                <w:sz w:val="20"/>
                <w:lang w:val="ru-RU"/>
              </w:rPr>
              <w:t xml:space="preserve"> Не представление или несвоевременное представление информации об использовании водного объекта по форме, утвержденной приказом Председателя Комитета по статистике Министерства национальной экономики Республики Казахстан от 25 декабря 2014 года № 94 "Об утверждении статистической формы ведомственного статистического наблюдения "Отчет о заборе, использовании и водоотведении вод" (код 7791204, индекс 2-ТП (</w:t>
            </w:r>
            <w:proofErr w:type="spellStart"/>
            <w:r w:rsidRPr="009311F2">
              <w:rPr>
                <w:color w:val="000000"/>
                <w:sz w:val="20"/>
                <w:lang w:val="ru-RU"/>
              </w:rPr>
              <w:t>водхоз</w:t>
            </w:r>
            <w:proofErr w:type="spellEnd"/>
            <w:r w:rsidRPr="009311F2">
              <w:rPr>
                <w:color w:val="000000"/>
                <w:sz w:val="20"/>
                <w:lang w:val="ru-RU"/>
              </w:rPr>
              <w:t xml:space="preserve">), периодичность годовая)" и инструкции по ее заполнению"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10271)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BD724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5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 w:rsidRPr="009311F2">
              <w:rPr>
                <w:color w:val="000000"/>
                <w:sz w:val="20"/>
                <w:lang w:val="ru-RU"/>
              </w:rPr>
              <w:t xml:space="preserve"> Недостоверная и неполная информация об использовании водного объекта по форме, утвержденной приказом Председателя Комитета по статистике Министерства национальной экономики Республики Казахстан от 25 декабря 2014 года № 94 "Об утверждении статистической формы ведомственного статистического наблюдения "Отчет о заборе, использовании и водоотведении вод" (код 7791204, индекс 2-ТП (</w:t>
            </w:r>
            <w:proofErr w:type="spellStart"/>
            <w:r w:rsidRPr="009311F2">
              <w:rPr>
                <w:color w:val="000000"/>
                <w:sz w:val="20"/>
                <w:lang w:val="ru-RU"/>
              </w:rPr>
              <w:t>водхоз</w:t>
            </w:r>
            <w:proofErr w:type="spellEnd"/>
            <w:r w:rsidRPr="009311F2">
              <w:rPr>
                <w:color w:val="000000"/>
                <w:sz w:val="20"/>
                <w:lang w:val="ru-RU"/>
              </w:rPr>
              <w:t xml:space="preserve">), периодичность годовая)" и инструкции по ее заполнению"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10271)</w:t>
            </w:r>
          </w:p>
        </w:tc>
        <w:tc>
          <w:tcPr>
            <w:tcW w:w="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center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Приложение 2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от 25 декабря 2015 года № 19-2/1131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и Министра национальной экономики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Республики Казахстан от</w:t>
            </w:r>
            <w:r w:rsidRPr="009311F2">
              <w:rPr>
                <w:lang w:val="ru-RU"/>
              </w:rPr>
              <w:br/>
            </w:r>
            <w:r w:rsidRPr="009311F2">
              <w:rPr>
                <w:color w:val="000000"/>
                <w:sz w:val="20"/>
                <w:lang w:val="ru-RU"/>
              </w:rPr>
              <w:t>28 декабря 2015 года № 809</w:t>
            </w:r>
          </w:p>
        </w:tc>
      </w:tr>
    </w:tbl>
    <w:p w:rsidR="00BD7249" w:rsidRPr="009311F2" w:rsidRDefault="00397F33">
      <w:pPr>
        <w:spacing w:after="0"/>
        <w:rPr>
          <w:lang w:val="ru-RU"/>
        </w:rPr>
      </w:pPr>
      <w:bookmarkStart w:id="21" w:name="z24"/>
      <w:r w:rsidRPr="009311F2">
        <w:rPr>
          <w:b/>
          <w:color w:val="000000"/>
          <w:lang w:val="ru-RU"/>
        </w:rPr>
        <w:lastRenderedPageBreak/>
        <w:t xml:space="preserve"> Проверочный лист в сфере государственного контроля в области</w:t>
      </w:r>
      <w:r w:rsidRPr="009311F2">
        <w:rPr>
          <w:lang w:val="ru-RU"/>
        </w:rPr>
        <w:br/>
      </w:r>
      <w:r w:rsidRPr="009311F2">
        <w:rPr>
          <w:b/>
          <w:color w:val="000000"/>
          <w:lang w:val="ru-RU"/>
        </w:rPr>
        <w:t>использования и охраны водного фонда Республики Казахстан,</w:t>
      </w:r>
      <w:r w:rsidRPr="009311F2">
        <w:rPr>
          <w:lang w:val="ru-RU"/>
        </w:rPr>
        <w:br/>
      </w:r>
      <w:r w:rsidRPr="009311F2">
        <w:rPr>
          <w:b/>
          <w:color w:val="000000"/>
          <w:lang w:val="ru-RU"/>
        </w:rPr>
        <w:t>безопасности плотин</w:t>
      </w:r>
    </w:p>
    <w:bookmarkEnd w:id="21"/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в отношении _________________________________________________________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(наименование однородной группы проверяемых субъектов (объектов))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Государственный орган, назначивший проверку _________________________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311F2">
        <w:rPr>
          <w:color w:val="000000"/>
          <w:sz w:val="28"/>
          <w:lang w:val="ru-RU"/>
        </w:rPr>
        <w:t xml:space="preserve"> ______________________________________________________________</w:t>
      </w:r>
      <w:r w:rsidRPr="009311F2">
        <w:rPr>
          <w:color w:val="000000"/>
          <w:sz w:val="28"/>
          <w:lang w:val="ru-RU"/>
        </w:rPr>
        <w:lastRenderedPageBreak/>
        <w:t>_______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Акт о назначении проверки ___________________________________________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(№, дата)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Наименование проверяемого субъекта (объекта) ________________________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311F2">
        <w:rPr>
          <w:color w:val="000000"/>
          <w:sz w:val="28"/>
          <w:lang w:val="ru-RU"/>
        </w:rPr>
        <w:t xml:space="preserve"> ______________________________________________________________</w:t>
      </w:r>
      <w:r w:rsidRPr="009311F2">
        <w:rPr>
          <w:color w:val="000000"/>
          <w:sz w:val="28"/>
          <w:lang w:val="ru-RU"/>
        </w:rPr>
        <w:lastRenderedPageBreak/>
        <w:t>_______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(индивидуальный идентификационный номер), бизнес-идентификационный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номер проверяемого субъекта (объекта) _______________________________</w:t>
      </w:r>
    </w:p>
    <w:p w:rsidR="00BD7249" w:rsidRDefault="00397F33">
      <w:pPr>
        <w:spacing w:after="0"/>
        <w:jc w:val="both"/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нахождения</w:t>
      </w:r>
      <w:proofErr w:type="spellEnd"/>
      <w:r>
        <w:rPr>
          <w:color w:val="000000"/>
          <w:sz w:val="28"/>
        </w:rPr>
        <w:t xml:space="preserve">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2"/>
        <w:gridCol w:w="3844"/>
        <w:gridCol w:w="1074"/>
        <w:gridCol w:w="1057"/>
        <w:gridCol w:w="1289"/>
        <w:gridCol w:w="1244"/>
      </w:tblGrid>
      <w:tr w:rsidR="00BD7249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требованиям</w:t>
            </w:r>
            <w:proofErr w:type="spellEnd"/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требованиям</w:t>
            </w:r>
            <w:proofErr w:type="spellEnd"/>
          </w:p>
        </w:tc>
      </w:tr>
      <w:tr w:rsidR="00BD7249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Наличие разрешительных документов на специальное водопользование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 xml:space="preserve">Наличие </w:t>
            </w:r>
            <w:proofErr w:type="spellStart"/>
            <w:r w:rsidRPr="009311F2">
              <w:rPr>
                <w:color w:val="000000"/>
                <w:sz w:val="20"/>
                <w:lang w:val="ru-RU"/>
              </w:rPr>
              <w:t>водоохранных</w:t>
            </w:r>
            <w:proofErr w:type="spellEnd"/>
            <w:r w:rsidRPr="009311F2">
              <w:rPr>
                <w:color w:val="000000"/>
                <w:sz w:val="20"/>
                <w:lang w:val="ru-RU"/>
              </w:rPr>
              <w:t xml:space="preserve"> мероприятий по обеспечению охраны водных объектов от загрязнения, засорения и истощения водных объектов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Соблюдение установленных лимитов, разрешенных объемов и режима водопользования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Рациональное использование водных ресурсов и принятие мер к сокращению потерь воды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Выполнение Предписаний об устранений нарушений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Обеспечение безопасности водохозяйственных систем и сооружений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Не распоряжение правом пользования водным объектом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Содержание в исправном состоянии водохозяйственных сооружении и технических устройств, влияющих на состояние вод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Осуществление эксплуатации водохозяйственных сооружений, расположенных непосредственно на водных объектах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Осуществление учета использования водных ресурсов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Своевременное представление достоверной и полной информации об использовании водного объекта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 xml:space="preserve">Наличие согласований на буровые и иные работы на водных объектах или </w:t>
            </w:r>
            <w:proofErr w:type="spellStart"/>
            <w:r w:rsidRPr="009311F2">
              <w:rPr>
                <w:color w:val="000000"/>
                <w:sz w:val="20"/>
                <w:lang w:val="ru-RU"/>
              </w:rPr>
              <w:t>водоохранных</w:t>
            </w:r>
            <w:proofErr w:type="spellEnd"/>
            <w:r w:rsidRPr="009311F2">
              <w:rPr>
                <w:color w:val="000000"/>
                <w:sz w:val="20"/>
                <w:lang w:val="ru-RU"/>
              </w:rPr>
              <w:t xml:space="preserve"> зонах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Выполнение условий и требований, установленных разрешением на специальное водопользование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Проведение мероприятий по предупреждению и ликвидации вредного воздействия вод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Предоставление полной и достоверной информации в декларации безопасности плотины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Не воспрепятствование регулированию водными ресурсами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Соблюдение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сервитутов</w:t>
            </w:r>
            <w:proofErr w:type="spellEnd"/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0"/>
              <w:jc w:val="both"/>
            </w:pPr>
            <w: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0"/>
              <w:jc w:val="both"/>
            </w:pPr>
            <w: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0"/>
              <w:jc w:val="both"/>
            </w:pPr>
            <w: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0"/>
              <w:jc w:val="both"/>
            </w:pPr>
            <w: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 xml:space="preserve">Наличие пломб на водомерных устройствах, а также их </w:t>
            </w:r>
            <w:proofErr w:type="spellStart"/>
            <w:r w:rsidRPr="009311F2">
              <w:rPr>
                <w:color w:val="000000"/>
                <w:sz w:val="20"/>
                <w:lang w:val="ru-RU"/>
              </w:rPr>
              <w:t>целосность</w:t>
            </w:r>
            <w:proofErr w:type="spellEnd"/>
            <w:r w:rsidRPr="009311F2">
              <w:rPr>
                <w:color w:val="000000"/>
                <w:sz w:val="20"/>
                <w:lang w:val="ru-RU"/>
              </w:rPr>
              <w:t xml:space="preserve"> и сохранность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  <w:tr w:rsidR="00BD7249" w:rsidRPr="009311F2">
        <w:trPr>
          <w:trHeight w:val="30"/>
          <w:tblCellSpacing w:w="0" w:type="auto"/>
        </w:trPr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Default="00397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5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20"/>
              <w:ind w:left="20"/>
              <w:jc w:val="both"/>
              <w:rPr>
                <w:lang w:val="ru-RU"/>
              </w:rPr>
            </w:pPr>
            <w:r w:rsidRPr="009311F2">
              <w:rPr>
                <w:color w:val="000000"/>
                <w:sz w:val="20"/>
                <w:lang w:val="ru-RU"/>
              </w:rPr>
              <w:t>Наличие паспорта водохозяйственного сооружения, гидромелиоративных систем или устройств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249" w:rsidRPr="009311F2" w:rsidRDefault="00397F33">
            <w:pPr>
              <w:spacing w:after="0"/>
              <w:jc w:val="both"/>
              <w:rPr>
                <w:lang w:val="ru-RU"/>
              </w:rPr>
            </w:pPr>
            <w:r w:rsidRPr="009311F2">
              <w:rPr>
                <w:lang w:val="ru-RU"/>
              </w:rPr>
              <w:br/>
            </w:r>
          </w:p>
        </w:tc>
      </w:tr>
    </w:tbl>
    <w:p w:rsidR="00BD7249" w:rsidRPr="009311F2" w:rsidRDefault="00397F33">
      <w:pPr>
        <w:spacing w:after="0"/>
        <w:rPr>
          <w:lang w:val="ru-RU"/>
        </w:rPr>
      </w:pPr>
      <w:r w:rsidRPr="009311F2">
        <w:rPr>
          <w:lang w:val="ru-RU"/>
        </w:rPr>
        <w:lastRenderedPageBreak/>
        <w:br/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Должностное (</w:t>
      </w:r>
      <w:proofErr w:type="spellStart"/>
      <w:r w:rsidRPr="009311F2">
        <w:rPr>
          <w:color w:val="000000"/>
          <w:sz w:val="28"/>
          <w:lang w:val="ru-RU"/>
        </w:rPr>
        <w:t>ые</w:t>
      </w:r>
      <w:proofErr w:type="spellEnd"/>
      <w:r w:rsidRPr="009311F2">
        <w:rPr>
          <w:color w:val="000000"/>
          <w:sz w:val="28"/>
          <w:lang w:val="ru-RU"/>
        </w:rPr>
        <w:t>) лицо (а) органа: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___________________________________________________ _________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Фамилия, имя, отчество (при его наличии), должность (подпись)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___________________________________________________ _________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Фамилия, имя, отчество (при его наличии), должность (подпись)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Руководитель проверяемого субъекта: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___________________________________________________ _________</w:t>
      </w:r>
    </w:p>
    <w:p w:rsidR="00BD7249" w:rsidRPr="009311F2" w:rsidRDefault="00397F3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1F2">
        <w:rPr>
          <w:color w:val="000000"/>
          <w:sz w:val="28"/>
          <w:lang w:val="ru-RU"/>
        </w:rPr>
        <w:t xml:space="preserve"> Фамилия, имя, отчество (при его наличии), должность (подпись)</w:t>
      </w:r>
    </w:p>
    <w:p w:rsidR="00BD7249" w:rsidRPr="009311F2" w:rsidRDefault="00397F33">
      <w:pPr>
        <w:spacing w:after="0"/>
        <w:rPr>
          <w:lang w:val="ru-RU"/>
        </w:rPr>
      </w:pPr>
      <w:r w:rsidRPr="009311F2">
        <w:rPr>
          <w:lang w:val="ru-RU"/>
        </w:rPr>
        <w:br/>
      </w:r>
      <w:r w:rsidRPr="009311F2">
        <w:rPr>
          <w:lang w:val="ru-RU"/>
        </w:rPr>
        <w:br/>
      </w:r>
    </w:p>
    <w:p w:rsidR="00BD7249" w:rsidRPr="009311F2" w:rsidRDefault="00397F33">
      <w:pPr>
        <w:pStyle w:val="disclaimer"/>
        <w:rPr>
          <w:lang w:val="ru-RU"/>
        </w:rPr>
      </w:pPr>
      <w:r w:rsidRPr="009311F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D7249" w:rsidRPr="009311F2">
      <w:headerReference w:type="default" r:id="rId8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33" w:rsidRDefault="00397F33">
      <w:pPr>
        <w:spacing w:after="0" w:line="240" w:lineRule="auto"/>
      </w:pPr>
      <w:r>
        <w:separator/>
      </w:r>
    </w:p>
  </w:endnote>
  <w:endnote w:type="continuationSeparator" w:id="0">
    <w:p w:rsidR="00397F33" w:rsidRDefault="0039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33" w:rsidRDefault="00397F33">
      <w:pPr>
        <w:spacing w:after="0" w:line="240" w:lineRule="auto"/>
      </w:pPr>
      <w:r>
        <w:separator/>
      </w:r>
    </w:p>
  </w:footnote>
  <w:footnote w:type="continuationSeparator" w:id="0">
    <w:p w:rsidR="00397F33" w:rsidRDefault="0039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30" w:rsidRDefault="009311F2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21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14BF36"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49"/>
    <w:rsid w:val="00397F33"/>
    <w:rsid w:val="004C5A50"/>
    <w:rsid w:val="009311F2"/>
    <w:rsid w:val="00B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D99EB8-4807-48FC-BFA0-34A0F785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Гульсара Ескендирова</dc:creator>
  <cp:lastModifiedBy>Гульсара Ескендирова</cp:lastModifiedBy>
  <cp:revision>2</cp:revision>
  <dcterms:created xsi:type="dcterms:W3CDTF">2022-06-21T10:50:00Z</dcterms:created>
  <dcterms:modified xsi:type="dcterms:W3CDTF">2022-06-21T10:50:00Z</dcterms:modified>
</cp:coreProperties>
</file>