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sz w:val="28"/>
          <w:szCs w:val="28"/>
        </w:rPr>
      </w:pPr>
    </w:p>
    <w:tbl>
      <w:tblPr>
        <w:tblW w:w="93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39"/>
        <w:gridCol w:w="2240"/>
        <w:gridCol w:w="2115"/>
        <w:gridCol w:w="2736"/>
      </w:tblGrid>
      <w:tr>
        <w:tblPrEx>
          <w:shd w:val="clear" w:color="auto" w:fill="d0ddef"/>
        </w:tblPrEx>
        <w:trPr>
          <w:trHeight w:val="2411" w:hRule="atLeast"/>
        </w:trPr>
        <w:tc>
          <w:tcPr>
            <w:tcW w:type="dxa" w:w="2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drawing>
                <wp:inline distT="0" distB="0" distL="0" distR="0">
                  <wp:extent cx="971550" cy="1001658"/>
                  <wp:effectExtent l="0" t="0" r="0" b="0"/>
                  <wp:docPr id="1073741825" name="officeArt object" descr="D:\НДСОС 2022\Орхусс и совещания\19-20 июля\Лого\992px-Герб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D:\НДСОС 2022\Орхусс и совещания\19-20 июля\Лого\992px-Герб_PNG.png" descr="D:\НДСОС 2022\Орхусс и совещания\19-20 июля\Лого\992px-Герб_P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016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drawing>
                <wp:inline distT="0" distB="0" distL="0" distR="0">
                  <wp:extent cx="1422139" cy="483528"/>
                  <wp:effectExtent l="0" t="0" r="0" b="0"/>
                  <wp:docPr id="1073741826" name="officeArt object" descr="C:\Users\t.test\Desktop\К\Приглашение\1\утвержденный1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t.test\Desktop\К\Приглашение\1\утвержденный1-1.jpg" descr="C:\Users\t.test\Desktop\К\Приглашение\1\утвержденный1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39" cy="4835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74" w:hanging="174"/>
              <w:jc w:val="center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drawing>
                <wp:inline distT="0" distB="0" distL="0" distR="0">
                  <wp:extent cx="1291590" cy="1228725"/>
                  <wp:effectExtent l="0" t="0" r="0" b="0"/>
                  <wp:docPr id="1073741827" name="officeArt object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28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34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drawing>
                <wp:inline distT="0" distB="0" distL="0" distR="0">
                  <wp:extent cx="1343008" cy="703282"/>
                  <wp:effectExtent l="0" t="0" r="0" b="0"/>
                  <wp:docPr id="1073741828" name="officeArt object" descr="D:\НДСОС 2022\Орхусс и совещания\19-20 июля\Лого\WhatsApp Image 2022-06-08 at 12.24.0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D:\НДСОС 2022\Орхусс и совещания\19-20 июля\Лого\WhatsApp Image 2022-06-08 at 12.24.08.jpeg" descr="D:\НДСОС 2022\Орхусс и совещания\19-20 июля\Лого\WhatsApp Image 2022-06-08 at 12.24.08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0" t="4864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08" cy="7032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36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По умолчанию"/>
              <w:bidi w:val="0"/>
            </w:pPr>
          </w:p>
          <w:p>
            <w:pPr>
              <w:pStyle w:val="По умолчанию"/>
              <w:bidi w:val="0"/>
            </w:pPr>
          </w:p>
          <w:p>
            <w:pPr>
              <w:pStyle w:val="По умолчанию"/>
              <w:bidi w:val="0"/>
            </w:pPr>
          </w:p>
          <w:p>
            <w:pPr>
              <w:pStyle w:val="По умолчанию"/>
              <w:bidi w:val="0"/>
            </w:pPr>
          </w:p>
          <w:p>
            <w:pPr>
              <w:pStyle w:val="По умолчанию"/>
              <w:bidi w:val="0"/>
            </w:pPr>
            <w:r>
              <w:drawing>
                <wp:inline distT="0" distB="0" distL="0" distR="0">
                  <wp:extent cx="1737551" cy="412669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551" cy="4126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 Spacing"/>
        <w:widowControl w:val="0"/>
        <w:rPr>
          <w:sz w:val="28"/>
          <w:szCs w:val="28"/>
        </w:rPr>
      </w:pPr>
    </w:p>
    <w:p>
      <w:pPr>
        <w:pStyle w:val="No Spacing"/>
        <w:ind w:firstLine="567"/>
        <w:jc w:val="center"/>
        <w:rPr>
          <w:sz w:val="28"/>
          <w:szCs w:val="28"/>
        </w:rPr>
      </w:pPr>
    </w:p>
    <w:p>
      <w:pPr>
        <w:pStyle w:val="No Spacing"/>
        <w:ind w:firstLine="567"/>
        <w:jc w:val="center"/>
        <w:rPr>
          <w:sz w:val="28"/>
          <w:szCs w:val="28"/>
        </w:rPr>
      </w:pPr>
    </w:p>
    <w:p>
      <w:pPr>
        <w:pStyle w:val="p1_mr_css_attr"/>
        <w:shd w:val="clear" w:color="auto" w:fill="ffffff"/>
        <w:spacing w:before="0"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Пресс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релиз</w:t>
      </w:r>
    </w:p>
    <w:p>
      <w:pPr>
        <w:pStyle w:val="p1_mr_css_attr"/>
        <w:shd w:val="clear" w:color="auto" w:fill="ffffff"/>
        <w:spacing w:before="0" w:after="0"/>
        <w:jc w:val="center"/>
        <w:rPr>
          <w:b w:val="1"/>
          <w:bCs w:val="1"/>
          <w:sz w:val="28"/>
          <w:szCs w:val="28"/>
        </w:rPr>
      </w:pPr>
    </w:p>
    <w:p>
      <w:pPr>
        <w:pStyle w:val="p2_mr_css_attr"/>
        <w:shd w:val="clear" w:color="auto" w:fill="ffffff"/>
        <w:spacing w:before="0" w:after="0"/>
        <w:rPr>
          <w:rFonts w:ascii="Arial" w:cs="Arial" w:hAnsi="Arial" w:eastAsia="Arial"/>
          <w:color w:val="2c2d2e"/>
          <w:sz w:val="23"/>
          <w:szCs w:val="23"/>
          <w:u w:color="2c2d2e"/>
        </w:rPr>
      </w:pPr>
    </w:p>
    <w:p>
      <w:pPr>
        <w:pStyle w:val="Normal.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2022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жылдың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19-20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шілдесінде Орал қаласында Орхус орталықтары мен ҮЕҰ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мен Жайық өзенін қорғау күніне орайластырылған жыл сайынғы кездесу өткізіледі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Экология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геология және табиғи ресурстар Вице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министрі Зүлфия Сүлейменова «Қоршаған ортаны қорғау және трансшекаралық өзендер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оның ішінде Жайық өзені бойынша ақпаратқа қол жеткізуді қамтамасыз ету» тақырыбында жыл сайынғы Орхус кездесуін ашты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Іс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шара ЕҚЫҰ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ның Нұр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Сұлтандағы Бағдарламалар офисінің қолдауымен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Қазақстан Республикасы Экология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геология және табиғи ресурстар министрлігінің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Батыс Қазақстан облысының әкімдігімен және «Біздің Жайық» экологиялық қозғалысы» қоғамдық бірлестігімен бірлесіп өткізіледі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Ол өзінің құттықтау сөзінде аталған іс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шараны өткізудің маңыздылығын атап өте келе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қатысушыларды Жайық өзенін қорғау күнімен құттықтап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барлық қатысушыларға табысты жұмыс тіледі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Іс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шара шеңберінде трансшекаралық өзендердің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оның ішінде Жайық өзенінің проблемалары және жұртшылықтың қоршаған ортаны қорғау бойынша ақпаратқа қол жеткізуін қамтамасыз етуі талқыланады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Сондай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ақ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жастардың Жайық өзені бойынша жыл сайынғы экспедицияға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«Жайық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таза жағалау» науқанына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балық аулауға қатысуы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талқыланатын тақырып бойынша жастар алаңы сияқты іс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шаралар қарастырылған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Іс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шараға орталық және жергілікті атқарушы органдардың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аймақтық Орхус орталықтарының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үкіметтік емес ұйымдардың өкілдері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табиғат пайдаланушылар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ұлттық және халықаралық сарапшылар мен экобелсенділер қатысады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Іс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шара мемлекеттік органдардың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табиғат пайдаланушылардың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Орхус орталықтарының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ҮЕҰ мен жастардың белсенді өзара іс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қимылы үшін жақсы алаң ретінде қызмет ететін болады</w:t>
      </w:r>
      <w:r>
        <w:rPr>
          <w:sz w:val="28"/>
          <w:szCs w:val="28"/>
          <w:rtl w:val="0"/>
          <w:lang w:val="ru-RU"/>
        </w:rPr>
        <w:t xml:space="preserve">. </w:t>
      </w:r>
    </w:p>
    <w:sectPr>
      <w:headerReference w:type="default" r:id="rId9"/>
      <w:footerReference w:type="default" r:id="rId10"/>
      <w:pgSz w:w="11900" w:h="16840" w:orient="portrait"/>
      <w:pgMar w:top="567" w:right="1134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1_mr_css_attr">
    <w:name w:val="p1_mr_css_attr"/>
    <w:next w:val="p1_mr_css_att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p2_mr_css_attr">
    <w:name w:val="p2_mr_css_attr"/>
    <w:next w:val="p2_mr_css_att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