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AC" w:rsidRDefault="00BB115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AC" w:rsidRPr="0055559A" w:rsidRDefault="00BB115B">
      <w:pPr>
        <w:spacing w:after="0"/>
        <w:rPr>
          <w:lang w:val="ru-RU"/>
        </w:rPr>
      </w:pPr>
      <w:r w:rsidRPr="0055559A">
        <w:rPr>
          <w:b/>
          <w:color w:val="000000"/>
          <w:sz w:val="28"/>
          <w:lang w:val="ru-RU"/>
        </w:rPr>
        <w:t>Об утверждении Правил определения целевых показателей качества окружающей среды</w:t>
      </w:r>
    </w:p>
    <w:p w:rsidR="00E108AC" w:rsidRPr="0055559A" w:rsidRDefault="00BB115B">
      <w:pPr>
        <w:spacing w:after="0"/>
        <w:rPr>
          <w:lang w:val="ru-RU"/>
        </w:rPr>
      </w:pPr>
      <w:r w:rsidRPr="0055559A">
        <w:rPr>
          <w:b/>
          <w:i/>
          <w:color w:val="888888"/>
          <w:lang w:val="ru-RU"/>
        </w:rPr>
        <w:t>Утративший силу</w:t>
      </w:r>
    </w:p>
    <w:p w:rsidR="00E108AC" w:rsidRPr="0055559A" w:rsidRDefault="00BB115B">
      <w:pPr>
        <w:spacing w:after="0"/>
        <w:jc w:val="both"/>
        <w:rPr>
          <w:lang w:val="ru-RU"/>
        </w:rPr>
      </w:pPr>
      <w:r w:rsidRPr="0055559A">
        <w:rPr>
          <w:color w:val="000000"/>
          <w:sz w:val="28"/>
          <w:lang w:val="ru-RU"/>
        </w:rPr>
        <w:t xml:space="preserve">Приказ Министра энергетики Республики Казахстан от 26 февраля 2015 года № 145. Зарегистрирован в Министерстве юстиции Республики Казахстан 29 апреля 2015 </w:t>
      </w:r>
      <w:r w:rsidRPr="0055559A">
        <w:rPr>
          <w:color w:val="000000"/>
          <w:sz w:val="28"/>
          <w:lang w:val="ru-RU"/>
        </w:rPr>
        <w:t xml:space="preserve">года № 10869. </w:t>
      </w:r>
      <w:bookmarkStart w:id="0" w:name="_GoBack"/>
      <w:r w:rsidRPr="0055559A">
        <w:rPr>
          <w:color w:val="000000"/>
          <w:sz w:val="28"/>
          <w:lang w:val="ru-RU"/>
        </w:rPr>
        <w:t xml:space="preserve">Утратил силу приказом </w:t>
      </w:r>
      <w:proofErr w:type="spellStart"/>
      <w:r w:rsidRPr="0055559A">
        <w:rPr>
          <w:color w:val="000000"/>
          <w:sz w:val="28"/>
          <w:lang w:val="ru-RU"/>
        </w:rPr>
        <w:t>и.о</w:t>
      </w:r>
      <w:proofErr w:type="spellEnd"/>
      <w:r w:rsidRPr="0055559A">
        <w:rPr>
          <w:color w:val="000000"/>
          <w:sz w:val="28"/>
          <w:lang w:val="ru-RU"/>
        </w:rPr>
        <w:t>. Министра экологии, геологии и природных ресурсов Республики Казахстан от 19 июля 2021 года № 257.</w:t>
      </w:r>
    </w:p>
    <w:bookmarkEnd w:id="0"/>
    <w:p w:rsidR="00E108AC" w:rsidRDefault="00BB115B">
      <w:pPr>
        <w:spacing w:after="0"/>
        <w:jc w:val="both"/>
      </w:pPr>
      <w:r w:rsidRPr="0055559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559A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19.07.2021 № 257 (</w:t>
      </w:r>
      <w:proofErr w:type="spellStart"/>
      <w:r>
        <w:rPr>
          <w:color w:val="FF0000"/>
          <w:sz w:val="28"/>
        </w:rPr>
        <w:t>вв</w:t>
      </w:r>
      <w:r>
        <w:rPr>
          <w:color w:val="FF0000"/>
          <w:sz w:val="28"/>
        </w:rPr>
        <w:t>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55559A">
        <w:rPr>
          <w:color w:val="000000"/>
          <w:sz w:val="28"/>
          <w:lang w:val="ru-RU"/>
        </w:rPr>
        <w:t xml:space="preserve">В соответствии с подпунктом 30) статьи 17 Экологического кодекса Республики Казахстан от 9 января 2007 года, </w:t>
      </w:r>
      <w:r w:rsidRPr="0055559A">
        <w:rPr>
          <w:b/>
          <w:color w:val="000000"/>
          <w:sz w:val="28"/>
          <w:lang w:val="ru-RU"/>
        </w:rPr>
        <w:t>ПРИКАЗЫВАЮ: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" w:name="z2"/>
      <w:bookmarkEnd w:id="1"/>
      <w:r w:rsidRPr="005555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1. Утвердить пр</w:t>
      </w:r>
      <w:r w:rsidRPr="0055559A">
        <w:rPr>
          <w:color w:val="000000"/>
          <w:sz w:val="28"/>
          <w:lang w:val="ru-RU"/>
        </w:rPr>
        <w:t>илагаемые Правила определения целевых показателей качества окружающей среды.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2. Департаменту экологического мониторинга и информации Министерства энергетики Республики Казахстан обеспечить: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1) государственную регистрацию настоящего приказа в Ми</w:t>
      </w:r>
      <w:r w:rsidRPr="0055559A">
        <w:rPr>
          <w:color w:val="000000"/>
          <w:sz w:val="28"/>
          <w:lang w:val="ru-RU"/>
        </w:rPr>
        <w:t>нистерстве юстиции Республики Казахстан;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</w:t>
      </w:r>
      <w:r w:rsidRPr="0055559A">
        <w:rPr>
          <w:color w:val="000000"/>
          <w:sz w:val="28"/>
          <w:lang w:val="ru-RU"/>
        </w:rPr>
        <w:t xml:space="preserve"> изданиях и информационно-правовой системе "</w:t>
      </w:r>
      <w:proofErr w:type="spellStart"/>
      <w:r w:rsidRPr="0055559A">
        <w:rPr>
          <w:color w:val="000000"/>
          <w:sz w:val="28"/>
          <w:lang w:val="ru-RU"/>
        </w:rPr>
        <w:t>Әділет</w:t>
      </w:r>
      <w:proofErr w:type="spellEnd"/>
      <w:r w:rsidRPr="0055559A">
        <w:rPr>
          <w:color w:val="000000"/>
          <w:sz w:val="28"/>
          <w:lang w:val="ru-RU"/>
        </w:rPr>
        <w:t>";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3) размещение настоящего приказа на официальном </w:t>
      </w:r>
      <w:proofErr w:type="spellStart"/>
      <w:r w:rsidRPr="0055559A">
        <w:rPr>
          <w:color w:val="000000"/>
          <w:sz w:val="28"/>
          <w:lang w:val="ru-RU"/>
        </w:rPr>
        <w:t>интернет-ресурсе</w:t>
      </w:r>
      <w:proofErr w:type="spellEnd"/>
      <w:r w:rsidRPr="0055559A">
        <w:rPr>
          <w:color w:val="000000"/>
          <w:sz w:val="28"/>
          <w:lang w:val="ru-RU"/>
        </w:rPr>
        <w:t xml:space="preserve"> Министерства энергетики Республики Казахстан и на </w:t>
      </w:r>
      <w:proofErr w:type="spellStart"/>
      <w:r w:rsidRPr="0055559A">
        <w:rPr>
          <w:color w:val="000000"/>
          <w:sz w:val="28"/>
          <w:lang w:val="ru-RU"/>
        </w:rPr>
        <w:t>интранет</w:t>
      </w:r>
      <w:proofErr w:type="spellEnd"/>
      <w:r w:rsidRPr="0055559A">
        <w:rPr>
          <w:color w:val="000000"/>
          <w:sz w:val="28"/>
          <w:lang w:val="ru-RU"/>
        </w:rPr>
        <w:t>-портале государственных органов;</w:t>
      </w:r>
    </w:p>
    <w:bookmarkEnd w:id="6"/>
    <w:p w:rsidR="00E108AC" w:rsidRPr="0055559A" w:rsidRDefault="00BB115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4) в течение десяти рабочих дней п</w:t>
      </w:r>
      <w:r w:rsidRPr="0055559A">
        <w:rPr>
          <w:color w:val="000000"/>
          <w:sz w:val="28"/>
          <w:lang w:val="ru-RU"/>
        </w:rPr>
        <w:t>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мероприятии, предусмотренных подпунктами 2) и</w:t>
      </w:r>
      <w:r w:rsidRPr="0055559A">
        <w:rPr>
          <w:color w:val="000000"/>
          <w:sz w:val="28"/>
          <w:lang w:val="ru-RU"/>
        </w:rPr>
        <w:t xml:space="preserve"> 3) настоящего пункта.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7" w:name="z7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энергетики Республики Казахстан.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lastRenderedPageBreak/>
        <w:t>     </w:t>
      </w:r>
      <w:r w:rsidRPr="0055559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его первого официаль</w:t>
      </w:r>
      <w:r w:rsidRPr="0055559A">
        <w:rPr>
          <w:color w:val="000000"/>
          <w:sz w:val="28"/>
          <w:lang w:val="ru-RU"/>
        </w:rPr>
        <w:t>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9"/>
        <w:gridCol w:w="6828"/>
      </w:tblGrid>
      <w:tr w:rsidR="00E108AC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108AC" w:rsidRDefault="00BB1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8AC" w:rsidRDefault="00BB1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В. </w:t>
            </w:r>
            <w:proofErr w:type="spellStart"/>
            <w:r>
              <w:rPr>
                <w:color w:val="000000"/>
                <w:sz w:val="20"/>
              </w:rPr>
              <w:t>Школьник</w:t>
            </w:r>
            <w:proofErr w:type="spellEnd"/>
          </w:p>
        </w:tc>
      </w:tr>
    </w:tbl>
    <w:p w:rsidR="00E108AC" w:rsidRDefault="00BB115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"СОГЛАСОВАН"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здравохранения</w:t>
      </w:r>
      <w:proofErr w:type="spellEnd"/>
      <w:r>
        <w:rPr>
          <w:color w:val="000000"/>
          <w:sz w:val="28"/>
        </w:rPr>
        <w:t xml:space="preserve"> и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социального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___________Т. </w:t>
      </w:r>
      <w:proofErr w:type="spellStart"/>
      <w:r>
        <w:rPr>
          <w:color w:val="000000"/>
          <w:sz w:val="28"/>
        </w:rPr>
        <w:t>Дуйсенова</w:t>
      </w:r>
      <w:proofErr w:type="spellEnd"/>
      <w:r>
        <w:rPr>
          <w:color w:val="000000"/>
          <w:sz w:val="28"/>
        </w:rPr>
        <w:t xml:space="preserve">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от</w:t>
      </w:r>
      <w:proofErr w:type="spellEnd"/>
      <w:proofErr w:type="gramEnd"/>
      <w:r>
        <w:rPr>
          <w:color w:val="000000"/>
          <w:sz w:val="28"/>
        </w:rPr>
        <w:t xml:space="preserve"> "__" _______ 2015 </w:t>
      </w:r>
      <w:proofErr w:type="spellStart"/>
      <w:r>
        <w:rPr>
          <w:color w:val="000000"/>
          <w:sz w:val="28"/>
        </w:rPr>
        <w:t>год</w:t>
      </w:r>
      <w:proofErr w:type="spellEnd"/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       ___________Е. </w:t>
      </w:r>
      <w:proofErr w:type="spellStart"/>
      <w:r>
        <w:rPr>
          <w:color w:val="000000"/>
          <w:sz w:val="28"/>
        </w:rPr>
        <w:t>Досаев</w:t>
      </w:r>
      <w:proofErr w:type="spellEnd"/>
      <w:r>
        <w:rPr>
          <w:color w:val="000000"/>
          <w:sz w:val="28"/>
        </w:rPr>
        <w:t xml:space="preserve">   </w:t>
      </w:r>
    </w:p>
    <w:p w:rsidR="00E108AC" w:rsidRDefault="00BB11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от</w:t>
      </w:r>
      <w:proofErr w:type="spellEnd"/>
      <w:proofErr w:type="gramEnd"/>
      <w:r>
        <w:rPr>
          <w:color w:val="000000"/>
          <w:sz w:val="28"/>
        </w:rPr>
        <w:t xml:space="preserve"> "__" _______ 2015 </w:t>
      </w:r>
      <w:proofErr w:type="spellStart"/>
      <w:r>
        <w:rPr>
          <w:color w:val="000000"/>
          <w:sz w:val="28"/>
        </w:rPr>
        <w:t>год</w:t>
      </w:r>
      <w:proofErr w:type="spellEnd"/>
    </w:p>
    <w:p w:rsidR="00E108AC" w:rsidRDefault="00BB115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108AC" w:rsidRPr="005555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8AC" w:rsidRDefault="00BB115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8AC" w:rsidRPr="0055559A" w:rsidRDefault="00BB115B">
            <w:pPr>
              <w:spacing w:after="0"/>
              <w:jc w:val="center"/>
              <w:rPr>
                <w:lang w:val="ru-RU"/>
              </w:rPr>
            </w:pPr>
            <w:r w:rsidRPr="0055559A">
              <w:rPr>
                <w:color w:val="000000"/>
                <w:sz w:val="20"/>
                <w:lang w:val="ru-RU"/>
              </w:rPr>
              <w:t>Утверждены приказом</w:t>
            </w:r>
            <w:r w:rsidRPr="0055559A">
              <w:rPr>
                <w:lang w:val="ru-RU"/>
              </w:rPr>
              <w:br/>
            </w:r>
            <w:r w:rsidRPr="0055559A">
              <w:rPr>
                <w:color w:val="000000"/>
                <w:sz w:val="20"/>
                <w:lang w:val="ru-RU"/>
              </w:rPr>
              <w:t>Министра энергетики</w:t>
            </w:r>
            <w:r w:rsidRPr="0055559A">
              <w:rPr>
                <w:lang w:val="ru-RU"/>
              </w:rPr>
              <w:br/>
            </w:r>
            <w:r w:rsidRPr="0055559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5559A">
              <w:rPr>
                <w:lang w:val="ru-RU"/>
              </w:rPr>
              <w:br/>
            </w:r>
            <w:r w:rsidRPr="0055559A">
              <w:rPr>
                <w:color w:val="000000"/>
                <w:sz w:val="20"/>
                <w:lang w:val="ru-RU"/>
              </w:rPr>
              <w:t>от 26 февраля 2015 года № 145</w:t>
            </w:r>
          </w:p>
        </w:tc>
      </w:tr>
    </w:tbl>
    <w:p w:rsidR="00E108AC" w:rsidRPr="0055559A" w:rsidRDefault="00BB115B">
      <w:pPr>
        <w:spacing w:after="0"/>
        <w:rPr>
          <w:lang w:val="ru-RU"/>
        </w:rPr>
      </w:pPr>
      <w:bookmarkStart w:id="9" w:name="z10"/>
      <w:r w:rsidRPr="0055559A">
        <w:rPr>
          <w:b/>
          <w:color w:val="000000"/>
          <w:lang w:val="ru-RU"/>
        </w:rPr>
        <w:lastRenderedPageBreak/>
        <w:t xml:space="preserve"> Правила определения целев</w:t>
      </w:r>
      <w:r w:rsidRPr="0055559A">
        <w:rPr>
          <w:b/>
          <w:color w:val="000000"/>
          <w:lang w:val="ru-RU"/>
        </w:rPr>
        <w:t>ых показателей качества окружающей среды</w:t>
      </w:r>
    </w:p>
    <w:bookmarkEnd w:id="9"/>
    <w:p w:rsidR="00E108AC" w:rsidRDefault="00BB115B">
      <w:pPr>
        <w:spacing w:after="0"/>
        <w:jc w:val="both"/>
      </w:pPr>
      <w:r w:rsidRPr="0055559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5559A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19.05.2020 № 111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E108AC" w:rsidRPr="0055559A" w:rsidRDefault="00BB115B">
      <w:pPr>
        <w:spacing w:after="0"/>
        <w:rPr>
          <w:lang w:val="ru-RU"/>
        </w:rPr>
      </w:pPr>
      <w:bookmarkStart w:id="10" w:name="z11"/>
      <w:r>
        <w:rPr>
          <w:b/>
          <w:color w:val="000000"/>
        </w:rPr>
        <w:t xml:space="preserve"> </w:t>
      </w:r>
      <w:r w:rsidRPr="0055559A">
        <w:rPr>
          <w:b/>
          <w:color w:val="000000"/>
          <w:lang w:val="ru-RU"/>
        </w:rPr>
        <w:t>Глава 1. Общие положения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1. Настоящие Правила определения целевых показателей качества окружающей среды (далее – Правила) разработаны в соо</w:t>
      </w:r>
      <w:r w:rsidRPr="0055559A">
        <w:rPr>
          <w:color w:val="000000"/>
          <w:sz w:val="28"/>
          <w:lang w:val="ru-RU"/>
        </w:rPr>
        <w:t>тветствии с подпунктом 30)</w:t>
      </w:r>
      <w:r>
        <w:rPr>
          <w:color w:val="000000"/>
          <w:sz w:val="28"/>
        </w:rPr>
        <w:t> </w:t>
      </w:r>
      <w:r w:rsidRPr="0055559A">
        <w:rPr>
          <w:color w:val="000000"/>
          <w:sz w:val="28"/>
          <w:lang w:val="ru-RU"/>
        </w:rPr>
        <w:t>статьи 17 Экологического кодекса Республики Казахстан от 9 января 2007 года и устанавливают порядок определения целевых показателей качества окружающей среды.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2. Целевые показатели качества окружающей среды устанавливаются </w:t>
      </w:r>
      <w:r w:rsidRPr="0055559A">
        <w:rPr>
          <w:color w:val="000000"/>
          <w:sz w:val="28"/>
          <w:lang w:val="ru-RU"/>
        </w:rPr>
        <w:t>для отдельных территорий и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3. Основанием для разработки целевых показателей </w:t>
      </w:r>
      <w:r w:rsidRPr="0055559A">
        <w:rPr>
          <w:color w:val="000000"/>
          <w:sz w:val="28"/>
          <w:lang w:val="ru-RU"/>
        </w:rPr>
        <w:t>качества окружающей среды являются: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1) анализ экологической ситуации в регионе;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2) перспективы существенного изменения производительных сил;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3) планы по формированию рекреационных зон, сельскохозяйственных объектов с дополнительными </w:t>
      </w:r>
      <w:r w:rsidRPr="0055559A">
        <w:rPr>
          <w:color w:val="000000"/>
          <w:sz w:val="28"/>
          <w:lang w:val="ru-RU"/>
        </w:rPr>
        <w:t>требованиями к качеству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4) информация о превышении фоновых концентраций на объектах окружающей среды над принятыми нормативами качества окружающей среды.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4. Целевые показатели качества окружающей среды разрабатываются уполномо</w:t>
      </w:r>
      <w:r w:rsidRPr="0055559A">
        <w:rPr>
          <w:color w:val="000000"/>
          <w:sz w:val="28"/>
          <w:lang w:val="ru-RU"/>
        </w:rPr>
        <w:t>ченным органом в области охраны окружающей среды и местными исполнительными органами областей (городов республиканского значения, столицы) в пределах их компетенции.</w:t>
      </w:r>
    </w:p>
    <w:p w:rsidR="00E108AC" w:rsidRPr="0055559A" w:rsidRDefault="00BB115B">
      <w:pPr>
        <w:spacing w:after="0"/>
        <w:rPr>
          <w:lang w:val="ru-RU"/>
        </w:rPr>
      </w:pPr>
      <w:bookmarkStart w:id="19" w:name="z20"/>
      <w:bookmarkEnd w:id="18"/>
      <w:r w:rsidRPr="0055559A">
        <w:rPr>
          <w:b/>
          <w:color w:val="000000"/>
          <w:lang w:val="ru-RU"/>
        </w:rPr>
        <w:t xml:space="preserve"> Глава 2. Порядок определения целевых показателей качества окружающей среды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5. Разли</w:t>
      </w:r>
      <w:r w:rsidRPr="0055559A">
        <w:rPr>
          <w:color w:val="000000"/>
          <w:sz w:val="28"/>
          <w:lang w:val="ru-RU"/>
        </w:rPr>
        <w:t>чные целевые показатели качества окружающей среды могут быть установлены для: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1) селитебной территории;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2) особо охраняемых природных территорий;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3) рекреационных зон;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4) пустынных и полупустынных районов;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5) водных объектов.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6. Разработка целевых показателей качества окружающей среды включает следующие этапы: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lastRenderedPageBreak/>
        <w:t>     </w:t>
      </w:r>
      <w:r w:rsidRPr="0055559A">
        <w:rPr>
          <w:color w:val="000000"/>
          <w:sz w:val="28"/>
          <w:lang w:val="ru-RU"/>
        </w:rPr>
        <w:t xml:space="preserve"> 1) анализ экологической ситуации;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2) изучение экономических возможностей по достижению нормативов качества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3) определение критер</w:t>
      </w:r>
      <w:r w:rsidRPr="0055559A">
        <w:rPr>
          <w:color w:val="000000"/>
          <w:sz w:val="28"/>
          <w:lang w:val="ru-RU"/>
        </w:rPr>
        <w:t>иев установления целевых показателей качества окружающей среды: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</w:t>
      </w:r>
      <w:proofErr w:type="gramStart"/>
      <w:r w:rsidRPr="0055559A">
        <w:rPr>
          <w:color w:val="000000"/>
          <w:sz w:val="28"/>
          <w:lang w:val="ru-RU"/>
        </w:rPr>
        <w:t>определение</w:t>
      </w:r>
      <w:proofErr w:type="gramEnd"/>
      <w:r w:rsidRPr="0055559A">
        <w:rPr>
          <w:color w:val="000000"/>
          <w:sz w:val="28"/>
          <w:lang w:val="ru-RU"/>
        </w:rPr>
        <w:t xml:space="preserve"> оснований для установления целевых показателей качества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</w:t>
      </w:r>
      <w:proofErr w:type="gramStart"/>
      <w:r w:rsidRPr="0055559A">
        <w:rPr>
          <w:color w:val="000000"/>
          <w:sz w:val="28"/>
          <w:lang w:val="ru-RU"/>
        </w:rPr>
        <w:t>оценка</w:t>
      </w:r>
      <w:proofErr w:type="gramEnd"/>
      <w:r w:rsidRPr="0055559A">
        <w:rPr>
          <w:color w:val="000000"/>
          <w:sz w:val="28"/>
          <w:lang w:val="ru-RU"/>
        </w:rPr>
        <w:t xml:space="preserve"> риска для здоровья человека и ценных экологических систем;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</w:t>
      </w:r>
      <w:proofErr w:type="gramStart"/>
      <w:r w:rsidRPr="0055559A">
        <w:rPr>
          <w:color w:val="000000"/>
          <w:sz w:val="28"/>
          <w:lang w:val="ru-RU"/>
        </w:rPr>
        <w:t>определение</w:t>
      </w:r>
      <w:proofErr w:type="gramEnd"/>
      <w:r w:rsidRPr="0055559A">
        <w:rPr>
          <w:color w:val="000000"/>
          <w:sz w:val="28"/>
          <w:lang w:val="ru-RU"/>
        </w:rPr>
        <w:t xml:space="preserve"> необходимо</w:t>
      </w:r>
      <w:r w:rsidRPr="0055559A">
        <w:rPr>
          <w:color w:val="000000"/>
          <w:sz w:val="28"/>
          <w:lang w:val="ru-RU"/>
        </w:rPr>
        <w:t>сти установления целевых показателей качества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4) формирование перечня и значений целевых показателей качества окружающей среды.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7. Оценка риска для здоровья человека и ценных экологических систем при разработке целевых показат</w:t>
      </w:r>
      <w:r w:rsidRPr="0055559A">
        <w:rPr>
          <w:color w:val="000000"/>
          <w:sz w:val="28"/>
          <w:lang w:val="ru-RU"/>
        </w:rPr>
        <w:t>елей качества окружающей среды производится в соответствии с утвержденными санитарно-гигиеническими нормативами, токсикологическими базами данных, материалами эпидемиологических исследований.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8. Разработанные целевые показатели качества окружающей ср</w:t>
      </w:r>
      <w:r w:rsidRPr="0055559A">
        <w:rPr>
          <w:color w:val="000000"/>
          <w:sz w:val="28"/>
          <w:lang w:val="ru-RU"/>
        </w:rPr>
        <w:t>еды оформляются в виде аналитической информации (отчета), содержащей следующие сведения: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1) общую социально-экономическую характеристику региона;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2) анализ развития производительных сил;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3) обоснование необходимости разработки целевых пок</w:t>
      </w:r>
      <w:r w:rsidRPr="0055559A">
        <w:rPr>
          <w:color w:val="000000"/>
          <w:sz w:val="28"/>
          <w:lang w:val="ru-RU"/>
        </w:rPr>
        <w:t>азателей качества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4) анализ целевых показателей качества окружающей среды, устанавливавшихся в регионе ранее, и результатов их достижения;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5) анализ экологической ситуации, экологических рисков;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6) данные лабораторных ис</w:t>
      </w:r>
      <w:r w:rsidRPr="0055559A">
        <w:rPr>
          <w:color w:val="000000"/>
          <w:sz w:val="28"/>
          <w:lang w:val="ru-RU"/>
        </w:rPr>
        <w:t>следований;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7) данные о предполагаемой ситуации и последствиях принятия целевых показателей качества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8) таблицу целевых показателей качества 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4" w:name="z45"/>
      <w:bookmarkEnd w:id="43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9) комплекс мер по достижению целевых показателей качества </w:t>
      </w:r>
      <w:r w:rsidRPr="0055559A">
        <w:rPr>
          <w:color w:val="000000"/>
          <w:sz w:val="28"/>
          <w:lang w:val="ru-RU"/>
        </w:rPr>
        <w:t>окружающей среды;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5" w:name="z46"/>
      <w:bookmarkEnd w:id="44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10) нетехническое резюме.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9. Достижение целевых показателей качества окружающей среды должно быть: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7" w:name="z48"/>
      <w:bookmarkEnd w:id="46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1) достижимо в целом и поэтапно;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lastRenderedPageBreak/>
        <w:t>     </w:t>
      </w:r>
      <w:r w:rsidRPr="0055559A">
        <w:rPr>
          <w:color w:val="000000"/>
          <w:sz w:val="28"/>
          <w:lang w:val="ru-RU"/>
        </w:rPr>
        <w:t xml:space="preserve"> 2) характеризоваться количественными и качественными параметрами;</w:t>
      </w:r>
    </w:p>
    <w:p w:rsidR="00E108AC" w:rsidRPr="0055559A" w:rsidRDefault="00BB115B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t>     </w:t>
      </w:r>
      <w:r w:rsidRPr="0055559A">
        <w:rPr>
          <w:color w:val="000000"/>
          <w:sz w:val="28"/>
          <w:lang w:val="ru-RU"/>
        </w:rPr>
        <w:t xml:space="preserve"> 3) контрол</w:t>
      </w:r>
      <w:r w:rsidRPr="0055559A">
        <w:rPr>
          <w:color w:val="000000"/>
          <w:sz w:val="28"/>
          <w:lang w:val="ru-RU"/>
        </w:rPr>
        <w:t>ируемо и проверяемо.</w:t>
      </w:r>
    </w:p>
    <w:bookmarkEnd w:id="49"/>
    <w:p w:rsidR="00E108AC" w:rsidRPr="0055559A" w:rsidRDefault="00BB115B">
      <w:pPr>
        <w:spacing w:after="0"/>
        <w:rPr>
          <w:lang w:val="ru-RU"/>
        </w:rPr>
      </w:pPr>
      <w:r w:rsidRPr="0055559A">
        <w:rPr>
          <w:lang w:val="ru-RU"/>
        </w:rPr>
        <w:br/>
      </w:r>
      <w:r w:rsidRPr="0055559A">
        <w:rPr>
          <w:lang w:val="ru-RU"/>
        </w:rPr>
        <w:br/>
      </w:r>
    </w:p>
    <w:p w:rsidR="00E108AC" w:rsidRPr="0055559A" w:rsidRDefault="00BB115B">
      <w:pPr>
        <w:pStyle w:val="disclaimer"/>
        <w:rPr>
          <w:lang w:val="ru-RU"/>
        </w:rPr>
      </w:pPr>
      <w:r w:rsidRPr="0055559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108AC" w:rsidRPr="0055559A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5B" w:rsidRDefault="00BB115B">
      <w:pPr>
        <w:spacing w:after="0" w:line="240" w:lineRule="auto"/>
      </w:pPr>
      <w:r>
        <w:separator/>
      </w:r>
    </w:p>
  </w:endnote>
  <w:endnote w:type="continuationSeparator" w:id="0">
    <w:p w:rsidR="00BB115B" w:rsidRDefault="00B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5B" w:rsidRDefault="00BB115B">
      <w:pPr>
        <w:spacing w:after="0" w:line="240" w:lineRule="auto"/>
      </w:pPr>
      <w:r>
        <w:separator/>
      </w:r>
    </w:p>
  </w:footnote>
  <w:footnote w:type="continuationSeparator" w:id="0">
    <w:p w:rsidR="00BB115B" w:rsidRDefault="00B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55559A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42812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AC"/>
    <w:rsid w:val="0055559A"/>
    <w:rsid w:val="00BB115B"/>
    <w:rsid w:val="00E108AC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40D8E-DC06-4D02-BADA-FCA24448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2022-09-15T11:17:00Z</dcterms:created>
  <dcterms:modified xsi:type="dcterms:W3CDTF">2022-09-15T11:17:00Z</dcterms:modified>
</cp:coreProperties>
</file>